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jc w:val="center"/>
        <w:rPr>
          <w:sz w:val="28"/>
          <w:szCs w:val="28"/>
        </w:rPr>
      </w:pPr>
      <w:r>
        <w:rPr>
          <w:rFonts w:cs="Arial" w:ascii="Arial" w:hAnsi="Arial"/>
          <w:b/>
          <w:sz w:val="28"/>
          <w:szCs w:val="28"/>
        </w:rPr>
        <w:t xml:space="preserve">TROGODIŠNJI PLAN RADA </w:t>
      </w:r>
      <w:r>
        <w:rPr>
          <w:rFonts w:cs="Arial" w:ascii="Arial" w:hAnsi="Arial"/>
          <w:b/>
          <w:caps/>
          <w:sz w:val="28"/>
          <w:szCs w:val="28"/>
        </w:rPr>
        <w:t>Federalnog ministarstva prostornog uređenja</w:t>
      </w:r>
      <w:r>
        <w:rPr>
          <w:rFonts w:cs="Arial" w:ascii="Arial" w:hAnsi="Arial"/>
          <w:b/>
          <w:sz w:val="28"/>
          <w:szCs w:val="28"/>
        </w:rPr>
        <w:t xml:space="preserve"> </w:t>
      </w:r>
    </w:p>
    <w:p>
      <w:pPr>
        <w:pStyle w:val="Normal"/>
        <w:jc w:val="center"/>
        <w:rPr>
          <w:sz w:val="28"/>
          <w:szCs w:val="28"/>
        </w:rPr>
      </w:pPr>
      <w:r>
        <w:rPr>
          <w:rFonts w:cs="Arial" w:ascii="Arial" w:hAnsi="Arial"/>
          <w:b/>
          <w:sz w:val="28"/>
          <w:szCs w:val="28"/>
        </w:rPr>
        <w:t>ZA PERIOD 2025.-2027. GODINA</w:t>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i/>
          <w:sz w:val="24"/>
          <w:szCs w:val="24"/>
        </w:rPr>
      </w:r>
    </w:p>
    <w:p>
      <w:pPr>
        <w:pStyle w:val="NoSpacing"/>
        <w:jc w:val="center"/>
        <w:rPr>
          <w:rFonts w:ascii="Arial" w:hAnsi="Arial" w:cs="Arial"/>
          <w:i/>
          <w:i/>
          <w:sz w:val="24"/>
          <w:szCs w:val="24"/>
        </w:rPr>
      </w:pPr>
      <w:r>
        <w:rPr>
          <w:rFonts w:cs="Arial" w:ascii="Arial" w:hAnsi="Arial"/>
          <w:b/>
          <w:i/>
          <w:sz w:val="24"/>
          <w:szCs w:val="24"/>
        </w:rPr>
        <w:t>Novembar, 2024.godine</w:t>
      </w:r>
    </w:p>
    <w:p>
      <w:pPr>
        <w:pStyle w:val="NoSpacing"/>
        <w:jc w:val="both"/>
        <w:rPr>
          <w:rFonts w:ascii="Arial" w:hAnsi="Arial" w:cs="Arial"/>
          <w:i/>
          <w:i/>
          <w:sz w:val="24"/>
          <w:szCs w:val="24"/>
        </w:rPr>
      </w:pPr>
      <w:r>
        <w:rPr>
          <w:rFonts w:cs="Arial" w:ascii="Arial" w:hAnsi="Arial"/>
          <w:i/>
          <w:sz w:val="24"/>
          <w:szCs w:val="24"/>
        </w:rPr>
      </w:r>
    </w:p>
    <w:p>
      <w:pPr>
        <w:pStyle w:val="NoSpacing"/>
        <w:jc w:val="both"/>
        <w:rPr>
          <w:rFonts w:ascii="Arial" w:hAnsi="Arial" w:cs="Arial"/>
          <w:b/>
          <w:b/>
          <w:sz w:val="24"/>
          <w:szCs w:val="24"/>
        </w:rPr>
      </w:pPr>
      <w:r>
        <w:rPr>
          <w:rFonts w:cs="Arial" w:ascii="Arial" w:hAnsi="Arial"/>
          <w:b/>
          <w:sz w:val="24"/>
          <w:szCs w:val="24"/>
        </w:rPr>
        <w:t>Uvod</w:t>
      </w:r>
    </w:p>
    <w:p>
      <w:pPr>
        <w:pStyle w:val="NoSpacing"/>
        <w:jc w:val="both"/>
        <w:rPr>
          <w:rFonts w:ascii="Arial" w:hAnsi="Arial" w:cs="Arial"/>
          <w:b/>
          <w:b/>
          <w:sz w:val="24"/>
          <w:szCs w:val="24"/>
        </w:rPr>
      </w:pPr>
      <w:r>
        <w:rPr>
          <w:rFonts w:cs="Arial" w:ascii="Arial" w:hAnsi="Arial"/>
          <w:b/>
          <w:sz w:val="24"/>
          <w:szCs w:val="24"/>
        </w:rPr>
      </w:r>
    </w:p>
    <w:p>
      <w:pPr>
        <w:pStyle w:val="NoSpacing"/>
        <w:numPr>
          <w:ilvl w:val="0"/>
          <w:numId w:val="4"/>
        </w:numPr>
        <w:jc w:val="both"/>
        <w:rPr>
          <w:rFonts w:ascii="Arial" w:hAnsi="Arial" w:cs="Arial"/>
          <w:i/>
          <w:i/>
          <w:iCs/>
          <w:sz w:val="24"/>
          <w:szCs w:val="24"/>
        </w:rPr>
      </w:pPr>
      <w:r>
        <w:rPr>
          <w:rFonts w:cs="Arial" w:ascii="Arial" w:hAnsi="Arial"/>
          <w:i/>
          <w:iCs/>
          <w:sz w:val="24"/>
          <w:szCs w:val="24"/>
        </w:rPr>
        <w:t xml:space="preserve">Uvod </w:t>
      </w:r>
    </w:p>
    <w:p>
      <w:pPr>
        <w:pStyle w:val="NoSpacing"/>
        <w:ind w:left="72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Trogodišnji plan rada Federalnog ministarstva prostornog uređenja za period 2025.-2027. godina, sačinjen je na osnovu Zakona o razvojnom planiranju i upravljanju razvojem u Federaciji BiH („Službene novine Federacije BiH”, broj: 32/17) i Uredbe o  trogodišnjem i godišnjem planiranju, monitoringu i izvještavanju u Federaciji BiH („Službene novine Federacije BiH, br.74/19 i 2/21).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Isti predstavlja implementacioni dokument, kojim se operacionaliziraju strateški ciljevi, prioriteti i mjere definisani Strategijom razvoja Federacije BiH 2021.-2027. godina.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Nadležnosti Federalnog ministarstva prostornog uređenja definisane su Zakonom o federalnim ministarstvima i drugim tijelima federalne uprave (Službene novine Federacije BiH, br. 58/02, 19/03, 38/05, 2/06, 8/06, 61/06, 57/09 i 48/11) i Zakonom o prostornom  planiranju i korištenju zemljišta na nivou Federacije BiH („Službene novine Federacije BiH“, br. 2/06, 72/07, 32/08, 4/10, 13/10 i 45/10,  85/21, 92/21 i 72/24).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Članom 18. Zakona o federalnim ministarstvima i drugim tijelima federalne uprave propisano je da ovo ministarstvo obavlja upravne, stručne i druge poslove iz nadležnosti Federacije Bosne i Hercegovine, koji se odnose planiranje i uređenje prostora, politiku upotrebe zemljišta na federalnoj razini; izradu, provođenje i primjenu prostornog plana Federacije, usklađenosti prostornih planova kantona sa prostornim planom Federacije, usmjeravanje dugoročnog razvoja upotrebe prirodnih resursa, geoloških istraživanja, izradu osnovnih karata geofizičkih, seizmoloških, geometralnih ili minerogenetskih, geohemijskih, geomorfoloških i drugih karata, izradu geoloških podloga za prostorno uređenja, nadzor nad odgovarajučim ustanovama iz sektora i druge poslove utvrđene zakonima.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U periodu 2025. - 2027. aktivnosti Federalnog ministarstva prostornog uređenja odvijat će se u okviru glavnog programa: </w:t>
      </w:r>
    </w:p>
    <w:p>
      <w:pPr>
        <w:pStyle w:val="NoSpacing"/>
        <w:ind w:left="360" w:hanging="0"/>
        <w:jc w:val="both"/>
        <w:rPr>
          <w:rFonts w:ascii="Arial" w:hAnsi="Arial" w:cs="Arial"/>
          <w:sz w:val="24"/>
          <w:szCs w:val="24"/>
        </w:rPr>
      </w:pPr>
      <w:r>
        <w:rPr>
          <w:rFonts w:cs="Arial" w:ascii="Arial" w:hAnsi="Arial"/>
          <w:sz w:val="24"/>
          <w:szCs w:val="24"/>
        </w:rPr>
      </w:r>
    </w:p>
    <w:p>
      <w:pPr>
        <w:pStyle w:val="NoSpacing"/>
        <w:numPr>
          <w:ilvl w:val="0"/>
          <w:numId w:val="5"/>
        </w:numPr>
        <w:ind w:left="360" w:hanging="0"/>
        <w:jc w:val="both"/>
        <w:rPr>
          <w:rFonts w:ascii="Arial" w:hAnsi="Arial" w:cs="Arial"/>
          <w:sz w:val="24"/>
          <w:szCs w:val="24"/>
        </w:rPr>
      </w:pPr>
      <w:bookmarkStart w:id="0" w:name="_Hlk783601321"/>
      <w:r>
        <w:rPr>
          <w:rFonts w:cs="Arial" w:ascii="Arial" w:hAnsi="Arial"/>
          <w:sz w:val="24"/>
          <w:szCs w:val="24"/>
        </w:rPr>
        <w:t>Stvaranje uslova za održivi razvoj kroz prostorno planiranje, politiku korištenja zemljišta, zaštitu prirodnog i kulturnog nasljeđa i energijsku efikasnost u zgradarstvu</w:t>
      </w:r>
      <w:bookmarkEnd w:id="0"/>
      <w:r>
        <w:rPr>
          <w:rFonts w:cs="Arial" w:ascii="Arial" w:hAnsi="Arial"/>
          <w:sz w:val="24"/>
          <w:szCs w:val="24"/>
        </w:rPr>
        <w:t>.</w:t>
      </w:r>
    </w:p>
    <w:p>
      <w:pPr>
        <w:pStyle w:val="NoSpacing"/>
        <w:ind w:left="360" w:hanging="0"/>
        <w:jc w:val="both"/>
        <w:rPr>
          <w:rFonts w:ascii="Arial" w:hAnsi="Arial" w:cs="Arial"/>
          <w:sz w:val="24"/>
          <w:szCs w:val="24"/>
        </w:rPr>
      </w:pPr>
      <w:r>
        <w:rPr>
          <w:rFonts w:cs="Arial" w:ascii="Arial" w:hAnsi="Arial"/>
          <w:sz w:val="24"/>
          <w:szCs w:val="24"/>
        </w:rPr>
      </w:r>
    </w:p>
    <w:p>
      <w:pPr>
        <w:pStyle w:val="NoSpacing"/>
        <w:numPr>
          <w:ilvl w:val="0"/>
          <w:numId w:val="4"/>
        </w:numPr>
        <w:jc w:val="both"/>
        <w:rPr>
          <w:rFonts w:ascii="Arial" w:hAnsi="Arial" w:cs="Arial"/>
          <w:sz w:val="24"/>
          <w:szCs w:val="24"/>
        </w:rPr>
      </w:pPr>
      <w:r>
        <w:rPr>
          <w:rFonts w:cs="Arial" w:ascii="Arial" w:hAnsi="Arial"/>
          <w:i/>
          <w:iCs/>
          <w:sz w:val="24"/>
          <w:szCs w:val="24"/>
        </w:rPr>
        <w:t xml:space="preserve">Osvrt na projekte i aktivnosti realizovane godišnjim planom rada za prethodnu kalendarsku godinu </w:t>
      </w:r>
    </w:p>
    <w:p>
      <w:pPr>
        <w:pStyle w:val="NoSpacing"/>
        <w:ind w:left="72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lang w:val="hr-HR"/>
        </w:rPr>
        <w:t xml:space="preserve">U toku 2024. godine ministarstvo je aktivno radilo na realizaciji zadanih aktivnosti utvrđenih godišnjim planom rada, slijedom čega su realizovani brojni projekti i aktivnosti.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lang w:val="hr-HR"/>
        </w:rPr>
        <w:t xml:space="preserve">U okviru nadležnosti utvrđenih </w:t>
      </w:r>
      <w:r>
        <w:rPr>
          <w:rFonts w:cs="Arial" w:ascii="Arial" w:hAnsi="Arial"/>
          <w:sz w:val="24"/>
          <w:szCs w:val="24"/>
        </w:rPr>
        <w:t>Zakonom o prostornom  planiranju i korištenju zemljišta na nivou Federacije BiH, ministarstvo je tokom protekle godine, realizirajući osnovna strateška opredjeljenja i operativne ciljeve, radilo na  izradi planskih dokumenata i praćenju njihovog donošenja od strane Parlamenta Federacije BiH i to: Prostornog plana Federacije BiH (povučen iz parlamentarne procedure), donešena Odluka o Izmjeni Odluke o donošenju Prostornog plana PPO Autocesta na Koridoru Vc, upućene urgencije Domu naroda za donošenje Regulacionog plana Historijskog gradskog područja Počitelj, Nacrta Regulacionog plana Historijskog gradskog područja Blagaj, urgencija Domu naroda  da se za područje Međunarodnog aerodroma Sarajevo donese Odluka o utvrđivanju područja od posebnog značaja za Federaciju Bosne i Hercegovine, usvojene  Odluke o pristupanju izradi RP Štrbački Buk, Zoning planova Martin Brod i Kulen Vakuf -Klisa, realizovan postupak javne nabavke za I</w:t>
      </w:r>
      <w:r>
        <w:rPr>
          <w:rFonts w:cs="Arial" w:ascii="Arial" w:hAnsi="Arial"/>
          <w:sz w:val="24"/>
          <w:szCs w:val="24"/>
          <w:lang w:val="pl-PL"/>
        </w:rPr>
        <w:t xml:space="preserve">zmjene i dopune Regulacionog plana sanacije, konzervacije, restauracije i revitalizacije Sarajevske čaršije i Regulacionog plana Historijskog urbanog krajolika Mostar, dostavljene  Urbanističke osnove i vraćene nosiocima izrade na doradu. </w:t>
      </w:r>
    </w:p>
    <w:p>
      <w:pPr>
        <w:pStyle w:val="NoSpacing"/>
        <w:ind w:left="360" w:hanging="0"/>
        <w:jc w:val="both"/>
        <w:rPr>
          <w:rFonts w:ascii="Arial" w:hAnsi="Arial" w:cs="Arial"/>
          <w:sz w:val="24"/>
          <w:szCs w:val="24"/>
          <w:lang w:val="pl-PL"/>
        </w:rPr>
      </w:pPr>
      <w:r>
        <w:rPr>
          <w:rFonts w:cs="Arial" w:ascii="Arial" w:hAnsi="Arial"/>
          <w:sz w:val="24"/>
          <w:szCs w:val="24"/>
          <w:lang w:val="pl-PL"/>
        </w:rPr>
      </w:r>
    </w:p>
    <w:p>
      <w:pPr>
        <w:pStyle w:val="NoSpacing"/>
        <w:ind w:left="360" w:hanging="0"/>
        <w:jc w:val="both"/>
        <w:rPr>
          <w:rFonts w:ascii="Arial" w:hAnsi="Arial" w:cs="Arial"/>
          <w:sz w:val="24"/>
          <w:szCs w:val="24"/>
        </w:rPr>
      </w:pPr>
      <w:r>
        <w:rPr>
          <w:rFonts w:cs="Arial" w:ascii="Arial" w:hAnsi="Arial"/>
          <w:sz w:val="24"/>
          <w:szCs w:val="24"/>
          <w:lang w:val="pl-PL"/>
        </w:rPr>
        <w:t>Također je realizovan postupak Uspostavljanje i održavanje Jedinstvenog informacionog sistema za planiranje Federacije BiH (u prethodnoj godini proveden postupak JN), proveden postupak JN Uspostavljanje i održavanje jedinstvene baze podataka – uspostavljanje Web i SMART portala i realizovano je isto. Za korištenje Web portala neophodna je stalna IP adresa i održavanje servera i licenci. Unešeni su GIS podaci i nastavljeno je sa unošenjem, obradom i održavanjem podataka od značaja za planiranje na federalnom nivou.</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Pokušavajući unaprijediti stanje u području stambenih poslova (posebno imajući u vidu da se radi o izvršenju presuda Evropskog suda za ljudska prava i domaćih ustavnih sudova), Ministarstvo je izradilo Zakon o izmjenama i dopuni Zakona o prodaji stanova na kojima postoji stanarsko pravo, u segmentu rješavanja pitanja “tzv.” vojnih stanova”. </w:t>
      </w:r>
      <w:r>
        <w:rPr>
          <w:rFonts w:cs="Arial" w:ascii="Arial" w:hAnsi="Arial"/>
          <w:sz w:val="24"/>
          <w:szCs w:val="24"/>
          <w:lang w:val="it-IT"/>
        </w:rPr>
        <w:t xml:space="preserve"> </w:t>
      </w:r>
      <w:r>
        <w:rPr>
          <w:rFonts w:cs="Arial" w:ascii="Arial" w:hAnsi="Arial"/>
          <w:sz w:val="24"/>
          <w:szCs w:val="24"/>
          <w:lang w:val="sl-SI"/>
        </w:rPr>
        <w:t>Predstavnički dom Parlamenta Federacije BiH je na svojoj 9. redovnoj sjednici održanoj 24.01.2024. godine usvojio Prijedlog Zakona o izmjenama i dopuni Zakona o prodaji stanova na kojima postoji stanarsko pravo, koji je razmatran po hitnom postupku. Međutim, Dom naroda Parlamenta Federacije BiH je na svojoj 7. sjednici održanoj 25.03.2024. godine odbio razmatrati Prijedlog Zakona po hitnom postupku, te je isti vraćen u formu Nacrta i kao takav usvojen na navedenoj sjednici u formi nacrta. Dana 12</w:t>
      </w:r>
      <w:r>
        <w:rPr>
          <w:rFonts w:cs="Arial" w:ascii="Arial" w:hAnsi="Arial"/>
          <w:sz w:val="24"/>
          <w:szCs w:val="24"/>
          <w:lang w:val="it-IT"/>
        </w:rPr>
        <w:t xml:space="preserve">.12.2024. godine Vlada Federacije BiH je uputila Prijedlog Zakona o prodaji stanova na kojima postoji stanarsko pravo Parlamentu Federacije BiH, te je za očekivati da isti bude razmatran od strane oba doma Parlamenta Federacije BiH u 2025. godini.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 xml:space="preserve">Pored navedenoga, u parlamentarnu proceduru upućen je i Zakon o izmjenama i dopunama Zakona o vraćanju, dodjeli i prodaji stanova, koji je, u formi Nacrta, usvojen na 10. redovnoj sjednici Doma naroda Parlamenta Federacije BiH održanoj dana 18.07.2024. godine, te upućen na usvajanje Predstavničkom domu Parlamenta Federacije BiH, nakon čijeg usvajanja će uslijediti javna rasprava, te utvrđivanje teksta Prijedloga Zakona.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Također, Ministarstvo je izradilo Zakon o izmjenama i dopunama Zakona o prostornom planiranju i korištenju zemljišta, koji je usvojen na 13. sjednici Predstavničkog doma Parlamenta Federacije BiH dana 24.07.2024. godine, te na 12. sjednici Doma naroda Parlamenta Federacije BiH održanoj dana 05.09.2024. godine, a koji je</w:t>
      </w:r>
      <w:r>
        <w:rPr>
          <w:rFonts w:cs="Arial" w:ascii="Arial" w:hAnsi="Arial"/>
          <w:bCs/>
          <w:iCs/>
          <w:sz w:val="24"/>
          <w:szCs w:val="24"/>
          <w:lang w:val="sl-SI"/>
        </w:rPr>
        <w:t xml:space="preserve"> stupio na snagu dana 21.09.2024. godine. Izmjenama i dopunama predmetnog Zakona propisano je provođenje postupka izdavanja e-dozvola u oblasti građenja, te je izvršeno otklanjanje uočenih manjkavosti i nedostataka u važećem Zakonu. </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U oblasti energijske efikasnosti, Ministarstvo je radilo na izmjenama i dopunama postojećih propisa, provođenju aktivnosti vezano za parlamentarnu proceduru usvajanja prijedloga Strategije dugoročne obnove zgrada u Federaciji BiH za period do 2050. godine,  kao i na razvoju infrastrukture za energijske audite i energijsko certificiranje zgrada kroz uspostavljeni web Registar energijskih certifikata (REC) koji se redovito nadograđuje i ažurira.</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Realizirani projekti odnose se na jačanje kapaciteta u oblasti obnove i zaštite nacionalnih spomenika, ublažavanje posljedica prirodnih katastrofa na područjima zahvaćenim poplavama i klizištima – prevencija i sanacija klizišta, utopljavanje zgrada radi uštede energije  te provedba projekata poboljšanja energijske efikasnosti u javnim zgradama (</w:t>
      </w:r>
      <w:r>
        <w:rPr>
          <w:rFonts w:eastAsia="Calibri" w:cs="Arial" w:ascii="Arial" w:hAnsi="Arial"/>
          <w:sz w:val="24"/>
          <w:szCs w:val="24"/>
        </w:rPr>
        <w:t>Projekat energijske  efikasnosti u Federaciji Bosne i Hercegovine -  BEEP, projekat „Energetska efikasnost u javnim objektima'' koji finansira Njemačka Razvojna Banka KfW i projekat GCF ''Povećanje ulaganja u javne objekte sa niskom stopom emisije ugljendioksida u Bosni i Hercegovini').</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eastAsia="Calibri" w:cs="Arial"/>
          <w:sz w:val="24"/>
          <w:szCs w:val="24"/>
        </w:rPr>
      </w:pPr>
      <w:r>
        <w:rPr>
          <w:rFonts w:eastAsia="Calibri"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Ministarstvo je također realizovalo niz projekata s ciljem jačanja kapaciteta u oblasti obnove i zaštite nacionalnih spomenika, ublažavanja posljedica prirodnih nepogoda, prevencije i sanacije klizišta, kao i poboljšanja energijske efikasnosti javnih objekata. Ključni projekti uključuju:</w:t>
      </w:r>
    </w:p>
    <w:p>
      <w:pPr>
        <w:pStyle w:val="NoSpacing"/>
        <w:ind w:left="360" w:hanging="0"/>
        <w:jc w:val="both"/>
        <w:rPr>
          <w:rFonts w:ascii="Arial" w:hAnsi="Arial" w:cs="Arial"/>
          <w:sz w:val="24"/>
          <w:szCs w:val="24"/>
        </w:rPr>
      </w:pPr>
      <w:r>
        <w:rPr>
          <w:rFonts w:cs="Arial" w:ascii="Arial" w:hAnsi="Arial"/>
          <w:sz w:val="24"/>
          <w:szCs w:val="24"/>
        </w:rPr>
      </w:r>
    </w:p>
    <w:p>
      <w:pPr>
        <w:pStyle w:val="NoSpacing"/>
        <w:numPr>
          <w:ilvl w:val="0"/>
          <w:numId w:val="6"/>
        </w:numPr>
        <w:jc w:val="both"/>
        <w:rPr>
          <w:rFonts w:ascii="Arial" w:hAnsi="Arial" w:cs="Arial"/>
          <w:sz w:val="24"/>
          <w:szCs w:val="24"/>
        </w:rPr>
      </w:pPr>
      <w:r>
        <w:rPr>
          <w:rFonts w:cs="Arial" w:ascii="Arial" w:hAnsi="Arial"/>
          <w:sz w:val="24"/>
          <w:szCs w:val="24"/>
        </w:rPr>
        <w:t>Projekat energijske efikasnosti u javnim zgradama u Bosni i Hercegovini finansiran sredstvima Njemačke razvojne banke KfW.</w:t>
      </w:r>
    </w:p>
    <w:p>
      <w:pPr>
        <w:pStyle w:val="NoSpacing"/>
        <w:ind w:left="360" w:hanging="0"/>
        <w:jc w:val="both"/>
        <w:rPr>
          <w:rFonts w:ascii="Arial" w:hAnsi="Arial" w:cs="Arial"/>
          <w:sz w:val="24"/>
          <w:szCs w:val="24"/>
        </w:rPr>
      </w:pPr>
      <w:r>
        <w:rPr>
          <w:rFonts w:cs="Arial" w:ascii="Arial" w:hAnsi="Arial"/>
          <w:sz w:val="24"/>
          <w:szCs w:val="24"/>
        </w:rPr>
      </w:r>
    </w:p>
    <w:p>
      <w:pPr>
        <w:pStyle w:val="NoSpacing"/>
        <w:numPr>
          <w:ilvl w:val="0"/>
          <w:numId w:val="6"/>
        </w:numPr>
        <w:jc w:val="both"/>
        <w:rPr>
          <w:rFonts w:ascii="Arial" w:hAnsi="Arial" w:cs="Arial"/>
          <w:sz w:val="24"/>
          <w:szCs w:val="24"/>
        </w:rPr>
      </w:pPr>
      <w:r>
        <w:rPr>
          <w:rFonts w:cs="Arial" w:ascii="Arial" w:hAnsi="Arial"/>
          <w:sz w:val="24"/>
          <w:szCs w:val="24"/>
        </w:rPr>
        <w:t>Projekat povećanja ulaganja u javne objekte sa niskom stopom emisije ugljendioksida u Bosni i Hercegovini, finansiran sredstvima Zelenog klimatskog fonda (GCF).</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Ovi projekti doprinose održivom razvoju, smanjenju emisija gasova staklene bašte i povećanju otpornosti javnih objekata na klimatske izazove.</w:t>
      </w:r>
    </w:p>
    <w:p>
      <w:pPr>
        <w:pStyle w:val="NoSpacing"/>
        <w:ind w:left="360" w:hanging="0"/>
        <w:jc w:val="both"/>
        <w:rPr>
          <w:rFonts w:ascii="Arial" w:hAnsi="Arial" w:cs="Arial"/>
          <w:sz w:val="24"/>
          <w:szCs w:val="24"/>
        </w:rPr>
      </w:pPr>
      <w:r>
        <w:rPr>
          <w:rFonts w:cs="Arial" w:ascii="Arial" w:hAnsi="Arial"/>
          <w:sz w:val="24"/>
          <w:szCs w:val="24"/>
        </w:rPr>
      </w:r>
    </w:p>
    <w:p>
      <w:pPr>
        <w:pStyle w:val="NoSpacing"/>
        <w:numPr>
          <w:ilvl w:val="0"/>
          <w:numId w:val="7"/>
        </w:numPr>
        <w:jc w:val="both"/>
        <w:rPr>
          <w:rFonts w:ascii="Arial" w:hAnsi="Arial" w:cs="Arial"/>
          <w:sz w:val="24"/>
          <w:szCs w:val="24"/>
        </w:rPr>
      </w:pPr>
      <w:r>
        <w:rPr>
          <w:rFonts w:cs="Arial" w:ascii="Arial" w:hAnsi="Arial"/>
          <w:sz w:val="24"/>
          <w:szCs w:val="24"/>
        </w:rPr>
        <w:t>Revolving fond za energijsku efikasnost javnih zgrada u Federaciji BiH</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Ministarstvo putem Revolving fonda finansira i implementira Operativni plan povećanja energijske efikasnosti u institucijama Federacije Bosne i Hercegovine, koji je 1. aprila 2021. godine usvojen Zaključkom Vlade Federacije BiH (V. broj 624/2021). Cilj Revolving fonda je dugoročno funkcionisanje sa pozitivnim novčanim tokom te finansiranje obnove značajnog fonda javnih zgrada u vlasništvu ili na korištenju federalnih institucija.</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Kako bi se osigurala održivost i kapacitet fonda, potrebno je obezbijediti dodatna grant sredstva i sprovesti dokapitalizaciju fonda. Nakon usvajanja Operativnog plana II za javne objekte u vlasništvu ili na korištenju federalnih institucija, isti će biti realizovan putem Revolving fonda. Planom će biti obuhvaćeni objekti identifikovani kroz popis javnih zgrada koje je sprovelo Federalno ministarstvo prostornog uređenja.</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Ministarstvo je pokrenulo pripremne aktivnosti za novi projekat pod nazivom "Energetska efikasnost javnih objekata u Federaciji BiH", koji će biti finansiran sredstvima Evropske banke za obnovu i razvoj (EBRD). Ključni koraci uključuju u 2025. godini planiranje i pripremne aktivnosti za implementaciju projekta dok u 2026.godini operativnost kreditnih sredstava, u skladu sa Zakonom o dugu, zaduživanju i garancijama u Federaciji Bosne i Hercegovine ("Službene novine FBiH" br. 86/07, 24/09, 44/10 i 30/16).</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Projekat će dodatno unaprijediti energijske standarde u javnim zgradama, smanjiti potrošnju energije i emisije CO</w:t>
      </w:r>
      <w:r>
        <w:rPr>
          <w:rFonts w:cs="Arial" w:ascii="Arial" w:hAnsi="Arial"/>
          <w:sz w:val="24"/>
          <w:szCs w:val="24"/>
          <w:vertAlign w:val="subscript"/>
        </w:rPr>
        <w:t>2</w:t>
      </w:r>
      <w:r>
        <w:rPr>
          <w:rFonts w:cs="Arial" w:ascii="Arial" w:hAnsi="Arial"/>
          <w:sz w:val="24"/>
          <w:szCs w:val="24"/>
        </w:rPr>
        <w:t>, te doprinijeti postizanju klimatskih ciljeva Bosne i Hercegovine.</w:t>
      </w:r>
    </w:p>
    <w:p>
      <w:pPr>
        <w:pStyle w:val="NoSpacing"/>
        <w:ind w:left="360" w:hanging="0"/>
        <w:jc w:val="both"/>
        <w:rPr>
          <w:rFonts w:ascii="Arial" w:hAnsi="Arial" w:eastAsia="Calibri" w:cs="Arial"/>
          <w:sz w:val="24"/>
          <w:szCs w:val="24"/>
        </w:rPr>
      </w:pPr>
      <w:r>
        <w:rPr>
          <w:rFonts w:eastAsia="Calibri" w:cs="Arial" w:ascii="Arial" w:hAnsi="Arial"/>
          <w:sz w:val="24"/>
          <w:szCs w:val="24"/>
        </w:rPr>
      </w:r>
    </w:p>
    <w:p>
      <w:pPr>
        <w:pStyle w:val="NoSpacing"/>
        <w:ind w:left="360" w:hanging="0"/>
        <w:jc w:val="both"/>
        <w:rPr>
          <w:rFonts w:ascii="Arial" w:hAnsi="Arial" w:cs="Arial"/>
          <w:i/>
          <w:i/>
          <w:iCs/>
          <w:sz w:val="24"/>
          <w:szCs w:val="24"/>
        </w:rPr>
      </w:pPr>
      <w:r>
        <w:rPr>
          <w:rFonts w:cs="Arial" w:ascii="Arial" w:hAnsi="Arial"/>
          <w:i/>
          <w:iCs/>
          <w:sz w:val="24"/>
          <w:szCs w:val="24"/>
        </w:rPr>
      </w:r>
    </w:p>
    <w:p>
      <w:pPr>
        <w:pStyle w:val="NoSpacing"/>
        <w:ind w:left="360" w:hanging="0"/>
        <w:jc w:val="both"/>
        <w:rPr>
          <w:rFonts w:ascii="Arial" w:hAnsi="Arial" w:cs="Arial"/>
          <w:i/>
          <w:i/>
          <w:iCs/>
          <w:sz w:val="24"/>
          <w:szCs w:val="24"/>
        </w:rPr>
      </w:pPr>
      <w:r>
        <w:rPr>
          <w:rFonts w:cs="Arial" w:ascii="Arial" w:hAnsi="Arial"/>
          <w:i/>
          <w:iCs/>
          <w:sz w:val="24"/>
          <w:szCs w:val="24"/>
        </w:rPr>
        <w:t>3) Kratak opis ključnih usmjerenja trogodišnjeg plana rada i provedenog procesa konsultacija</w:t>
      </w:r>
    </w:p>
    <w:p>
      <w:pPr>
        <w:pStyle w:val="NoSpacing"/>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Ključno usmjerenje Federalnog ministarstva prostonog uređenja je: stvaranje uslova za održivi razvoj kroz prostorno planiranje, politiku korištenja zemljišta, obnovu i zaštitu nacionalnih spomenika, zaštitu prirodnog i kulturnog nasljeđa i energijsku efikasnost u zgradarstvu, poboljšanje informiranosti i podizanje svijesti građana o potrebi očuvanja identiteta prostora u kojem žive, uspostave reda u prostoru te unapređenje stanja u području prostornog uređenja.</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U periodu 2025.-2027. godine, aktivnosti Federalnog ministarstva prostornog uređenja odnosit će se na poboljšanje energijske efikasnosti u zgradarstvu, provođenje pripremnih aktivnosti i implementaciju Strategije dugoročne obnove zgrada u Federaciji BiH  za period do 2050. godine, unaprjeđenje stanja u području stambenih poslova i oblasti nacionalnih spomenika, uspostavljanje elektronskog sistema e-dozvola kroz proces digitalne transformacije i uvezivanje i umrežavanje svih relevantnih učesnika postupka, uspostavljanje i održavanje jedinstvenog informacionog sistema (JIS) za planiranje Federacije BiH, harmoniziranje postojećih propisa iz domena prostornog planiranja i izradu relevantnih planskih dokumenata, donošenje Zakona o Komori inžinjera u oblasti građenja, novog Zakona o prostornom planiranju i korištenju zemljišta na nivou Federacije BiH, donošenje Zakona o građevinskim proizvodima (koji bi bio usklađen sa zakonodavstvom EU), kao i donošenja Zakona o koncesijama Federacije Bosne i Hercegovine.</w:t>
      </w:r>
    </w:p>
    <w:p>
      <w:pPr>
        <w:pStyle w:val="NoSpacing"/>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i/>
          <w:i/>
          <w:iCs/>
          <w:sz w:val="24"/>
          <w:szCs w:val="24"/>
        </w:rPr>
      </w:pPr>
      <w:r>
        <w:rPr>
          <w:rFonts w:cs="Arial" w:ascii="Arial" w:hAnsi="Arial"/>
          <w:i/>
          <w:iCs/>
          <w:sz w:val="24"/>
          <w:szCs w:val="24"/>
        </w:rPr>
        <w:t>4) Opis institucionalnih kapaciteta sa analitičkim pregledom ključnih nedostataka i potreba organa uprave u odnosu na planirane programe (mjere) za naredni trogodišnji period</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U Ministarstvu su trenutno zaposlena 44 uposlenika, od toga 1 ministar, 3 savjetnika ministra, 4 rukovodeća državna službenika (4 pomoćnika ministra), 26 državnih službenika i 10 namještenika.</w:t>
      </w:r>
    </w:p>
    <w:p>
      <w:pPr>
        <w:pStyle w:val="NoSpacing"/>
        <w:ind w:left="360" w:hanging="0"/>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sz w:val="24"/>
          <w:szCs w:val="24"/>
        </w:rPr>
      </w:pPr>
      <w:r>
        <w:rPr>
          <w:rFonts w:cs="Arial" w:ascii="Arial" w:hAnsi="Arial"/>
          <w:sz w:val="24"/>
          <w:szCs w:val="24"/>
        </w:rPr>
        <w:t>Iako su se institucionalni kapaciteti Ministarstva kontinuirano gradili, i dalje je prisutan nedostatak stručnih kadrova i nepopunjenost sistematizacije radnih mjesta, te nedostatak tehničko-tehnoloških kapaciteta.</w:t>
      </w:r>
    </w:p>
    <w:p>
      <w:pPr>
        <w:pStyle w:val="NoSpacing"/>
        <w:jc w:val="both"/>
        <w:rPr>
          <w:rFonts w:ascii="Arial" w:hAnsi="Arial" w:cs="Arial"/>
          <w:sz w:val="24"/>
          <w:szCs w:val="24"/>
        </w:rPr>
      </w:pPr>
      <w:r>
        <w:rPr>
          <w:rFonts w:cs="Arial" w:ascii="Arial" w:hAnsi="Arial"/>
          <w:sz w:val="24"/>
          <w:szCs w:val="24"/>
        </w:rPr>
      </w:r>
    </w:p>
    <w:p>
      <w:pPr>
        <w:pStyle w:val="NoSpacing"/>
        <w:ind w:left="360" w:hanging="0"/>
        <w:jc w:val="both"/>
        <w:rPr>
          <w:rFonts w:ascii="Arial" w:hAnsi="Arial" w:cs="Arial"/>
          <w:i/>
          <w:i/>
          <w:iCs/>
          <w:sz w:val="24"/>
          <w:szCs w:val="24"/>
        </w:rPr>
      </w:pPr>
      <w:r>
        <w:rPr>
          <w:rFonts w:cs="Arial" w:ascii="Arial" w:hAnsi="Arial"/>
          <w:i/>
          <w:iCs/>
          <w:sz w:val="24"/>
          <w:szCs w:val="24"/>
        </w:rPr>
        <w:t xml:space="preserve">5) Mogući problemi i rizici za realizaciju trogodišnjeg plana rada </w:t>
      </w:r>
    </w:p>
    <w:p>
      <w:pPr>
        <w:pStyle w:val="NoSpacing"/>
        <w:jc w:val="both"/>
        <w:rPr>
          <w:rFonts w:ascii="Arial" w:hAnsi="Arial" w:cs="Arial"/>
          <w:i/>
          <w:i/>
          <w:iCs/>
          <w:sz w:val="24"/>
          <w:szCs w:val="24"/>
        </w:rPr>
      </w:pPr>
      <w:r>
        <w:rPr>
          <w:rFonts w:cs="Arial" w:ascii="Arial" w:hAnsi="Arial"/>
          <w:i/>
          <w:iCs/>
          <w:sz w:val="24"/>
          <w:szCs w:val="24"/>
        </w:rPr>
      </w:r>
    </w:p>
    <w:p>
      <w:pPr>
        <w:sectPr>
          <w:headerReference w:type="first" r:id="rId2"/>
          <w:footerReference w:type="default" r:id="rId3"/>
          <w:type w:val="nextPage"/>
          <w:pgSz w:w="11906" w:h="16838"/>
          <w:pgMar w:left="1417" w:right="1417" w:gutter="0" w:header="709" w:top="1417" w:footer="708" w:bottom="1260"/>
          <w:pgNumType w:start="0" w:fmt="decimal"/>
          <w:formProt w:val="false"/>
          <w:titlePg/>
          <w:textDirection w:val="lrTb"/>
          <w:docGrid w:type="default" w:linePitch="360" w:charSpace="20480"/>
        </w:sectPr>
        <w:pStyle w:val="NoSpacing"/>
        <w:ind w:left="360" w:hanging="0"/>
        <w:jc w:val="both"/>
        <w:rPr>
          <w:rFonts w:ascii="Arial" w:hAnsi="Arial" w:cs="Arial"/>
          <w:sz w:val="24"/>
          <w:szCs w:val="24"/>
        </w:rPr>
      </w:pPr>
      <w:r>
        <w:rPr>
          <w:rFonts w:cs="Arial" w:ascii="Arial" w:hAnsi="Arial"/>
          <w:sz w:val="24"/>
          <w:szCs w:val="24"/>
        </w:rPr>
        <w:t>Mogući problemi i rizici su nedovršeni postupci usvajanja planskih dokumenata, kao i relevantnih prijedloga novih zakona/izmjena postojećih zakona iz ove oblasti od strane Parlamenta Federacije Bosne i Hercegovine. Pored navedenoga, mogući problem jeste i nedonošenje adekvatnih odluka i provedbenih akata za uspostavu e-uprave (neusvajanje Zakona o elektronskom potpisu FBiH), neusvajanje izmjena i dopuna Zakona o javnim nabavkama (energijska efikasnost kao kriteriji), te neusvajanja izmjena i dopuna računovodstvenog sistema.</w:t>
      </w:r>
    </w:p>
    <w:p>
      <w:pPr>
        <w:pStyle w:val="NoSpacing"/>
        <w:ind w:left="720" w:hanging="0"/>
        <w:jc w:val="both"/>
        <w:rPr>
          <w:rFonts w:ascii="Arial" w:hAnsi="Arial" w:cs="Arial"/>
          <w:i/>
          <w:i/>
          <w:iCs/>
          <w:sz w:val="24"/>
          <w:szCs w:val="24"/>
        </w:rPr>
      </w:pPr>
      <w:r>
        <w:rPr>
          <w:rFonts w:cs="Arial" w:ascii="Arial" w:hAnsi="Arial"/>
          <w:i/>
          <w:iCs/>
          <w:sz w:val="24"/>
          <w:szCs w:val="24"/>
        </w:rPr>
      </w:r>
    </w:p>
    <w:p>
      <w:pPr>
        <w:pStyle w:val="Normal"/>
        <w:spacing w:lineRule="auto" w:line="240" w:before="120" w:after="120"/>
        <w:rPr>
          <w:rFonts w:ascii="Calibri" w:hAnsi="Calibri"/>
        </w:rPr>
      </w:pPr>
      <w:r>
        <w:rPr>
          <w:rFonts w:cs="Arial"/>
          <w:b/>
          <w:sz w:val="28"/>
          <w:szCs w:val="28"/>
        </w:rPr>
        <w:t>A. Glavni program</w:t>
      </w:r>
    </w:p>
    <w:tbl>
      <w:tblPr>
        <w:tblpPr w:bottomFromText="0" w:horzAnchor="text" w:leftFromText="180" w:rightFromText="180" w:tblpX="0" w:tblpY="0" w:topFromText="0" w:vertAnchor="text"/>
        <w:tblW w:w="5000" w:type="pct"/>
        <w:jc w:val="left"/>
        <w:tblInd w:w="-10" w:type="dxa"/>
        <w:tblLayout w:type="fixed"/>
        <w:tblCellMar>
          <w:top w:w="0" w:type="dxa"/>
          <w:left w:w="108" w:type="dxa"/>
          <w:bottom w:w="0" w:type="dxa"/>
          <w:right w:w="108" w:type="dxa"/>
        </w:tblCellMar>
        <w:tblLook w:firstRow="1" w:noVBand="1" w:lastRow="0" w:firstColumn="1" w:lastColumn="0" w:noHBand="0" w:val="04a0"/>
      </w:tblPr>
      <w:tblGrid>
        <w:gridCol w:w="8570"/>
        <w:gridCol w:w="1128"/>
        <w:gridCol w:w="1041"/>
        <w:gridCol w:w="1299"/>
        <w:gridCol w:w="1268"/>
        <w:gridCol w:w="1255"/>
      </w:tblGrid>
      <w:tr>
        <w:trPr>
          <w:trHeight w:val="20" w:hRule="atLeast"/>
        </w:trPr>
        <w:tc>
          <w:tcPr>
            <w:tcW w:w="8570" w:type="dxa"/>
            <w:vMerge w:val="restart"/>
            <w:tcBorders>
              <w:top w:val="single" w:sz="8" w:space="0" w:color="000000"/>
              <w:left w:val="single" w:sz="8" w:space="0" w:color="000000"/>
              <w:bottom w:val="single" w:sz="4"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cs="Arial"/>
                <w:b/>
                <w:b/>
                <w:bCs/>
                <w:sz w:val="17"/>
                <w:szCs w:val="17"/>
              </w:rPr>
            </w:pPr>
            <w:r>
              <w:rPr>
                <w:rFonts w:cs="Arial"/>
                <w:b/>
                <w:bCs/>
                <w:sz w:val="17"/>
                <w:szCs w:val="17"/>
              </w:rPr>
            </w:r>
          </w:p>
          <w:p>
            <w:pPr>
              <w:pStyle w:val="Normal"/>
              <w:widowControl w:val="false"/>
              <w:spacing w:lineRule="auto" w:line="240" w:before="0" w:after="0"/>
              <w:jc w:val="center"/>
              <w:rPr>
                <w:rFonts w:ascii="Calibri" w:hAnsi="Calibri" w:cs="Arial"/>
                <w:bCs/>
                <w:sz w:val="17"/>
                <w:szCs w:val="17"/>
              </w:rPr>
            </w:pPr>
            <w:r>
              <w:rPr>
                <w:rFonts w:cs="Arial"/>
                <w:b/>
                <w:bCs/>
                <w:sz w:val="17"/>
                <w:szCs w:val="17"/>
              </w:rPr>
              <w:t>Naziv glavnog programa</w:t>
            </w:r>
          </w:p>
          <w:p>
            <w:pPr>
              <w:pStyle w:val="Normal"/>
              <w:widowControl w:val="false"/>
              <w:spacing w:lineRule="auto" w:line="240" w:before="0" w:after="0"/>
              <w:jc w:val="center"/>
              <w:rPr>
                <w:rFonts w:ascii="Calibri" w:hAnsi="Calibri"/>
                <w:sz w:val="17"/>
                <w:szCs w:val="17"/>
              </w:rPr>
            </w:pPr>
            <w:r>
              <w:rPr>
                <w:sz w:val="17"/>
                <w:szCs w:val="17"/>
              </w:rPr>
            </w:r>
          </w:p>
        </w:tc>
        <w:tc>
          <w:tcPr>
            <w:tcW w:w="1128" w:type="dxa"/>
            <w:vMerge w:val="restart"/>
            <w:tcBorders>
              <w:top w:val="single" w:sz="8" w:space="0" w:color="000000"/>
              <w:bottom w:val="single" w:sz="4" w:space="0" w:color="000000"/>
              <w:right w:val="single" w:sz="4" w:space="0" w:color="000000"/>
            </w:tcBorders>
            <w:shd w:color="auto" w:fill="D0CECE" w:val="clear"/>
            <w:vAlign w:val="center"/>
          </w:tcPr>
          <w:p>
            <w:pPr>
              <w:pStyle w:val="Normal"/>
              <w:widowControl w:val="false"/>
              <w:spacing w:lineRule="auto" w:line="240" w:before="20" w:after="20"/>
              <w:jc w:val="center"/>
              <w:rPr>
                <w:rFonts w:ascii="Calibri" w:hAnsi="Calibri" w:cs="Arial"/>
                <w:b/>
                <w:b/>
                <w:bCs/>
                <w:sz w:val="17"/>
                <w:szCs w:val="17"/>
              </w:rPr>
            </w:pPr>
            <w:r>
              <w:rPr>
                <w:rFonts w:cs="Arial"/>
                <w:b/>
                <w:bCs/>
                <w:sz w:val="17"/>
                <w:szCs w:val="17"/>
              </w:rPr>
              <w:t>Šifra glavnog programa</w:t>
            </w:r>
          </w:p>
        </w:tc>
        <w:tc>
          <w:tcPr>
            <w:tcW w:w="4863" w:type="dxa"/>
            <w:gridSpan w:val="4"/>
            <w:tcBorders>
              <w:top w:val="single" w:sz="4" w:space="0" w:color="000000"/>
              <w:left w:val="single" w:sz="4" w:space="0" w:color="000000"/>
              <w:bottom w:val="single" w:sz="4" w:space="0" w:color="000000"/>
              <w:right w:val="single" w:sz="8" w:space="0" w:color="000000"/>
            </w:tcBorders>
            <w:shd w:color="auto" w:fill="D0CECE" w:val="clear"/>
            <w:tcMar>
              <w:left w:w="10" w:type="dxa"/>
              <w:right w:w="10" w:type="dxa"/>
            </w:tcMar>
            <w:vAlign w:val="center"/>
          </w:tcPr>
          <w:p>
            <w:pPr>
              <w:pStyle w:val="Normal"/>
              <w:widowControl w:val="false"/>
              <w:spacing w:lineRule="auto" w:line="240" w:before="0" w:after="0"/>
              <w:jc w:val="center"/>
              <w:rPr>
                <w:rFonts w:ascii="Calibri" w:hAnsi="Calibri"/>
                <w:sz w:val="17"/>
                <w:szCs w:val="17"/>
              </w:rPr>
            </w:pPr>
            <w:r>
              <w:rPr>
                <w:rFonts w:eastAsia="Times New Roman" w:cs="Arial"/>
                <w:b/>
                <w:bCs/>
                <w:sz w:val="17"/>
                <w:szCs w:val="17"/>
              </w:rPr>
              <w:t>Izvori i iznosi planiranih finansijskih sredstava u mil. KM</w:t>
            </w:r>
          </w:p>
        </w:tc>
      </w:tr>
      <w:tr>
        <w:trPr>
          <w:trHeight w:val="20" w:hRule="atLeast"/>
        </w:trPr>
        <w:tc>
          <w:tcPr>
            <w:tcW w:w="8570" w:type="dxa"/>
            <w:vMerge w:val="continue"/>
            <w:tcBorders>
              <w:top w:val="single" w:sz="8" w:space="0" w:color="000000"/>
              <w:left w:val="single" w:sz="8" w:space="0" w:color="000000"/>
              <w:bottom w:val="single" w:sz="4" w:space="0" w:color="000000"/>
              <w:right w:val="single" w:sz="8"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bottom w:val="single" w:sz="4" w:space="0" w:color="000000"/>
              <w:right w:val="single" w:sz="4"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1041" w:type="dxa"/>
            <w:tcBorders>
              <w:top w:val="single" w:sz="4" w:space="0" w:color="000000"/>
              <w:left w:val="single" w:sz="4" w:space="0" w:color="000000"/>
              <w:bottom w:val="single" w:sz="4" w:space="0" w:color="000000"/>
              <w:right w:val="single" w:sz="4" w:space="0" w:color="000000"/>
            </w:tcBorders>
            <w:shd w:color="auto" w:fill="D0CECE" w:val="clear"/>
            <w:tcMar>
              <w:left w:w="10" w:type="dxa"/>
              <w:right w:w="10" w:type="dxa"/>
            </w:tcMar>
            <w:vAlign w:val="center"/>
          </w:tcPr>
          <w:p>
            <w:pPr>
              <w:pStyle w:val="Normal"/>
              <w:widowControl w:val="false"/>
              <w:spacing w:lineRule="auto" w:line="240" w:before="0" w:after="0"/>
              <w:jc w:val="center"/>
              <w:rPr>
                <w:rFonts w:ascii="Calibri" w:hAnsi="Calibri"/>
                <w:sz w:val="17"/>
                <w:szCs w:val="17"/>
              </w:rPr>
            </w:pPr>
            <w:r>
              <w:rPr>
                <w:rFonts w:eastAsia="Times New Roman" w:cs="Arial"/>
                <w:bCs/>
                <w:sz w:val="17"/>
                <w:szCs w:val="17"/>
              </w:rPr>
              <w:t>Izvori</w:t>
            </w:r>
          </w:p>
        </w:tc>
        <w:tc>
          <w:tcPr>
            <w:tcW w:w="1299" w:type="dxa"/>
            <w:tcBorders>
              <w:left w:val="single" w:sz="4" w:space="0" w:color="000000"/>
              <w:bottom w:val="single" w:sz="4"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68" w:type="dxa"/>
            <w:tcBorders>
              <w:bottom w:val="single" w:sz="4"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255" w:type="dxa"/>
            <w:tcBorders>
              <w:bottom w:val="single" w:sz="4"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37" w:hRule="atLeast"/>
        </w:trPr>
        <w:tc>
          <w:tcPr>
            <w:tcW w:w="8570" w:type="dxa"/>
            <w:vMerge w:val="restart"/>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rPr>
                <w:rFonts w:ascii="Calibri" w:hAnsi="Calibri" w:cs="Arial"/>
                <w:sz w:val="17"/>
                <w:szCs w:val="17"/>
              </w:rPr>
            </w:pPr>
            <w:bookmarkStart w:id="1" w:name="_Hlk79080850"/>
            <w:r>
              <w:rPr>
                <w:rFonts w:cs="Arial" w:ascii="Arial" w:hAnsi="Arial"/>
                <w:sz w:val="17"/>
                <w:szCs w:val="17"/>
              </w:rPr>
              <w:t xml:space="preserve"> </w:t>
            </w:r>
            <w:r>
              <w:rPr>
                <w:rFonts w:cs="Arial" w:ascii="Arial" w:hAnsi="Arial"/>
                <w:sz w:val="17"/>
                <w:szCs w:val="17"/>
              </w:rPr>
              <w:t>Stvaranje uslova za održivi razvoj kroz prostorno planiranje, politiku korištenja zemljišta, zaštitu prirodnog i kulturnog nasljeđa i energijsku efikasnost u zgradarstvu.</w:t>
            </w:r>
            <w:bookmarkEnd w:id="1"/>
          </w:p>
        </w:tc>
        <w:tc>
          <w:tcPr>
            <w:tcW w:w="1128" w:type="dxa"/>
            <w:vMerge w:val="restart"/>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N/A</w:t>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Budžetska sredstva</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20,80604</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19,533788</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18,945379</w:t>
            </w:r>
          </w:p>
        </w:tc>
      </w:tr>
      <w:tr>
        <w:trPr>
          <w:trHeight w:val="237" w:hRule="atLeast"/>
        </w:trPr>
        <w:tc>
          <w:tcPr>
            <w:tcW w:w="8570" w:type="dxa"/>
            <w:vMerge w:val="continue"/>
            <w:tcBorders>
              <w:left w:val="single" w:sz="4" w:space="0" w:color="000000"/>
              <w:right w:val="single" w:sz="8" w:space="0" w:color="000000"/>
            </w:tcBorders>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Kreditna sredstva</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r>
      <w:tr>
        <w:trPr>
          <w:trHeight w:val="237" w:hRule="atLeast"/>
        </w:trPr>
        <w:tc>
          <w:tcPr>
            <w:tcW w:w="8570" w:type="dxa"/>
            <w:vMerge w:val="continue"/>
            <w:tcBorders>
              <w:left w:val="single" w:sz="4" w:space="0" w:color="000000"/>
              <w:right w:val="single" w:sz="8" w:space="0" w:color="000000"/>
            </w:tcBorders>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Sredstva EU</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0</w:t>
            </w:r>
          </w:p>
        </w:tc>
      </w:tr>
      <w:tr>
        <w:trPr>
          <w:trHeight w:val="237" w:hRule="atLeast"/>
        </w:trPr>
        <w:tc>
          <w:tcPr>
            <w:tcW w:w="8570" w:type="dxa"/>
            <w:vMerge w:val="continue"/>
            <w:tcBorders>
              <w:left w:val="single" w:sz="4" w:space="0" w:color="000000"/>
              <w:right w:val="single" w:sz="8" w:space="0" w:color="000000"/>
            </w:tcBorders>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Ostale</w:t>
            </w:r>
          </w:p>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donacije</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30,912046</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13,2</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7,0</w:t>
            </w:r>
          </w:p>
        </w:tc>
      </w:tr>
      <w:tr>
        <w:trPr>
          <w:trHeight w:val="237" w:hRule="atLeast"/>
        </w:trPr>
        <w:tc>
          <w:tcPr>
            <w:tcW w:w="8570" w:type="dxa"/>
            <w:vMerge w:val="continue"/>
            <w:tcBorders>
              <w:left w:val="single" w:sz="4" w:space="0" w:color="000000"/>
              <w:right w:val="single" w:sz="8" w:space="0" w:color="000000"/>
            </w:tcBorders>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spacing w:lineRule="auto" w:line="240" w:before="0" w:after="0"/>
              <w:ind w:left="72" w:hanging="0"/>
              <w:rPr>
                <w:rFonts w:ascii="Calibri" w:hAnsi="Calibri" w:eastAsia="Times New Roman" w:cs="Arial"/>
                <w:b/>
                <w:b/>
                <w:bCs/>
                <w:sz w:val="17"/>
                <w:szCs w:val="17"/>
              </w:rPr>
            </w:pPr>
            <w:r>
              <w:rPr>
                <w:rFonts w:eastAsia="Times New Roman" w:cs="Arial"/>
                <w:b/>
                <w:bCs/>
                <w:sz w:val="17"/>
                <w:szCs w:val="17"/>
              </w:rPr>
              <w:t>Ostala sredstva</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1,6445</w:t>
            </w:r>
          </w:p>
        </w:tc>
        <w:tc>
          <w:tcPr>
            <w:tcW w:w="1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sz w:val="17"/>
                <w:szCs w:val="17"/>
              </w:rPr>
              <w:t>10,6445</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sz w:val="17"/>
                <w:szCs w:val="17"/>
              </w:rPr>
              <w:t>11,6445</w:t>
            </w:r>
          </w:p>
        </w:tc>
      </w:tr>
      <w:tr>
        <w:trPr>
          <w:trHeight w:val="237" w:hRule="atLeast"/>
        </w:trPr>
        <w:tc>
          <w:tcPr>
            <w:tcW w:w="8570" w:type="dxa"/>
            <w:vMerge w:val="continue"/>
            <w:tcBorders>
              <w:left w:val="single" w:sz="4" w:space="0" w:color="000000"/>
              <w:bottom w:val="single" w:sz="4" w:space="0" w:color="000000"/>
              <w:right w:val="single" w:sz="8" w:space="0" w:color="000000"/>
            </w:tcBorders>
            <w:vAlign w:val="center"/>
          </w:tcPr>
          <w:p>
            <w:pPr>
              <w:pStyle w:val="Normal"/>
              <w:widowControl w:val="false"/>
              <w:spacing w:lineRule="auto" w:line="240" w:before="0" w:after="0"/>
              <w:rPr>
                <w:rFonts w:ascii="Calibri" w:hAnsi="Calibri"/>
                <w:sz w:val="17"/>
                <w:szCs w:val="17"/>
              </w:rPr>
            </w:pPr>
            <w:r>
              <w:rPr>
                <w:sz w:val="17"/>
                <w:szCs w:val="17"/>
              </w:rPr>
            </w:r>
          </w:p>
        </w:tc>
        <w:tc>
          <w:tcPr>
            <w:tcW w:w="1128" w:type="dxa"/>
            <w:vMerge w:val="continue"/>
            <w:tcBorders>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04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Mar>
              <w:left w:w="10" w:type="dxa"/>
              <w:right w:w="10" w:type="dxa"/>
            </w:tcMar>
            <w:vAlign w:val="center"/>
          </w:tcPr>
          <w:p>
            <w:pPr>
              <w:pStyle w:val="Normal"/>
              <w:widowControl w:val="false"/>
              <w:spacing w:lineRule="auto" w:line="240" w:before="0" w:after="0"/>
              <w:ind w:left="72" w:hanging="0"/>
              <w:rPr>
                <w:rFonts w:ascii="Calibri" w:hAnsi="Calibri" w:cs="Arial"/>
                <w:sz w:val="17"/>
                <w:szCs w:val="17"/>
              </w:rPr>
            </w:pPr>
            <w:r>
              <w:rPr>
                <w:rFonts w:eastAsia="Times New Roman" w:cs="Arial"/>
                <w:b/>
                <w:bCs/>
                <w:sz w:val="17"/>
                <w:szCs w:val="17"/>
              </w:rPr>
              <w:t>Ukupno</w:t>
            </w:r>
          </w:p>
        </w:tc>
        <w:tc>
          <w:tcPr>
            <w:tcW w:w="129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Calibri" w:hAnsi="Calibri"/>
                <w:b/>
                <w:b/>
                <w:sz w:val="17"/>
                <w:szCs w:val="17"/>
              </w:rPr>
            </w:pPr>
            <w:r>
              <w:rPr>
                <w:b/>
                <w:sz w:val="17"/>
                <w:szCs w:val="17"/>
              </w:rPr>
              <w:t>53,362586</w:t>
            </w:r>
          </w:p>
        </w:tc>
        <w:tc>
          <w:tcPr>
            <w:tcW w:w="126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Calibri" w:hAnsi="Calibri"/>
                <w:b/>
                <w:b/>
                <w:sz w:val="17"/>
                <w:szCs w:val="17"/>
              </w:rPr>
            </w:pPr>
            <w:r>
              <w:rPr>
                <w:b/>
                <w:sz w:val="17"/>
                <w:szCs w:val="17"/>
              </w:rPr>
              <w:t>43,378288</w:t>
            </w:r>
          </w:p>
        </w:tc>
        <w:tc>
          <w:tcPr>
            <w:tcW w:w="125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Calibri" w:hAnsi="Calibri"/>
                <w:b/>
                <w:b/>
                <w:sz w:val="17"/>
                <w:szCs w:val="17"/>
              </w:rPr>
            </w:pPr>
            <w:r>
              <w:rPr>
                <w:b/>
                <w:sz w:val="17"/>
                <w:szCs w:val="17"/>
              </w:rPr>
              <w:t>37,589879</w:t>
            </w:r>
          </w:p>
        </w:tc>
      </w:tr>
    </w:tbl>
    <w:p>
      <w:pPr>
        <w:pStyle w:val="Normal"/>
        <w:spacing w:lineRule="auto" w:line="240" w:before="0" w:after="0"/>
        <w:jc w:val="both"/>
        <w:rPr>
          <w:rFonts w:ascii="Calibri" w:hAnsi="Calibri"/>
        </w:rPr>
      </w:pPr>
      <w:r>
        <w:rPr>
          <w:rFonts w:eastAsia="Times New Roman" w:cs="Arial"/>
          <w:b/>
          <w:sz w:val="17"/>
          <w:szCs w:val="17"/>
        </w:rPr>
        <w:t>Napomena:</w:t>
      </w:r>
    </w:p>
    <w:p>
      <w:pPr>
        <w:pStyle w:val="Normal"/>
        <w:spacing w:lineRule="auto" w:line="240" w:before="0" w:after="0"/>
        <w:jc w:val="both"/>
        <w:rPr>
          <w:rFonts w:ascii="Calibri" w:hAnsi="Calibri"/>
        </w:rPr>
      </w:pPr>
      <w:r>
        <w:rPr>
          <w:rFonts w:eastAsia="Times New Roman" w:cs="Arial"/>
          <w:sz w:val="17"/>
          <w:szCs w:val="17"/>
        </w:rPr>
        <w:t xml:space="preserve">Organ uprave ima jedan glavni program koji se utvrđuje na osnovu strateških ciljeva i prioriteta iz strateških dokumenata, smjernica, te zakonskih nadležnosti organa uprave. Ovako utvrđen glavni program u trogodišnjem planu rada jednak je nazivu glavnog programa u DOB-u. </w:t>
      </w:r>
    </w:p>
    <w:p>
      <w:pPr>
        <w:pStyle w:val="Normal"/>
        <w:spacing w:lineRule="auto" w:line="240" w:before="120" w:after="120"/>
        <w:jc w:val="both"/>
        <w:rPr>
          <w:rFonts w:ascii="Calibri" w:hAnsi="Calibri" w:cs="Arial"/>
          <w:b/>
          <w:b/>
          <w:sz w:val="20"/>
          <w:szCs w:val="24"/>
        </w:rPr>
      </w:pPr>
      <w:r>
        <w:rPr>
          <w:rFonts w:cs="Arial"/>
          <w:b/>
          <w:sz w:val="20"/>
          <w:szCs w:val="24"/>
        </w:rPr>
      </w:r>
    </w:p>
    <w:p>
      <w:pPr>
        <w:pStyle w:val="Normal"/>
        <w:spacing w:lineRule="auto" w:line="240" w:before="0" w:after="120"/>
        <w:jc w:val="both"/>
        <w:rPr>
          <w:rFonts w:cs="Arial"/>
          <w:b/>
          <w:b/>
          <w:sz w:val="24"/>
          <w:szCs w:val="24"/>
        </w:rPr>
      </w:pPr>
      <w:r>
        <w:rPr>
          <w:rFonts w:cs="Arial"/>
          <w:b/>
          <w:sz w:val="24"/>
          <w:szCs w:val="24"/>
        </w:rPr>
        <w:t>A1. Programi (mjere) za implementaciju glavnog programa</w:t>
      </w:r>
    </w:p>
    <w:tbl>
      <w:tblPr>
        <w:tblpPr w:bottomFromText="0" w:horzAnchor="text" w:leftFromText="180" w:rightFromText="180" w:tblpX="0" w:tblpY="0" w:topFromText="0" w:vertAnchor="text"/>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959"/>
        <w:gridCol w:w="1140"/>
        <w:gridCol w:w="3546"/>
        <w:gridCol w:w="1881"/>
        <w:gridCol w:w="1363"/>
        <w:gridCol w:w="1324"/>
        <w:gridCol w:w="1348"/>
      </w:tblGrid>
      <w:tr>
        <w:trPr>
          <w:trHeight w:val="20" w:hRule="atLeast"/>
        </w:trPr>
        <w:tc>
          <w:tcPr>
            <w:tcW w:w="3959" w:type="dxa"/>
            <w:vMerge w:val="restart"/>
            <w:tcBorders>
              <w:top w:val="single" w:sz="8" w:space="0" w:color="000000"/>
              <w:left w:val="single" w:sz="8" w:space="0" w:color="000000"/>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cs="Arial"/>
                <w:b/>
                <w:b/>
                <w:bCs/>
                <w:sz w:val="17"/>
                <w:szCs w:val="17"/>
              </w:rPr>
            </w:pPr>
            <w:r>
              <w:rPr>
                <w:rFonts w:cs="Arial"/>
                <w:b/>
                <w:bCs/>
                <w:sz w:val="17"/>
                <w:szCs w:val="17"/>
              </w:rPr>
            </w:r>
          </w:p>
          <w:p>
            <w:pPr>
              <w:pStyle w:val="Normal"/>
              <w:widowControl w:val="false"/>
              <w:spacing w:lineRule="auto" w:line="240" w:before="0" w:after="0"/>
              <w:jc w:val="center"/>
              <w:rPr>
                <w:rFonts w:ascii="Calibri" w:hAnsi="Calibri"/>
                <w:sz w:val="17"/>
                <w:szCs w:val="17"/>
              </w:rPr>
            </w:pPr>
            <w:r>
              <w:rPr>
                <w:rFonts w:cs="Arial"/>
                <w:b/>
                <w:bCs/>
                <w:sz w:val="17"/>
                <w:szCs w:val="17"/>
              </w:rPr>
              <w:t>Naziv programa (mjere)</w:t>
            </w:r>
          </w:p>
        </w:tc>
        <w:tc>
          <w:tcPr>
            <w:tcW w:w="1140" w:type="dxa"/>
            <w:vMerge w:val="restart"/>
            <w:tcBorders>
              <w:top w:val="single" w:sz="8" w:space="0" w:color="000000"/>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b/>
                <w:bCs/>
                <w:sz w:val="17"/>
                <w:szCs w:val="17"/>
              </w:rPr>
              <w:t>Šifra programa</w:t>
            </w:r>
          </w:p>
        </w:tc>
        <w:tc>
          <w:tcPr>
            <w:tcW w:w="3546" w:type="dxa"/>
            <w:vMerge w:val="restart"/>
            <w:tcBorders>
              <w:top w:val="single" w:sz="8" w:space="0" w:color="000000"/>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cs="Arial"/>
                <w:b/>
                <w:b/>
                <w:bCs/>
                <w:sz w:val="17"/>
                <w:szCs w:val="17"/>
              </w:rPr>
            </w:pPr>
            <w:r>
              <w:rPr>
                <w:rFonts w:cs="Arial"/>
                <w:b/>
                <w:bCs/>
                <w:sz w:val="17"/>
                <w:szCs w:val="17"/>
              </w:rPr>
            </w:r>
          </w:p>
          <w:p>
            <w:pPr>
              <w:pStyle w:val="Normal"/>
              <w:widowControl w:val="false"/>
              <w:spacing w:lineRule="auto" w:line="240" w:before="0" w:after="0"/>
              <w:jc w:val="center"/>
              <w:rPr>
                <w:rFonts w:ascii="Calibri" w:hAnsi="Calibri" w:cs="Arial"/>
                <w:b/>
                <w:b/>
                <w:bCs/>
                <w:sz w:val="17"/>
                <w:szCs w:val="17"/>
              </w:rPr>
            </w:pPr>
            <w:r>
              <w:rPr>
                <w:rFonts w:cs="Arial"/>
                <w:b/>
                <w:bCs/>
                <w:sz w:val="17"/>
                <w:szCs w:val="17"/>
              </w:rPr>
              <w:t>Indikatori</w:t>
            </w:r>
          </w:p>
          <w:p>
            <w:pPr>
              <w:pStyle w:val="Normal"/>
              <w:widowControl w:val="false"/>
              <w:spacing w:lineRule="auto" w:line="240" w:before="0" w:after="0"/>
              <w:jc w:val="center"/>
              <w:rPr>
                <w:rFonts w:ascii="Calibri" w:hAnsi="Calibri"/>
                <w:sz w:val="17"/>
                <w:szCs w:val="17"/>
              </w:rPr>
            </w:pPr>
            <w:r>
              <w:rPr>
                <w:sz w:val="17"/>
                <w:szCs w:val="17"/>
              </w:rPr>
            </w:r>
          </w:p>
        </w:tc>
        <w:tc>
          <w:tcPr>
            <w:tcW w:w="1881" w:type="dxa"/>
            <w:vMerge w:val="restart"/>
            <w:tcBorders>
              <w:top w:val="single" w:sz="8" w:space="0" w:color="000000"/>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b/>
                <w:bCs/>
                <w:sz w:val="17"/>
                <w:szCs w:val="17"/>
              </w:rPr>
              <w:t>Polazna vrijednost</w:t>
            </w:r>
          </w:p>
        </w:tc>
        <w:tc>
          <w:tcPr>
            <w:tcW w:w="4035" w:type="dxa"/>
            <w:gridSpan w:val="3"/>
            <w:tcBorders>
              <w:top w:val="single" w:sz="8" w:space="0" w:color="000000"/>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b/>
                <w:bCs/>
                <w:sz w:val="17"/>
                <w:szCs w:val="17"/>
              </w:rPr>
              <w:t>Ciljna vrijednost po godinama</w:t>
            </w:r>
          </w:p>
        </w:tc>
      </w:tr>
      <w:tr>
        <w:trPr>
          <w:trHeight w:val="20" w:hRule="atLeast"/>
        </w:trPr>
        <w:tc>
          <w:tcPr>
            <w:tcW w:w="3959" w:type="dxa"/>
            <w:vMerge w:val="continue"/>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1140" w:type="dxa"/>
            <w:vMerge w:val="continue"/>
            <w:tcBorders>
              <w:top w:val="single" w:sz="8" w:space="0" w:color="000000"/>
              <w:bottom w:val="single" w:sz="8" w:space="0" w:color="000000"/>
              <w:right w:val="single" w:sz="8"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3546" w:type="dxa"/>
            <w:vMerge w:val="continue"/>
            <w:tcBorders>
              <w:top w:val="single" w:sz="8" w:space="0" w:color="000000"/>
              <w:bottom w:val="single" w:sz="8" w:space="0" w:color="000000"/>
              <w:right w:val="single" w:sz="8"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1881" w:type="dxa"/>
            <w:vMerge w:val="continue"/>
            <w:tcBorders>
              <w:top w:val="single" w:sz="8" w:space="0" w:color="000000"/>
              <w:bottom w:val="single" w:sz="8" w:space="0" w:color="000000"/>
              <w:right w:val="single" w:sz="8" w:space="0" w:color="000000"/>
            </w:tcBorders>
            <w:tcMar>
              <w:left w:w="10" w:type="dxa"/>
              <w:right w:w="10" w:type="dxa"/>
            </w:tcMar>
            <w:vAlign w:val="center"/>
          </w:tcPr>
          <w:p>
            <w:pPr>
              <w:pStyle w:val="Normal"/>
              <w:widowControl w:val="false"/>
              <w:spacing w:lineRule="auto" w:line="240" w:before="0" w:after="0"/>
              <w:rPr>
                <w:rFonts w:ascii="Calibri" w:hAnsi="Calibri"/>
                <w:sz w:val="17"/>
                <w:szCs w:val="17"/>
              </w:rPr>
            </w:pPr>
            <w:r>
              <w:rPr>
                <w:sz w:val="17"/>
                <w:szCs w:val="17"/>
              </w:rPr>
            </w:r>
          </w:p>
        </w:tc>
        <w:tc>
          <w:tcPr>
            <w:tcW w:w="1363" w:type="dxa"/>
            <w:tcBorders>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324" w:type="dxa"/>
            <w:tcBorders>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348" w:type="dxa"/>
            <w:tcBorders>
              <w:bottom w:val="single" w:sz="8" w:space="0" w:color="000000"/>
              <w:right w:val="single" w:sz="8" w:space="0" w:color="000000"/>
            </w:tcBorders>
            <w:shd w:color="auto" w:fill="D0CECE"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0" w:hRule="atLeast"/>
        </w:trPr>
        <w:tc>
          <w:tcPr>
            <w:tcW w:w="3959" w:type="dxa"/>
            <w:vMerge w:val="restart"/>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sz w:val="17"/>
                <w:szCs w:val="17"/>
                <w:shd w:fill="FF0000" w:val="clear"/>
              </w:rPr>
            </w:pPr>
            <w:r>
              <w:rPr>
                <w:rFonts w:cs="Arial"/>
                <w:sz w:val="17"/>
                <w:szCs w:val="17"/>
              </w:rPr>
              <w:t>1. Olakšati i ubrzati procese ulaska u poslovnu aktivnost i izlaska iz nje</w:t>
            </w:r>
          </w:p>
        </w:tc>
        <w:tc>
          <w:tcPr>
            <w:tcW w:w="1140" w:type="dxa"/>
            <w:vMerge w:val="restart"/>
            <w:tcBorders>
              <w:bottom w:val="single" w:sz="8"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n/a</w:t>
            </w:r>
          </w:p>
        </w:tc>
        <w:tc>
          <w:tcPr>
            <w:tcW w:w="3546"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rPr>
                <w:rFonts w:cs="Arial"/>
                <w:sz w:val="17"/>
                <w:szCs w:val="17"/>
                <w:shd w:fill="FF0000" w:val="clear"/>
              </w:rPr>
            </w:pPr>
            <w:r>
              <w:rPr>
                <w:rFonts w:cs="Arial"/>
                <w:sz w:val="17"/>
                <w:szCs w:val="17"/>
              </w:rPr>
              <w:t>Pokretanje poslovne aktivnosti, rang</w:t>
            </w:r>
          </w:p>
        </w:tc>
        <w:tc>
          <w:tcPr>
            <w:tcW w:w="1881"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184/190 (2019 BiH)</w:t>
            </w:r>
          </w:p>
          <w:p>
            <w:pPr>
              <w:pStyle w:val="Normal"/>
              <w:widowControl w:val="false"/>
              <w:spacing w:lineRule="auto" w:line="240" w:before="0" w:after="0"/>
              <w:jc w:val="center"/>
              <w:rPr>
                <w:rFonts w:cs="Arial"/>
                <w:sz w:val="17"/>
                <w:szCs w:val="17"/>
                <w:shd w:fill="FF0000" w:val="clear"/>
              </w:rPr>
            </w:pPr>
            <w:r>
              <w:rPr>
                <w:rFonts w:cs="Arial"/>
                <w:sz w:val="17"/>
                <w:szCs w:val="17"/>
                <w:shd w:fill="FF0000" w:val="clear"/>
              </w:rPr>
            </w:r>
          </w:p>
        </w:tc>
        <w:tc>
          <w:tcPr>
            <w:tcW w:w="1363"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121/190</w:t>
            </w:r>
          </w:p>
          <w:p>
            <w:pPr>
              <w:pStyle w:val="Normal"/>
              <w:widowControl w:val="false"/>
              <w:spacing w:lineRule="auto" w:line="240" w:before="0" w:after="0"/>
              <w:jc w:val="center"/>
              <w:rPr>
                <w:rFonts w:cs="Arial"/>
                <w:sz w:val="17"/>
                <w:szCs w:val="17"/>
                <w:shd w:fill="FF0000" w:val="clear"/>
              </w:rPr>
            </w:pPr>
            <w:r>
              <w:rPr>
                <w:rFonts w:cs="Arial"/>
                <w:sz w:val="17"/>
                <w:szCs w:val="17"/>
                <w:shd w:fill="FF0000" w:val="clear"/>
              </w:rPr>
            </w:r>
          </w:p>
        </w:tc>
        <w:tc>
          <w:tcPr>
            <w:tcW w:w="1324"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100/190</w:t>
            </w:r>
          </w:p>
          <w:p>
            <w:pPr>
              <w:pStyle w:val="Normal"/>
              <w:widowControl w:val="false"/>
              <w:spacing w:lineRule="auto" w:line="240" w:before="0" w:after="0"/>
              <w:jc w:val="center"/>
              <w:rPr>
                <w:sz w:val="17"/>
                <w:szCs w:val="17"/>
                <w:shd w:fill="FF0000" w:val="clear"/>
              </w:rPr>
            </w:pPr>
            <w:r>
              <w:rPr>
                <w:sz w:val="17"/>
                <w:szCs w:val="17"/>
                <w:shd w:fill="FF0000" w:val="clear"/>
              </w:rPr>
            </w:r>
          </w:p>
        </w:tc>
        <w:tc>
          <w:tcPr>
            <w:tcW w:w="1348"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sz w:val="17"/>
                <w:szCs w:val="17"/>
              </w:rPr>
            </w:pPr>
            <w:r>
              <w:rPr>
                <w:sz w:val="17"/>
                <w:szCs w:val="17"/>
              </w:rPr>
              <w:t>-</w:t>
            </w:r>
          </w:p>
          <w:p>
            <w:pPr>
              <w:pStyle w:val="Normal"/>
              <w:widowControl w:val="false"/>
              <w:spacing w:lineRule="auto" w:line="240" w:before="0" w:after="0"/>
              <w:jc w:val="center"/>
              <w:rPr>
                <w:sz w:val="17"/>
                <w:szCs w:val="17"/>
                <w:shd w:fill="FF0000" w:val="clear"/>
              </w:rPr>
            </w:pPr>
            <w:r>
              <w:rPr>
                <w:sz w:val="17"/>
                <w:szCs w:val="17"/>
                <w:shd w:fill="FF0000" w:val="clear"/>
              </w:rPr>
            </w:r>
          </w:p>
        </w:tc>
      </w:tr>
      <w:tr>
        <w:trPr>
          <w:trHeight w:val="20" w:hRule="atLeast"/>
        </w:trPr>
        <w:tc>
          <w:tcPr>
            <w:tcW w:w="3959"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cs="Arial"/>
                <w:sz w:val="17"/>
                <w:szCs w:val="17"/>
                <w:shd w:fill="FF0000" w:val="clear"/>
              </w:rPr>
            </w:pPr>
            <w:r>
              <w:rPr>
                <w:rFonts w:cs="Arial"/>
                <w:sz w:val="17"/>
                <w:szCs w:val="17"/>
                <w:shd w:fill="FF0000" w:val="clear"/>
              </w:rPr>
            </w:r>
          </w:p>
        </w:tc>
        <w:tc>
          <w:tcPr>
            <w:tcW w:w="1140" w:type="dxa"/>
            <w:vMerge w:val="continue"/>
            <w:tcBorders>
              <w:bottom w:val="single" w:sz="8"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shd w:fill="FF0000" w:val="clear"/>
              </w:rPr>
            </w:r>
          </w:p>
        </w:tc>
        <w:tc>
          <w:tcPr>
            <w:tcW w:w="3546" w:type="dxa"/>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rPr>
                <w:rFonts w:cs="Arial"/>
                <w:sz w:val="17"/>
                <w:szCs w:val="17"/>
                <w:shd w:fill="FF0000" w:val="clear"/>
              </w:rPr>
            </w:pPr>
            <w:r>
              <w:rPr>
                <w:rFonts w:cs="Arial"/>
                <w:sz w:val="17"/>
                <w:szCs w:val="17"/>
              </w:rPr>
              <w:t>Finansiranje malih i srednjih preduzeća, rang</w:t>
            </w:r>
          </w:p>
        </w:tc>
        <w:tc>
          <w:tcPr>
            <w:tcW w:w="1881" w:type="dxa"/>
            <w:tcBorders>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106/141(2019 BiH)</w:t>
            </w:r>
          </w:p>
        </w:tc>
        <w:tc>
          <w:tcPr>
            <w:tcW w:w="1363" w:type="dxa"/>
            <w:tcBorders>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79/141</w:t>
            </w:r>
          </w:p>
        </w:tc>
        <w:tc>
          <w:tcPr>
            <w:tcW w:w="1324" w:type="dxa"/>
            <w:tcBorders>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70/141</w:t>
            </w:r>
          </w:p>
        </w:tc>
        <w:tc>
          <w:tcPr>
            <w:tcW w:w="1348" w:type="dxa"/>
            <w:tcBorders>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w:t>
            </w:r>
          </w:p>
        </w:tc>
      </w:tr>
      <w:tr>
        <w:trPr>
          <w:trHeight w:val="20" w:hRule="atLeast"/>
        </w:trPr>
        <w:tc>
          <w:tcPr>
            <w:tcW w:w="3959" w:type="dxa"/>
            <w:vMerge w:val="restart"/>
            <w:tcBorders>
              <w:top w:val="single" w:sz="8"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cs="Arial"/>
                <w:sz w:val="17"/>
                <w:szCs w:val="17"/>
                <w:shd w:fill="FF0000" w:val="clear"/>
              </w:rPr>
            </w:pPr>
            <w:r>
              <w:rPr>
                <w:rFonts w:cs="Arial"/>
                <w:sz w:val="17"/>
                <w:szCs w:val="17"/>
              </w:rPr>
              <w:t>2. Podržavati prostornu koncentraciju preduzetništva</w:t>
            </w:r>
          </w:p>
        </w:tc>
        <w:tc>
          <w:tcPr>
            <w:tcW w:w="1140" w:type="dxa"/>
            <w:vMerge w:val="restart"/>
            <w:tcBorders>
              <w:top w:val="single" w:sz="8"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n/a</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17"/>
                <w:szCs w:val="17"/>
                <w:shd w:fill="FF0000" w:val="clear"/>
              </w:rPr>
            </w:pPr>
            <w:r>
              <w:rPr>
                <w:rFonts w:cs="Arial"/>
                <w:sz w:val="17"/>
                <w:szCs w:val="17"/>
              </w:rPr>
              <w:t>Gustina mreže cestovne infrastrukture, km na 1.000 km2</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sz w:val="17"/>
                <w:szCs w:val="17"/>
                <w:shd w:fill="FF0000" w:val="clear"/>
              </w:rPr>
            </w:pPr>
            <w:r>
              <w:rPr>
                <w:rFonts w:cs="Arial"/>
                <w:sz w:val="17"/>
                <w:szCs w:val="17"/>
              </w:rPr>
              <w:t>181,5 (2019)</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188,43</w:t>
            </w:r>
          </w:p>
          <w:p>
            <w:pPr>
              <w:pStyle w:val="Normal"/>
              <w:widowControl w:val="false"/>
              <w:spacing w:lineRule="auto" w:line="240" w:before="0" w:after="0"/>
              <w:jc w:val="center"/>
              <w:rPr>
                <w:sz w:val="17"/>
                <w:szCs w:val="17"/>
                <w:shd w:fill="FF0000" w:val="clear"/>
              </w:rPr>
            </w:pPr>
            <w:r>
              <w:rPr>
                <w:sz w:val="17"/>
                <w:szCs w:val="17"/>
                <w:shd w:fill="FF0000" w:val="clear"/>
              </w:rPr>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sz w:val="17"/>
                <w:szCs w:val="17"/>
              </w:rPr>
            </w:pPr>
            <w:r>
              <w:rPr>
                <w:rFonts w:cs="Arial"/>
                <w:sz w:val="17"/>
                <w:szCs w:val="17"/>
              </w:rPr>
              <w:t>190,74</w:t>
            </w:r>
          </w:p>
          <w:p>
            <w:pPr>
              <w:pStyle w:val="Normal"/>
              <w:widowControl w:val="false"/>
              <w:spacing w:lineRule="auto" w:line="240" w:before="0" w:after="0"/>
              <w:jc w:val="center"/>
              <w:rPr>
                <w:sz w:val="17"/>
                <w:szCs w:val="17"/>
                <w:shd w:fill="FF0000" w:val="clear"/>
              </w:rPr>
            </w:pPr>
            <w:r>
              <w:rPr>
                <w:sz w:val="17"/>
                <w:szCs w:val="17"/>
                <w:shd w:fill="FF0000" w:val="clear"/>
              </w:rPr>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191,05</w:t>
            </w:r>
          </w:p>
        </w:tc>
      </w:tr>
      <w:tr>
        <w:trPr>
          <w:trHeight w:val="20" w:hRule="atLeast"/>
        </w:trPr>
        <w:tc>
          <w:tcPr>
            <w:tcW w:w="3959" w:type="dxa"/>
            <w:vMerge w:val="continue"/>
            <w:tcBorders>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cs="Arial"/>
                <w:sz w:val="17"/>
                <w:szCs w:val="17"/>
                <w:shd w:fill="FF0000" w:val="clear"/>
              </w:rPr>
            </w:pPr>
            <w:r>
              <w:rPr>
                <w:rFonts w:cs="Arial"/>
                <w:sz w:val="17"/>
                <w:szCs w:val="17"/>
                <w:shd w:fill="FF0000" w:val="clear"/>
              </w:rPr>
            </w:r>
          </w:p>
        </w:tc>
        <w:tc>
          <w:tcPr>
            <w:tcW w:w="1140" w:type="dxa"/>
            <w:vMerge w:val="continue"/>
            <w:tcBorders>
              <w:bottom w:val="single" w:sz="4" w:space="0" w:color="000000"/>
              <w:right w:val="single" w:sz="4" w:space="0" w:color="000000"/>
            </w:tcBorders>
            <w:vAlign w:val="center"/>
          </w:tcPr>
          <w:p>
            <w:pPr>
              <w:pStyle w:val="Normal"/>
              <w:widowControl w:val="false"/>
              <w:spacing w:lineRule="auto" w:line="240" w:before="0" w:after="0"/>
              <w:rPr>
                <w:rFonts w:cs="Arial"/>
                <w:sz w:val="17"/>
                <w:szCs w:val="17"/>
                <w:shd w:fill="FF0000" w:val="clear"/>
              </w:rPr>
            </w:pPr>
            <w:r>
              <w:rPr>
                <w:rFonts w:cs="Arial"/>
                <w:sz w:val="17"/>
                <w:szCs w:val="17"/>
                <w:shd w:fill="FF0000" w:val="clear"/>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Gustina mreže željezničke infrastrukture,km na 1.000 km2</w:t>
            </w:r>
          </w:p>
          <w:p>
            <w:pPr>
              <w:pStyle w:val="Normal"/>
              <w:widowControl w:val="false"/>
              <w:spacing w:lineRule="auto" w:line="240" w:before="0" w:after="0"/>
              <w:rPr>
                <w:rFonts w:cs="Arial"/>
                <w:sz w:val="17"/>
                <w:szCs w:val="17"/>
                <w:shd w:fill="FF0000" w:val="clear"/>
              </w:rPr>
            </w:pPr>
            <w:r>
              <w:rPr>
                <w:rFonts w:cs="Arial"/>
                <w:sz w:val="17"/>
                <w:szCs w:val="17"/>
                <w:shd w:fill="FF0000" w:val="clear"/>
              </w:rPr>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23,3 (2019)</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24,575</w:t>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25</w:t>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shd w:fill="FF0000" w:val="clear"/>
              </w:rPr>
            </w:pPr>
            <w:r>
              <w:rPr>
                <w:rFonts w:cs="Arial"/>
                <w:sz w:val="17"/>
                <w:szCs w:val="17"/>
              </w:rPr>
              <w:t>-</w:t>
            </w:r>
          </w:p>
        </w:tc>
      </w:tr>
      <w:tr>
        <w:trPr>
          <w:trHeight w:val="532" w:hRule="atLeast"/>
        </w:trPr>
        <w:tc>
          <w:tcPr>
            <w:tcW w:w="3959" w:type="dxa"/>
            <w:vMerge w:val="restart"/>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cs="Arial"/>
                <w:sz w:val="17"/>
                <w:szCs w:val="17"/>
              </w:rPr>
            </w:pPr>
            <w:r>
              <w:rPr>
                <w:rFonts w:cs="Arial"/>
                <w:sz w:val="17"/>
                <w:szCs w:val="17"/>
              </w:rPr>
              <w:t>3. Poboljšati energijsku efikasnost zgrada</w:t>
            </w:r>
          </w:p>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restart"/>
            <w:tcBorders>
              <w:right w:val="single" w:sz="4" w:space="0" w:color="000000"/>
            </w:tcBorders>
            <w:vAlign w:val="center"/>
          </w:tcPr>
          <w:p>
            <w:pPr>
              <w:pStyle w:val="Normal"/>
              <w:widowControl w:val="false"/>
              <w:spacing w:lineRule="auto" w:line="240" w:before="0" w:after="0"/>
              <w:jc w:val="center"/>
              <w:rPr>
                <w:rFonts w:cs="Arial"/>
                <w:sz w:val="17"/>
                <w:szCs w:val="17"/>
              </w:rPr>
            </w:pPr>
            <w:r>
              <w:rPr>
                <w:rFonts w:cs="Arial"/>
                <w:sz w:val="17"/>
                <w:szCs w:val="17"/>
              </w:rPr>
              <w:t>n/a</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sz w:val="17"/>
                <w:szCs w:val="17"/>
              </w:rPr>
            </w:pPr>
            <w:r>
              <w:rPr>
                <w:rFonts w:cs="Arial"/>
                <w:sz w:val="17"/>
                <w:szCs w:val="17"/>
              </w:rPr>
              <w:t>Finalna potrošnja toplotne energije, TJ</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Calibri" w:cstheme="minorHAnsi"/>
                <w:sz w:val="17"/>
                <w:szCs w:val="17"/>
              </w:rPr>
              <w:t>3.788 (2018)</w:t>
            </w:r>
            <w:r>
              <w:rPr>
                <w:rStyle w:val="FootnoteAnchor"/>
                <w:rFonts w:cs="Calibri" w:cstheme="minorHAnsi"/>
                <w:sz w:val="17"/>
                <w:szCs w:val="17"/>
              </w:rPr>
              <w:footnoteReference w:id="2"/>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Calibri"/>
                <w:sz w:val="17"/>
                <w:szCs w:val="17"/>
              </w:rPr>
            </w:pPr>
            <w:r>
              <w:rPr>
                <w:rFonts w:cs="Calibri" w:cstheme="minorHAnsi"/>
                <w:sz w:val="17"/>
                <w:szCs w:val="17"/>
              </w:rPr>
              <w:t>4.326</w:t>
            </w:r>
            <w:r>
              <w:rPr>
                <w:rStyle w:val="FootnoteAnchor"/>
                <w:rFonts w:cs="Calibri" w:cstheme="minorHAnsi"/>
                <w:sz w:val="17"/>
                <w:szCs w:val="17"/>
              </w:rPr>
              <w:footnoteReference w:id="3"/>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Calibri"/>
                <w:sz w:val="17"/>
                <w:szCs w:val="17"/>
              </w:rPr>
            </w:pPr>
            <w:r>
              <w:rPr>
                <w:rFonts w:cs="Calibri" w:cstheme="minorHAnsi"/>
                <w:sz w:val="17"/>
                <w:szCs w:val="17"/>
              </w:rPr>
              <w:t>4.461</w:t>
            </w:r>
            <w:r>
              <w:rPr>
                <w:rStyle w:val="FootnoteAnchor"/>
                <w:rFonts w:cs="Calibri" w:cstheme="minorHAnsi"/>
                <w:sz w:val="17"/>
                <w:szCs w:val="17"/>
              </w:rPr>
              <w:footnoteReference w:id="4"/>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Calibri"/>
                <w:sz w:val="17"/>
                <w:szCs w:val="17"/>
              </w:rPr>
            </w:pPr>
            <w:r>
              <w:rPr>
                <w:rFonts w:cs="Calibri" w:cstheme="minorHAnsi"/>
                <w:sz w:val="17"/>
                <w:szCs w:val="17"/>
              </w:rPr>
              <w:t>5.000</w:t>
            </w:r>
            <w:r>
              <w:rPr>
                <w:rStyle w:val="FootnoteAnchor"/>
                <w:rFonts w:cs="Calibri" w:cstheme="minorHAnsi"/>
                <w:sz w:val="17"/>
                <w:szCs w:val="17"/>
              </w:rPr>
              <w:footnoteReference w:id="5"/>
            </w:r>
          </w:p>
        </w:tc>
      </w:tr>
      <w:tr>
        <w:trPr>
          <w:trHeight w:val="208" w:hRule="atLeast"/>
        </w:trPr>
        <w:tc>
          <w:tcPr>
            <w:tcW w:w="3959" w:type="dxa"/>
            <w:vMerge w:val="continue"/>
            <w:tcBorders>
              <w:left w:val="single" w:sz="8" w:space="0" w:color="000000"/>
              <w:right w:val="single" w:sz="8"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continue"/>
            <w:tcBorders>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Arial"/>
                <w:sz w:val="17"/>
                <w:szCs w:val="17"/>
              </w:rPr>
            </w:pPr>
            <w:r>
              <w:rPr>
                <w:rFonts w:cs="Arial"/>
                <w:sz w:val="17"/>
                <w:szCs w:val="17"/>
              </w:rPr>
              <w:t>Finalna potrošnja toplotne energije, po m</w:t>
            </w:r>
            <w:r>
              <w:rPr>
                <w:rFonts w:cs="Arial"/>
                <w:sz w:val="17"/>
                <w:szCs w:val="17"/>
                <w:vertAlign w:val="superscript"/>
              </w:rPr>
              <w:t>2</w:t>
            </w:r>
            <w:r>
              <w:rPr>
                <w:rFonts w:cs="Arial"/>
                <w:sz w:val="17"/>
                <w:szCs w:val="17"/>
              </w:rPr>
              <w:t xml:space="preserve"> zagrijavane površine zgrada (kWh/m</w:t>
            </w:r>
            <w:r>
              <w:rPr>
                <w:rFonts w:cs="Arial"/>
                <w:sz w:val="17"/>
                <w:szCs w:val="17"/>
                <w:vertAlign w:val="superscript"/>
              </w:rPr>
              <w:t>2</w:t>
            </w:r>
            <w:r>
              <w:rPr>
                <w:rFonts w:cs="Arial"/>
                <w:sz w:val="17"/>
                <w:szCs w:val="17"/>
              </w:rPr>
              <w:t>)</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sz w:val="17"/>
                <w:szCs w:val="17"/>
              </w:rPr>
            </w:pPr>
            <w:r>
              <w:rPr>
                <w:rFonts w:cs="Arial"/>
                <w:sz w:val="17"/>
                <w:szCs w:val="17"/>
              </w:rPr>
              <w:t>178,54 (2019)</w:t>
            </w:r>
            <w:r>
              <w:rPr>
                <w:rStyle w:val="FootnoteAnchor"/>
                <w:rFonts w:cs="Arial"/>
                <w:sz w:val="17"/>
                <w:szCs w:val="17"/>
              </w:rPr>
              <w:footnoteReference w:id="6"/>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Arial"/>
                <w:sz w:val="17"/>
                <w:szCs w:val="17"/>
              </w:rPr>
            </w:pPr>
            <w:r>
              <w:rPr>
                <w:rFonts w:cs="Arial"/>
                <w:sz w:val="17"/>
                <w:szCs w:val="17"/>
              </w:rPr>
              <w:t>163.52</w:t>
            </w:r>
            <w:r>
              <w:rPr>
                <w:rStyle w:val="FootnoteAnchor"/>
                <w:rFonts w:cs="Arial"/>
                <w:sz w:val="17"/>
                <w:szCs w:val="17"/>
              </w:rPr>
              <w:footnoteReference w:id="7"/>
            </w:r>
          </w:p>
        </w:tc>
        <w:tc>
          <w:tcPr>
            <w:tcW w:w="1324" w:type="dxa"/>
            <w:vMerge w:val="restart"/>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rPr>
            </w:pPr>
            <w:r>
              <w:rPr>
                <w:rFonts w:cs="Arial"/>
                <w:sz w:val="17"/>
                <w:szCs w:val="17"/>
              </w:rPr>
              <w:t>162.68</w:t>
            </w:r>
            <w:r>
              <w:rPr>
                <w:rStyle w:val="FootnoteAnchor"/>
                <w:rFonts w:cs="Arial"/>
                <w:sz w:val="17"/>
                <w:szCs w:val="17"/>
              </w:rPr>
              <w:footnoteReference w:id="8"/>
            </w:r>
          </w:p>
        </w:tc>
        <w:tc>
          <w:tcPr>
            <w:tcW w:w="1348" w:type="dxa"/>
            <w:vMerge w:val="restart"/>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cs="Arial"/>
                <w:sz w:val="17"/>
                <w:szCs w:val="17"/>
              </w:rPr>
            </w:pPr>
            <w:r>
              <w:rPr>
                <w:rFonts w:cs="Arial"/>
                <w:sz w:val="17"/>
                <w:szCs w:val="17"/>
              </w:rPr>
              <w:t>162,00</w:t>
            </w:r>
            <w:r>
              <w:rPr>
                <w:rStyle w:val="FootnoteAnchor"/>
                <w:rFonts w:cs="Arial"/>
                <w:sz w:val="17"/>
                <w:szCs w:val="17"/>
              </w:rPr>
              <w:footnoteReference w:id="9"/>
            </w:r>
          </w:p>
        </w:tc>
      </w:tr>
      <w:tr>
        <w:trPr>
          <w:trHeight w:val="358" w:hRule="atLeast"/>
        </w:trPr>
        <w:tc>
          <w:tcPr>
            <w:tcW w:w="3959" w:type="dxa"/>
            <w:vMerge w:val="continue"/>
            <w:tcBorders>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tcBorders>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881"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363"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324" w:type="dxa"/>
            <w:vMerge w:val="continue"/>
            <w:tcBorders>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1348" w:type="dxa"/>
            <w:vMerge w:val="continue"/>
            <w:tcBorders>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tc>
      </w:tr>
      <w:tr>
        <w:trPr>
          <w:trHeight w:val="532" w:hRule="atLeast"/>
        </w:trPr>
        <w:tc>
          <w:tcPr>
            <w:tcW w:w="3959" w:type="dxa"/>
            <w:vMerge w:val="restart"/>
            <w:tcBorders>
              <w:top w:val="single" w:sz="4" w:space="0" w:color="000000"/>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4. Provesti digitalnu transformaciju javne uprave</w:t>
            </w:r>
          </w:p>
        </w:tc>
        <w:tc>
          <w:tcPr>
            <w:tcW w:w="1140" w:type="dxa"/>
            <w:vMerge w:val="restart"/>
            <w:tcBorders>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n/a</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p>
            <w:pPr>
              <w:pStyle w:val="Normal"/>
              <w:widowControl w:val="false"/>
              <w:spacing w:lineRule="auto" w:line="240" w:before="0" w:after="0"/>
              <w:rPr>
                <w:rFonts w:ascii="Calibri" w:hAnsi="Calibri" w:cs="Arial"/>
                <w:sz w:val="17"/>
                <w:szCs w:val="17"/>
              </w:rPr>
            </w:pPr>
            <w:r>
              <w:rPr>
                <w:rFonts w:cs="Arial"/>
                <w:sz w:val="17"/>
                <w:szCs w:val="17"/>
              </w:rPr>
              <w:t>Prilagodljivost pravnog okvira digitalnim poslovnim modelima</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2,4 (2019) (BiH)</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3,6</w:t>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4,2</w:t>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4,8</w:t>
            </w:r>
          </w:p>
        </w:tc>
      </w:tr>
      <w:tr>
        <w:trPr>
          <w:trHeight w:val="357" w:hRule="atLeast"/>
        </w:trPr>
        <w:tc>
          <w:tcPr>
            <w:tcW w:w="3959" w:type="dxa"/>
            <w:vMerge w:val="continue"/>
            <w:tcBorders>
              <w:left w:val="single" w:sz="8" w:space="0" w:color="000000"/>
              <w:bottom w:val="single" w:sz="4" w:space="0" w:color="000000"/>
              <w:right w:val="single" w:sz="8"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continue"/>
            <w:tcBorders>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Arial"/>
                <w:sz w:val="17"/>
                <w:szCs w:val="17"/>
              </w:rPr>
            </w:pPr>
            <w:r>
              <w:rPr>
                <w:rFonts w:cs="Arial"/>
                <w:sz w:val="17"/>
                <w:szCs w:val="17"/>
              </w:rPr>
              <w:t>E-učešće (e-participation)</w:t>
            </w:r>
          </w:p>
          <w:p>
            <w:pPr>
              <w:pStyle w:val="Normal"/>
              <w:widowControl w:val="false"/>
              <w:spacing w:lineRule="auto" w:line="240" w:before="0" w:after="0"/>
              <w:rPr>
                <w:rFonts w:ascii="Calibri" w:hAnsi="Calibri" w:cs="Arial"/>
                <w:sz w:val="17"/>
                <w:szCs w:val="17"/>
              </w:rPr>
            </w:pPr>
            <w:r>
              <w:rPr>
                <w:rFonts w:cs="Arial"/>
                <w:sz w:val="17"/>
                <w:szCs w:val="17"/>
              </w:rPr>
            </w:r>
          </w:p>
        </w:tc>
        <w:tc>
          <w:tcPr>
            <w:tcW w:w="1881"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0,43 (2019) (BiH)</w:t>
            </w:r>
          </w:p>
        </w:tc>
        <w:tc>
          <w:tcPr>
            <w:tcW w:w="1363"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0,55</w:t>
            </w:r>
          </w:p>
        </w:tc>
        <w:tc>
          <w:tcPr>
            <w:tcW w:w="1324" w:type="dxa"/>
            <w:tcBorders>
              <w:top w:val="single" w:sz="4" w:space="0" w:color="000000"/>
              <w:left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0,614</w:t>
            </w:r>
          </w:p>
        </w:tc>
        <w:tc>
          <w:tcPr>
            <w:tcW w:w="1348" w:type="dxa"/>
            <w:tcBorders>
              <w:top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0,675</w:t>
            </w:r>
          </w:p>
        </w:tc>
      </w:tr>
      <w:tr>
        <w:trPr>
          <w:trHeight w:val="323" w:hRule="atLeast"/>
        </w:trPr>
        <w:tc>
          <w:tcPr>
            <w:tcW w:w="3959" w:type="dxa"/>
            <w:vMerge w:val="restart"/>
            <w:tcBorders>
              <w:top w:val="single" w:sz="4" w:space="0" w:color="000000"/>
              <w:left w:val="single" w:sz="8"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5. Unaprijediti stanje u području stambenih poslova i u oblasti nacionalnih spomenika te ublažiti posljedice klimatskih promjena</w:t>
            </w:r>
          </w:p>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n/a</w:t>
            </w:r>
          </w:p>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Uređen normativni okvir iz oblasti stambenih poslova</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Da</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Da</w:t>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 xml:space="preserve"> </w:t>
            </w:r>
            <w:r>
              <w:rPr>
                <w:rFonts w:cs="Arial"/>
                <w:sz w:val="17"/>
                <w:szCs w:val="17"/>
              </w:rPr>
              <w:t>Da</w:t>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Da</w:t>
            </w:r>
          </w:p>
        </w:tc>
      </w:tr>
      <w:tr>
        <w:trPr>
          <w:trHeight w:val="420" w:hRule="atLeast"/>
        </w:trPr>
        <w:tc>
          <w:tcPr>
            <w:tcW w:w="3959" w:type="dxa"/>
            <w:vMerge w:val="continue"/>
            <w:tcBorders>
              <w:left w:val="single" w:sz="8"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continue"/>
            <w:tcBorders>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Zaštićeni nacionalni spomenici</w:t>
            </w:r>
          </w:p>
        </w:tc>
        <w:tc>
          <w:tcPr>
            <w:tcW w:w="1881"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Calibri" w:hAnsi="Calibri"/>
              </w:rPr>
            </w:pPr>
            <w:r>
              <w:rPr>
                <w:rFonts w:cs="Arial"/>
                <w:sz w:val="17"/>
                <w:szCs w:val="17"/>
              </w:rPr>
              <w:t>25%</w:t>
            </w:r>
            <w:r>
              <w:rPr>
                <w:rStyle w:val="FootnoteAnchor"/>
                <w:rFonts w:cs="Arial"/>
                <w:sz w:val="17"/>
                <w:szCs w:val="17"/>
              </w:rPr>
              <w:footnoteReference w:id="10"/>
            </w:r>
          </w:p>
        </w:tc>
        <w:tc>
          <w:tcPr>
            <w:tcW w:w="1363"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24%</w:t>
            </w:r>
          </w:p>
        </w:tc>
        <w:tc>
          <w:tcPr>
            <w:tcW w:w="1324" w:type="dxa"/>
            <w:tcBorders>
              <w:top w:val="single" w:sz="4" w:space="0" w:color="000000"/>
              <w:left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23%</w:t>
            </w:r>
          </w:p>
        </w:tc>
        <w:tc>
          <w:tcPr>
            <w:tcW w:w="1348" w:type="dxa"/>
            <w:tcBorders>
              <w:top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22%</w:t>
            </w:r>
          </w:p>
        </w:tc>
      </w:tr>
      <w:tr>
        <w:trPr>
          <w:trHeight w:val="918" w:hRule="atLeast"/>
        </w:trPr>
        <w:tc>
          <w:tcPr>
            <w:tcW w:w="3959" w:type="dxa"/>
            <w:vMerge w:val="continue"/>
            <w:tcBorders>
              <w:left w:val="single" w:sz="8"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114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Rizik od polava i klizišta</w:t>
            </w:r>
            <w:r>
              <w:rPr>
                <w:rStyle w:val="FootnoteAnchor"/>
                <w:rFonts w:cs="Arial"/>
                <w:sz w:val="17"/>
                <w:szCs w:val="17"/>
              </w:rPr>
              <w:footnoteReference w:id="11"/>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Izuzetno značajan rizik od poplava i klizišta (kategorija 4)</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Izuzetno značajan rizik od poplava i klizišta (kategorija 4)</w:t>
            </w:r>
          </w:p>
        </w:tc>
        <w:tc>
          <w:tcPr>
            <w:tcW w:w="1324" w:type="dxa"/>
            <w:tcBorders>
              <w:top w:val="single" w:sz="4" w:space="0" w:color="000000"/>
              <w:left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Izuzetno značajan rizik od poplava i klizišta (kategorija 4)</w:t>
            </w:r>
          </w:p>
        </w:tc>
        <w:tc>
          <w:tcPr>
            <w:tcW w:w="1348" w:type="dxa"/>
            <w:tcBorders>
              <w:top w:val="single" w:sz="4" w:space="0" w:color="000000"/>
              <w:bottom w:val="single" w:sz="4" w:space="0" w:color="000000"/>
              <w:right w:val="single" w:sz="8"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Značajan rizik od poplava i klizišta (kategorija 3)</w:t>
            </w:r>
          </w:p>
        </w:tc>
      </w:tr>
      <w:tr>
        <w:trPr>
          <w:trHeight w:val="974" w:hRule="atLeast"/>
        </w:trPr>
        <w:tc>
          <w:tcPr>
            <w:tcW w:w="3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6. Podrška sektorima za osiguranje uslova za efikasno obavljanje funkcije Ministarstva</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t>n/a</w:t>
            </w:r>
          </w:p>
        </w:tc>
        <w:tc>
          <w:tcPr>
            <w:tcW w:w="3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rPr>
            </w:pPr>
            <w:r>
              <w:rPr>
                <w:rFonts w:cs="Arial"/>
                <w:sz w:val="17"/>
                <w:szCs w:val="17"/>
              </w:rPr>
              <w:t>Omjer troškova administrativnog programa u odnosu na ukupan Budžet institucije</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50%</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40%</w:t>
            </w:r>
          </w:p>
        </w:tc>
        <w:tc>
          <w:tcPr>
            <w:tcW w:w="13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30%</w:t>
            </w:r>
          </w:p>
        </w:tc>
        <w:tc>
          <w:tcPr>
            <w:tcW w:w="13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30%</w:t>
            </w:r>
          </w:p>
        </w:tc>
      </w:tr>
    </w:tbl>
    <w:p>
      <w:pPr>
        <w:pStyle w:val="Normal"/>
        <w:spacing w:lineRule="auto" w:line="240" w:before="0" w:after="0"/>
        <w:jc w:val="both"/>
        <w:rPr>
          <w:rFonts w:ascii="Calibri" w:hAnsi="Calibri"/>
        </w:rPr>
      </w:pPr>
      <w:r>
        <w:rPr>
          <w:rFonts w:eastAsia="Times New Roman" w:cs="Arial"/>
          <w:b/>
          <w:sz w:val="17"/>
          <w:szCs w:val="17"/>
        </w:rPr>
        <w:t>Napomena:</w:t>
      </w:r>
    </w:p>
    <w:p>
      <w:pPr>
        <w:pStyle w:val="Normal"/>
        <w:spacing w:lineRule="auto" w:line="240" w:before="0" w:after="0"/>
        <w:jc w:val="both"/>
        <w:rPr>
          <w:rFonts w:ascii="Calibri" w:hAnsi="Calibri"/>
        </w:rPr>
      </w:pPr>
      <w:r>
        <w:rPr>
          <w:rFonts w:eastAsia="Times New Roman" w:cs="Arial"/>
          <w:sz w:val="17"/>
          <w:szCs w:val="17"/>
        </w:rPr>
        <w:t xml:space="preserve">Program organa uprave utvrđuje se na način da se preuzme mjera iz relevantnog strateškog dokumenta i identičan je programu iz DOB-a. Na taj način je ostvarena potpuna usklađenost strateškog dokumenta, trogodišnjeg plana rada organa uprave i DOB-a (mjera iz strateškog dokumenta = program iz trogodišnjeg plana rada = program iz DOB-a). </w:t>
      </w:r>
      <w:bookmarkStart w:id="2" w:name="_Hlk510534506"/>
      <w:bookmarkEnd w:id="2"/>
    </w:p>
    <w:p>
      <w:pPr>
        <w:pStyle w:val="Normal"/>
        <w:spacing w:lineRule="auto" w:line="240" w:before="0" w:after="0"/>
        <w:jc w:val="both"/>
        <w:rPr>
          <w:rFonts w:ascii="Calibri" w:hAnsi="Calibri"/>
        </w:rPr>
      </w:pPr>
      <w:r>
        <w:rPr>
          <w:rFonts w:eastAsia="Times New Roman" w:cs="Arial"/>
          <w:sz w:val="17"/>
          <w:szCs w:val="17"/>
        </w:rPr>
        <w:t xml:space="preserve">Za programe (mjere), preuzimaju se odgovarajući indikatori iz strateškog dokumenta. Ukoliko ne postoji relevantni strateški dokument iz kojeg se preuzimaju mjere kao programi organa uprave, programi (mjere) u trogodišnjem planu rada se definišu na osnovu zakonskih nadležnosti organa uprave. </w:t>
      </w:r>
      <w:r>
        <w:rPr>
          <w:rFonts w:eastAsia="Times New Roman" w:cs="Arial"/>
          <w:color w:val="000000"/>
          <w:sz w:val="17"/>
          <w:szCs w:val="17"/>
        </w:rPr>
        <w:t xml:space="preserve">U ovom slučaju prilikom određivanja indikatora obavezno se uključuju i oni o postizanju ravnopravnosti spolova i jednakih mogućnosti za sve građane.  </w:t>
      </w:r>
    </w:p>
    <w:p>
      <w:pPr>
        <w:pStyle w:val="Normal"/>
        <w:spacing w:lineRule="auto" w:line="240" w:before="0" w:after="0"/>
        <w:jc w:val="both"/>
        <w:rPr>
          <w:rFonts w:ascii="Calibri" w:hAnsi="Calibri"/>
        </w:rPr>
      </w:pPr>
      <w:r>
        <w:rPr>
          <w:rFonts w:eastAsia="Times New Roman" w:cs="Arial"/>
          <w:b/>
          <w:sz w:val="24"/>
          <w:szCs w:val="24"/>
        </w:rPr>
        <w:t>A2. Aktivnosti / projekti kojim se realizuju programi (mjere) iz tabele A1.</w:t>
      </w:r>
    </w:p>
    <w:tbl>
      <w:tblPr>
        <w:tblW w:w="14490"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3851"/>
        <w:gridCol w:w="90"/>
        <w:gridCol w:w="1260"/>
        <w:gridCol w:w="1980"/>
        <w:gridCol w:w="1391"/>
        <w:gridCol w:w="539"/>
        <w:gridCol w:w="794"/>
        <w:gridCol w:w="1078"/>
        <w:gridCol w:w="1145"/>
        <w:gridCol w:w="1220"/>
        <w:gridCol w:w="1140"/>
      </w:tblGrid>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
                <w:b/>
                <w:szCs w:val="17"/>
              </w:rPr>
            </w:pPr>
            <w:r>
              <w:rPr>
                <w:rFonts w:eastAsia="Times New Roman" w:cs="Arial"/>
                <w:b/>
                <w:sz w:val="17"/>
                <w:szCs w:val="17"/>
              </w:rPr>
              <w:t>Redni broj i naziv programa (mjere)</w:t>
            </w:r>
            <w:r>
              <w:rPr>
                <w:rFonts w:eastAsia="Times New Roman" w:cs="Arial"/>
                <w:b/>
                <w:sz w:val="16"/>
                <w:szCs w:val="17"/>
                <w:vertAlign w:val="superscript"/>
              </w:rPr>
              <w:t>1</w:t>
            </w:r>
            <w:r>
              <w:rPr>
                <w:rFonts w:eastAsia="Times New Roman" w:cs="Arial"/>
                <w:b/>
                <w:sz w:val="17"/>
                <w:szCs w:val="17"/>
              </w:rPr>
              <w:t xml:space="preserve"> (prenosi se iz tabele A1):</w:t>
            </w:r>
          </w:p>
          <w:p>
            <w:pPr>
              <w:pStyle w:val="ListParagraph"/>
              <w:widowControl w:val="false"/>
              <w:numPr>
                <w:ilvl w:val="0"/>
                <w:numId w:val="3"/>
              </w:numPr>
              <w:spacing w:lineRule="auto" w:line="240" w:before="0" w:after="0"/>
              <w:ind w:left="306" w:hanging="284"/>
              <w:contextualSpacing/>
              <w:rPr>
                <w:rFonts w:ascii="Calibri" w:hAnsi="Calibri" w:cs="Arial"/>
                <w:b/>
                <w:b/>
                <w:bCs/>
                <w:sz w:val="17"/>
                <w:szCs w:val="17"/>
              </w:rPr>
            </w:pPr>
            <w:r>
              <w:rPr>
                <w:rFonts w:cs="Arial"/>
                <w:b/>
                <w:bCs/>
                <w:sz w:val="17"/>
                <w:szCs w:val="17"/>
              </w:rPr>
              <w:t>Olakšati i ubrzati procese ulaska u poslovnu aktivnost i izlaska iz nje</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b/>
                <w:b/>
                <w:sz w:val="17"/>
                <w:szCs w:val="17"/>
              </w:rPr>
            </w:pPr>
            <w:r>
              <w:rPr>
                <w:rFonts w:eastAsia="Times New Roman" w:cs="Arial"/>
                <w:b/>
                <w:sz w:val="17"/>
                <w:szCs w:val="17"/>
              </w:rPr>
              <w:t>Naziv strateškog dokumenta, oznaka strateškog cilja, prioriteta i mjere koja je preuzeta kao program:</w:t>
            </w:r>
            <w:r>
              <w:rPr>
                <w:b/>
                <w:bCs/>
                <w:sz w:val="17"/>
                <w:szCs w:val="17"/>
              </w:rPr>
              <w:t>Nacrt Strategije razvoja FBiH 2021-2027; Cilj 1.; Prioritet 1.3; Mjera 1.3.1</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473"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378"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cs="Arial"/>
                <w:sz w:val="17"/>
                <w:szCs w:val="17"/>
              </w:rPr>
            </w:pPr>
            <w:r>
              <w:rPr>
                <w:rFonts w:eastAsia="Times New Roman" w:cs="Arial"/>
                <w:sz w:val="17"/>
                <w:szCs w:val="17"/>
              </w:rPr>
              <w:t>1.1.JIS-Uspostavljanje i održavanje jedinstvenog informacionog sistema za planiranje Federacije BiH</w:t>
            </w:r>
          </w:p>
          <w:p>
            <w:pPr>
              <w:pStyle w:val="Normal"/>
              <w:widowControl w:val="false"/>
              <w:spacing w:before="0" w:after="160"/>
              <w:jc w:val="both"/>
              <w:rPr>
                <w:rFonts w:eastAsia="Times New Roman" w:cs="Arial"/>
                <w:sz w:val="14"/>
                <w:szCs w:val="14"/>
              </w:rPr>
            </w:pPr>
            <w:r>
              <w:rPr>
                <w:rFonts w:eastAsia="Times New Roman" w:cs="Arial"/>
                <w:sz w:val="14"/>
                <w:szCs w:val="14"/>
              </w:rPr>
              <w:t xml:space="preserve">Uspostava i održavanje web i smart portala, unošenje i ažuriranje podataka iz nadležnosti Federacije BiH. Izrada ažurnih GIS podloga za izradu planskih dokumenata iz nadležnosti FMPU.  </w:t>
            </w:r>
            <w:r>
              <w:rPr>
                <w:rFonts w:cs="Arial"/>
                <w:sz w:val="14"/>
                <w:szCs w:val="14"/>
              </w:rPr>
              <w:t>Uspostaviti centralni registar infrastrukturnih planova (elektro, vodovodne, telekomunikacione, kanalizacione i dr. infrastrukture), u cilju dobijanja jedinstvene saglasnosti od svih subjekata  vlasnika</w:t>
            </w:r>
            <w:r>
              <w:rPr>
                <w:rFonts w:eastAsia="Times New Roman" w:cs="Arial"/>
                <w:sz w:val="14"/>
                <w:szCs w:val="14"/>
              </w:rPr>
              <w:t xml:space="preserve">. </w:t>
            </w:r>
            <w:r>
              <w:rPr>
                <w:rFonts w:cs="Arial"/>
                <w:sz w:val="14"/>
                <w:szCs w:val="14"/>
              </w:rPr>
              <w:t>Umrežiti sve relevantne učesnike kao što su federalna upravna tijela, obrtnička i gospodarska komora, naučnoistraživačke institucije, nadležna ministarstva, te drugi subjekti i institucije čija je zadaća i interes jačanje poduzetničkih kapaciteta radi osiguranja razmjene znanja i dobre prakse, dostupnosti informacija o mogućnostima financiranja poduzetničkih projekata, te drugih informacija koje pridonose uspješnijem poslovanju.</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p>
            <w:pPr>
              <w:pStyle w:val="Normal"/>
              <w:widowControl w:val="false"/>
              <w:spacing w:lineRule="auto" w:line="240"/>
              <w:rPr>
                <w:rFonts w:eastAsia="Times New Roman" w:cs="Arial"/>
                <w:sz w:val="17"/>
                <w:szCs w:val="17"/>
              </w:rPr>
            </w:pPr>
            <w:r>
              <w:rPr>
                <w:rFonts w:eastAsia="Times New Roman" w:cs="Arial"/>
                <w:sz w:val="17"/>
                <w:szCs w:val="17"/>
              </w:rPr>
            </w:r>
          </w:p>
          <w:p>
            <w:pPr>
              <w:pStyle w:val="Normal"/>
              <w:widowControl w:val="false"/>
              <w:spacing w:lineRule="auto" w:line="240"/>
              <w:jc w:val="center"/>
              <w:rPr>
                <w:rFonts w:eastAsia="Times New Roman" w:cs="Arial"/>
                <w:sz w:val="17"/>
                <w:szCs w:val="17"/>
              </w:rPr>
            </w:pPr>
            <w:r>
              <w:rPr>
                <w:rFonts w:eastAsia="Times New Roman" w:cs="Arial"/>
                <w:sz w:val="17"/>
                <w:szCs w:val="17"/>
              </w:rPr>
            </w:r>
          </w:p>
          <w:p>
            <w:pPr>
              <w:pStyle w:val="Normal"/>
              <w:widowControl w:val="false"/>
              <w:spacing w:lineRule="auto" w:line="240"/>
              <w:jc w:val="center"/>
              <w:rPr>
                <w:rFonts w:eastAsia="Times New Roman" w:cs="Arial"/>
                <w:sz w:val="17"/>
                <w:szCs w:val="17"/>
              </w:rPr>
            </w:pPr>
            <w:r>
              <w:rPr>
                <w:rFonts w:eastAsia="Times New Roman" w:cs="Arial"/>
                <w:sz w:val="17"/>
                <w:szCs w:val="17"/>
              </w:rPr>
            </w:r>
          </w:p>
          <w:p>
            <w:pPr>
              <w:pStyle w:val="Normal"/>
              <w:widowControl w:val="false"/>
              <w:spacing w:lineRule="auto" w:line="240"/>
              <w:jc w:val="center"/>
              <w:rPr>
                <w:rFonts w:eastAsia="Times New Roman" w:cs="Arial"/>
                <w:sz w:val="17"/>
                <w:szCs w:val="17"/>
              </w:rPr>
            </w:pPr>
            <w:r>
              <w:rPr>
                <w:rFonts w:eastAsia="Times New Roman" w:cs="Arial"/>
                <w:sz w:val="17"/>
                <w:szCs w:val="17"/>
              </w:rPr>
            </w:r>
          </w:p>
          <w:p>
            <w:pPr>
              <w:pStyle w:val="Normal"/>
              <w:widowControl w:val="false"/>
              <w:spacing w:lineRule="auto" w:line="240" w:before="0" w:after="160"/>
              <w:jc w:val="center"/>
              <w:rPr>
                <w:rFonts w:eastAsia="Times New Roman" w:cs="Arial"/>
                <w:sz w:val="17"/>
                <w:szCs w:val="17"/>
              </w:rPr>
            </w:pPr>
            <w:r>
              <w:rPr>
                <w:rFonts w:eastAsia="Times New Roman" w:cs="Arial"/>
                <w:sz w:val="17"/>
                <w:szCs w:val="17"/>
              </w:rPr>
              <w:t>2025. - 2027.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Normal"/>
              <w:widowControl w:val="false"/>
              <w:spacing w:lineRule="auto" w:line="240" w:before="0" w:after="0"/>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ascii="Calibri" w:hAnsi="Calibri" w:cs="Arial"/>
                <w:sz w:val="17"/>
                <w:szCs w:val="17"/>
              </w:rPr>
            </w:pPr>
            <w:r>
              <w:rPr>
                <w:rFonts w:cs="Arial"/>
                <w:sz w:val="17"/>
                <w:szCs w:val="17"/>
              </w:rPr>
            </w:r>
          </w:p>
          <w:p>
            <w:pPr>
              <w:pStyle w:val="ListParagraph"/>
              <w:widowControl w:val="false"/>
              <w:spacing w:lineRule="auto" w:line="240" w:before="0" w:after="0"/>
              <w:ind w:left="72" w:hanging="0"/>
              <w:contextualSpacing/>
              <w:jc w:val="center"/>
              <w:rPr>
                <w:rFonts w:cs="Arial"/>
                <w:sz w:val="17"/>
                <w:szCs w:val="17"/>
              </w:rPr>
            </w:pPr>
            <w:r>
              <w:rPr>
                <w:rFonts w:cs="Arial"/>
                <w:sz w:val="17"/>
                <w:szCs w:val="17"/>
              </w:rPr>
              <w:t>Uspostavljen JIS FBiH i SMART I WEB portal</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r>
          </w:p>
          <w:p>
            <w:pPr>
              <w:pStyle w:val="Normal"/>
              <w:widowControl w:val="false"/>
              <w:spacing w:lineRule="auto" w:line="240" w:before="0" w:after="0"/>
              <w:jc w:val="center"/>
              <w:rPr>
                <w:rFonts w:ascii="Calibri" w:hAnsi="Calibri" w:cs="Arial"/>
                <w:sz w:val="17"/>
                <w:szCs w:val="17"/>
              </w:rPr>
            </w:pPr>
            <w:r>
              <w:rPr>
                <w:rFonts w:cs="Arial"/>
                <w:sz w:val="17"/>
                <w:szCs w:val="17"/>
              </w:rPr>
              <w:t xml:space="preserve">Sektor za prostorno planiranje </w:t>
            </w:r>
          </w:p>
          <w:p>
            <w:pPr>
              <w:pStyle w:val="Normal"/>
              <w:widowControl w:val="false"/>
              <w:spacing w:lineRule="auto" w:line="240" w:before="0" w:after="0"/>
              <w:jc w:val="center"/>
              <w:rPr>
                <w:rFonts w:cs="Arial"/>
                <w:sz w:val="17"/>
                <w:szCs w:val="17"/>
              </w:rPr>
            </w:pPr>
            <w:r>
              <w:rPr>
                <w:rFonts w:cs="Arial"/>
                <w:sz w:val="17"/>
                <w:szCs w:val="17"/>
              </w:rPr>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rPr>
                <w:rFonts w:eastAsia="Times New Roman" w:cs="Arial"/>
                <w:bCs/>
                <w:sz w:val="17"/>
                <w:szCs w:val="17"/>
              </w:rPr>
            </w:pPr>
            <w:r>
              <w:rPr>
                <w:rFonts w:eastAsia="Times New Roman" w:cs="Arial"/>
                <w:bCs/>
                <w:sz w:val="17"/>
                <w:szCs w:val="17"/>
              </w:rPr>
              <w:t xml:space="preserve"> </w:t>
            </w:r>
            <w:r>
              <w:rPr>
                <w:rFonts w:eastAsia="Times New Roman" w:cs="Arial"/>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0,1</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r>
      <w:tr>
        <w:trPr>
          <w:trHeight w:val="1981"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sz w:val="17"/>
                <w:szCs w:val="17"/>
              </w:rPr>
            </w:pPr>
            <w:r>
              <w:rPr>
                <w:rFonts w:eastAsia="Times New Roman" w:cs="Arial"/>
                <w:b/>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0,1</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eastAsia="Times New Roman" w:cs="Arial"/>
                <w:b/>
                <w:b/>
                <w:sz w:val="17"/>
                <w:szCs w:val="17"/>
              </w:rPr>
            </w:pPr>
            <w:r>
              <w:rPr>
                <w:rFonts w:eastAsia="Times New Roman" w:cs="Arial"/>
                <w:b/>
                <w:sz w:val="17"/>
                <w:szCs w:val="17"/>
              </w:rPr>
              <w:t>Ukupno za program (mjeru) 1.</w:t>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0,1</w:t>
            </w:r>
          </w:p>
        </w:tc>
      </w:tr>
      <w:tr>
        <w:trPr>
          <w:trHeight w:val="20"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
                <w:b/>
                <w:sz w:val="17"/>
                <w:szCs w:val="17"/>
              </w:rPr>
            </w:pPr>
            <w:r>
              <w:rPr>
                <w:rFonts w:eastAsia="Times New Roman" w:cs="Arial"/>
                <w:b/>
                <w:sz w:val="17"/>
                <w:szCs w:val="17"/>
              </w:rPr>
              <w:t>Redni broj i naziv programa (mjere) (prenosi se iz tabele A1):</w:t>
            </w:r>
          </w:p>
          <w:p>
            <w:pPr>
              <w:pStyle w:val="Normal"/>
              <w:widowControl w:val="false"/>
              <w:spacing w:lineRule="auto" w:line="240" w:before="0" w:after="0"/>
              <w:rPr>
                <w:rFonts w:ascii="Calibri" w:hAnsi="Calibri"/>
              </w:rPr>
            </w:pPr>
            <w:r>
              <w:rPr>
                <w:rFonts w:eastAsia="Times New Roman" w:cs="Arial"/>
                <w:b/>
                <w:sz w:val="17"/>
                <w:szCs w:val="17"/>
              </w:rPr>
              <w:t>2.</w:t>
            </w:r>
            <w:r>
              <w:rPr/>
              <w:t xml:space="preserve"> </w:t>
            </w:r>
            <w:r>
              <w:rPr>
                <w:rFonts w:eastAsia="Times New Roman" w:cs="Arial"/>
                <w:b/>
                <w:sz w:val="17"/>
                <w:szCs w:val="17"/>
              </w:rPr>
              <w:t xml:space="preserve"> Podržavati prostornu koncentraciju preduzetništva</w:t>
            </w:r>
            <w:bookmarkStart w:id="3" w:name="_Hlk78281772"/>
            <w:bookmarkEnd w:id="3"/>
          </w:p>
        </w:tc>
      </w:tr>
      <w:tr>
        <w:trPr>
          <w:trHeight w:val="32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
                <w:b/>
                <w:sz w:val="17"/>
                <w:szCs w:val="17"/>
              </w:rPr>
            </w:pPr>
            <w:r>
              <w:rPr>
                <w:rFonts w:eastAsia="Times New Roman" w:cs="Arial"/>
                <w:b/>
                <w:sz w:val="17"/>
                <w:szCs w:val="17"/>
              </w:rPr>
              <w:t xml:space="preserve">Naziv strateškog dokumenta, oznaka strateškog cilja, prioriteta i mjere koja je preuzeta kao program: </w:t>
            </w:r>
            <w:r>
              <w:rPr>
                <w:rFonts w:eastAsia="Times New Roman" w:cs="Arial"/>
                <w:b/>
                <w:bCs/>
                <w:sz w:val="17"/>
                <w:szCs w:val="17"/>
              </w:rPr>
              <w:t>Nacrt Strategije razvoja FBiH 2021-2027; Cilj 1.; Prioritet 1.3; Mjera 1.3.5</w:t>
            </w:r>
          </w:p>
        </w:tc>
      </w:tr>
      <w:tr>
        <w:trPr>
          <w:trHeight w:val="20" w:hRule="atLeast"/>
        </w:trPr>
        <w:tc>
          <w:tcPr>
            <w:tcW w:w="385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781"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cs="Arial"/>
                <w:sz w:val="17"/>
                <w:szCs w:val="17"/>
              </w:rPr>
            </w:pPr>
            <w:r>
              <w:rPr>
                <w:rFonts w:cs="Arial"/>
                <w:sz w:val="17"/>
                <w:szCs w:val="17"/>
              </w:rPr>
              <w:t>2027.</w:t>
            </w:r>
          </w:p>
        </w:tc>
      </w:tr>
      <w:tr>
        <w:trPr>
          <w:trHeight w:val="594" w:hRule="atLeast"/>
        </w:trPr>
        <w:tc>
          <w:tcPr>
            <w:tcW w:w="3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2.1. Unaprijedit i harmonizirati postojeće propise iz domena prostornog planiranja i građenja</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2.1.1.Izrada Zakona o prostornom planiranju i korištenju zemljišta na nivou Federacije BiH (Nacrt i Prijedlog)</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2.1.2. Izrada Zakona o građevinskim proizvodima</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(Nacrt i Prijedlog)</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2.1.3.  Izrada Zakona o Komori inžinjera u oblasti građenja (Nacrt i Prijedlog)</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2.1.4. Izrada Zakona o koncesijama Federacije BiH</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(Nacrt i Prijedlog)</w:t>
            </w:r>
          </w:p>
          <w:p>
            <w:pPr>
              <w:pStyle w:val="NoSpacing"/>
              <w:widowControl w:val="false"/>
              <w:ind w:left="360" w:hanging="0"/>
              <w:jc w:val="both"/>
              <w:rPr>
                <w:rFonts w:cs="Calibri" w:cstheme="minorHAnsi"/>
                <w:sz w:val="17"/>
                <w:szCs w:val="17"/>
              </w:rPr>
            </w:pPr>
            <w:r>
              <w:rPr>
                <w:rFonts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 xml:space="preserve">     </w:t>
            </w:r>
            <w:r>
              <w:rPr>
                <w:rFonts w:eastAsia="Times New Roman" w:cs="Calibri" w:cstheme="minorHAnsi"/>
                <w:sz w:val="17"/>
                <w:szCs w:val="17"/>
              </w:rPr>
              <w:t>2025.-2026.</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Nacrt III kvartal 2025., prijedlog II kvartal 2026.</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Nacrt I kvartal 2025., prijedlog IV kvartal 2025.</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 xml:space="preserve">       </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Nacrt II kvartal 2025., prijedlog I kvartal 2026.</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Nacrt III kvartal 2025., prijedlog III kvartal 2026.</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contextualSpacing/>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Pripremljeni i usvojeni propisi iz domena prostornog planiranja i građenja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Svi sektori</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0,01</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0,01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0,01</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734" w:hRule="atLeast"/>
        </w:trPr>
        <w:tc>
          <w:tcPr>
            <w:tcW w:w="3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840" w:hRule="atLeast"/>
        </w:trPr>
        <w:tc>
          <w:tcPr>
            <w:tcW w:w="3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Ostale</w:t>
            </w:r>
          </w:p>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880" w:hRule="atLeast"/>
        </w:trPr>
        <w:tc>
          <w:tcPr>
            <w:tcW w:w="3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743" w:hRule="atLeast"/>
        </w:trPr>
        <w:tc>
          <w:tcPr>
            <w:tcW w:w="3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0,01</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0,01</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0,01</w:t>
            </w:r>
          </w:p>
        </w:tc>
      </w:tr>
      <w:tr>
        <w:trPr>
          <w:trHeight w:val="20" w:hRule="atLeast"/>
        </w:trPr>
        <w:tc>
          <w:tcPr>
            <w:tcW w:w="3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cs="Calibri" w:cstheme="minorHAnsi"/>
                <w:sz w:val="17"/>
                <w:szCs w:val="17"/>
              </w:rPr>
            </w:pPr>
            <w:r>
              <w:rPr>
                <w:rFonts w:cs="Calibri" w:cstheme="minorHAnsi"/>
                <w:sz w:val="17"/>
                <w:szCs w:val="17"/>
              </w:rPr>
              <w:t>2.2. Realizacija obaveza FMPU nakon usvajanja</w:t>
            </w:r>
          </w:p>
          <w:p>
            <w:pPr>
              <w:pStyle w:val="Normal"/>
              <w:widowControl w:val="false"/>
              <w:spacing w:lineRule="auto" w:line="240" w:before="0" w:after="0"/>
              <w:rPr>
                <w:rFonts w:cs="Calibri" w:cstheme="minorHAnsi"/>
                <w:sz w:val="17"/>
                <w:szCs w:val="17"/>
              </w:rPr>
            </w:pPr>
            <w:r>
              <w:rPr>
                <w:rFonts w:cs="Calibri" w:cstheme="minorHAnsi"/>
                <w:sz w:val="17"/>
                <w:szCs w:val="17"/>
              </w:rPr>
              <w:t xml:space="preserve">Prostornog plana Federacije BiH </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(Vraćanje PP F BiH u parlamentarnu proceduru)</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 xml:space="preserve">Vraćen </w:t>
            </w:r>
            <w:r>
              <w:rPr>
                <w:rFonts w:eastAsia="Times New Roman" w:cs="Calibri" w:cstheme="minorHAnsi"/>
                <w:sz w:val="17"/>
                <w:szCs w:val="17"/>
              </w:rPr>
              <w:t>PP F BiH u parlamentarnu proceduru,</w:t>
            </w:r>
            <w:r>
              <w:rPr>
                <w:rFonts w:cs="Calibri" w:cstheme="minorHAnsi"/>
                <w:sz w:val="17"/>
                <w:szCs w:val="17"/>
              </w:rPr>
              <w:t xml:space="preserve"> Realizovane obaveze FMPU nakon usvajanja Prostornog plana Federacije BiH</w:t>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tc>
        <w:tc>
          <w:tcPr>
            <w:tcW w:w="139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Contents"/>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 xml:space="preserve">Sektor za prostorno planiranje </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bCs/>
                <w:sz w:val="17"/>
                <w:szCs w:val="17"/>
              </w:rPr>
              <w:t>0</w:t>
            </w:r>
          </w:p>
        </w:tc>
      </w:tr>
      <w:tr>
        <w:trPr>
          <w:trHeight w:val="338"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557"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r>
      <w:tr>
        <w:trPr>
          <w:trHeight w:val="20" w:hRule="atLeast"/>
        </w:trPr>
        <w:tc>
          <w:tcPr>
            <w:tcW w:w="3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cs="Calibri" w:cstheme="minorHAnsi"/>
                <w:sz w:val="17"/>
                <w:szCs w:val="17"/>
              </w:rPr>
            </w:pPr>
            <w:r>
              <w:rPr>
                <w:rFonts w:cs="Calibri" w:cstheme="minorHAnsi"/>
                <w:sz w:val="17"/>
                <w:szCs w:val="17"/>
              </w:rPr>
              <w:t>2.3. Pripremiti plansku dokumentaciju razvojnih zona uz transportne koridore</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Pripremljena planska dokumentacija razvojnih zona uz transportne koridore</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TableContents"/>
              <w:widowControl w:val="false"/>
              <w:spacing w:lineRule="auto" w:line="240" w:before="0" w:after="0"/>
              <w:jc w:val="center"/>
              <w:rPr>
                <w:rFonts w:cs="Calibri" w:cstheme="minorHAnsi"/>
                <w:sz w:val="17"/>
                <w:szCs w:val="17"/>
              </w:rPr>
            </w:pPr>
            <w:r>
              <w:rPr>
                <w:rFonts w:cs="Calibri" w:cstheme="minorHAnsi"/>
                <w:sz w:val="17"/>
                <w:szCs w:val="17"/>
              </w:rPr>
              <w:t>Sektor za prostorno planiranje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r>
      <w:tr>
        <w:trPr>
          <w:trHeight w:val="274"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r>
      <w:tr>
        <w:trPr>
          <w:trHeight w:val="20" w:hRule="atLeast"/>
        </w:trPr>
        <w:tc>
          <w:tcPr>
            <w:tcW w:w="3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cs="Calibri" w:cstheme="minorHAnsi"/>
                <w:sz w:val="17"/>
                <w:szCs w:val="17"/>
              </w:rPr>
            </w:pPr>
            <w:r>
              <w:rPr>
                <w:rFonts w:cs="Calibri" w:cstheme="minorHAnsi"/>
                <w:sz w:val="17"/>
                <w:szCs w:val="17"/>
              </w:rPr>
              <w:t>2.4. Rješavanje postupaka po zahtjevima za izdavanje akata o građenju u svrhu realizacije investicija od značaja za FBiH</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100% riješeni postupci</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korištenje zemljišta na federalnom  nivou</w:t>
            </w:r>
          </w:p>
          <w:p>
            <w:pPr>
              <w:pStyle w:val="Normal"/>
              <w:widowControl w:val="false"/>
              <w:spacing w:lineRule="auto" w:line="240" w:before="0" w:after="0"/>
              <w:jc w:val="center"/>
              <w:rPr>
                <w:rFonts w:cs="Calibri" w:cstheme="minorHAnsi"/>
                <w:sz w:val="17"/>
                <w:szCs w:val="17"/>
              </w:rPr>
            </w:pPr>
            <w:r>
              <w:rPr>
                <w:rFonts w:cs="Calibri" w:cstheme="minorHAnsi"/>
                <w:sz w:val="17"/>
                <w:szCs w:val="17"/>
              </w:rPr>
              <w:t>i</w:t>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prostorno planiranje</w:t>
            </w:r>
          </w:p>
          <w:p>
            <w:pPr>
              <w:pStyle w:val="TableContents"/>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0,05</w:t>
            </w:r>
          </w:p>
        </w:tc>
      </w:tr>
      <w:tr>
        <w:trPr>
          <w:trHeight w:val="274"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0,6445</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center"/>
              <w:rPr/>
            </w:pPr>
            <w:r>
              <w:rPr>
                <w:rFonts w:eastAsia="Times New Roman" w:cs="Arial"/>
                <w:bCs/>
                <w:sz w:val="17"/>
                <w:szCs w:val="17"/>
              </w:rPr>
              <w:t>0,6445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center"/>
              <w:rPr/>
            </w:pPr>
            <w:r>
              <w:rPr>
                <w:rFonts w:eastAsia="Times New Roman" w:cs="Arial"/>
                <w:bCs/>
                <w:sz w:val="17"/>
                <w:szCs w:val="17"/>
              </w:rPr>
              <w:t>0,6445</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0,6945</w:t>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0,6945</w:t>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0,6945</w:t>
            </w:r>
          </w:p>
        </w:tc>
      </w:tr>
      <w:tr>
        <w:trPr>
          <w:trHeight w:val="20" w:hRule="atLeast"/>
        </w:trPr>
        <w:tc>
          <w:tcPr>
            <w:tcW w:w="3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cstheme="minorHAnsi"/>
                <w:sz w:val="17"/>
                <w:szCs w:val="17"/>
              </w:rPr>
            </w:pPr>
            <w:r>
              <w:rPr>
                <w:rFonts w:cs="Calibri" w:cstheme="minorHAnsi"/>
                <w:sz w:val="17"/>
                <w:szCs w:val="17"/>
              </w:rPr>
              <w:t>2.5. Rješavanje postupaka po zahtjevima za izdavanje akata u svrhu obavljanja poslova izrade planske dokumentacije</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100% riješeni postupci</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TableContents"/>
              <w:widowControl w:val="false"/>
              <w:spacing w:lineRule="auto" w:line="240" w:before="0" w:after="0"/>
              <w:jc w:val="center"/>
              <w:rPr>
                <w:rFonts w:cs="Calibri" w:cstheme="minorHAnsi"/>
                <w:sz w:val="17"/>
                <w:szCs w:val="17"/>
              </w:rPr>
            </w:pPr>
            <w:r>
              <w:rPr>
                <w:rFonts w:cs="Calibri" w:cstheme="minorHAnsi"/>
                <w:sz w:val="17"/>
                <w:szCs w:val="17"/>
              </w:rPr>
              <w:t>Sektor za prostorno planiranje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0,05</w:t>
            </w:r>
          </w:p>
        </w:tc>
      </w:tr>
      <w:tr>
        <w:trPr>
          <w:trHeight w:val="274"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center"/>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center"/>
              <w:rPr/>
            </w:pPr>
            <w:r>
              <w:rPr>
                <w:rFonts w:eastAsia="Times New Roman" w:cs="Arial"/>
                <w:bCs/>
                <w:sz w:val="17"/>
                <w:szCs w:val="17"/>
              </w:rPr>
              <w:t>0</w:t>
            </w:r>
          </w:p>
        </w:tc>
      </w:tr>
      <w:tr>
        <w:trPr>
          <w:trHeight w:val="20" w:hRule="atLeast"/>
        </w:trPr>
        <w:tc>
          <w:tcPr>
            <w:tcW w:w="3851" w:type="dxa"/>
            <w:vMerge w:val="continue"/>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spacing w:lineRule="auto" w:line="240" w:before="0" w:after="0"/>
              <w:rPr>
                <w:rFonts w:ascii="Calibri" w:hAnsi="Calibri" w:eastAsia="Times New Roman" w:cs="Arial"/>
                <w:sz w:val="17"/>
                <w:szCs w:val="17"/>
              </w:rPr>
            </w:pPr>
            <w:r>
              <w:rPr>
                <w:rFonts w:eastAsia="Times New Roman" w:cs="Arial"/>
                <w:sz w:val="17"/>
                <w:szCs w:val="17"/>
              </w:rPr>
            </w:r>
          </w:p>
        </w:tc>
        <w:tc>
          <w:tcPr>
            <w:tcW w:w="1350" w:type="dxa"/>
            <w:gridSpan w:val="2"/>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rPr>
            </w:pPr>
            <w:r>
              <w:rPr>
                <w:rFonts w:cs="Arial"/>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cs="Arial"/>
                <w:sz w:val="17"/>
                <w:szCs w:val="17"/>
              </w:rPr>
            </w:pPr>
            <w:r>
              <w:rPr>
                <w:rFonts w:cs="Arial"/>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0,05</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Calibri" w:hAnsi="Calibri" w:eastAsia="Times New Roman" w:cs="Arial"/>
                <w:b/>
                <w:b/>
                <w:sz w:val="17"/>
                <w:szCs w:val="17"/>
              </w:rPr>
            </w:pPr>
            <w:r>
              <w:rPr>
                <w:rFonts w:eastAsia="Times New Roman" w:cs="Arial"/>
                <w:b/>
                <w:sz w:val="17"/>
                <w:szCs w:val="17"/>
              </w:rPr>
              <w:t>Ukupno za program (mjeru) 2.</w:t>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0,11</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0,11</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0,6445</w:t>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0,6445</w:t>
            </w:r>
          </w:p>
          <w:p>
            <w:pPr>
              <w:pStyle w:val="Normal"/>
              <w:widowControl w:val="false"/>
              <w:spacing w:before="0" w:after="160"/>
              <w:jc w:val="center"/>
              <w:rPr/>
            </w:pPr>
            <w:r>
              <w:rPr/>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0,6445</w:t>
            </w:r>
          </w:p>
          <w:p>
            <w:pPr>
              <w:pStyle w:val="Normal"/>
              <w:widowControl w:val="false"/>
              <w:spacing w:before="0" w:after="160"/>
              <w:jc w:val="center"/>
              <w:rPr/>
            </w:pPr>
            <w:r>
              <w:rPr/>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0,7545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0,7545</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0,7545</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
                <w:b/>
                <w:szCs w:val="17"/>
              </w:rPr>
            </w:pPr>
            <w:r>
              <w:rPr>
                <w:rFonts w:eastAsia="Times New Roman" w:cs="Arial"/>
                <w:b/>
                <w:sz w:val="17"/>
                <w:szCs w:val="17"/>
              </w:rPr>
              <w:t>Redni broj i naziv programa (mjere)</w:t>
            </w:r>
            <w:r>
              <w:rPr>
                <w:rFonts w:eastAsia="Times New Roman" w:cs="Arial"/>
                <w:b/>
                <w:sz w:val="16"/>
                <w:szCs w:val="17"/>
                <w:vertAlign w:val="superscript"/>
              </w:rPr>
              <w:t>1</w:t>
            </w:r>
            <w:r>
              <w:rPr>
                <w:rFonts w:eastAsia="Times New Roman" w:cs="Arial"/>
                <w:b/>
                <w:sz w:val="17"/>
                <w:szCs w:val="17"/>
              </w:rPr>
              <w:t xml:space="preserve"> (prenosi se iz tabele A1):</w:t>
            </w:r>
          </w:p>
          <w:p>
            <w:pPr>
              <w:pStyle w:val="Normal"/>
              <w:widowControl w:val="false"/>
              <w:spacing w:lineRule="auto" w:line="240" w:before="0" w:after="0"/>
              <w:rPr>
                <w:rFonts w:ascii="Calibri" w:hAnsi="Calibri" w:eastAsia="Times New Roman" w:cs="Arial"/>
                <w:b/>
                <w:b/>
                <w:bCs/>
                <w:sz w:val="17"/>
                <w:szCs w:val="17"/>
              </w:rPr>
            </w:pPr>
            <w:r>
              <w:rPr>
                <w:rFonts w:eastAsia="Times New Roman" w:cs="Arial"/>
                <w:b/>
                <w:bCs/>
                <w:sz w:val="17"/>
                <w:szCs w:val="17"/>
              </w:rPr>
              <w:t>3. Poboljšati energijsku efikasnost zgrada</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Arial"/>
                <w:b/>
                <w:b/>
                <w:sz w:val="17"/>
                <w:szCs w:val="17"/>
              </w:rPr>
            </w:pPr>
            <w:r>
              <w:rPr>
                <w:rFonts w:eastAsia="Times New Roman" w:cs="Arial"/>
                <w:b/>
                <w:sz w:val="17"/>
                <w:szCs w:val="17"/>
              </w:rPr>
              <w:t>Naziv strateškog dokumenta, oznaka strateškog cilja, prioriteta i mjere koja je preuzeta kao program: N</w:t>
            </w:r>
            <w:r>
              <w:rPr>
                <w:rFonts w:eastAsia="Times New Roman" w:cs="Arial"/>
                <w:b/>
                <w:bCs/>
                <w:sz w:val="17"/>
                <w:szCs w:val="17"/>
              </w:rPr>
              <w:t>acrt Strategije razvoja FBiH 2021-2027; Cilj 3.; Prioritet 3.3; Mjera 3.3.1</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473"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rPr>
            </w:pPr>
            <w:r>
              <w:rPr>
                <w:rFonts w:cs="Calibri" w:cstheme="minorHAnsi"/>
                <w:sz w:val="17"/>
                <w:szCs w:val="17"/>
              </w:rPr>
              <w:t>3.1. Izrada prednacrta, nacrta , izmjena i dopuna zakona, podzakona i drugih propisa i općih akata iz oblasti energijske efikasnosti u zgradarstvu u skladu sa EU aquis (sukladno zahtjevima Energetske zajednice)</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ind w:left="72" w:hanging="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ind w:left="72" w:hanging="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eastAsia="Times New Roman" w:cs="Calibri" w:cstheme="minorHAnsi"/>
                <w:sz w:val="17"/>
                <w:szCs w:val="17"/>
              </w:rPr>
              <w:t xml:space="preserve">Usklađen regulatorni okvir energijske efikasnosti u Federaciji BIH </w:t>
            </w:r>
            <w:r>
              <w:rPr>
                <w:rFonts w:cs="Calibri" w:cstheme="minorHAnsi"/>
                <w:sz w:val="17"/>
                <w:szCs w:val="17"/>
              </w:rPr>
              <w:t>u skladu sa EU aquis (sukladno zahtjevima Energetske zajednice)</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TableContents"/>
              <w:widowControl w:val="false"/>
              <w:spacing w:lineRule="auto" w:line="240" w:before="0" w:after="0"/>
              <w:jc w:val="center"/>
              <w:rPr>
                <w:rFonts w:cs="Calibri" w:cstheme="minorHAnsi"/>
                <w:sz w:val="17"/>
                <w:szCs w:val="17"/>
              </w:rPr>
            </w:pPr>
            <w:r>
              <w:rPr>
                <w:rStyle w:val="StrongEmphasis"/>
                <w:rFonts w:eastAsia="Times New Roman"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7"/>
                <w:szCs w:val="17"/>
              </w:rPr>
            </w:pPr>
            <w:r>
              <w:rPr>
                <w:rFonts w:eastAsia="Times New Roman" w:cs="Arial" w:ascii="Arial" w:hAnsi="Arial"/>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cs="Arial"/>
                <w:sz w:val="17"/>
                <w:szCs w:val="17"/>
              </w:rPr>
            </w:pPr>
            <w:r>
              <w:rPr>
                <w:rFonts w:cs="Arial" w:ascii="Arial" w:hAnsi="Arial"/>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cs="Arial"/>
                <w:sz w:val="17"/>
                <w:szCs w:val="17"/>
              </w:rPr>
            </w:pPr>
            <w:r>
              <w:rPr>
                <w:rFonts w:cs="Arial" w:ascii="Arial" w:hAnsi="Arial"/>
                <w:sz w:val="17"/>
                <w:szCs w:val="17"/>
              </w:rPr>
              <w:t>0,05</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Ostale</w:t>
            </w:r>
          </w:p>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Cs/>
                <w:sz w:val="17"/>
                <w:szCs w:val="17"/>
              </w:rPr>
            </w:pPr>
            <w:r>
              <w:rPr>
                <w:rFonts w:eastAsia="Times New Roman" w:cs="Arial" w:ascii="Arial" w:hAnsi="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Arial" w:hAnsi="Arial" w:cs="Arial"/>
                <w:sz w:val="17"/>
                <w:szCs w:val="17"/>
              </w:rPr>
            </w:pPr>
            <w:r>
              <w:rPr>
                <w:rFonts w:cs="Arial" w:ascii="Arial" w:hAnsi="Arial"/>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Arial" w:hAnsi="Arial" w:cs="Arial"/>
                <w:sz w:val="17"/>
                <w:szCs w:val="17"/>
              </w:rPr>
            </w:pPr>
            <w:r>
              <w:rPr>
                <w:rFonts w:cs="Arial" w:ascii="Arial" w:hAnsi="Arial"/>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Arial" w:hAnsi="Arial" w:cs="Arial"/>
                <w:sz w:val="17"/>
                <w:szCs w:val="17"/>
              </w:rPr>
            </w:pPr>
            <w:r>
              <w:rPr>
                <w:rFonts w:cs="Arial" w:ascii="Arial" w:hAnsi="Arial"/>
                <w:sz w:val="17"/>
                <w:szCs w:val="17"/>
              </w:rPr>
              <w:t>0,05</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cs="Calibri" w:cstheme="minorHAnsi"/>
                <w:sz w:val="17"/>
                <w:szCs w:val="17"/>
              </w:rPr>
            </w:pPr>
            <w:r>
              <w:rPr>
                <w:rFonts w:eastAsia="Times New Roman" w:cs="Calibri" w:cstheme="minorHAnsi"/>
                <w:sz w:val="17"/>
                <w:szCs w:val="17"/>
              </w:rPr>
              <w:t>3.2.Parlamentarna procedura usvajanja prijedloga Strategije dugoročne obnove zgrada u Federaciji Bosne i Hercegovine za period do 2050. godine  i publiciranje iste</w:t>
            </w:r>
          </w:p>
          <w:p>
            <w:pPr>
              <w:pStyle w:val="Normal"/>
              <w:widowControl w:val="false"/>
              <w:spacing w:before="0" w:after="160"/>
              <w:rPr>
                <w:rFonts w:eastAsia="Times New Roman" w:cs="Calibri" w:cstheme="minorHAnsi"/>
                <w:sz w:val="17"/>
                <w:szCs w:val="17"/>
              </w:rPr>
            </w:pPr>
            <w:r>
              <w:rPr>
                <w:rFonts w:eastAsia="Times New Roman" w:cs="Calibri" w:cstheme="minorHAnsi"/>
                <w:sz w:val="17"/>
                <w:szCs w:val="17"/>
              </w:rPr>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 xml:space="preserve">Usvojen prijedlog  Strategije dugoročne obnove zgrada u Federaciji Bosne i Hercegovine za period do 2050. godine i publiciran  </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lineRule="auto" w:line="240" w:before="0" w:after="0"/>
              <w:jc w:val="center"/>
              <w:rPr>
                <w:rFonts w:cs="Calibri" w:cstheme="minorHAnsi"/>
                <w:sz w:val="17"/>
                <w:szCs w:val="17"/>
              </w:rPr>
            </w:pPr>
            <w:r>
              <w:rPr>
                <w:rStyle w:val="StrongEmphasis"/>
                <w:rFonts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
                <w:b/>
                <w:bCs/>
                <w:sz w:val="17"/>
                <w:szCs w:val="17"/>
              </w:rPr>
            </w:pPr>
            <w:r>
              <w:rPr>
                <w:rFonts w:eastAsia="Times New Roman" w:cs="Arial"/>
                <w:b/>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r>
      <w:tr>
        <w:trPr>
          <w:trHeight w:val="20" w:hRule="atLeast"/>
        </w:trPr>
        <w:tc>
          <w:tcPr>
            <w:tcW w:w="3941" w:type="dxa"/>
            <w:gridSpan w:val="2"/>
            <w:vMerge w:val="restart"/>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3.3. Implementacija „Strategije dugoročne obnove zgrada u Federaciji Bosne i Hercegovine za period do 2050. godine“</w:t>
            </w:r>
          </w:p>
        </w:tc>
        <w:tc>
          <w:tcPr>
            <w:tcW w:w="1260" w:type="dxa"/>
            <w:vMerge w:val="restart"/>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rPr>
                <w:rFonts w:cs="Calibri" w:cstheme="minorHAnsi"/>
                <w:sz w:val="17"/>
                <w:szCs w:val="17"/>
              </w:rPr>
            </w:pPr>
            <w:r>
              <w:rPr>
                <w:rFonts w:cs="Calibri" w:cstheme="minorHAnsi"/>
                <w:sz w:val="17"/>
                <w:szCs w:val="17"/>
              </w:rPr>
              <w:t>Izrada vodiča, programa i smjernica za provođenje Strategije te uspostavljanje inventara zgrada i digitalne baze podataka</w:t>
            </w:r>
            <w:r>
              <w:rPr>
                <w:rStyle w:val="FootnoteAnchor"/>
                <w:rFonts w:cs="Calibri" w:cstheme="minorHAnsi"/>
                <w:sz w:val="17"/>
                <w:szCs w:val="17"/>
              </w:rPr>
              <w:footnoteReference w:id="12"/>
            </w:r>
            <w:r>
              <w:rPr>
                <w:rFonts w:cs="Calibri" w:cstheme="minorHAnsi"/>
                <w:sz w:val="17"/>
                <w:szCs w:val="17"/>
              </w:rPr>
              <w:t>, kao i organiziranje seminara, edukacija, konferencija, okruglih stolova i javnih promocija projekata EE.</w:t>
            </w:r>
          </w:p>
        </w:tc>
        <w:tc>
          <w:tcPr>
            <w:tcW w:w="1391"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Style w:val="StrongEmphasis"/>
                <w:rFonts w:cs="Calibri" w:cstheme="minorHAnsi"/>
                <w:b w:val="false"/>
                <w:sz w:val="17"/>
                <w:szCs w:val="17"/>
              </w:rPr>
              <w:t>Sektor za obnovu i zaštitu nacionalnih spomenika i energetsku efikasnost u zgradarstvu</w:t>
            </w:r>
          </w:p>
        </w:tc>
        <w:tc>
          <w:tcPr>
            <w:tcW w:w="539"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w:t>
            </w:r>
          </w:p>
        </w:tc>
        <w:tc>
          <w:tcPr>
            <w:tcW w:w="794"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Da</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bCs/>
                <w:sz w:val="17"/>
                <w:szCs w:val="17"/>
              </w:rPr>
            </w:pPr>
            <w:r>
              <w:rPr>
                <w:bCs/>
                <w:sz w:val="17"/>
                <w:szCs w:val="17"/>
              </w:rPr>
              <w:t>Budžetska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bCs/>
                <w:sz w:val="17"/>
                <w:szCs w:val="17"/>
              </w:rPr>
            </w:pPr>
            <w:r>
              <w:rPr>
                <w:bCs/>
                <w:sz w:val="17"/>
                <w:szCs w:val="17"/>
              </w:rPr>
              <w:t>Kreditna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bCs/>
                <w:sz w:val="17"/>
                <w:szCs w:val="17"/>
              </w:rPr>
            </w:pPr>
            <w:r>
              <w:rPr>
                <w:bCs/>
                <w:sz w:val="17"/>
                <w:szCs w:val="17"/>
              </w:rPr>
              <w:t>Sredstva EU</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bCs/>
                <w:sz w:val="17"/>
                <w:szCs w:val="17"/>
              </w:rPr>
            </w:pPr>
            <w:r>
              <w:rPr>
                <w:bCs/>
                <w:sz w:val="17"/>
                <w:szCs w:val="17"/>
              </w:rPr>
              <w:t>Ostale donacije</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bCs/>
                <w:sz w:val="17"/>
                <w:szCs w:val="17"/>
              </w:rPr>
            </w:pPr>
            <w:r>
              <w:rPr>
                <w:bCs/>
                <w:sz w:val="17"/>
                <w:szCs w:val="17"/>
              </w:rPr>
              <w:t>Ostala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b/>
                <w:b/>
                <w:bCs/>
                <w:sz w:val="17"/>
                <w:szCs w:val="17"/>
              </w:rPr>
            </w:pPr>
            <w:r>
              <w:rPr>
                <w:rFonts w:eastAsia="Times New Roman" w:cs="Arial"/>
                <w:b/>
                <w:bCs/>
                <w:sz w:val="17"/>
                <w:szCs w:val="17"/>
              </w:rPr>
              <w:t>Ukupno</w:t>
            </w:r>
          </w:p>
        </w:tc>
        <w:tc>
          <w:tcPr>
            <w:tcW w:w="1145"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220"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c>
          <w:tcPr>
            <w:tcW w:w="1140"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3.4.</w:t>
            </w:r>
            <w:r>
              <w:rPr>
                <w:rFonts w:cs="Calibri" w:cstheme="minorHAnsi"/>
                <w:sz w:val="17"/>
                <w:szCs w:val="17"/>
              </w:rPr>
              <w:t xml:space="preserve"> </w:t>
            </w:r>
            <w:r>
              <w:rPr>
                <w:rFonts w:eastAsia="Times New Roman" w:cs="Calibri" w:cstheme="minorHAnsi"/>
                <w:sz w:val="17"/>
                <w:szCs w:val="17"/>
              </w:rPr>
              <w:t>Program utroška sredstava sa kriterijima raspodjele sredstava “Tekući transferi drugim razinama vlasti i fondovima — za projekat utopljavanja zgrada radi uštede energije"</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eastAsia="Times New Roman" w:cs="Calibri" w:cstheme="minorHAnsi"/>
                <w:bCs/>
                <w:sz w:val="17"/>
                <w:szCs w:val="17"/>
              </w:rPr>
            </w:pPr>
            <w:r>
              <w:rPr>
                <w:rFonts w:eastAsia="Times New Roman" w:cs="Calibri" w:cstheme="minorHAnsi"/>
                <w:bCs/>
                <w:sz w:val="17"/>
                <w:szCs w:val="17"/>
              </w:rPr>
            </w:r>
          </w:p>
          <w:p>
            <w:pPr>
              <w:pStyle w:val="ListParagraph"/>
              <w:widowControl w:val="false"/>
              <w:spacing w:lineRule="auto" w:line="240" w:before="0" w:after="0"/>
              <w:ind w:left="72" w:hanging="0"/>
              <w:contextualSpacing/>
              <w:jc w:val="center"/>
              <w:rPr>
                <w:rFonts w:eastAsia="Times New Roman" w:cs="Calibri" w:cstheme="minorHAnsi"/>
                <w:bCs/>
                <w:sz w:val="17"/>
                <w:szCs w:val="17"/>
              </w:rPr>
            </w:pPr>
            <w:r>
              <w:rPr>
                <w:rFonts w:eastAsia="Times New Roman" w:cs="Calibri" w:cstheme="minorHAnsi"/>
                <w:bCs/>
                <w:sz w:val="17"/>
                <w:szCs w:val="17"/>
              </w:rPr>
            </w:r>
          </w:p>
          <w:p>
            <w:pPr>
              <w:pStyle w:val="ListParagraph"/>
              <w:widowControl w:val="false"/>
              <w:spacing w:lineRule="auto" w:line="240" w:before="0" w:after="0"/>
              <w:ind w:left="72" w:hanging="0"/>
              <w:contextualSpacing/>
              <w:jc w:val="center"/>
              <w:rPr>
                <w:rFonts w:eastAsia="Times New Roman" w:cs="Calibri" w:cstheme="minorHAnsi"/>
                <w:bCs/>
                <w:sz w:val="17"/>
                <w:szCs w:val="17"/>
              </w:rPr>
            </w:pPr>
            <w:r>
              <w:rPr>
                <w:rFonts w:eastAsia="Times New Roman" w:cs="Calibri" w:cstheme="minorHAnsi"/>
                <w:bCs/>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eastAsia="Times New Roman" w:cs="Calibri" w:cstheme="minorHAnsi"/>
                <w:bCs/>
                <w:sz w:val="17"/>
                <w:szCs w:val="17"/>
              </w:rPr>
              <w:t>100% implementiran Program</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Style w:val="StrongEmphasis"/>
                <w:rFonts w:eastAsia="Times New Roman" w:cs="Calibri" w:cstheme="minorHAnsi"/>
                <w:b w:val="false"/>
                <w:b w:val="false"/>
                <w:sz w:val="17"/>
                <w:szCs w:val="17"/>
              </w:rPr>
            </w:pPr>
            <w:r>
              <w:rPr>
                <w:rFonts w:eastAsia="Times New Roman" w:cs="Calibri" w:cstheme="minorHAnsi"/>
                <w:b w:val="false"/>
                <w:sz w:val="17"/>
                <w:szCs w:val="17"/>
              </w:rPr>
            </w:r>
          </w:p>
          <w:p>
            <w:pPr>
              <w:pStyle w:val="Normal"/>
              <w:widowControl w:val="false"/>
              <w:spacing w:lineRule="auto" w:line="240" w:before="0" w:after="0"/>
              <w:jc w:val="center"/>
              <w:rPr>
                <w:rFonts w:cs="Calibri" w:cstheme="minorHAnsi"/>
                <w:sz w:val="17"/>
                <w:szCs w:val="17"/>
              </w:rPr>
            </w:pPr>
            <w:r>
              <w:rPr>
                <w:rStyle w:val="StrongEmphasis"/>
                <w:rFonts w:eastAsia="Times New Roman"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bCs/>
                <w:sz w:val="17"/>
                <w:szCs w:val="17"/>
              </w:rPr>
            </w:pPr>
            <w:r>
              <w:rPr>
                <w:rFonts w:eastAsia="Times New Roman" w:cs="Calibri" w:cstheme="minorHAnsi"/>
                <w:bCs/>
                <w:sz w:val="17"/>
                <w:szCs w:val="17"/>
              </w:rPr>
              <w:t>3</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bCs/>
                <w:sz w:val="17"/>
                <w:szCs w:val="17"/>
              </w:rPr>
            </w:pPr>
            <w:r>
              <w:rPr>
                <w:rFonts w:eastAsia="Times New Roman" w:cs="Calibri" w:cstheme="minorHAnsi"/>
                <w:bCs/>
                <w:sz w:val="17"/>
                <w:szCs w:val="17"/>
              </w:rPr>
              <w:t>2,9</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bCs/>
                <w:sz w:val="17"/>
                <w:szCs w:val="17"/>
              </w:rPr>
            </w:pPr>
            <w:r>
              <w:rPr>
                <w:rFonts w:eastAsia="Times New Roman" w:cs="Calibri" w:cstheme="minorHAnsi"/>
                <w:bCs/>
                <w:sz w:val="17"/>
                <w:szCs w:val="17"/>
              </w:rPr>
              <w:t>3,235</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444"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 xml:space="preserve">3 </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 xml:space="preserve">2,9 </w:t>
            </w:r>
          </w:p>
        </w:tc>
        <w:tc>
          <w:tcPr>
            <w:tcW w:w="114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 xml:space="preserve">3,235 </w:t>
            </w:r>
          </w:p>
        </w:tc>
      </w:tr>
      <w:tr>
        <w:trPr>
          <w:trHeight w:val="20" w:hRule="atLeast"/>
        </w:trPr>
        <w:tc>
          <w:tcPr>
            <w:tcW w:w="3941" w:type="dxa"/>
            <w:gridSpan w:val="2"/>
            <w:vMerge w:val="restart"/>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3.5.</w:t>
            </w:r>
            <w:r>
              <w:rPr>
                <w:rFonts w:cs="Calibri" w:cstheme="minorHAnsi"/>
                <w:sz w:val="17"/>
                <w:szCs w:val="17"/>
              </w:rPr>
              <w:t xml:space="preserve"> </w:t>
            </w:r>
            <w:r>
              <w:rPr>
                <w:rFonts w:eastAsia="Times New Roman" w:cs="Calibri" w:cstheme="minorHAnsi"/>
                <w:sz w:val="17"/>
                <w:szCs w:val="17"/>
              </w:rPr>
              <w:t>Uspostava i funkcioniranje Web registra energ.certifikata po principu Web platforme</w:t>
            </w:r>
          </w:p>
        </w:tc>
        <w:tc>
          <w:tcPr>
            <w:tcW w:w="1260" w:type="dxa"/>
            <w:vMerge w:val="restart"/>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2005-2027.</w:t>
            </w:r>
          </w:p>
        </w:tc>
        <w:tc>
          <w:tcPr>
            <w:tcW w:w="1980"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t>100% funkcionalan Web  registar energijskih certifikata</w:t>
            </w:r>
          </w:p>
        </w:tc>
        <w:tc>
          <w:tcPr>
            <w:tcW w:w="1391"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obnovu i zaštitu nacionalnih spomenika i energetsku efikasnost u zgradarstvu</w:t>
            </w:r>
          </w:p>
        </w:tc>
        <w:tc>
          <w:tcPr>
            <w:tcW w:w="539" w:type="dxa"/>
            <w:vMerge w:val="restart"/>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rPr>
                <w:rFonts w:eastAsia="Times New Roman" w:cs="Calibri" w:cstheme="minorHAnsi"/>
                <w:sz w:val="17"/>
                <w:szCs w:val="17"/>
              </w:rPr>
            </w:pPr>
            <w:r>
              <w:rPr>
                <w:rFonts w:eastAsia="Times New Roman" w:cs="Calibri" w:cstheme="minorHAnsi"/>
                <w:sz w:val="17"/>
                <w:szCs w:val="17"/>
              </w:rPr>
            </w:r>
          </w:p>
          <w:p>
            <w:pPr>
              <w:pStyle w:val="Normal"/>
              <w:widowControl w:val="false"/>
              <w:rPr>
                <w:rFonts w:eastAsia="Times New Roman" w:cs="Calibri" w:cstheme="minorHAnsi"/>
                <w:sz w:val="17"/>
                <w:szCs w:val="17"/>
              </w:rPr>
            </w:pPr>
            <w:r>
              <w:rPr>
                <w:rFonts w:eastAsia="Times New Roman" w:cs="Calibri" w:cstheme="minorHAnsi"/>
                <w:sz w:val="17"/>
                <w:szCs w:val="17"/>
              </w:rPr>
            </w:r>
          </w:p>
          <w:p>
            <w:pPr>
              <w:pStyle w:val="Normal"/>
              <w:widowControl w:val="false"/>
              <w:spacing w:before="0" w:after="16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0,076</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0,076</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0,076</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Kreditna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Sredstva EU</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Ostale donacije</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Ostala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Ukupno</w:t>
            </w:r>
          </w:p>
        </w:tc>
        <w:tc>
          <w:tcPr>
            <w:tcW w:w="1145"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0,076</w:t>
            </w:r>
          </w:p>
        </w:tc>
        <w:tc>
          <w:tcPr>
            <w:tcW w:w="1220"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0,076</w:t>
            </w:r>
          </w:p>
        </w:tc>
        <w:tc>
          <w:tcPr>
            <w:tcW w:w="1140"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0,076</w:t>
            </w:r>
          </w:p>
        </w:tc>
      </w:tr>
      <w:tr>
        <w:trPr>
          <w:trHeight w:val="20" w:hRule="atLeast"/>
        </w:trPr>
        <w:tc>
          <w:tcPr>
            <w:tcW w:w="3941" w:type="dxa"/>
            <w:gridSpan w:val="2"/>
            <w:vMerge w:val="restart"/>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3.6</w:t>
            </w:r>
            <w:r>
              <w:rPr>
                <w:rFonts w:cs="Calibri" w:cstheme="minorHAnsi"/>
                <w:sz w:val="17"/>
                <w:szCs w:val="17"/>
              </w:rPr>
              <w:t xml:space="preserve"> </w:t>
            </w:r>
            <w:r>
              <w:rPr>
                <w:rFonts w:eastAsia="Times New Roman" w:cs="Calibri" w:cstheme="minorHAnsi"/>
                <w:sz w:val="17"/>
                <w:szCs w:val="17"/>
              </w:rPr>
              <w:t xml:space="preserve">Realizacija Operativnog  plana poboljšanja energijeske efikasnosti u institucijama FBIH </w:t>
            </w:r>
          </w:p>
        </w:tc>
        <w:tc>
          <w:tcPr>
            <w:tcW w:w="1260" w:type="dxa"/>
            <w:vMerge w:val="restart"/>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Broj energetski obnovljenih objekata</w:t>
            </w:r>
          </w:p>
        </w:tc>
        <w:tc>
          <w:tcPr>
            <w:tcW w:w="1391"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Style w:val="StrongEmphasis"/>
                <w:rFonts w:eastAsia="Times New Roman" w:cs="Calibri" w:cstheme="minorHAnsi"/>
                <w:b w:val="false"/>
                <w:b w:val="false"/>
                <w:sz w:val="17"/>
                <w:szCs w:val="17"/>
              </w:rPr>
            </w:pPr>
            <w:r>
              <w:rPr>
                <w:rStyle w:val="StrongEmphasis"/>
                <w:rFonts w:eastAsia="Times New Roman" w:cs="Calibri" w:cstheme="minorHAnsi"/>
                <w:b w:val="false"/>
                <w:sz w:val="17"/>
                <w:szCs w:val="17"/>
              </w:rPr>
              <w:t>Sektor za obnovu i zaštitu nacionalnih spomenika i energetsku efikasnost u zgradarstvu</w:t>
            </w:r>
          </w:p>
          <w:p>
            <w:pPr>
              <w:pStyle w:val="Normal"/>
              <w:widowControl w:val="false"/>
              <w:spacing w:lineRule="auto" w:line="240" w:before="0" w:after="0"/>
              <w:jc w:val="center"/>
              <w:rPr>
                <w:rFonts w:cs="Calibri" w:cstheme="minorHAnsi"/>
                <w:sz w:val="17"/>
                <w:szCs w:val="17"/>
              </w:rPr>
            </w:pPr>
            <w:r>
              <w:rPr>
                <w:rFonts w:cs="Calibri" w:cstheme="minorHAnsi"/>
                <w:sz w:val="17"/>
                <w:szCs w:val="17"/>
              </w:rPr>
              <w:t xml:space="preserve"> </w:t>
            </w:r>
            <w:r>
              <w:rPr>
                <w:rFonts w:cs="Calibri" w:cstheme="minorHAnsi"/>
                <w:sz w:val="17"/>
                <w:szCs w:val="17"/>
              </w:rPr>
              <w:t>I</w:t>
            </w:r>
          </w:p>
          <w:p>
            <w:pPr>
              <w:pStyle w:val="Normal"/>
              <w:widowControl w:val="false"/>
              <w:spacing w:lineRule="auto" w:line="240" w:before="0" w:after="0"/>
              <w:jc w:val="center"/>
              <w:rPr>
                <w:rFonts w:cs="Calibri" w:cstheme="minorHAnsi"/>
                <w:sz w:val="17"/>
                <w:szCs w:val="17"/>
              </w:rPr>
            </w:pPr>
            <w:r>
              <w:rPr>
                <w:rFonts w:cs="Calibri" w:cstheme="minorHAnsi"/>
                <w:sz w:val="17"/>
                <w:szCs w:val="17"/>
              </w:rPr>
              <w:t>Jedinica za implementaciju projekata</w:t>
            </w:r>
          </w:p>
        </w:tc>
        <w:tc>
          <w:tcPr>
            <w:tcW w:w="539" w:type="dxa"/>
            <w:vMerge w:val="restart"/>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rPr>
                <w:rFonts w:eastAsia="Times New Roman" w:cs="Calibri" w:cstheme="minorHAnsi"/>
                <w:sz w:val="17"/>
                <w:szCs w:val="17"/>
              </w:rPr>
            </w:pPr>
            <w:r>
              <w:rPr>
                <w:rFonts w:eastAsia="Times New Roman" w:cs="Calibri" w:cstheme="minorHAnsi"/>
                <w:sz w:val="17"/>
                <w:szCs w:val="17"/>
              </w:rPr>
            </w:r>
          </w:p>
          <w:p>
            <w:pPr>
              <w:pStyle w:val="Normal"/>
              <w:widowControl w:val="false"/>
              <w:spacing w:before="0" w:after="16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Arial"/>
                <w:bCs/>
                <w:sz w:val="17"/>
                <w:szCs w:val="17"/>
              </w:rPr>
            </w:pPr>
            <w:r>
              <w:rPr>
                <w:rFonts w:eastAsia="Times New Roman" w:cs="Arial"/>
                <w:bCs/>
                <w:sz w:val="17"/>
                <w:szCs w:val="17"/>
              </w:rPr>
              <w:t>Budžetska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5,884575</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2,0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3,0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Style w:val="FootnoteAnchor"/>
                <w:rFonts w:eastAsia="Times New Roman" w:cs="Calibri" w:cstheme="minorHAnsi"/>
                <w:sz w:val="17"/>
                <w:szCs w:val="17"/>
              </w:rPr>
              <w:footnoteReference w:id="13"/>
            </w:r>
            <w:r>
              <w:rPr>
                <w:rFonts w:eastAsia="Times New Roman" w:cs="Calibri" w:cstheme="minorHAnsi"/>
                <w:sz w:val="17"/>
                <w:szCs w:val="17"/>
              </w:rPr>
              <w:t>19,546076</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7,0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7,0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9,0</w:t>
            </w:r>
          </w:p>
        </w:tc>
        <w:tc>
          <w:tcPr>
            <w:tcW w:w="1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10,0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spacing w:lineRule="auto" w:line="240" w:before="0" w:after="0"/>
              <w:ind w:left="360" w:hanging="0"/>
              <w:contextualSpacing/>
              <w:jc w:val="center"/>
              <w:rPr>
                <w:rFonts w:cs="Calibri" w:cstheme="minorHAnsi"/>
                <w:sz w:val="17"/>
                <w:szCs w:val="17"/>
              </w:rPr>
            </w:pPr>
            <w:r>
              <w:rPr>
                <w:rFonts w:cs="Calibri" w:cstheme="minorHAnsi"/>
                <w:sz w:val="17"/>
                <w:szCs w:val="17"/>
              </w:rPr>
            </w:r>
          </w:p>
        </w:tc>
        <w:tc>
          <w:tcPr>
            <w:tcW w:w="139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Ukupno</w:t>
            </w:r>
          </w:p>
        </w:tc>
        <w:tc>
          <w:tcPr>
            <w:tcW w:w="1145"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iCs/>
                <w:sz w:val="17"/>
                <w:szCs w:val="17"/>
              </w:rPr>
            </w:pPr>
            <w:r>
              <w:rPr>
                <w:rFonts w:eastAsia="Times New Roman" w:cs="Calibri" w:cstheme="minorHAnsi"/>
                <w:b/>
                <w:bCs/>
                <w:iCs/>
                <w:sz w:val="17"/>
                <w:szCs w:val="17"/>
              </w:rPr>
              <w:t>25,430651</w:t>
            </w:r>
          </w:p>
        </w:tc>
        <w:tc>
          <w:tcPr>
            <w:tcW w:w="1220" w:type="dxa"/>
            <w:tcBorders>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18,00</w:t>
            </w:r>
          </w:p>
        </w:tc>
        <w:tc>
          <w:tcPr>
            <w:tcW w:w="1140"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20,0</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3.7 Provedba projekata energijske efikasnosti u zgradama javne namjene KfW projekat</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Proveden i okončan projekat, sa očekivanim brojem energetski obnovljenih objekata</w:t>
            </w:r>
          </w:p>
        </w:tc>
        <w:tc>
          <w:tcPr>
            <w:tcW w:w="139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Jedinica za implementaciju projekata</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rPr>
                <w:rFonts w:eastAsia="Times New Roman" w:cs="Calibri" w:cstheme="minorHAnsi"/>
                <w:sz w:val="17"/>
                <w:szCs w:val="17"/>
              </w:rPr>
            </w:pPr>
            <w:r>
              <w:rPr>
                <w:rFonts w:eastAsia="Times New Roman" w:cs="Calibri" w:cstheme="minorHAnsi"/>
                <w:sz w:val="17"/>
                <w:szCs w:val="17"/>
              </w:rPr>
            </w:r>
          </w:p>
          <w:p>
            <w:pPr>
              <w:pStyle w:val="Normal"/>
              <w:widowControl w:val="false"/>
              <w:rPr>
                <w:rFonts w:eastAsia="Times New Roman" w:cs="Calibri" w:cstheme="minorHAnsi"/>
                <w:sz w:val="17"/>
                <w:szCs w:val="17"/>
              </w:rPr>
            </w:pPr>
            <w:r>
              <w:rPr>
                <w:rFonts w:eastAsia="Times New Roman" w:cs="Calibri" w:cstheme="minorHAnsi"/>
                <w:sz w:val="17"/>
                <w:szCs w:val="17"/>
              </w:rPr>
            </w:r>
          </w:p>
          <w:p>
            <w:pPr>
              <w:pStyle w:val="Normal"/>
              <w:widowControl w:val="false"/>
              <w:spacing w:before="0" w:after="16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 xml:space="preserve">     </w:t>
            </w: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1,57</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1,03</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0,85</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highlight w:val="yellow"/>
              </w:rPr>
            </w:pPr>
            <w:r>
              <w:rPr>
                <w:rFonts w:cs="Calibri" w:cstheme="minorHAnsi"/>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highlight w:val="yellow"/>
              </w:rPr>
            </w:pPr>
            <w:r>
              <w:rPr>
                <w:rFonts w:cs="Calibri" w:cstheme="minorHAnsi"/>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highlight w:val="yellow"/>
              </w:rPr>
            </w:pPr>
            <w:r>
              <w:rPr>
                <w:rFonts w:cs="Calibri" w:cstheme="minorHAnsi"/>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highlight w:val="yellow"/>
              </w:rPr>
            </w:pPr>
            <w:r>
              <w:rPr>
                <w:rFonts w:cs="Calibri" w:cstheme="minorHAnsi"/>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highlight w:val="yellow"/>
              </w:rPr>
            </w:pPr>
            <w:r>
              <w:rPr>
                <w:rFonts w:cs="Calibri" w:cstheme="minorHAnsi"/>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highlight w:val="yellow"/>
              </w:rPr>
            </w:pPr>
            <w:r>
              <w:rPr>
                <w:rFonts w:cs="Calibri" w:cstheme="minorHAnsi"/>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9</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6,05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highlight w:val="yellow"/>
              </w:rPr>
            </w:pPr>
            <w:r>
              <w:rPr>
                <w:rFonts w:cs="Calibri" w:cstheme="minorHAnsi"/>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highlight w:val="yellow"/>
              </w:rPr>
            </w:pPr>
            <w:r>
              <w:rPr>
                <w:rFonts w:cs="Calibri" w:cstheme="minorHAnsi"/>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highlight w:val="yellow"/>
              </w:rPr>
            </w:pPr>
            <w:r>
              <w:rPr>
                <w:rFonts w:cs="Calibri" w:cstheme="minorHAnsi"/>
                <w:sz w:val="17"/>
                <w:szCs w:val="17"/>
                <w:highlight w:val="yellow"/>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cs="Calibri" w:cstheme="minorHAnsi"/>
                <w:sz w:val="17"/>
                <w:szCs w:val="17"/>
                <w:highlight w:val="yellow"/>
              </w:rPr>
            </w:pPr>
            <w:r>
              <w:rPr>
                <w:rFonts w:cs="Calibri" w:cstheme="minorHAnsi"/>
                <w:sz w:val="17"/>
                <w:szCs w:val="17"/>
                <w:highlight w:val="yellow"/>
              </w:rPr>
            </w:r>
          </w:p>
        </w:tc>
        <w:tc>
          <w:tcPr>
            <w:tcW w:w="139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sz w:val="17"/>
                <w:szCs w:val="17"/>
                <w:highlight w:val="yellow"/>
              </w:rPr>
            </w:pPr>
            <w:r>
              <w:rPr>
                <w:rFonts w:cs="Calibri" w:cstheme="minorHAnsi"/>
                <w:sz w:val="17"/>
                <w:szCs w:val="17"/>
                <w:highlight w:val="yellow"/>
              </w:rPr>
            </w:r>
          </w:p>
        </w:tc>
        <w:tc>
          <w:tcPr>
            <w:tcW w:w="794"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cs="Calibri" w:cstheme="minorHAnsi"/>
                <w:bCs/>
                <w:sz w:val="17"/>
                <w:szCs w:val="17"/>
                <w:highlight w:val="yellow"/>
              </w:rPr>
            </w:pPr>
            <w:r>
              <w:rPr>
                <w:rFonts w:cs="Calibri" w:cstheme="minorHAnsi"/>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rPr>
                <w:rFonts w:ascii="Calibri" w:hAnsi="Calibri" w:cs="Arial"/>
                <w:b/>
                <w:b/>
                <w:bCs/>
                <w:sz w:val="17"/>
                <w:szCs w:val="17"/>
              </w:rPr>
            </w:pPr>
            <w:r>
              <w:rPr>
                <w:rFonts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iCs/>
                <w:sz w:val="17"/>
                <w:szCs w:val="17"/>
              </w:rPr>
            </w:pPr>
            <w:r>
              <w:rPr>
                <w:rFonts w:eastAsia="Times New Roman" w:cs="Calibri" w:cstheme="minorHAnsi"/>
                <w:b/>
                <w:bCs/>
                <w:iCs/>
                <w:sz w:val="17"/>
                <w:szCs w:val="17"/>
              </w:rPr>
              <w:t>10,57</w:t>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cs="Calibri" w:cstheme="minorHAnsi"/>
                <w:b/>
                <w:b/>
                <w:bCs/>
                <w:sz w:val="17"/>
                <w:szCs w:val="17"/>
              </w:rPr>
            </w:pPr>
            <w:r>
              <w:rPr>
                <w:rFonts w:cs="Calibri"/>
                <w:b/>
                <w:sz w:val="17"/>
                <w:szCs w:val="17"/>
              </w:rPr>
              <w:t>7,08</w:t>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cs="Calibri" w:cstheme="minorHAnsi"/>
                <w:b/>
                <w:b/>
                <w:bCs/>
                <w:sz w:val="17"/>
                <w:szCs w:val="17"/>
              </w:rPr>
            </w:pPr>
            <w:r>
              <w:rPr>
                <w:rFonts w:cs="Calibri"/>
                <w:b/>
                <w:sz w:val="17"/>
                <w:szCs w:val="17"/>
              </w:rPr>
              <w:t>0,85</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3.8. Povećanje ulaganja u javne objekte sa niskom stopom emisije ugljendioksida u Bosni i Hercegovini iz iz sredstava grantova Zelenog klimatskog fonda GCF-a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Broj energetski obnovljenih objekata</w:t>
            </w:r>
          </w:p>
        </w:tc>
        <w:tc>
          <w:tcPr>
            <w:tcW w:w="139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 xml:space="preserve"> </w:t>
            </w:r>
            <w:r>
              <w:rPr>
                <w:rFonts w:cs="Calibri" w:cstheme="minorHAnsi"/>
                <w:sz w:val="17"/>
                <w:szCs w:val="17"/>
              </w:rPr>
              <w:t>Jedinica za implementaciju projekata</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0,342717</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0,67</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highlight w:val="yellow"/>
              </w:rPr>
            </w:pPr>
            <w:r>
              <w:rPr>
                <w:rFonts w:cs="Arial"/>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highlight w:val="yellow"/>
              </w:rPr>
            </w:pPr>
            <w:r>
              <w:rPr>
                <w:rFonts w:cs="Arial"/>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highlight w:val="yellow"/>
              </w:rPr>
            </w:pPr>
            <w:r>
              <w:rPr>
                <w:rFonts w:cs="Arial"/>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highlight w:val="yellow"/>
              </w:rPr>
            </w:pPr>
            <w:r>
              <w:rPr>
                <w:rFonts w:cs="Arial"/>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highlight w:val="yellow"/>
              </w:rPr>
            </w:pPr>
            <w:r>
              <w:rPr>
                <w:rFonts w:cs="Arial"/>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highlight w:val="yellow"/>
              </w:rPr>
            </w:pPr>
            <w:r>
              <w:rPr>
                <w:rFonts w:cs="Arial"/>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cs="Arial"/>
                <w:bCs/>
                <w:sz w:val="17"/>
                <w:szCs w:val="17"/>
              </w:rPr>
            </w:pPr>
            <w:r>
              <w:rPr>
                <w:rFonts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2,36597</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0,15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highlight w:val="yellow"/>
              </w:rPr>
            </w:pPr>
            <w:r>
              <w:rPr>
                <w:rFonts w:cs="Arial"/>
                <w:sz w:val="17"/>
                <w:szCs w:val="17"/>
                <w:highlight w:val="yellow"/>
              </w:rPr>
            </w:r>
          </w:p>
        </w:tc>
        <w:tc>
          <w:tcPr>
            <w:tcW w:w="1260"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1980" w:type="dxa"/>
            <w:vMerge w:val="continue"/>
            <w:tcBorders>
              <w:left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highlight w:val="yellow"/>
              </w:rPr>
            </w:pPr>
            <w:r>
              <w:rPr>
                <w:rFonts w:cs="Arial"/>
                <w:sz w:val="17"/>
                <w:szCs w:val="17"/>
                <w:highlight w:val="yellow"/>
              </w:rPr>
            </w:r>
          </w:p>
        </w:tc>
        <w:tc>
          <w:tcPr>
            <w:tcW w:w="1391" w:type="dxa"/>
            <w:vMerge w:val="continue"/>
            <w:tcBorders>
              <w:left w:val="single" w:sz="4" w:space="0" w:color="000000"/>
              <w:right w:val="single" w:sz="4" w:space="0" w:color="000000"/>
            </w:tcBorders>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539"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794" w:type="dxa"/>
            <w:vMerge w:val="continue"/>
            <w:tcBorders>
              <w:left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cs="Calibr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cs="Calibri"/>
                <w:sz w:val="17"/>
                <w:szCs w:val="17"/>
              </w:rPr>
              <w:t>0</w:t>
            </w:r>
          </w:p>
        </w:tc>
      </w:tr>
      <w:tr>
        <w:trPr>
          <w:trHeight w:val="20" w:hRule="atLeast"/>
        </w:trPr>
        <w:tc>
          <w:tcPr>
            <w:tcW w:w="3941" w:type="dxa"/>
            <w:gridSpan w:val="2"/>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cs="Arial"/>
                <w:sz w:val="17"/>
                <w:szCs w:val="17"/>
                <w:highlight w:val="yellow"/>
              </w:rPr>
            </w:pPr>
            <w:r>
              <w:rPr>
                <w:rFonts w:cs="Arial"/>
                <w:sz w:val="17"/>
                <w:szCs w:val="17"/>
                <w:highlight w:val="yellow"/>
              </w:rPr>
            </w:r>
          </w:p>
        </w:tc>
        <w:tc>
          <w:tcPr>
            <w:tcW w:w="1260"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1980" w:type="dxa"/>
            <w:vMerge w:val="continue"/>
            <w:tcBorders>
              <w:left w:val="single" w:sz="4" w:space="0" w:color="000000"/>
              <w:bottom w:val="single" w:sz="4" w:space="0" w:color="000000"/>
              <w:right w:val="single" w:sz="4" w:space="0" w:color="000000"/>
            </w:tcBorders>
          </w:tcPr>
          <w:p>
            <w:pPr>
              <w:pStyle w:val="ListParagraph"/>
              <w:widowControl w:val="false"/>
              <w:numPr>
                <w:ilvl w:val="0"/>
                <w:numId w:val="2"/>
              </w:numPr>
              <w:spacing w:lineRule="auto" w:line="240" w:before="0" w:after="0"/>
              <w:ind w:left="72" w:hanging="72"/>
              <w:contextualSpacing/>
              <w:jc w:val="center"/>
              <w:rPr>
                <w:rFonts w:ascii="Calibri" w:hAnsi="Calibri" w:cs="Arial"/>
                <w:sz w:val="17"/>
                <w:szCs w:val="17"/>
                <w:highlight w:val="yellow"/>
              </w:rPr>
            </w:pPr>
            <w:r>
              <w:rPr>
                <w:rFonts w:cs="Arial"/>
                <w:sz w:val="17"/>
                <w:szCs w:val="17"/>
                <w:highlight w:val="yellow"/>
              </w:rPr>
            </w:r>
          </w:p>
        </w:tc>
        <w:tc>
          <w:tcPr>
            <w:tcW w:w="1391"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539"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sz w:val="17"/>
                <w:szCs w:val="17"/>
                <w:highlight w:val="yellow"/>
              </w:rPr>
            </w:pPr>
            <w:r>
              <w:rPr>
                <w:rFonts w:cs="Arial"/>
                <w:sz w:val="17"/>
                <w:szCs w:val="17"/>
                <w:highlight w:val="yellow"/>
              </w:rPr>
            </w:r>
          </w:p>
        </w:tc>
        <w:tc>
          <w:tcPr>
            <w:tcW w:w="794" w:type="dxa"/>
            <w:vMerge w:val="continue"/>
            <w:tcBorders>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ascii="Calibri" w:hAnsi="Calibri" w:cs="Arial"/>
                <w:bCs/>
                <w:sz w:val="17"/>
                <w:szCs w:val="17"/>
                <w:highlight w:val="yellow"/>
              </w:rPr>
            </w:pPr>
            <w:r>
              <w:rPr>
                <w:rFonts w:cs="Arial"/>
                <w:bCs/>
                <w:sz w:val="17"/>
                <w:szCs w:val="17"/>
                <w:highlight w:val="yellow"/>
              </w:rPr>
            </w:r>
          </w:p>
        </w:tc>
        <w:tc>
          <w:tcPr>
            <w:tcW w:w="10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cs="Arial"/>
                <w:b/>
                <w:b/>
                <w:bCs/>
                <w:sz w:val="17"/>
                <w:szCs w:val="17"/>
              </w:rPr>
            </w:pPr>
            <w:r>
              <w:rPr>
                <w:rFonts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iCs/>
                <w:sz w:val="17"/>
                <w:szCs w:val="17"/>
              </w:rPr>
            </w:pPr>
            <w:r>
              <w:rPr>
                <w:rFonts w:eastAsia="Times New Roman" w:cs="Calibri" w:cstheme="minorHAnsi"/>
                <w:b/>
                <w:iCs/>
                <w:sz w:val="17"/>
                <w:szCs w:val="17"/>
              </w:rPr>
              <w:t>2,708687</w:t>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cs="Calibri" w:cstheme="minorHAnsi"/>
                <w:b/>
                <w:b/>
                <w:bCs/>
                <w:sz w:val="17"/>
                <w:szCs w:val="17"/>
              </w:rPr>
            </w:pPr>
            <w:r>
              <w:rPr>
                <w:rFonts w:cs="Calibri"/>
                <w:b/>
                <w:sz w:val="17"/>
                <w:szCs w:val="17"/>
              </w:rPr>
              <w:t>0,82</w:t>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cs="Calibri" w:cstheme="minorHAnsi"/>
                <w:b/>
                <w:b/>
                <w:bCs/>
                <w:sz w:val="17"/>
                <w:szCs w:val="17"/>
              </w:rPr>
            </w:pPr>
            <w:r>
              <w:rPr>
                <w:rFonts w:cs="Calibri"/>
                <w:b/>
                <w:sz w:val="17"/>
                <w:szCs w:val="17"/>
              </w:rPr>
              <w:t>0</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Arial"/>
                <w:b/>
                <w:b/>
                <w:bCs/>
                <w:sz w:val="17"/>
                <w:szCs w:val="17"/>
              </w:rPr>
            </w:pPr>
            <w:r>
              <w:rPr>
                <w:rFonts w:eastAsia="Times New Roman" w:cs="Arial"/>
                <w:b/>
                <w:bCs/>
                <w:sz w:val="17"/>
                <w:szCs w:val="17"/>
              </w:rPr>
              <w:t>Ukupno za program (mjeru) 3.</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10,923292</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6,726</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7,211</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30,912046</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13,2</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7,0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9,0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10,0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41,835338</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28,926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24,211</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b/>
                <w:b/>
                <w:sz w:val="17"/>
                <w:szCs w:val="17"/>
              </w:rPr>
            </w:pPr>
            <w:r>
              <w:rPr>
                <w:rFonts w:eastAsia="Times New Roman" w:cs="Arial"/>
                <w:b/>
                <w:sz w:val="17"/>
                <w:szCs w:val="17"/>
              </w:rPr>
            </w:r>
          </w:p>
          <w:p>
            <w:pPr>
              <w:pStyle w:val="Normal"/>
              <w:widowControl w:val="false"/>
              <w:spacing w:lineRule="auto" w:line="240" w:before="0" w:after="0"/>
              <w:jc w:val="center"/>
              <w:rPr>
                <w:rFonts w:eastAsia="Times New Roman" w:cs="Arial"/>
                <w:b/>
                <w:b/>
                <w:sz w:val="17"/>
                <w:szCs w:val="17"/>
              </w:rPr>
            </w:pPr>
            <w:r>
              <w:rPr>
                <w:rFonts w:eastAsia="Times New Roman" w:cs="Arial"/>
                <w:b/>
                <w:sz w:val="17"/>
                <w:szCs w:val="17"/>
              </w:rPr>
            </w:r>
          </w:p>
          <w:p>
            <w:pPr>
              <w:pStyle w:val="Normal"/>
              <w:widowControl w:val="false"/>
              <w:spacing w:lineRule="auto" w:line="240" w:before="0" w:after="0"/>
              <w:jc w:val="center"/>
              <w:rPr>
                <w:rFonts w:eastAsia="Times New Roman" w:cs="Arial"/>
                <w:b/>
                <w:b/>
                <w:sz w:val="17"/>
                <w:szCs w:val="17"/>
              </w:rPr>
            </w:pPr>
            <w:r>
              <w:rPr>
                <w:rFonts w:eastAsia="Times New Roman" w:cs="Arial"/>
                <w:b/>
                <w:sz w:val="17"/>
                <w:szCs w:val="17"/>
              </w:rPr>
            </w:r>
          </w:p>
          <w:p>
            <w:pPr>
              <w:pStyle w:val="Normal"/>
              <w:widowControl w:val="false"/>
              <w:spacing w:lineRule="auto" w:line="240" w:before="0" w:after="0"/>
              <w:jc w:val="center"/>
              <w:rPr>
                <w:rFonts w:eastAsia="Times New Roman" w:cs="Arial"/>
                <w:b/>
                <w:b/>
                <w:sz w:val="17"/>
                <w:szCs w:val="17"/>
              </w:rPr>
            </w:pPr>
            <w:r>
              <w:rPr>
                <w:rFonts w:eastAsia="Times New Roman" w:cs="Arial"/>
                <w:b/>
                <w:sz w:val="17"/>
                <w:szCs w:val="17"/>
              </w:rPr>
            </w:r>
          </w:p>
          <w:p>
            <w:pPr>
              <w:pStyle w:val="Normal"/>
              <w:widowControl w:val="false"/>
              <w:spacing w:lineRule="auto" w:line="240" w:before="0" w:after="0"/>
              <w:jc w:val="center"/>
              <w:rPr>
                <w:rFonts w:ascii="Calibri" w:hAnsi="Calibri" w:eastAsia="Times New Roman" w:cs="Arial"/>
                <w:b/>
                <w:b/>
                <w:szCs w:val="17"/>
              </w:rPr>
            </w:pPr>
            <w:r>
              <w:rPr>
                <w:rFonts w:eastAsia="Times New Roman" w:cs="Arial"/>
                <w:b/>
                <w:sz w:val="17"/>
                <w:szCs w:val="17"/>
              </w:rPr>
              <w:t>Redni broj i naziv programa (mjere)</w:t>
            </w:r>
            <w:r>
              <w:rPr>
                <w:rFonts w:eastAsia="Times New Roman" w:cs="Arial"/>
                <w:b/>
                <w:sz w:val="16"/>
                <w:szCs w:val="17"/>
                <w:vertAlign w:val="superscript"/>
              </w:rPr>
              <w:t>1</w:t>
            </w:r>
            <w:r>
              <w:rPr>
                <w:rFonts w:eastAsia="Times New Roman" w:cs="Arial"/>
                <w:b/>
                <w:sz w:val="17"/>
                <w:szCs w:val="17"/>
              </w:rPr>
              <w:t xml:space="preserve"> (prenosi se iz tabele A1):</w:t>
            </w:r>
          </w:p>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4. Provesti digitalnu transformaciju javne uprave</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 xml:space="preserve">Naziv strateškog dokumenta, oznaka strateškog cilja, prioriteta i mjere koja je preuzeta kao program: Strategija razvoja FBiH 2021-2027, </w:t>
            </w:r>
            <w:r>
              <w:rPr>
                <w:rFonts w:eastAsia="Times New Roman" w:cs="Arial"/>
                <w:b/>
                <w:bCs/>
                <w:sz w:val="17"/>
                <w:szCs w:val="17"/>
              </w:rPr>
              <w:t xml:space="preserve">Cilj 4.; Prioritet 4.2; Mjera: </w:t>
            </w:r>
            <w:r>
              <w:rPr>
                <w:rFonts w:eastAsia="Times New Roman" w:cs="Arial"/>
                <w:b/>
                <w:sz w:val="17"/>
                <w:szCs w:val="17"/>
              </w:rPr>
              <w:t>4.2.6.</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473"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4.1. Izrada situacione analize za definisanje barijera za uspostavu e-Dozvola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Izrađena situaciona analiza za definisanje barijera za uspostavu e-Dozvola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korištenje zemljišta na federalnom  nivou</w:t>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prostorno planiranje i</w:t>
            </w:r>
          </w:p>
          <w:p>
            <w:pPr>
              <w:pStyle w:val="Normal"/>
              <w:widowControl w:val="false"/>
              <w:spacing w:lineRule="auto" w:line="240" w:before="0" w:after="0"/>
              <w:jc w:val="center"/>
              <w:rPr>
                <w:rFonts w:cs="Calibri" w:cstheme="minorHAnsi"/>
                <w:sz w:val="17"/>
                <w:szCs w:val="17"/>
              </w:rPr>
            </w:pPr>
            <w:r>
              <w:rPr>
                <w:rFonts w:cs="Calibri" w:cstheme="minorHAnsi"/>
                <w:sz w:val="17"/>
                <w:szCs w:val="17"/>
              </w:rPr>
              <w:t>Sektor za pravne, opće i finansijske poslove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0,05</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472"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0,05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0,05</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0,05</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4.2.Usklađivanje postojećih propisa iz nadležnosti Ministarstva sa propisima za uspostavu e-Uprave</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 xml:space="preserve">4.2.1.   Donošenje Uredbe  </w:t>
            </w:r>
            <w:r>
              <w:rPr>
                <w:rFonts w:eastAsia="Times New Roman" w:cs="Calibri" w:cstheme="minorHAnsi"/>
                <w:sz w:val="17"/>
                <w:szCs w:val="17"/>
                <w:lang w:val="pt-BR"/>
              </w:rPr>
              <w:t>kojom se bliže uređuje predmet i postupak ishodovanja e-dozvola i drugih akata u oblasti građenja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II kvartal      2025.</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Usklađeni postojeći propisi iz nadležnosti Ministarstva sa propisima za uspostavu e-Uprave</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Sektor za korištenje zemljišta na federalnom  nivou</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i</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Sektor za pravne, opće i finansijske poslove</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0,1</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0,1</w:t>
            </w:r>
          </w:p>
        </w:tc>
        <w:tc>
          <w:tcPr>
            <w:tcW w:w="12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0,1</w:t>
            </w:r>
          </w:p>
        </w:tc>
        <w:tc>
          <w:tcPr>
            <w:tcW w:w="114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0,1</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4.3. Uvezivanje sa postojećim izvornim registrima koji su definisani okvirom interoperabilnosti kako bi se omogućila integracija registara i pristup podacima i javnoj usluzi na jednom mjestu</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 xml:space="preserve">     </w:t>
            </w: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lineRule="auto" w:line="240" w:before="0" w:after="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ind w:left="72" w:hanging="0"/>
              <w:contextualSpacing/>
              <w:jc w:val="center"/>
              <w:rPr>
                <w:rFonts w:eastAsia="Times New Roman" w:cs="Calibri" w:cstheme="minorHAnsi"/>
                <w:sz w:val="17"/>
                <w:szCs w:val="17"/>
              </w:rPr>
            </w:pPr>
            <w:r>
              <w:rPr>
                <w:rFonts w:eastAsia="Times New Roman"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eastAsia="Times New Roman" w:cs="Calibri" w:cstheme="minorHAnsi"/>
                <w:sz w:val="17"/>
                <w:szCs w:val="17"/>
              </w:rPr>
              <w:t>Uvezani postojeći registri</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TableContents"/>
              <w:widowControl w:val="false"/>
              <w:spacing w:lineRule="auto" w:line="240" w:before="0" w:after="0"/>
              <w:jc w:val="center"/>
              <w:rPr>
                <w:rFonts w:cs="Calibri" w:cstheme="minorHAnsi"/>
                <w:sz w:val="17"/>
                <w:szCs w:val="17"/>
              </w:rPr>
            </w:pPr>
            <w:r>
              <w:rPr>
                <w:rFonts w:eastAsia="Times New Roman" w:cs="Calibri" w:cstheme="minorHAnsi"/>
                <w:sz w:val="17"/>
                <w:szCs w:val="17"/>
              </w:rPr>
              <w:t>Sektor za prostorno planiranje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Ukupno za program (mjeru) 4.</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0,15</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0,15</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0,15</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0,15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0,15</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0,15</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
                <w:b/>
                <w:szCs w:val="17"/>
              </w:rPr>
            </w:pPr>
            <w:r>
              <w:rPr>
                <w:rFonts w:eastAsia="Times New Roman" w:cs="Arial"/>
                <w:b/>
                <w:sz w:val="17"/>
                <w:szCs w:val="17"/>
              </w:rPr>
              <w:t>Redni broj i naziv programa (mjere)</w:t>
            </w:r>
            <w:r>
              <w:rPr>
                <w:rFonts w:eastAsia="Times New Roman" w:cs="Arial"/>
                <w:b/>
                <w:sz w:val="16"/>
                <w:szCs w:val="17"/>
                <w:vertAlign w:val="superscript"/>
              </w:rPr>
              <w:t>1</w:t>
            </w:r>
            <w:r>
              <w:rPr>
                <w:rFonts w:eastAsia="Times New Roman" w:cs="Arial"/>
                <w:b/>
                <w:sz w:val="17"/>
                <w:szCs w:val="17"/>
              </w:rPr>
              <w:t xml:space="preserve"> (prenosi se iz tabele A1):</w:t>
            </w:r>
          </w:p>
          <w:p>
            <w:pPr>
              <w:pStyle w:val="Normal"/>
              <w:widowControl w:val="false"/>
              <w:spacing w:lineRule="auto" w:line="240" w:before="0" w:after="0"/>
              <w:jc w:val="center"/>
              <w:rPr>
                <w:rFonts w:ascii="Calibri" w:hAnsi="Calibri" w:cs="Arial"/>
                <w:b/>
                <w:b/>
                <w:bCs/>
                <w:sz w:val="17"/>
                <w:szCs w:val="17"/>
              </w:rPr>
            </w:pPr>
            <w:r>
              <w:rPr>
                <w:rFonts w:eastAsia="Times New Roman" w:cs="Arial"/>
                <w:b/>
                <w:bCs/>
                <w:sz w:val="17"/>
                <w:szCs w:val="17"/>
              </w:rPr>
              <w:t xml:space="preserve">5.  Unaprijediti stanje u području stambenih poslova </w:t>
            </w:r>
            <w:r>
              <w:rPr>
                <w:rFonts w:cs="Arial"/>
                <w:b/>
                <w:bCs/>
                <w:sz w:val="17"/>
                <w:szCs w:val="17"/>
              </w:rPr>
              <w:t>i u oblasti nacionalnih spomenika te ublažiti posljedice klimatskih promjena</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strateškog dokumenta, oznaka strateškog cilja, prioriteta i mjere koja je preuzeta kao program:</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473"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5.1.</w:t>
            </w:r>
            <w:r>
              <w:rPr>
                <w:rFonts w:cs="Calibri" w:cstheme="minorHAnsi"/>
                <w:sz w:val="17"/>
                <w:szCs w:val="17"/>
              </w:rPr>
              <w:t xml:space="preserve"> </w:t>
            </w:r>
            <w:r>
              <w:rPr>
                <w:rFonts w:eastAsia="Times New Roman" w:cs="Calibri" w:cstheme="minorHAnsi"/>
                <w:sz w:val="17"/>
                <w:szCs w:val="17"/>
              </w:rPr>
              <w:t>Rješavanje pitanja u oblasti stambenih poslova</w:t>
            </w:r>
          </w:p>
          <w:p>
            <w:pPr>
              <w:pStyle w:val="Normal"/>
              <w:widowControl w:val="false"/>
              <w:spacing w:lineRule="auto" w:line="240" w:before="0" w:after="0"/>
              <w:rPr>
                <w:rFonts w:cs="Calibri" w:cstheme="minorHAnsi"/>
                <w:sz w:val="17"/>
                <w:szCs w:val="17"/>
              </w:rPr>
            </w:pPr>
            <w:r>
              <w:rPr>
                <w:rFonts w:cs="Calibri" w:cstheme="minorHAnsi"/>
                <w:sz w:val="17"/>
                <w:szCs w:val="17"/>
              </w:rPr>
            </w:r>
          </w:p>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5.1.1. Usvajanje Prijedloga Zakona o izmjenama i dopuni o prodaji stanova na kojima postoji stanarsko pravo (prijedlog upućen u parlamentarnu proceduru)</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rPr>
                <w:rFonts w:cs="Calibri" w:cstheme="minorHAnsi"/>
                <w:sz w:val="17"/>
                <w:szCs w:val="17"/>
              </w:rPr>
            </w:pPr>
            <w:r>
              <w:rPr>
                <w:rFonts w:eastAsia="Times New Roman" w:cs="Calibri" w:cstheme="minorHAnsi"/>
                <w:sz w:val="17"/>
                <w:szCs w:val="17"/>
              </w:rPr>
              <w:t>5.1.2. Izrada Prijedloga Zakona o izmjenama i dopunama Zakona o vraćanju, dodjeli i prodaji stanova (Nacrt u parlamentarnoj proceduri, nakon usvajanja javna rasprava i izrada Prijedloga)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2025.-2026.</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II kvartal 2025.</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 xml:space="preserve">Nacrt II kvartal 2025., prijedlog </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IV kvartal 2025.</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Usvojeni propisi</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cs="Calibri" w:cstheme="minorHAnsi"/>
                <w:sz w:val="17"/>
                <w:szCs w:val="17"/>
              </w:rPr>
            </w:pPr>
            <w:r>
              <w:rPr>
                <w:rFonts w:cs="Calibri" w:cstheme="minorHAnsi"/>
                <w:sz w:val="17"/>
                <w:szCs w:val="17"/>
              </w:rPr>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Sektor za pravne, opće i</w:t>
            </w:r>
          </w:p>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finansijske poslove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75"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5.2.  Priprema i koordinacija izrade i donošenja planskih dokumenata za područja posebnih obilježja od značaja za FBiH (prostorni planovi i detaljni planski dokumenti)</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100% realizovana priprema i koordinacija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Sektor za prostorno planiranje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0,49</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0,302327</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1,134295</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0,49</w:t>
            </w:r>
          </w:p>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r>
          </w:p>
        </w:tc>
        <w:tc>
          <w:tcPr>
            <w:tcW w:w="122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0,302327</w:t>
            </w:r>
          </w:p>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r>
          </w:p>
        </w:tc>
        <w:tc>
          <w:tcPr>
            <w:tcW w:w="114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1,134295</w:t>
            </w:r>
          </w:p>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r>
          </w:p>
        </w:tc>
      </w:tr>
      <w:tr>
        <w:trPr>
          <w:trHeight w:val="25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 xml:space="preserve">5.3.  Implementacija Programa obnove i zaštite nacionalnih spomenika „Kapitalni transferi drugim nivoima vlasti i fondovima - učešće Vlade FBIH u sufinansiranju  kantonalnih i lokanih zajednica-zaštita nacionalih spomenika“  “  </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Calibri" w:cstheme="minorHAnsi"/>
                <w:sz w:val="17"/>
                <w:szCs w:val="17"/>
              </w:rPr>
            </w:pPr>
            <w:r>
              <w:rPr>
                <w:rFonts w:eastAsia="Times New Roman" w:cs="Calibri" w:cstheme="minorHAnsi"/>
                <w:bCs/>
                <w:sz w:val="17"/>
                <w:szCs w:val="17"/>
              </w:rPr>
              <w:t xml:space="preserve">Svi nacionalni spomenici koji su finansirani iz ovog transfera su </w:t>
            </w:r>
            <w:r>
              <w:rPr>
                <w:rFonts w:cs="Calibri" w:cstheme="minorHAnsi"/>
                <w:sz w:val="17"/>
                <w:szCs w:val="17"/>
              </w:rPr>
              <w:t xml:space="preserve">100% </w:t>
            </w:r>
            <w:r>
              <w:rPr>
                <w:rFonts w:eastAsia="Times New Roman" w:cs="Calibri" w:cstheme="minorHAnsi"/>
                <w:bCs/>
                <w:sz w:val="17"/>
                <w:szCs w:val="17"/>
              </w:rPr>
              <w:t>obnovljeni</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Contents"/>
              <w:widowControl w:val="false"/>
              <w:spacing w:lineRule="auto" w:line="240" w:before="0" w:after="0"/>
              <w:jc w:val="center"/>
              <w:rPr>
                <w:rFonts w:cs="Calibri" w:cstheme="minorHAnsi"/>
                <w:sz w:val="17"/>
                <w:szCs w:val="17"/>
              </w:rPr>
            </w:pPr>
            <w:r>
              <w:rPr>
                <w:rStyle w:val="StrongEmphasis"/>
                <w:rFonts w:eastAsia="Times New Roman"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3,0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1,633</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1,5</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5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3,0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1,633</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1,5</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5.4.  Implementacija Programa za rješavanje pitanja Roma u oblasti, stambenog zbrinjavanja (Tekući transferi drugim nivoima vlasti i fondovima-za rješavanje Roma u oblasti stambenog zbrinjavanja)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spacing w:lineRule="auto" w:line="240" w:before="0" w:after="0"/>
              <w:ind w:left="72" w:hanging="0"/>
              <w:contextualSpacing/>
              <w:jc w:val="center"/>
              <w:rPr>
                <w:rFonts w:cs="Calibri" w:cstheme="minorHAnsi"/>
                <w:bCs/>
                <w:sz w:val="17"/>
                <w:szCs w:val="17"/>
              </w:rPr>
            </w:pPr>
            <w:r>
              <w:rPr>
                <w:rFonts w:eastAsia="Times New Roman" w:cs="Calibri" w:cstheme="minorHAnsi"/>
                <w:bCs/>
                <w:sz w:val="17"/>
                <w:szCs w:val="17"/>
              </w:rPr>
              <w:t>100% implementiran Program</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Contents"/>
              <w:widowControl w:val="false"/>
              <w:spacing w:lineRule="auto" w:line="240" w:before="0" w:after="0"/>
              <w:jc w:val="center"/>
              <w:rPr>
                <w:rFonts w:cs="Calibri" w:cstheme="minorHAnsi"/>
                <w:sz w:val="17"/>
                <w:szCs w:val="17"/>
              </w:rPr>
            </w:pPr>
            <w:r>
              <w:rPr>
                <w:rStyle w:val="StrongEmphasis"/>
                <w:rFonts w:eastAsia="Times New Roman"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p>
            <w:pPr>
              <w:pStyle w:val="Normal"/>
              <w:widowControl w:val="false"/>
              <w:spacing w:before="0" w:after="160"/>
              <w:jc w:val="center"/>
              <w:rPr>
                <w:rFonts w:eastAsia="Times New Roman" w:cs="Calibri" w:cstheme="minorHAnsi"/>
                <w:sz w:val="17"/>
                <w:szCs w:val="17"/>
              </w:rPr>
            </w:pPr>
            <w:r>
              <w:rPr>
                <w:rFonts w:eastAsia="Times New Roman" w:cs="Calibri" w:cstheme="minorHAnsi"/>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481"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54"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0</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t>5.5. Implementacija Programa obnove i saniranja posljedica prirodne katastrofe na područjima zahvaćenim poplavama i klizištima u Federaciji BiH (Tekući transferi drugim nivoima vlasti i fondovima-za sanaciju šteta nastalih uslijed poplava i klizišta)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2025-2027.</w:t>
            </w:r>
          </w:p>
        </w:tc>
        <w:tc>
          <w:tcPr>
            <w:tcW w:w="1980"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r>
          </w:p>
          <w:p>
            <w:pPr>
              <w:pStyle w:val="ListParagraph"/>
              <w:widowControl w:val="false"/>
              <w:spacing w:lineRule="auto" w:line="240" w:before="0" w:after="0"/>
              <w:ind w:left="72" w:hanging="0"/>
              <w:contextualSpacing/>
              <w:jc w:val="center"/>
              <w:rPr>
                <w:rFonts w:cs="Calibri" w:cstheme="minorHAnsi"/>
                <w:sz w:val="17"/>
                <w:szCs w:val="17"/>
              </w:rPr>
            </w:pPr>
            <w:r>
              <w:rPr>
                <w:rFonts w:cs="Calibri" w:cstheme="minorHAnsi"/>
                <w:sz w:val="17"/>
                <w:szCs w:val="17"/>
              </w:rPr>
              <w:t>100% implementiran Program</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lineRule="auto" w:line="240" w:before="0" w:after="0"/>
              <w:jc w:val="center"/>
              <w:rPr>
                <w:rStyle w:val="StrongEmphasis"/>
                <w:rFonts w:cs="Calibri" w:cstheme="minorHAnsi"/>
                <w:b w:val="false"/>
                <w:b w:val="false"/>
                <w:sz w:val="17"/>
                <w:szCs w:val="17"/>
              </w:rPr>
            </w:pPr>
            <w:r>
              <w:rPr>
                <w:rFonts w:cs="Calibri" w:cstheme="minorHAnsi"/>
                <w:b w:val="false"/>
                <w:sz w:val="17"/>
                <w:szCs w:val="17"/>
              </w:rPr>
            </w:r>
          </w:p>
          <w:p>
            <w:pPr>
              <w:pStyle w:val="TableContents"/>
              <w:widowControl w:val="false"/>
              <w:spacing w:lineRule="auto" w:line="240" w:before="0" w:after="0"/>
              <w:jc w:val="center"/>
              <w:rPr>
                <w:rStyle w:val="StrongEmphasis"/>
                <w:rFonts w:cs="Calibri" w:cstheme="minorHAnsi"/>
                <w:b w:val="false"/>
                <w:b w:val="false"/>
                <w:sz w:val="17"/>
                <w:szCs w:val="17"/>
              </w:rPr>
            </w:pPr>
            <w:r>
              <w:rPr>
                <w:rFonts w:cs="Calibri" w:cstheme="minorHAnsi"/>
                <w:b w:val="false"/>
                <w:sz w:val="17"/>
                <w:szCs w:val="17"/>
              </w:rPr>
            </w:r>
          </w:p>
          <w:p>
            <w:pPr>
              <w:pStyle w:val="TableContents"/>
              <w:widowControl w:val="false"/>
              <w:spacing w:lineRule="auto" w:line="240" w:before="0" w:after="0"/>
              <w:jc w:val="center"/>
              <w:rPr>
                <w:rFonts w:cs="Calibri" w:cstheme="minorHAnsi"/>
                <w:sz w:val="17"/>
                <w:szCs w:val="17"/>
              </w:rPr>
            </w:pPr>
            <w:r>
              <w:rPr>
                <w:rStyle w:val="StrongEmphasis"/>
                <w:rFonts w:cs="Calibri" w:cstheme="minorHAnsi"/>
                <w:b w:val="false"/>
                <w:sz w:val="17"/>
                <w:szCs w:val="17"/>
              </w:rPr>
              <w:t>Sektor za obnovu i zaštitu nacionalnih spomenika i energetsku efikasnost u zgradarstvu</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Da</w:t>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6,0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3,6</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3,0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i/>
                <w:i/>
                <w:sz w:val="17"/>
                <w:szCs w:val="17"/>
              </w:rPr>
            </w:pPr>
            <w:r>
              <w:rPr>
                <w:rFonts w:eastAsia="Times New Roman" w:cs="Calibri" w:cstheme="minorHAnsi"/>
                <w:i/>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58"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6,0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3,6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3,0</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eastAsia="Times New Roman" w:cs="Calibri" w:cstheme="minorHAnsi"/>
                <w:b/>
                <w:b/>
                <w:sz w:val="17"/>
                <w:szCs w:val="17"/>
              </w:rPr>
            </w:pPr>
            <w:r>
              <w:rPr>
                <w:rFonts w:eastAsia="Times New Roman" w:cs="Calibri" w:cstheme="minorHAnsi"/>
                <w:b/>
                <w:sz w:val="17"/>
                <w:szCs w:val="17"/>
              </w:rPr>
              <w:t>Ukupno za program (mjeru) 5.</w:t>
            </w:r>
          </w:p>
          <w:p>
            <w:pPr>
              <w:pStyle w:val="Normal"/>
              <w:widowControl w:val="false"/>
              <w:spacing w:lineRule="auto" w:line="240" w:before="0" w:after="0"/>
              <w:rPr>
                <w:rFonts w:eastAsia="Times New Roman" w:cs="Calibri" w:cstheme="minorHAnsi"/>
                <w:sz w:val="17"/>
                <w:szCs w:val="17"/>
              </w:rPr>
            </w:pPr>
            <w:r>
              <w:rPr>
                <w:rFonts w:eastAsia="Times New Roman" w:cs="Calibri" w:cstheme="minorHAnsi"/>
                <w:sz w:val="17"/>
                <w:szCs w:val="17"/>
              </w:rPr>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eastAsia="Times New Roman" w:cs="Calibri" w:cstheme="minorHAnsi"/>
                <w:bCs/>
                <w:sz w:val="17"/>
                <w:szCs w:val="17"/>
              </w:rPr>
            </w:pPr>
            <w:r>
              <w:rPr>
                <w:rFonts w:eastAsia="Times New Roman" w:cs="Calibri" w:cstheme="minorHAnsi"/>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9,49</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5,535327</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5,634295</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sz w:val="17"/>
                <w:szCs w:val="17"/>
              </w:rPr>
            </w:pPr>
            <w:r>
              <w:rPr>
                <w:rFonts w:eastAsia="Times New Roman" w:cs="Calibri" w:cstheme="minorHAnsi"/>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t>0</w:t>
            </w:r>
          </w:p>
        </w:tc>
      </w:tr>
      <w:tr>
        <w:trPr>
          <w:trHeight w:val="275"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Calibri" w:cstheme="minorHAnsi"/>
                <w:bCs/>
                <w:sz w:val="17"/>
                <w:szCs w:val="17"/>
              </w:rPr>
            </w:pPr>
            <w:r>
              <w:rPr>
                <w:rFonts w:eastAsia="Times New Roman" w:cs="Calibri" w:cstheme="minorHAnsi"/>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bCs/>
                <w:sz w:val="17"/>
                <w:szCs w:val="17"/>
              </w:rPr>
            </w:pPr>
            <w:r>
              <w:rPr>
                <w:rFonts w:eastAsia="Times New Roman" w:cs="Calibri" w:cstheme="minorHAnsi"/>
                <w:b/>
                <w:bCs/>
                <w:sz w:val="17"/>
                <w:szCs w:val="17"/>
              </w:rPr>
              <w:t>9,49</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rPr>
                <w:rFonts w:eastAsia="Times New Roman" w:cs="Calibri" w:cstheme="minorHAnsi"/>
                <w:b/>
                <w:b/>
                <w:sz w:val="17"/>
                <w:szCs w:val="17"/>
              </w:rPr>
            </w:pPr>
            <w:r>
              <w:rPr>
                <w:rFonts w:eastAsia="Times New Roman" w:cs="Calibri" w:cstheme="minorHAnsi"/>
                <w:b/>
                <w:sz w:val="17"/>
                <w:szCs w:val="17"/>
              </w:rPr>
              <w:t>5,535327</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Calibri" w:cstheme="minorHAnsi"/>
                <w:b/>
                <w:b/>
                <w:sz w:val="17"/>
                <w:szCs w:val="17"/>
              </w:rPr>
            </w:pPr>
            <w:r>
              <w:rPr>
                <w:rFonts w:eastAsia="Times New Roman" w:cs="Calibri" w:cstheme="minorHAnsi"/>
                <w:b/>
                <w:sz w:val="17"/>
                <w:szCs w:val="17"/>
              </w:rPr>
              <w:t>5,634295</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
                <w:b/>
                <w:szCs w:val="17"/>
              </w:rPr>
            </w:pPr>
            <w:r>
              <w:rPr>
                <w:rFonts w:eastAsia="Times New Roman" w:cs="Arial"/>
                <w:b/>
                <w:sz w:val="17"/>
                <w:szCs w:val="17"/>
              </w:rPr>
              <w:t>Redni broj i naziv programa (mjere)</w:t>
            </w:r>
            <w:r>
              <w:rPr>
                <w:rFonts w:eastAsia="Times New Roman" w:cs="Arial"/>
                <w:b/>
                <w:sz w:val="16"/>
                <w:szCs w:val="17"/>
                <w:vertAlign w:val="superscript"/>
              </w:rPr>
              <w:t>1</w:t>
            </w:r>
            <w:r>
              <w:rPr>
                <w:rFonts w:eastAsia="Times New Roman" w:cs="Arial"/>
                <w:b/>
                <w:sz w:val="17"/>
                <w:szCs w:val="17"/>
              </w:rPr>
              <w:t xml:space="preserve"> (prenosi se iz tabele A1):</w:t>
            </w:r>
          </w:p>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6. Podrška sektorima za osiguranje uslova za efikasno obavljanje funkcije Ministarstva</w:t>
            </w:r>
          </w:p>
        </w:tc>
      </w:tr>
      <w:tr>
        <w:trPr>
          <w:trHeight w:val="302" w:hRule="atLeast"/>
        </w:trPr>
        <w:tc>
          <w:tcPr>
            <w:tcW w:w="1448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strateškog dokumenta, oznaka strateškog cilja, prioriteta i mjere koja je preuzeta kao program:</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Naziv aktivnosti/projekta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Rok izvršenja</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Očekivani rezultat aktivnosti/projekta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Nosilac</w:t>
            </w:r>
          </w:p>
          <w:p>
            <w:pPr>
              <w:pStyle w:val="Normal"/>
              <w:widowControl w:val="false"/>
              <w:spacing w:lineRule="auto" w:line="240" w:before="0" w:after="0"/>
              <w:jc w:val="center"/>
              <w:rPr>
                <w:rFonts w:ascii="Calibri" w:hAnsi="Calibri" w:eastAsia="Times New Roman" w:cs="Arial"/>
                <w:i/>
                <w:i/>
                <w:sz w:val="17"/>
                <w:szCs w:val="17"/>
              </w:rPr>
            </w:pPr>
            <w:r>
              <w:rPr>
                <w:rFonts w:eastAsia="Times New Roman" w:cs="Arial"/>
                <w:i/>
                <w:sz w:val="17"/>
                <w:szCs w:val="17"/>
              </w:rPr>
              <w:t>(najmanji organizacioni dio)</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PJI</w:t>
            </w:r>
            <w:r>
              <w:rPr>
                <w:rFonts w:eastAsia="Times New Roman" w:cs="Arial"/>
                <w:b/>
                <w:sz w:val="17"/>
                <w:szCs w:val="17"/>
                <w:vertAlign w:val="superscript"/>
              </w:rPr>
              <w:t>2</w:t>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
                <w:sz w:val="17"/>
                <w:szCs w:val="17"/>
              </w:rPr>
              <w:t>Usvaja se</w:t>
            </w:r>
            <w:r>
              <w:rPr>
                <w:rFonts w:eastAsia="Times New Roman" w:cs="Arial"/>
                <w:b/>
                <w:sz w:val="17"/>
                <w:szCs w:val="17"/>
                <w:vertAlign w:val="superscript"/>
              </w:rPr>
              <w:t>3</w:t>
            </w:r>
          </w:p>
        </w:tc>
        <w:tc>
          <w:tcPr>
            <w:tcW w:w="4583" w:type="dxa"/>
            <w:gridSpan w:val="4"/>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Izvori i iznosi planiranih finansijskih</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b/>
                <w:bCs/>
                <w:sz w:val="17"/>
                <w:szCs w:val="17"/>
              </w:rPr>
              <w:t>sredstava u mil. KM</w:t>
            </w:r>
          </w:p>
        </w:tc>
      </w:tr>
      <w:tr>
        <w:trPr>
          <w:trHeight w:val="473"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794"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spacing w:val="-2"/>
                <w:sz w:val="17"/>
                <w:szCs w:val="17"/>
              </w:rPr>
            </w:pPr>
            <w:r>
              <w:rPr>
                <w:rFonts w:eastAsia="Times New Roman" w:cs="Arial"/>
                <w:spacing w:val="-2"/>
                <w:sz w:val="17"/>
                <w:szCs w:val="17"/>
              </w:rPr>
              <w:t>(Da/Ne)</w:t>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Izvori</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2025.</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sz w:val="17"/>
                <w:szCs w:val="17"/>
              </w:rPr>
            </w:pPr>
            <w:r>
              <w:rPr>
                <w:rFonts w:cs="Arial"/>
                <w:sz w:val="17"/>
                <w:szCs w:val="17"/>
              </w:rPr>
              <w:t>2026.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cs="Arial"/>
                <w:sz w:val="17"/>
                <w:szCs w:val="17"/>
              </w:rPr>
            </w:pPr>
            <w:r>
              <w:rPr>
                <w:rFonts w:cs="Arial"/>
                <w:sz w:val="17"/>
                <w:szCs w:val="17"/>
              </w:rPr>
              <w:t>2027.</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6.1. Rješavati predmete i zahtjeve</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2025.-2027.</w:t>
            </w:r>
          </w:p>
          <w:p>
            <w:pPr>
              <w:pStyle w:val="Normal"/>
              <w:widowControl w:val="false"/>
              <w:spacing w:lineRule="auto" w:line="240" w:before="0" w:after="0"/>
              <w:jc w:val="center"/>
              <w:rPr>
                <w:rFonts w:eastAsia="Times New Roman" w:cs="Arial"/>
                <w:sz w:val="17"/>
                <w:szCs w:val="17"/>
              </w:rPr>
            </w:pPr>
            <w:r>
              <w:rPr>
                <w:rFonts w:eastAsia="Times New Roman" w:cs="Arial"/>
                <w:sz w:val="17"/>
                <w:szCs w:val="17"/>
              </w:rPr>
              <w:t>(kontinuirano)</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100% riješenih predmeta u odnosu na broj zaprimljenih predmeta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Odsjek za opće i pravne poslove</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0,022748</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3,017886</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2,845509</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r>
      <w:tr>
        <w:trPr>
          <w:trHeight w:val="7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1,022748</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4,017886</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3,845509</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6.2. Izraditi mišljenja, saglasnosti, odgovore na zastupnička pitanja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2025.-2027.</w:t>
            </w:r>
          </w:p>
          <w:p>
            <w:pPr>
              <w:pStyle w:val="Normal"/>
              <w:widowControl w:val="false"/>
              <w:spacing w:lineRule="auto" w:line="240" w:before="0" w:after="0"/>
              <w:jc w:val="center"/>
              <w:rPr>
                <w:rFonts w:eastAsia="Times New Roman" w:cs="Arial"/>
                <w:sz w:val="17"/>
                <w:szCs w:val="17"/>
              </w:rPr>
            </w:pPr>
            <w:r>
              <w:rPr>
                <w:rFonts w:eastAsia="Times New Roman" w:cs="Arial"/>
                <w:sz w:val="17"/>
                <w:szCs w:val="17"/>
              </w:rPr>
              <w:t>(kontinuirano)</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Pripremljena mišljenja, saglasnosti, odgovori na sva zaprimljena zastupnička pitanja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bCs/>
                <w:sz w:val="17"/>
                <w:szCs w:val="17"/>
              </w:rPr>
              <w:t>Svi sektori</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0,01</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3,894575</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2,894575</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0,01</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3,894575</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2,894575</w:t>
            </w:r>
          </w:p>
        </w:tc>
      </w:tr>
      <w:tr>
        <w:trPr>
          <w:trHeight w:val="20" w:hRule="atLeast"/>
        </w:trPr>
        <w:tc>
          <w:tcPr>
            <w:tcW w:w="394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6.3. Izraditi godišnji i trogodišnji plan i godišnji izvještaj o radu Ministarstva</w:t>
            </w:r>
          </w:p>
        </w:tc>
        <w:tc>
          <w:tcPr>
            <w:tcW w:w="126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2025.-2027.</w:t>
            </w:r>
          </w:p>
          <w:p>
            <w:pPr>
              <w:pStyle w:val="Normal"/>
              <w:widowControl w:val="false"/>
              <w:spacing w:lineRule="auto" w:line="240" w:before="0" w:after="0"/>
              <w:jc w:val="center"/>
              <w:rPr>
                <w:rFonts w:eastAsia="Times New Roman" w:cs="Arial"/>
                <w:sz w:val="17"/>
                <w:szCs w:val="17"/>
              </w:rPr>
            </w:pPr>
            <w:r>
              <w:rPr>
                <w:rFonts w:eastAsia="Times New Roman" w:cs="Arial"/>
                <w:sz w:val="17"/>
                <w:szCs w:val="17"/>
              </w:rPr>
              <w:t>(kontinuirano)</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eastAsia="Times New Roman" w:cs="Arial"/>
                <w:bCs/>
                <w:sz w:val="17"/>
                <w:szCs w:val="17"/>
              </w:rPr>
            </w:pPr>
            <w:r>
              <w:rPr>
                <w:rFonts w:eastAsia="Times New Roman" w:cs="Arial"/>
                <w:bCs/>
                <w:sz w:val="17"/>
                <w:szCs w:val="17"/>
              </w:rPr>
              <w:t>Redovno svake godine urađeni trogodišnji i godišnji planovi rada i godišnji izvještaji o radu Ministarstva</w:t>
            </w:r>
          </w:p>
        </w:tc>
        <w:tc>
          <w:tcPr>
            <w:tcW w:w="139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Arial"/>
                <w:sz w:val="17"/>
                <w:szCs w:val="17"/>
              </w:rPr>
            </w:pPr>
            <w:r>
              <w:rPr>
                <w:rFonts w:eastAsia="Times New Roman" w:cs="Arial"/>
                <w:sz w:val="17"/>
                <w:szCs w:val="17"/>
              </w:rPr>
              <w:t>Svi sektori</w:t>
            </w:r>
          </w:p>
        </w:tc>
        <w:tc>
          <w:tcPr>
            <w:tcW w:w="5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w:t>
            </w:r>
          </w:p>
        </w:tc>
        <w:tc>
          <w:tcPr>
            <w:tcW w:w="7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Ne</w:t>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517"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394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26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19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139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c>
          <w:tcPr>
            <w:tcW w:w="5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tc>
        <w:tc>
          <w:tcPr>
            <w:tcW w:w="7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eastAsia="Times New Roman" w:cs="Arial"/>
                <w:b/>
                <w:b/>
                <w:bCs/>
                <w:sz w:val="17"/>
                <w:szCs w:val="17"/>
              </w:rPr>
            </w:pPr>
            <w:r>
              <w:rPr>
                <w:rFonts w:eastAsia="Times New Roman" w:cs="Arial"/>
                <w:b/>
                <w:bCs/>
                <w:sz w:val="17"/>
                <w:szCs w:val="17"/>
              </w:rPr>
              <w:t>0</w:t>
            </w:r>
          </w:p>
        </w:tc>
      </w:tr>
      <w:tr>
        <w:trPr>
          <w:trHeight w:val="20" w:hRule="atLeast"/>
        </w:trPr>
        <w:tc>
          <w:tcPr>
            <w:tcW w:w="9905"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t>Ukupno za program (mjeru) 6.</w:t>
            </w:r>
          </w:p>
          <w:p>
            <w:pPr>
              <w:pStyle w:val="Normal"/>
              <w:widowControl w:val="false"/>
              <w:spacing w:lineRule="auto" w:line="240" w:before="0" w:after="0"/>
              <w:jc w:val="center"/>
              <w:rPr>
                <w:rFonts w:ascii="Calibri" w:hAnsi="Calibri" w:eastAsia="Times New Roman" w:cs="Arial"/>
                <w:sz w:val="17"/>
                <w:szCs w:val="17"/>
              </w:rPr>
            </w:pPr>
            <w:r>
              <w:rPr>
                <w:rFonts w:eastAsia="Times New Roman" w:cs="Arial"/>
                <w:sz w:val="17"/>
                <w:szCs w:val="17"/>
              </w:rPr>
            </w:r>
          </w:p>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Budžetska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0,032748</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6,912461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5,740084</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Kreditna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Sredstva EU</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Ostale donacije</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sz w:val="17"/>
                <w:szCs w:val="17"/>
              </w:rPr>
            </w:pPr>
            <w:r>
              <w:rPr>
                <w:rFonts w:eastAsia="Times New Roman" w:cs="Arial"/>
                <w:bCs/>
                <w:sz w:val="17"/>
                <w:szCs w:val="17"/>
              </w:rPr>
              <w:t>0</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0</w:t>
            </w:r>
          </w:p>
        </w:tc>
      </w:tr>
      <w:tr>
        <w:trPr>
          <w:trHeight w:val="20"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Ostala sredstva</w:t>
            </w:r>
          </w:p>
        </w:tc>
        <w:tc>
          <w:tcPr>
            <w:tcW w:w="11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c>
          <w:tcPr>
            <w:tcW w:w="122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c>
          <w:tcPr>
            <w:tcW w:w="114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t>1</w:t>
            </w:r>
          </w:p>
        </w:tc>
      </w:tr>
      <w:tr>
        <w:trPr>
          <w:trHeight w:val="275" w:hRule="atLeast"/>
        </w:trPr>
        <w:tc>
          <w:tcPr>
            <w:tcW w:w="9905"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libri" w:hAnsi="Calibri" w:eastAsia="Times New Roman" w:cs="Arial"/>
                <w:bCs/>
                <w:sz w:val="17"/>
                <w:szCs w:val="17"/>
              </w:rPr>
            </w:pPr>
            <w:r>
              <w:rPr>
                <w:rFonts w:eastAsia="Times New Roman" w:cs="Arial"/>
                <w:bCs/>
                <w:sz w:val="17"/>
                <w:szCs w:val="17"/>
              </w:rPr>
            </w:r>
          </w:p>
        </w:tc>
        <w:tc>
          <w:tcPr>
            <w:tcW w:w="1078"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Ukupno</w:t>
            </w:r>
          </w:p>
        </w:tc>
        <w:tc>
          <w:tcPr>
            <w:tcW w:w="1145"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1,032748</w:t>
            </w:r>
          </w:p>
        </w:tc>
        <w:tc>
          <w:tcPr>
            <w:tcW w:w="122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7,912461</w:t>
            </w:r>
          </w:p>
        </w:tc>
        <w:tc>
          <w:tcPr>
            <w:tcW w:w="1140" w:type="dxa"/>
            <w:tcBorders>
              <w:top w:val="single" w:sz="4" w:space="0" w:color="000000"/>
              <w:left w:val="single" w:sz="4" w:space="0" w:color="000000"/>
              <w:bottom w:val="single" w:sz="4"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Arial"/>
                <w:b/>
                <w:b/>
                <w:bCs/>
                <w:sz w:val="17"/>
                <w:szCs w:val="17"/>
              </w:rPr>
            </w:pPr>
            <w:r>
              <w:rPr>
                <w:rFonts w:eastAsia="Times New Roman" w:cs="Arial"/>
                <w:b/>
                <w:bCs/>
                <w:sz w:val="17"/>
                <w:szCs w:val="17"/>
              </w:rPr>
              <w:t>6</w:t>
            </w:r>
            <w:bookmarkStart w:id="4" w:name="_GoBack"/>
            <w:bookmarkEnd w:id="4"/>
            <w:r>
              <w:rPr>
                <w:rFonts w:eastAsia="Times New Roman" w:cs="Arial"/>
                <w:b/>
                <w:bCs/>
                <w:sz w:val="17"/>
                <w:szCs w:val="17"/>
              </w:rPr>
              <w:t>,740084</w:t>
            </w:r>
          </w:p>
        </w:tc>
      </w:tr>
    </w:tbl>
    <w:p>
      <w:pPr>
        <w:pStyle w:val="Normal"/>
        <w:spacing w:lineRule="auto" w:line="240" w:before="0" w:after="0"/>
        <w:jc w:val="center"/>
        <w:rPr>
          <w:rFonts w:ascii="Calibri" w:hAnsi="Calibri" w:eastAsia="Times New Roman" w:cs="Arial"/>
          <w:b/>
          <w:b/>
          <w:sz w:val="17"/>
          <w:szCs w:val="17"/>
        </w:rPr>
      </w:pPr>
      <w:r>
        <w:rPr>
          <w:rFonts w:eastAsia="Times New Roman" w:cs="Arial"/>
          <w:b/>
          <w:sz w:val="17"/>
          <w:szCs w:val="17"/>
        </w:rPr>
      </w:r>
    </w:p>
    <w:p>
      <w:pPr>
        <w:pStyle w:val="Normal"/>
        <w:spacing w:lineRule="auto" w:line="240" w:before="0" w:after="0"/>
        <w:jc w:val="center"/>
        <w:rPr>
          <w:rFonts w:ascii="Calibri" w:hAnsi="Calibri" w:eastAsia="Times New Roman" w:cs="Arial"/>
          <w:b/>
          <w:b/>
          <w:sz w:val="17"/>
          <w:szCs w:val="17"/>
        </w:rPr>
      </w:pPr>
      <w:r>
        <w:rPr>
          <w:rFonts w:eastAsia="Times New Roman" w:cs="Arial"/>
          <w:b/>
          <w:sz w:val="17"/>
          <w:szCs w:val="17"/>
        </w:rPr>
      </w:r>
    </w:p>
    <w:tbl>
      <w:tblPr>
        <w:tblW w:w="5124" w:type="dxa"/>
        <w:jc w:val="left"/>
        <w:tblInd w:w="130" w:type="dxa"/>
        <w:tblLayout w:type="fixed"/>
        <w:tblCellMar>
          <w:top w:w="0" w:type="dxa"/>
          <w:left w:w="108" w:type="dxa"/>
          <w:bottom w:w="0" w:type="dxa"/>
          <w:right w:w="108" w:type="dxa"/>
        </w:tblCellMar>
        <w:tblLook w:firstRow="0" w:noVBand="0" w:lastRow="0" w:firstColumn="0" w:lastColumn="0" w:noHBand="0" w:val="0000"/>
      </w:tblPr>
      <w:tblGrid>
        <w:gridCol w:w="5124"/>
      </w:tblGrid>
      <w:tr>
        <w:trPr>
          <w:trHeight w:val="982" w:hRule="atLeast"/>
        </w:trPr>
        <w:tc>
          <w:tcPr>
            <w:tcW w:w="5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Times New Roman" w:cs="Arial"/>
                <w:b/>
                <w:b/>
                <w:sz w:val="17"/>
                <w:szCs w:val="17"/>
              </w:rPr>
            </w:pPr>
            <w:r>
              <w:rPr>
                <w:rFonts w:eastAsia="Times New Roman" w:cs="Arial"/>
                <w:b/>
                <w:sz w:val="17"/>
                <w:szCs w:val="17"/>
              </w:rPr>
            </w:r>
          </w:p>
        </w:tc>
      </w:tr>
    </w:tbl>
    <w:p>
      <w:pPr>
        <w:pStyle w:val="Normal"/>
        <w:spacing w:lineRule="auto" w:line="240" w:before="0" w:after="0"/>
        <w:jc w:val="center"/>
        <w:rPr>
          <w:rFonts w:ascii="Calibri" w:hAnsi="Calibri"/>
        </w:rPr>
      </w:pPr>
      <w:r>
        <w:rPr>
          <w:rFonts w:eastAsia="Times New Roman" w:cs="Arial"/>
          <w:b/>
          <w:sz w:val="17"/>
          <w:szCs w:val="17"/>
        </w:rPr>
        <w:t>Napomena:</w:t>
      </w:r>
    </w:p>
    <w:p>
      <w:pPr>
        <w:pStyle w:val="Normal"/>
        <w:spacing w:lineRule="auto" w:line="240" w:before="0" w:after="0"/>
        <w:jc w:val="center"/>
        <w:rPr>
          <w:rFonts w:ascii="Calibri" w:hAnsi="Calibri"/>
        </w:rPr>
      </w:pPr>
      <w:r>
        <w:rPr>
          <w:rFonts w:eastAsia="Times New Roman" w:cs="Arial"/>
          <w:sz w:val="18"/>
          <w:szCs w:val="17"/>
          <w:vertAlign w:val="superscript"/>
        </w:rPr>
        <w:t xml:space="preserve">1 </w:t>
      </w:r>
      <w:r>
        <w:rPr>
          <w:rFonts w:eastAsia="Times New Roman" w:cs="Arial"/>
          <w:sz w:val="17"/>
          <w:szCs w:val="17"/>
        </w:rPr>
        <w:t>Ukoliko organ uprave nije preuzeo mjeru iz strateškog dokumenta kao program u trogodišnjem planu rada, za taj program, u redu „Naziv strateškog dokumenta, oznaka strateškog cilja, prioriteta i mjere čijoj realizaciji doprinosi program“ ne upisuje se ništa. Ukoliko je program utvrđen preuzimanjem mjere iz strateškog dokumenta, u ovom redu i redu „Redni broj i naziv programa (mjere) (prenosi se iz tabele A1.)“ naziv će biti identičan.</w:t>
      </w:r>
    </w:p>
    <w:p>
      <w:pPr>
        <w:pStyle w:val="Footnote"/>
        <w:jc w:val="center"/>
        <w:rPr>
          <w:rFonts w:ascii="Calibri" w:hAnsi="Calibri"/>
        </w:rPr>
      </w:pPr>
      <w:r>
        <w:rPr>
          <w:rFonts w:eastAsia="Times New Roman" w:cs="Arial"/>
          <w:sz w:val="18"/>
          <w:szCs w:val="17"/>
          <w:vertAlign w:val="superscript"/>
        </w:rPr>
        <w:t xml:space="preserve">2 </w:t>
      </w:r>
      <w:r>
        <w:rPr>
          <w:rFonts w:cs="Arial"/>
          <w:b/>
          <w:sz w:val="17"/>
          <w:szCs w:val="17"/>
        </w:rPr>
        <w:t>PJI status</w:t>
      </w:r>
      <w:r>
        <w:rPr>
          <w:rFonts w:cs="Arial"/>
          <w:sz w:val="17"/>
          <w:szCs w:val="17"/>
        </w:rPr>
        <w:t xml:space="preserve"> se unosi samo za projekte iz Programa javnih investicija i to za kandidovane projekte se unosi (K); za odobrene projekte se unosi (O); za projekte </w:t>
      </w:r>
      <w:r>
        <w:rPr>
          <w:rFonts w:cs="Arial"/>
          <w:spacing w:val="-1"/>
          <w:sz w:val="17"/>
          <w:szCs w:val="17"/>
        </w:rPr>
        <w:t>koji su u implementaciji unosi se (I).</w:t>
      </w:r>
    </w:p>
    <w:p>
      <w:pPr>
        <w:pStyle w:val="Footnote"/>
        <w:jc w:val="center"/>
        <w:rPr>
          <w:rFonts w:ascii="Calibri" w:hAnsi="Calibri"/>
        </w:rPr>
      </w:pPr>
      <w:r>
        <w:rPr>
          <w:rFonts w:eastAsia="Times New Roman" w:cs="Arial"/>
          <w:sz w:val="18"/>
          <w:szCs w:val="17"/>
          <w:vertAlign w:val="superscript"/>
        </w:rPr>
        <w:t xml:space="preserve">3 </w:t>
      </w:r>
      <w:r>
        <w:rPr>
          <w:rFonts w:eastAsia="Times New Roman" w:cs="Arial"/>
          <w:sz w:val="17"/>
          <w:szCs w:val="17"/>
        </w:rPr>
        <w:t xml:space="preserve">Vlada FBiH/kantona /načelnik/gradonačelnik JLS </w:t>
      </w:r>
      <w:r>
        <w:rPr>
          <w:rFonts w:eastAsia="Times New Roman" w:cs="Arial"/>
          <w:b/>
          <w:sz w:val="17"/>
          <w:szCs w:val="17"/>
        </w:rPr>
        <w:t xml:space="preserve">usvaja </w:t>
      </w:r>
      <w:r>
        <w:rPr>
          <w:rFonts w:eastAsia="Times New Roman" w:cs="Arial"/>
          <w:b/>
          <w:i/>
          <w:sz w:val="17"/>
          <w:szCs w:val="17"/>
        </w:rPr>
        <w:t>(Da / Ne</w:t>
      </w:r>
      <w:r>
        <w:rPr>
          <w:rFonts w:eastAsia="Times New Roman" w:cs="Arial"/>
          <w:i/>
          <w:sz w:val="17"/>
          <w:szCs w:val="17"/>
        </w:rPr>
        <w:t>).</w:t>
      </w:r>
    </w:p>
    <w:p>
      <w:pPr>
        <w:pStyle w:val="Normal"/>
        <w:spacing w:lineRule="auto" w:line="240" w:before="0" w:after="0"/>
        <w:jc w:val="center"/>
        <w:rPr>
          <w:rFonts w:ascii="Calibri" w:hAnsi="Calibri"/>
        </w:rPr>
      </w:pPr>
      <w:r>
        <w:rPr>
          <w:rFonts w:eastAsia="Times New Roman" w:cs="Arial"/>
          <w:sz w:val="17"/>
          <w:szCs w:val="17"/>
        </w:rPr>
        <w:t>U tabelu A2 dodaje se onoliko praznih redova koliko je programa (mjera) u sklopu glavnog programa, odnosno pojedinačnih aktivnosti / projekata u sklopu svakog programa</w:t>
      </w:r>
    </w:p>
    <w:sectPr>
      <w:headerReference w:type="default" r:id="rId4"/>
      <w:footerReference w:type="default" r:id="rId5"/>
      <w:footnotePr>
        <w:numFmt w:val="decimal"/>
      </w:footnotePr>
      <w:type w:val="nextPage"/>
      <w:pgSz w:orient="landscape" w:w="16838" w:h="11906"/>
      <w:pgMar w:left="1138" w:right="1138" w:gutter="0" w:header="0" w:top="1411" w:footer="706" w:bottom="1138"/>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4686579"/>
    </w:sdtPr>
    <w:sdtContent>
      <w:p>
        <w:pPr>
          <w:pStyle w:val="Footer"/>
          <w:jc w:val="right"/>
          <w:rPr/>
        </w:pPr>
        <w:r>
          <w:rPr/>
          <w:fldChar w:fldCharType="begin"/>
        </w:r>
        <w:r>
          <w:rPr/>
          <w:instrText> PAGE </w:instrText>
        </w:r>
        <w:r>
          <w:rPr/>
          <w:fldChar w:fldCharType="separate"/>
        </w:r>
        <w:r>
          <w:rPr/>
          <w:t>5</w:t>
        </w:r>
        <w:r>
          <w:rPr/>
          <w:fldChar w:fldCharType="end"/>
        </w:r>
      </w:p>
      <w:p>
        <w:pPr>
          <w:pStyle w:val="Footer"/>
          <w:jc w:val="right"/>
          <w:rPr>
            <w:rFonts w:ascii="Arial" w:hAnsi="Arial" w:cs="Arial"/>
          </w:rPr>
        </w:pPr>
        <w:r>
          <w:rPr>
            <w:rFonts w:cs="Arial" w:ascii="Arial" w:hAnsi="Arial"/>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4715643"/>
    </w:sdtPr>
    <w:sdtContent>
      <w:p>
        <w:pPr>
          <w:pStyle w:val="Footer"/>
          <w:jc w:val="right"/>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18</w:t>
        </w:r>
        <w:r>
          <w:rPr>
            <w:rFonts w:cs="Arial" w:ascii="Arial" w:hAnsi="Arial"/>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rPr>
          <w:sz w:val="17"/>
          <w:szCs w:val="17"/>
        </w:rPr>
      </w:pPr>
      <w:r>
        <w:rPr>
          <w:rStyle w:val="FootnoteCharacters"/>
        </w:rPr>
        <w:footnoteRef/>
      </w:r>
      <w:r>
        <w:rPr>
          <w:sz w:val="17"/>
          <w:szCs w:val="17"/>
        </w:rPr>
        <w:t xml:space="preserve"> </w:t>
      </w:r>
      <w:r>
        <w:rPr>
          <w:sz w:val="17"/>
          <w:szCs w:val="17"/>
        </w:rPr>
        <w:t>Strategija razvoja Federacije BiH 2021 - 2027</w:t>
      </w:r>
    </w:p>
  </w:footnote>
  <w:footnote w:id="3">
    <w:p>
      <w:pPr>
        <w:pStyle w:val="Footnote"/>
        <w:widowControl w:val="false"/>
        <w:rPr>
          <w:sz w:val="17"/>
          <w:szCs w:val="17"/>
        </w:rPr>
      </w:pPr>
      <w:r>
        <w:rPr>
          <w:rStyle w:val="FootnoteCharacters"/>
        </w:rPr>
        <w:footnoteRef/>
      </w:r>
      <w:r>
        <w:rPr>
          <w:sz w:val="17"/>
          <w:szCs w:val="17"/>
        </w:rPr>
        <w:t xml:space="preserve"> </w:t>
      </w:r>
      <w:r>
        <w:rPr>
          <w:sz w:val="17"/>
          <w:szCs w:val="17"/>
        </w:rPr>
        <w:t>Ne postoje pouzdani izvori podataka</w:t>
      </w:r>
    </w:p>
  </w:footnote>
  <w:footnote w:id="4">
    <w:p>
      <w:pPr>
        <w:pStyle w:val="Footnote"/>
        <w:widowControl w:val="false"/>
        <w:rPr>
          <w:sz w:val="17"/>
          <w:szCs w:val="17"/>
        </w:rPr>
      </w:pPr>
      <w:r>
        <w:rPr>
          <w:rStyle w:val="FootnoteCharacters"/>
        </w:rPr>
        <w:footnoteRef/>
      </w:r>
      <w:r>
        <w:rPr>
          <w:sz w:val="17"/>
          <w:szCs w:val="17"/>
        </w:rPr>
        <w:t xml:space="preserve"> </w:t>
      </w:r>
      <w:r>
        <w:rPr>
          <w:sz w:val="17"/>
          <w:szCs w:val="17"/>
        </w:rPr>
        <w:t>Ne postoje pouzdani izvori podataka</w:t>
      </w:r>
    </w:p>
  </w:footnote>
  <w:footnote w:id="5">
    <w:p>
      <w:pPr>
        <w:pStyle w:val="Footnote"/>
        <w:widowControl w:val="false"/>
        <w:rPr>
          <w:sz w:val="17"/>
          <w:szCs w:val="17"/>
        </w:rPr>
      </w:pPr>
      <w:r>
        <w:rPr>
          <w:rStyle w:val="FootnoteCharacters"/>
        </w:rPr>
        <w:footnoteRef/>
      </w:r>
      <w:r>
        <w:rPr>
          <w:sz w:val="17"/>
          <w:szCs w:val="17"/>
        </w:rPr>
        <w:t xml:space="preserve"> </w:t>
      </w:r>
      <w:r>
        <w:rPr>
          <w:sz w:val="17"/>
          <w:szCs w:val="17"/>
        </w:rPr>
        <w:t>Strategija razvoja Federacije BiH 2021 – 2027</w:t>
      </w:r>
    </w:p>
  </w:footnote>
  <w:footnote w:id="6">
    <w:p>
      <w:pPr>
        <w:pStyle w:val="Footnote"/>
        <w:widowControl w:val="false"/>
        <w:rPr>
          <w:sz w:val="17"/>
          <w:szCs w:val="17"/>
        </w:rPr>
      </w:pPr>
      <w:r>
        <w:rPr>
          <w:rStyle w:val="FootnoteCharacters"/>
        </w:rPr>
        <w:footnoteRef/>
      </w:r>
      <w:r>
        <w:rPr>
          <w:sz w:val="17"/>
          <w:szCs w:val="17"/>
        </w:rPr>
        <w:t xml:space="preserve"> </w:t>
      </w:r>
      <w:r>
        <w:rPr>
          <w:sz w:val="17"/>
          <w:szCs w:val="17"/>
        </w:rPr>
        <w:t>Tipologija zgrada u Federaciji BiH  (GIZ)(2016)</w:t>
      </w:r>
    </w:p>
  </w:footnote>
  <w:footnote w:id="7">
    <w:p>
      <w:pPr>
        <w:pStyle w:val="Footnote"/>
        <w:widowControl w:val="false"/>
        <w:rPr>
          <w:sz w:val="17"/>
          <w:szCs w:val="17"/>
        </w:rPr>
      </w:pPr>
      <w:r>
        <w:rPr>
          <w:rStyle w:val="FootnoteCharacters"/>
        </w:rPr>
        <w:footnoteRef/>
      </w:r>
      <w:r>
        <w:rPr>
          <w:sz w:val="17"/>
          <w:szCs w:val="17"/>
        </w:rPr>
        <w:t xml:space="preserve"> </w:t>
      </w:r>
      <w:r>
        <w:rPr>
          <w:sz w:val="17"/>
          <w:szCs w:val="17"/>
        </w:rPr>
        <w:t>Nacrt Strategije dugoročne obnove zgrada  u Federaciji Bosne i Hercegovine za period do 2050</w:t>
      </w:r>
    </w:p>
  </w:footnote>
  <w:footnote w:id="8">
    <w:p>
      <w:pPr>
        <w:pStyle w:val="Footnote"/>
        <w:widowControl w:val="false"/>
        <w:rPr>
          <w:sz w:val="17"/>
          <w:szCs w:val="17"/>
        </w:rPr>
      </w:pPr>
      <w:r>
        <w:rPr>
          <w:rStyle w:val="FootnoteCharacters"/>
        </w:rPr>
        <w:footnoteRef/>
      </w:r>
      <w:r>
        <w:rPr>
          <w:sz w:val="17"/>
          <w:szCs w:val="17"/>
        </w:rPr>
        <w:t xml:space="preserve"> </w:t>
      </w:r>
      <w:r>
        <w:rPr>
          <w:sz w:val="17"/>
          <w:szCs w:val="17"/>
        </w:rPr>
        <w:t>Nacrt Strategije dugoročne obnove zgrada  u Federaciji Bosne i Hercegovine za period do 2050</w:t>
      </w:r>
    </w:p>
  </w:footnote>
  <w:footnote w:id="9">
    <w:p>
      <w:pPr>
        <w:pStyle w:val="Footnote"/>
        <w:widowControl w:val="false"/>
        <w:rPr/>
      </w:pPr>
      <w:r>
        <w:rPr>
          <w:rStyle w:val="FootnoteCharacters"/>
        </w:rPr>
        <w:footnoteRef/>
      </w:r>
      <w:r>
        <w:rPr>
          <w:sz w:val="17"/>
          <w:szCs w:val="17"/>
        </w:rPr>
        <w:t xml:space="preserve"> </w:t>
      </w:r>
      <w:r>
        <w:rPr>
          <w:sz w:val="17"/>
          <w:szCs w:val="17"/>
        </w:rPr>
        <w:t>Nacrt Strategije dugoročne obnove zgrada  u Federaciji Bosne i Hercegovine za period do 2050</w:t>
      </w:r>
    </w:p>
  </w:footnote>
  <w:footnote w:id="10">
    <w:p>
      <w:pPr>
        <w:pStyle w:val="Footnote"/>
        <w:widowControl w:val="false"/>
        <w:rPr/>
      </w:pPr>
      <w:r>
        <w:rPr>
          <w:rStyle w:val="FootnoteCharacters"/>
        </w:rPr>
        <w:footnoteRef/>
      </w:r>
      <w:r>
        <w:rPr/>
        <w:t xml:space="preserve"> </w:t>
      </w:r>
      <w:r>
        <w:rPr>
          <w:rFonts w:cs="Arial" w:ascii="Arial" w:hAnsi="Arial"/>
          <w:sz w:val="17"/>
          <w:szCs w:val="17"/>
        </w:rPr>
        <w:t>Polazna vrijednost = Odnos ugroženih spomenika prema ukupnom broju nacionalnih spomenika (%) u skladu sa podacima Komisije za očuvanje nacionalnih spomenika. U FBiH ugroženih je 63, a ukupno je 256 nacionalnih spomenika u FBiH.</w:t>
      </w:r>
    </w:p>
  </w:footnote>
  <w:footnote w:id="11">
    <w:p>
      <w:pPr>
        <w:pStyle w:val="Normal"/>
        <w:widowControl w:val="false"/>
        <w:spacing w:lineRule="auto" w:line="240" w:before="0" w:after="0"/>
        <w:rPr>
          <w:rFonts w:ascii="Arial" w:hAnsi="Arial" w:cs="Arial"/>
          <w:sz w:val="17"/>
          <w:szCs w:val="17"/>
        </w:rPr>
      </w:pPr>
      <w:r>
        <w:rPr>
          <w:rStyle w:val="FootnoteCharacters"/>
        </w:rPr>
        <w:footnoteRef/>
      </w:r>
      <w:r>
        <w:rPr/>
        <w:t xml:space="preserve"> </w:t>
      </w:r>
      <w:r>
        <w:rPr>
          <w:rFonts w:cs="Arial" w:ascii="Arial" w:hAnsi="Arial"/>
          <w:sz w:val="17"/>
          <w:szCs w:val="17"/>
        </w:rPr>
        <w:t>Procjene rizika od poplava i klizišta imaju 4 kategorije: neznatan, umjereno značajan, značajan i izrazito značajan rizik</w:t>
      </w:r>
    </w:p>
  </w:footnote>
  <w:footnote w:id="12">
    <w:p>
      <w:pPr>
        <w:pStyle w:val="Footnote"/>
        <w:widowControl w:val="false"/>
        <w:rPr>
          <w:rFonts w:cs="Calibri" w:cstheme="minorHAnsi"/>
          <w:sz w:val="17"/>
          <w:szCs w:val="17"/>
        </w:rPr>
      </w:pPr>
      <w:r>
        <w:rPr>
          <w:rStyle w:val="FootnoteCharacters"/>
        </w:rPr>
        <w:footnoteRef/>
      </w:r>
      <w:r>
        <w:rPr/>
        <w:t xml:space="preserve"> </w:t>
      </w:r>
      <w:r>
        <w:rPr>
          <w:rFonts w:cs="Calibri" w:cstheme="minorHAnsi"/>
          <w:sz w:val="17"/>
          <w:szCs w:val="17"/>
        </w:rPr>
        <w:t>Izrada „Vodiča za uspješnu implementaciju „Strategije obnove zgrada u Federaciji BiH do 2050. godine“;</w:t>
      </w:r>
    </w:p>
    <w:p>
      <w:pPr>
        <w:pStyle w:val="Footnote"/>
        <w:widowControl w:val="false"/>
        <w:rPr>
          <w:rFonts w:cs="Calibri" w:cstheme="minorHAnsi"/>
          <w:sz w:val="17"/>
          <w:szCs w:val="17"/>
        </w:rPr>
      </w:pPr>
      <w:r>
        <w:rPr>
          <w:rFonts w:cs="Calibri" w:cstheme="minorHAnsi"/>
          <w:sz w:val="17"/>
          <w:szCs w:val="17"/>
        </w:rPr>
        <w:t>Izrada „Okvirnog programa energijske obnove stambenih zgrada na području FBiH za period do 2030. godine“;</w:t>
      </w:r>
    </w:p>
    <w:p>
      <w:pPr>
        <w:pStyle w:val="Footnote"/>
        <w:widowControl w:val="false"/>
        <w:rPr>
          <w:rFonts w:cs="Calibri" w:cstheme="minorHAnsi"/>
          <w:sz w:val="17"/>
          <w:szCs w:val="17"/>
        </w:rPr>
      </w:pPr>
      <w:r>
        <w:rPr>
          <w:rFonts w:cs="Calibri" w:cstheme="minorHAnsi"/>
          <w:sz w:val="17"/>
          <w:szCs w:val="17"/>
        </w:rPr>
        <w:t>Izrada „Okvirnog programa energijske obnove komercijalnih zgrada na području FBiH za period do 2030. godine“;</w:t>
      </w:r>
    </w:p>
    <w:p>
      <w:pPr>
        <w:pStyle w:val="Footnote"/>
        <w:widowControl w:val="false"/>
        <w:rPr>
          <w:rFonts w:cs="Calibri" w:cstheme="minorHAnsi"/>
          <w:sz w:val="17"/>
          <w:szCs w:val="17"/>
        </w:rPr>
      </w:pPr>
      <w:r>
        <w:rPr>
          <w:rFonts w:cs="Calibri" w:cstheme="minorHAnsi"/>
          <w:sz w:val="17"/>
          <w:szCs w:val="17"/>
        </w:rPr>
        <w:t>Izrada „Programa energijske obnove javnih zgrada na području FBiH za period do 2030. godine“;</w:t>
      </w:r>
    </w:p>
    <w:p>
      <w:pPr>
        <w:pStyle w:val="Footnote"/>
        <w:widowControl w:val="false"/>
        <w:rPr>
          <w:rFonts w:cs="Calibri" w:cstheme="minorHAnsi"/>
          <w:sz w:val="17"/>
          <w:szCs w:val="17"/>
        </w:rPr>
      </w:pPr>
      <w:r>
        <w:rPr>
          <w:rFonts w:cs="Calibri" w:cstheme="minorHAnsi"/>
          <w:sz w:val="17"/>
          <w:szCs w:val="17"/>
        </w:rPr>
        <w:t>Izrada „Programa suzbijanja energijskog siromaštva koje uključuje povećanje energijske efikasnosti i korištenje obnovljivih izvora energije u stambenim zgradama za posebno ugrožene kategorije stanovništva u FBiH, za period do 2030. godine“;</w:t>
      </w:r>
    </w:p>
    <w:p>
      <w:pPr>
        <w:pStyle w:val="Footnote"/>
        <w:widowControl w:val="false"/>
        <w:rPr>
          <w:rFonts w:cs="Calibri" w:cstheme="minorHAnsi"/>
          <w:sz w:val="17"/>
          <w:szCs w:val="17"/>
        </w:rPr>
      </w:pPr>
      <w:r>
        <w:rPr>
          <w:rFonts w:cs="Calibri" w:cstheme="minorHAnsi"/>
          <w:sz w:val="17"/>
          <w:szCs w:val="17"/>
        </w:rPr>
        <w:t>Izrada „Smjernica energijske obnove zgrada sa statusom nacionalnih spomenika na području FBiH za period do 2030. godine“;</w:t>
      </w:r>
    </w:p>
    <w:p>
      <w:pPr>
        <w:pStyle w:val="Footnote"/>
        <w:widowControl w:val="false"/>
        <w:rPr>
          <w:rFonts w:cs="Calibri" w:cstheme="minorHAnsi"/>
          <w:sz w:val="17"/>
          <w:szCs w:val="17"/>
        </w:rPr>
      </w:pPr>
      <w:r>
        <w:rPr>
          <w:rFonts w:cs="Calibri" w:cstheme="minorHAnsi"/>
          <w:sz w:val="17"/>
          <w:szCs w:val="17"/>
        </w:rPr>
        <w:t>Izrada „Programa razvoja zelene infrastrukture u urbanim područjima FBiH za period do 2030. godine“;</w:t>
      </w:r>
    </w:p>
    <w:p>
      <w:pPr>
        <w:pStyle w:val="Footnote"/>
        <w:widowControl w:val="false"/>
        <w:rPr>
          <w:rFonts w:cs="Calibri" w:cstheme="minorHAnsi"/>
          <w:sz w:val="17"/>
          <w:szCs w:val="17"/>
        </w:rPr>
      </w:pPr>
      <w:r>
        <w:rPr>
          <w:rFonts w:cs="Calibri" w:cstheme="minorHAnsi"/>
          <w:sz w:val="17"/>
          <w:szCs w:val="17"/>
        </w:rPr>
        <w:t>Izrada „Programa razvoja cirkularnog upravljanja prostorom i zgradama na području FBiH prema načelima cirkularne ekonomije, za period do 2030. godine“;</w:t>
      </w:r>
    </w:p>
    <w:p>
      <w:pPr>
        <w:pStyle w:val="Footnote"/>
        <w:widowControl w:val="false"/>
        <w:rPr>
          <w:rFonts w:cs="Calibri" w:cstheme="minorHAnsi"/>
          <w:sz w:val="17"/>
          <w:szCs w:val="17"/>
        </w:rPr>
      </w:pPr>
      <w:r>
        <w:rPr>
          <w:rFonts w:cs="Calibri" w:cstheme="minorHAnsi"/>
          <w:sz w:val="17"/>
          <w:szCs w:val="17"/>
        </w:rPr>
        <w:t>Izrada smjernica o nZEB i zgradama nulte potrošnje za investitore i projektante koje će dati stručnu, preglednu i nedvosmislenu informaciju o nZEB zgradama;</w:t>
      </w:r>
    </w:p>
    <w:p>
      <w:pPr>
        <w:pStyle w:val="Normal"/>
        <w:widowControl w:val="false"/>
        <w:spacing w:lineRule="auto" w:line="276" w:before="0" w:after="0"/>
        <w:jc w:val="both"/>
        <w:rPr>
          <w:rFonts w:cs="Calibri" w:cstheme="minorHAnsi"/>
          <w:bCs/>
          <w:sz w:val="17"/>
          <w:szCs w:val="17"/>
        </w:rPr>
      </w:pPr>
      <w:r>
        <w:rPr>
          <w:rFonts w:cs="Calibri" w:cstheme="minorHAnsi"/>
          <w:bCs/>
          <w:sz w:val="17"/>
          <w:szCs w:val="17"/>
        </w:rPr>
        <w:t xml:space="preserve">Uspostavljanje sveobuhvatnog i integriranog informacionog sistema u sektoru zgradarstva: </w:t>
      </w:r>
    </w:p>
    <w:p>
      <w:pPr>
        <w:pStyle w:val="Normal"/>
        <w:widowControl w:val="false"/>
        <w:spacing w:lineRule="auto" w:line="276" w:before="0" w:after="0"/>
        <w:jc w:val="both"/>
        <w:rPr>
          <w:rFonts w:cs="Calibri" w:cstheme="minorHAnsi"/>
          <w:bCs/>
          <w:i/>
          <w:i/>
          <w:iCs/>
          <w:sz w:val="17"/>
          <w:szCs w:val="17"/>
        </w:rPr>
      </w:pPr>
      <w:r>
        <w:rPr>
          <w:rFonts w:cs="Calibri" w:cstheme="minorHAnsi"/>
          <w:bCs/>
          <w:sz w:val="17"/>
          <w:szCs w:val="17"/>
        </w:rPr>
        <w:t>-</w:t>
      </w:r>
      <w:r>
        <w:rPr>
          <w:rFonts w:cs="Calibri" w:cstheme="minorHAnsi"/>
          <w:bCs/>
          <w:i/>
          <w:iCs/>
          <w:sz w:val="17"/>
          <w:szCs w:val="17"/>
        </w:rPr>
        <w:t>Uspostavljanje inventara zgrada (jedinstven šifrarnik zgrada sa identifikacionim brojem (ID) po svakom objektu), uključujući stambene i nestambene zgrade, što bi omogućilo realno planiranje renoviranja zgrada u skladu sa tipom i starošću zgrada, te praćenje stvarne potrošnje energije i ušteda nakon implementacije mjera EE;</w:t>
      </w:r>
    </w:p>
    <w:p>
      <w:pPr>
        <w:pStyle w:val="Normal"/>
        <w:widowControl w:val="false"/>
        <w:spacing w:lineRule="auto" w:line="276" w:before="0" w:after="0"/>
        <w:jc w:val="both"/>
        <w:rPr>
          <w:rFonts w:cs="Calibri" w:cstheme="minorHAnsi"/>
          <w:bCs/>
          <w:i/>
          <w:i/>
          <w:iCs/>
          <w:sz w:val="17"/>
          <w:szCs w:val="17"/>
        </w:rPr>
      </w:pPr>
      <w:r>
        <w:rPr>
          <w:rFonts w:cs="Calibri" w:cstheme="minorHAnsi"/>
          <w:bCs/>
          <w:i/>
          <w:iCs/>
          <w:sz w:val="17"/>
          <w:szCs w:val="17"/>
        </w:rPr>
        <w:t>-Uspostavljanje digitalne baze svih zgrada sa statusom nacionalnih spomenika na nivou FBiH;</w:t>
      </w:r>
    </w:p>
    <w:p>
      <w:pPr>
        <w:pStyle w:val="Normal"/>
        <w:widowControl w:val="false"/>
        <w:spacing w:lineRule="auto" w:line="276" w:before="0" w:after="0"/>
        <w:jc w:val="both"/>
        <w:rPr>
          <w:rFonts w:cs="Calibri" w:cstheme="minorHAnsi"/>
          <w:bCs/>
          <w:i/>
          <w:i/>
          <w:iCs/>
          <w:sz w:val="17"/>
          <w:szCs w:val="17"/>
        </w:rPr>
      </w:pPr>
      <w:r>
        <w:rPr>
          <w:rFonts w:cs="Calibri" w:cstheme="minorHAnsi"/>
          <w:bCs/>
          <w:i/>
          <w:iCs/>
          <w:sz w:val="17"/>
          <w:szCs w:val="17"/>
        </w:rPr>
        <w:t xml:space="preserve">-Razvoj i izradu digitalne baze projekata zelene infrastrukture; </w:t>
      </w:r>
    </w:p>
    <w:p>
      <w:pPr>
        <w:pStyle w:val="Footnote"/>
        <w:widowControl w:val="false"/>
        <w:spacing w:lineRule="auto" w:line="276"/>
        <w:rPr>
          <w:rFonts w:cs="Calibri" w:cstheme="minorHAnsi"/>
          <w:bCs/>
          <w:i/>
          <w:i/>
          <w:iCs/>
          <w:sz w:val="17"/>
          <w:szCs w:val="17"/>
        </w:rPr>
      </w:pPr>
      <w:r>
        <w:rPr>
          <w:rFonts w:cs="Calibri" w:cstheme="minorHAnsi"/>
          <w:bCs/>
          <w:i/>
          <w:iCs/>
          <w:sz w:val="17"/>
          <w:szCs w:val="17"/>
        </w:rPr>
        <w:t>-Razvoj i izrada digitalne baze projekata cirkularnog upravljanja prostorom i zgradama.</w:t>
      </w:r>
    </w:p>
    <w:p>
      <w:pPr>
        <w:pStyle w:val="Footnote"/>
        <w:widowControl w:val="false"/>
        <w:rPr/>
      </w:pPr>
      <w:r>
        <w:rPr/>
      </w:r>
    </w:p>
  </w:footnote>
  <w:footnote w:id="13">
    <w:p>
      <w:pPr>
        <w:pStyle w:val="Footnote"/>
        <w:widowControl w:val="false"/>
        <w:rPr/>
      </w:pPr>
      <w:r>
        <w:rPr>
          <w:rStyle w:val="FootnoteCharacters"/>
        </w:rPr>
        <w:footnoteRef/>
      </w:r>
      <w:r>
        <w:rPr/>
        <w:t xml:space="preserve"> </w:t>
      </w:r>
      <w:r>
        <w:rPr/>
        <w:t>Ukoliko sredstava iz Europskog fonda za Bosnu i Hercegovinu, kojim upravlja Razvojna banka Njemačke (KfW), a koja su namijenjena projektima energetske efikasnosti u javnim objektima na području F BiH budu doznačena na račun Federalnog ministarstva prostornog uređenja a u skladu sa Odlukom o korištenju sredstava Europskog fonda za Bosnu</w:t>
      </w:r>
    </w:p>
    <w:p>
      <w:pPr>
        <w:pStyle w:val="Footnote"/>
        <w:widowControl w:val="false"/>
        <w:rPr/>
      </w:pPr>
      <w:r>
        <w:rPr/>
        <w:t>i Hercegovinu, kojim je upravljala Razvojna Banka Njemačke ''Službeni list BiH'', broj 88/23)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4807"/>
      <w:gridCol w:w="581"/>
      <w:gridCol w:w="4819"/>
    </w:tblGrid>
    <w:tr>
      <w:trPr/>
      <w:tc>
        <w:tcPr>
          <w:tcW w:w="4807" w:type="dxa"/>
          <w:tcBorders/>
        </w:tcPr>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BOSNA I HERCEGOVINA</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FEDERACIJA BOSNE I HERCEGOVINE</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sz w:val="16"/>
              <w:szCs w:val="16"/>
            </w:rPr>
          </w:pPr>
          <w:r>
            <w:rPr>
              <w:rFonts w:eastAsia="Times New Roman" w:cs="Arial" w:ascii="Arial" w:hAnsi="Arial"/>
              <w:b/>
              <w:sz w:val="16"/>
              <w:szCs w:val="16"/>
            </w:rPr>
            <w:t>FEDERALNO MINISTARSTVO PROSTORNOG UREĐENJA</w:t>
          </w:r>
        </w:p>
      </w:tc>
      <w:tc>
        <w:tcPr>
          <w:tcW w:w="581" w:type="dxa"/>
          <w:tcBorders/>
        </w:tcPr>
        <w:p>
          <w:pPr>
            <w:pStyle w:val="Normal"/>
            <w:widowControl w:val="false"/>
            <w:suppressAutoHyphens w:val="false"/>
            <w:spacing w:lineRule="auto" w:line="240" w:before="0" w:after="0"/>
            <w:jc w:val="both"/>
            <w:rPr>
              <w:rFonts w:ascii="Arial" w:hAnsi="Arial" w:eastAsia="Times New Roman" w:cs="Arial"/>
              <w:sz w:val="24"/>
              <w:szCs w:val="24"/>
            </w:rPr>
          </w:pPr>
          <w:r>
            <w:rPr>
              <w:rFonts w:eastAsia="Times New Roman" w:cs="Arial" w:ascii="Arial" w:hAnsi="Arial"/>
              <w:sz w:val="24"/>
              <w:szCs w:val="24"/>
            </w:rPr>
          </w:r>
        </w:p>
      </w:tc>
      <w:tc>
        <w:tcPr>
          <w:tcW w:w="4819" w:type="dxa"/>
          <w:tcBorders/>
        </w:tcPr>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БОСНА И ХЕРЦЕГОВИНА</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ФЕДЕРАЦИЈА БОСНЕ И ХЕРЦЕГОВИНЕ</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b/>
              <w:b/>
              <w:sz w:val="16"/>
              <w:szCs w:val="16"/>
            </w:rPr>
          </w:pPr>
          <w:r>
            <w:rPr>
              <w:rFonts w:eastAsia="Times New Roman" w:cs="Arial" w:ascii="Arial" w:hAnsi="Arial"/>
              <w:b/>
              <w:sz w:val="16"/>
              <w:szCs w:val="16"/>
            </w:rPr>
            <w:t>ФЕДЕРАЛНО МИНИСТАРСТВО ПРОСТОРНОГ УРЕЂЕЊА</w:t>
          </w:r>
        </w:p>
      </w:tc>
    </w:tr>
    <w:tr>
      <w:trPr/>
      <w:tc>
        <w:tcPr>
          <w:tcW w:w="10207" w:type="dxa"/>
          <w:gridSpan w:val="3"/>
          <w:tcBorders>
            <w:bottom w:val="single" w:sz="12" w:space="0" w:color="000000"/>
          </w:tcBorders>
        </w:tcPr>
        <w:p>
          <w:pPr>
            <w:pStyle w:val="Normal"/>
            <w:widowControl w:val="false"/>
            <w:suppressAutoHyphens w:val="false"/>
            <w:spacing w:lineRule="auto" w:line="240" w:before="0" w:after="0"/>
            <w:jc w:val="center"/>
            <w:rPr>
              <w:rFonts w:ascii="Arial" w:hAnsi="Arial" w:eastAsia="Times New Roman" w:cs="Arial"/>
              <w:sz w:val="18"/>
              <w:szCs w:val="20"/>
            </w:rPr>
          </w:pPr>
          <w:r>
            <w:rPr>
              <w:rFonts w:eastAsia="Times New Roman" w:cs="Arial" w:ascii="Arial" w:hAnsi="Arial"/>
              <w:sz w:val="18"/>
              <w:szCs w:val="20"/>
            </w:rPr>
          </w:r>
        </w:p>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BOSNIA AND HERZEGOVINA</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sz w:val="14"/>
              <w:szCs w:val="14"/>
            </w:rPr>
          </w:pPr>
          <w:r>
            <w:rPr>
              <w:rFonts w:eastAsia="Times New Roman" w:cs="Arial" w:ascii="Arial" w:hAnsi="Arial"/>
              <w:sz w:val="14"/>
              <w:szCs w:val="14"/>
            </w:rPr>
            <w:t>FEDERATION OF BOSNIA AND HERZEGOVINA</w:t>
          </w:r>
        </w:p>
        <w:p>
          <w:pPr>
            <w:pStyle w:val="Normal"/>
            <w:widowControl w:val="false"/>
            <w:suppressAutoHyphens w:val="false"/>
            <w:spacing w:lineRule="auto" w:line="240" w:before="0" w:after="0"/>
            <w:jc w:val="center"/>
            <w:rPr>
              <w:rFonts w:ascii="Arial" w:hAnsi="Arial" w:eastAsia="Times New Roman" w:cs="Arial"/>
              <w:sz w:val="2"/>
              <w:szCs w:val="2"/>
            </w:rPr>
          </w:pPr>
          <w:r>
            <w:rPr>
              <w:rFonts w:eastAsia="Times New Roman" w:cs="Arial" w:ascii="Arial" w:hAnsi="Arial"/>
              <w:sz w:val="2"/>
              <w:szCs w:val="2"/>
            </w:rPr>
          </w:r>
        </w:p>
        <w:p>
          <w:pPr>
            <w:pStyle w:val="Normal"/>
            <w:widowControl w:val="false"/>
            <w:suppressAutoHyphens w:val="false"/>
            <w:spacing w:lineRule="auto" w:line="240" w:before="0" w:after="0"/>
            <w:jc w:val="center"/>
            <w:rPr>
              <w:rFonts w:ascii="Arial" w:hAnsi="Arial" w:eastAsia="Times New Roman" w:cs="Arial"/>
              <w:b/>
              <w:b/>
              <w:sz w:val="16"/>
              <w:szCs w:val="16"/>
            </w:rPr>
          </w:pPr>
          <w:r>
            <w:rPr>
              <w:rFonts w:eastAsia="Times New Roman" w:cs="Arial" w:ascii="Arial" w:hAnsi="Arial"/>
              <w:b/>
              <w:sz w:val="18"/>
              <w:szCs w:val="20"/>
            </w:rPr>
            <w:t>MINISTRY OF SPATIAL PLANNING OF THE FEDERATION OF BOSNIA AND HERZEGOVINA</w:t>
          </w:r>
        </w:p>
        <w:p>
          <w:pPr>
            <w:pStyle w:val="Normal"/>
            <w:widowControl w:val="false"/>
            <w:suppressAutoHyphens w:val="false"/>
            <w:spacing w:lineRule="auto" w:line="240" w:before="0" w:after="0"/>
            <w:jc w:val="center"/>
            <w:rPr>
              <w:rFonts w:ascii="Arial" w:hAnsi="Arial" w:eastAsia="Times New Roman" w:cs="Arial"/>
              <w:sz w:val="16"/>
              <w:szCs w:val="16"/>
            </w:rPr>
          </w:pPr>
          <w:r>
            <w:rPr>
              <w:rFonts w:eastAsia="Times New Roman" w:cs="Arial" w:ascii="Arial" w:hAnsi="Arial"/>
              <w:sz w:val="16"/>
              <w:szCs w:val="16"/>
            </w:rPr>
          </w:r>
        </w:p>
      </w:tc>
    </w:tr>
  </w:tbl>
  <w:p>
    <w:pPr>
      <w:pStyle w:val="Header"/>
      <w:rPr/>
    </w:pPr>
    <w:r>
      <w:rPr/>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Arial" w:hAnsi="Arial" w:cs="Aria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sz w:val="17"/>
        <w:rFonts w:ascii="Arial" w:hAnsi="Arial" w:cs="Arial"/>
      </w:rPr>
    </w:lvl>
    <w:lvl w:ilvl="2">
      <w:start w:val="1"/>
      <w:numFmt w:val="decimal"/>
      <w:lvlText w:val="%1.%2.%3."/>
      <w:lvlJc w:val="left"/>
      <w:pPr>
        <w:tabs>
          <w:tab w:val="num" w:pos="0"/>
        </w:tabs>
        <w:ind w:left="1080" w:hanging="720"/>
      </w:pPr>
      <w:rPr>
        <w:sz w:val="17"/>
        <w:rFonts w:ascii="Arial" w:hAnsi="Arial" w:cs="Arial"/>
      </w:rPr>
    </w:lvl>
    <w:lvl w:ilvl="3">
      <w:start w:val="1"/>
      <w:numFmt w:val="decimal"/>
      <w:lvlText w:val="%1.%2.%3.%4."/>
      <w:lvlJc w:val="left"/>
      <w:pPr>
        <w:tabs>
          <w:tab w:val="num" w:pos="0"/>
        </w:tabs>
        <w:ind w:left="1080" w:hanging="720"/>
      </w:pPr>
      <w:rPr>
        <w:sz w:val="17"/>
        <w:rFonts w:ascii="Arial" w:hAnsi="Arial" w:cs="Arial"/>
      </w:rPr>
    </w:lvl>
    <w:lvl w:ilvl="4">
      <w:start w:val="1"/>
      <w:numFmt w:val="decimal"/>
      <w:lvlText w:val="%1.%2.%3.%4.%5."/>
      <w:lvlJc w:val="left"/>
      <w:pPr>
        <w:tabs>
          <w:tab w:val="num" w:pos="0"/>
        </w:tabs>
        <w:ind w:left="1080" w:hanging="720"/>
      </w:pPr>
      <w:rPr>
        <w:sz w:val="17"/>
        <w:rFonts w:ascii="Arial" w:hAnsi="Arial" w:cs="Arial"/>
      </w:rPr>
    </w:lvl>
    <w:lvl w:ilvl="5">
      <w:start w:val="1"/>
      <w:numFmt w:val="decimal"/>
      <w:lvlText w:val="%1.%2.%3.%4.%5.%6."/>
      <w:lvlJc w:val="left"/>
      <w:pPr>
        <w:tabs>
          <w:tab w:val="num" w:pos="0"/>
        </w:tabs>
        <w:ind w:left="1440" w:hanging="1080"/>
      </w:pPr>
      <w:rPr>
        <w:sz w:val="17"/>
        <w:rFonts w:ascii="Arial" w:hAnsi="Arial" w:cs="Arial"/>
      </w:rPr>
    </w:lvl>
    <w:lvl w:ilvl="6">
      <w:start w:val="1"/>
      <w:numFmt w:val="decimal"/>
      <w:lvlText w:val="%1.%2.%3.%4.%5.%6.%7."/>
      <w:lvlJc w:val="left"/>
      <w:pPr>
        <w:tabs>
          <w:tab w:val="num" w:pos="0"/>
        </w:tabs>
        <w:ind w:left="1440" w:hanging="1080"/>
      </w:pPr>
      <w:rPr>
        <w:sz w:val="17"/>
        <w:rFonts w:ascii="Arial" w:hAnsi="Arial" w:cs="Arial"/>
      </w:rPr>
    </w:lvl>
    <w:lvl w:ilvl="7">
      <w:start w:val="1"/>
      <w:numFmt w:val="decimal"/>
      <w:lvlText w:val="%1.%2.%3.%4.%5.%6.%7.%8."/>
      <w:lvlJc w:val="left"/>
      <w:pPr>
        <w:tabs>
          <w:tab w:val="num" w:pos="0"/>
        </w:tabs>
        <w:ind w:left="1800" w:hanging="1440"/>
      </w:pPr>
      <w:rPr>
        <w:sz w:val="17"/>
        <w:rFonts w:ascii="Arial" w:hAnsi="Arial" w:cs="Arial"/>
      </w:rPr>
    </w:lvl>
    <w:lvl w:ilvl="8">
      <w:start w:val="1"/>
      <w:numFmt w:val="decimal"/>
      <w:lvlText w:val="%1.%2.%3.%4.%5.%6.%7.%8.%9."/>
      <w:lvlJc w:val="left"/>
      <w:pPr>
        <w:tabs>
          <w:tab w:val="num" w:pos="0"/>
        </w:tabs>
        <w:ind w:left="1800" w:hanging="1440"/>
      </w:pPr>
      <w:rPr>
        <w:sz w:val="17"/>
        <w:rFonts w:ascii="Arial" w:hAnsi="Arial" w:cs="Arial"/>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6"/>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b46e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904c6"/>
    <w:rPr>
      <w:b/>
      <w:bCs/>
    </w:rPr>
  </w:style>
  <w:style w:type="character" w:styleId="Appleconvertedspace" w:customStyle="1">
    <w:name w:val="apple-converted-space"/>
    <w:basedOn w:val="DefaultParagraphFont"/>
    <w:qFormat/>
    <w:rsid w:val="003904c6"/>
    <w:rPr/>
  </w:style>
  <w:style w:type="character" w:styleId="Emphasis">
    <w:name w:val="Emphasis"/>
    <w:basedOn w:val="DefaultParagraphFont"/>
    <w:uiPriority w:val="20"/>
    <w:qFormat/>
    <w:rsid w:val="003904c6"/>
    <w:rPr>
      <w:i/>
      <w:iCs/>
    </w:rPr>
  </w:style>
  <w:style w:type="character" w:styleId="Annotationreference">
    <w:name w:val="annotation reference"/>
    <w:basedOn w:val="DefaultParagraphFont"/>
    <w:uiPriority w:val="99"/>
    <w:semiHidden/>
    <w:unhideWhenUsed/>
    <w:qFormat/>
    <w:rsid w:val="005f3d5a"/>
    <w:rPr>
      <w:sz w:val="16"/>
      <w:szCs w:val="16"/>
    </w:rPr>
  </w:style>
  <w:style w:type="character" w:styleId="CommentTextChar" w:customStyle="1">
    <w:name w:val="Comment Text Char"/>
    <w:basedOn w:val="DefaultParagraphFont"/>
    <w:link w:val="CommentText"/>
    <w:uiPriority w:val="99"/>
    <w:qFormat/>
    <w:rsid w:val="005f3d5a"/>
    <w:rPr>
      <w:sz w:val="20"/>
      <w:szCs w:val="20"/>
    </w:rPr>
  </w:style>
  <w:style w:type="character" w:styleId="BalloonTextChar" w:customStyle="1">
    <w:name w:val="Balloon Text Char"/>
    <w:basedOn w:val="DefaultParagraphFont"/>
    <w:link w:val="BalloonText"/>
    <w:uiPriority w:val="99"/>
    <w:semiHidden/>
    <w:qFormat/>
    <w:rsid w:val="005f3d5a"/>
    <w:rPr>
      <w:rFonts w:ascii="Segoe UI" w:hAnsi="Segoe UI" w:cs="Segoe UI"/>
      <w:sz w:val="18"/>
      <w:szCs w:val="18"/>
    </w:rPr>
  </w:style>
  <w:style w:type="character" w:styleId="HeaderChar" w:customStyle="1">
    <w:name w:val="Header Char"/>
    <w:basedOn w:val="DefaultParagraphFont"/>
    <w:link w:val="Header"/>
    <w:uiPriority w:val="99"/>
    <w:qFormat/>
    <w:rsid w:val="00f1543d"/>
    <w:rPr/>
  </w:style>
  <w:style w:type="character" w:styleId="FooterChar" w:customStyle="1">
    <w:name w:val="Footer Char"/>
    <w:basedOn w:val="DefaultParagraphFont"/>
    <w:link w:val="Footer"/>
    <w:uiPriority w:val="99"/>
    <w:qFormat/>
    <w:rsid w:val="00f1543d"/>
    <w:rPr/>
  </w:style>
  <w:style w:type="character" w:styleId="CommentSubjectChar" w:customStyle="1">
    <w:name w:val="Comment Subject Char"/>
    <w:basedOn w:val="CommentTextChar"/>
    <w:link w:val="CommentSubject"/>
    <w:uiPriority w:val="99"/>
    <w:semiHidden/>
    <w:qFormat/>
    <w:rsid w:val="00a5526f"/>
    <w:rPr>
      <w:b/>
      <w:bCs/>
      <w:sz w:val="20"/>
      <w:szCs w:val="20"/>
    </w:rPr>
  </w:style>
  <w:style w:type="character" w:styleId="NoSpacingChar" w:customStyle="1">
    <w:name w:val="No Spacing Char"/>
    <w:link w:val="NoSpacing"/>
    <w:uiPriority w:val="99"/>
    <w:qFormat/>
    <w:locked/>
    <w:rsid w:val="009f0380"/>
    <w:rPr>
      <w:rFonts w:ascii="Calibri" w:hAnsi="Calibri" w:eastAsia="Times New Roman" w:cs="Times New Roman"/>
      <w:lang w:val="en-US"/>
    </w:rPr>
  </w:style>
  <w:style w:type="character" w:styleId="FootnoteTextChar" w:customStyle="1">
    <w:name w:val="Footnote Text Char"/>
    <w:basedOn w:val="DefaultParagraphFont"/>
    <w:link w:val="FootnoteText"/>
    <w:uiPriority w:val="99"/>
    <w:semiHidden/>
    <w:qFormat/>
    <w:rsid w:val="00a95687"/>
    <w:rPr>
      <w:sz w:val="20"/>
      <w:szCs w:val="20"/>
    </w:rPr>
  </w:style>
  <w:style w:type="character" w:styleId="FootnoteCharacters" w:customStyle="1">
    <w:name w:val="Footnote Characters"/>
    <w:basedOn w:val="DefaultParagraphFont"/>
    <w:uiPriority w:val="99"/>
    <w:semiHidden/>
    <w:unhideWhenUsed/>
    <w:qFormat/>
    <w:rsid w:val="0084508d"/>
    <w:rPr>
      <w:vertAlign w:val="superscript"/>
    </w:rPr>
  </w:style>
  <w:style w:type="character" w:styleId="FootnoteAnchor" w:customStyle="1">
    <w:name w:val="Footnote Anchor"/>
    <w:rPr>
      <w:vertAlign w:val="superscript"/>
    </w:rPr>
  </w:style>
  <w:style w:type="character" w:styleId="InternetLink">
    <w:name w:val="Hyperlink"/>
    <w:basedOn w:val="DefaultParagraphFont"/>
    <w:uiPriority w:val="99"/>
    <w:unhideWhenUsed/>
    <w:rsid w:val="00f74360"/>
    <w:rPr>
      <w:color w:val="0563C1" w:themeColor="hyperlink"/>
      <w:u w:val="single"/>
    </w:rPr>
  </w:style>
  <w:style w:type="character" w:styleId="UnresolvedMention1" w:customStyle="1">
    <w:name w:val="Unresolved Mention1"/>
    <w:basedOn w:val="DefaultParagraphFont"/>
    <w:uiPriority w:val="99"/>
    <w:semiHidden/>
    <w:unhideWhenUsed/>
    <w:qFormat/>
    <w:rsid w:val="00f74360"/>
    <w:rPr>
      <w:color w:val="605E5C"/>
      <w:shd w:fill="E1DFDD" w:val="clear"/>
    </w:rPr>
  </w:style>
  <w:style w:type="character" w:styleId="VisitedInternetLink">
    <w:name w:val="FollowedHyperlink"/>
    <w:basedOn w:val="DefaultParagraphFont"/>
    <w:rPr>
      <w:color w:val="954F72" w:themeColor="followedHyperlink"/>
      <w:u w:val="single"/>
    </w:rPr>
  </w:style>
  <w:style w:type="character" w:styleId="Bullets" w:customStyle="1">
    <w:name w:val="Bullets"/>
    <w:qFormat/>
    <w:rPr>
      <w:rFonts w:ascii="OpenSymbol" w:hAnsi="OpenSymbol" w:eastAsia="OpenSymbol" w:cs="OpenSymbol"/>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StrongEmphasis" w:customStyle="1">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NormalWeb">
    <w:name w:val="Normal (Web)"/>
    <w:basedOn w:val="Normal"/>
    <w:uiPriority w:val="99"/>
    <w:unhideWhenUsed/>
    <w:qFormat/>
    <w:rsid w:val="003904c6"/>
    <w:pPr>
      <w:spacing w:lineRule="auto" w:line="240" w:beforeAutospacing="1" w:afterAutospacing="1"/>
    </w:pPr>
    <w:rPr>
      <w:rFonts w:ascii="Times New Roman" w:hAnsi="Times New Roman" w:eastAsia="Times New Roman" w:cs="Times New Roman"/>
      <w:sz w:val="24"/>
      <w:szCs w:val="24"/>
      <w:lang w:eastAsia="hr-HR"/>
    </w:rPr>
  </w:style>
  <w:style w:type="paragraph" w:styleId="Annotationtext">
    <w:name w:val="annotation text"/>
    <w:basedOn w:val="Normal"/>
    <w:link w:val="CommentTextChar"/>
    <w:uiPriority w:val="99"/>
    <w:unhideWhenUsed/>
    <w:qFormat/>
    <w:rsid w:val="005f3d5a"/>
    <w:pPr>
      <w:spacing w:lineRule="auto" w:line="240"/>
    </w:pPr>
    <w:rPr>
      <w:sz w:val="20"/>
      <w:szCs w:val="20"/>
    </w:rPr>
  </w:style>
  <w:style w:type="paragraph" w:styleId="BalloonText">
    <w:name w:val="Balloon Text"/>
    <w:basedOn w:val="Normal"/>
    <w:link w:val="BalloonTextChar"/>
    <w:uiPriority w:val="99"/>
    <w:semiHidden/>
    <w:unhideWhenUsed/>
    <w:qFormat/>
    <w:rsid w:val="005f3d5a"/>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4afd"/>
    <w:pPr>
      <w:spacing w:before="0" w:after="16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f1543d"/>
    <w:pPr>
      <w:tabs>
        <w:tab w:val="clear" w:pos="706"/>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f1543d"/>
    <w:pPr>
      <w:tabs>
        <w:tab w:val="clear" w:pos="706"/>
        <w:tab w:val="center" w:pos="4536" w:leader="none"/>
        <w:tab w:val="right" w:pos="9072" w:leader="none"/>
      </w:tabs>
      <w:spacing w:lineRule="auto" w:line="240" w:before="0" w:after="0"/>
    </w:pPr>
    <w:rPr/>
  </w:style>
  <w:style w:type="paragraph" w:styleId="Annotationsubject">
    <w:name w:val="annotation subject"/>
    <w:basedOn w:val="Annotationtext"/>
    <w:next w:val="Annotationtext"/>
    <w:link w:val="CommentSubjectChar"/>
    <w:uiPriority w:val="99"/>
    <w:semiHidden/>
    <w:unhideWhenUsed/>
    <w:qFormat/>
    <w:rsid w:val="00a5526f"/>
    <w:pPr/>
    <w:rPr>
      <w:b/>
      <w:bCs/>
    </w:rPr>
  </w:style>
  <w:style w:type="paragraph" w:styleId="Revision">
    <w:name w:val="Revision"/>
    <w:uiPriority w:val="99"/>
    <w:semiHidden/>
    <w:qFormat/>
    <w:rsid w:val="000225b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NoSpacing">
    <w:name w:val="No Spacing"/>
    <w:link w:val="NoSpacingChar"/>
    <w:uiPriority w:val="99"/>
    <w:qFormat/>
    <w:rsid w:val="009f0380"/>
    <w:pPr>
      <w:widowControl/>
      <w:suppressAutoHyphens w:val="true"/>
      <w:bidi w:val="0"/>
      <w:spacing w:before="0" w:after="0"/>
      <w:jc w:val="left"/>
    </w:pPr>
    <w:rPr>
      <w:rFonts w:eastAsia="Times New Roman" w:cs="Times New Roman" w:ascii="Calibri" w:hAnsi="Calibri" w:asciiTheme="minorHAnsi" w:hAnsiTheme="minorHAnsi"/>
      <w:color w:val="auto"/>
      <w:kern w:val="0"/>
      <w:sz w:val="22"/>
      <w:szCs w:val="22"/>
      <w:lang w:val="en-US" w:eastAsia="en-US" w:bidi="ar-SA"/>
    </w:rPr>
  </w:style>
  <w:style w:type="paragraph" w:styleId="Footnote">
    <w:name w:val="Footnote Text"/>
    <w:basedOn w:val="Normal"/>
    <w:link w:val="FootnoteTextChar"/>
    <w:uiPriority w:val="99"/>
    <w:semiHidden/>
    <w:unhideWhenUsed/>
    <w:rsid w:val="00a95687"/>
    <w:pPr>
      <w:spacing w:lineRule="auto" w:line="240" w:before="0" w:after="0"/>
    </w:pPr>
    <w:rPr>
      <w:sz w:val="20"/>
      <w:szCs w:val="20"/>
    </w:rPr>
  </w:style>
  <w:style w:type="paragraph" w:styleId="Default" w:customStyle="1">
    <w:name w:val="Default"/>
    <w:qFormat/>
    <w:rsid w:val="00b255fc"/>
    <w:pPr>
      <w:widowControl/>
      <w:suppressAutoHyphens w:val="true"/>
      <w:bidi w:val="0"/>
      <w:spacing w:before="0" w:after="0"/>
      <w:jc w:val="left"/>
    </w:pPr>
    <w:rPr>
      <w:rFonts w:ascii="Arial" w:hAnsi="Arial" w:eastAsia="Calibri" w:cs="Arial"/>
      <w:color w:val="000000"/>
      <w:kern w:val="0"/>
      <w:sz w:val="24"/>
      <w:szCs w:val="24"/>
      <w:lang w:val="hr-HR"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7c0e3d"/>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A842-B225-42EC-B659-4894AA44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Application>LibreOffice/7.2.4.1$Windows_X86_64 LibreOffice_project/27d75539669ac387bb498e35313b970b7fe9c4f9</Application>
  <AppVersion>15.0000</AppVersion>
  <Pages>10</Pages>
  <Words>5301</Words>
  <Characters>31399</Characters>
  <CharactersWithSpaces>35534</CharactersWithSpaces>
  <Paragraphs>1281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2023-11-08T14:19:00Z</dcterms:created>
  <dc:creator>Irena Ivanović</dc:creator>
  <dc:description/>
  <dc:language>en-US</dc:language>
  <cp:lastModifiedBy>Irena Ivanović</cp:lastModifiedBy>
  <cp:lastPrinted>2023-01-17T10:21:00Z</cp:lastPrinted>
  <dcterms:modified xsi:type="dcterms:W3CDTF">2025-01-13T09:13:00Z</dcterms:modified>
  <cp:revision>992</cp:revision>
  <dc:subject/>
  <dc:title/>
</cp:coreProperties>
</file>

<file path=docProps/custom.xml><?xml version="1.0" encoding="utf-8"?>
<Properties xmlns="http://schemas.openxmlformats.org/officeDocument/2006/custom-properties" xmlns:vt="http://schemas.openxmlformats.org/officeDocument/2006/docPropsVTypes"/>
</file>