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lineRule="auto" w:line="240" w:before="69" w:after="0"/>
        <w:ind w:left="0" w:right="0" w:hanging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pacing w:val="-1"/>
          <w:sz w:val="24"/>
          <w:szCs w:val="24"/>
        </w:rPr>
        <w:t>ZAKON</w:t>
      </w:r>
    </w:p>
    <w:p>
      <w:pPr>
        <w:pStyle w:val="Normal"/>
        <w:bidi w:val="0"/>
        <w:spacing w:lineRule="auto" w:line="240"/>
        <w:ind w:left="545" w:right="544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 PROVOĐENJU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ODLUKA</w:t>
      </w:r>
      <w:r>
        <w:rPr>
          <w:rFonts w:ascii="Arial" w:hAnsi="Arial"/>
          <w:b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KOMISIJE </w:t>
      </w:r>
      <w:r>
        <w:rPr>
          <w:rFonts w:ascii="Arial" w:hAnsi="Arial"/>
          <w:b/>
          <w:spacing w:val="1"/>
          <w:sz w:val="24"/>
          <w:szCs w:val="24"/>
        </w:rPr>
        <w:t>ZA</w:t>
      </w:r>
      <w:r>
        <w:rPr>
          <w:rFonts w:ascii="Arial" w:hAnsi="Arial"/>
          <w:b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spacing w:val="-1"/>
          <w:sz w:val="24"/>
          <w:szCs w:val="24"/>
        </w:rPr>
        <w:t>ZAŠTITU</w:t>
      </w:r>
      <w:r>
        <w:rPr>
          <w:rFonts w:ascii="Arial" w:hAnsi="Arial"/>
          <w:b/>
          <w:spacing w:val="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NACIONALNIH</w:t>
      </w:r>
      <w:r>
        <w:rPr>
          <w:rFonts w:ascii="Arial" w:hAnsi="Arial"/>
          <w:b/>
          <w:spacing w:val="26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SPOMENIKA</w:t>
      </w:r>
      <w:r>
        <w:rPr>
          <w:rFonts w:ascii="Arial" w:hAnsi="Arial"/>
          <w:b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spacing w:val="-1"/>
          <w:sz w:val="24"/>
          <w:szCs w:val="24"/>
        </w:rPr>
        <w:t>USPOSTAVLJENE</w:t>
      </w:r>
      <w:r>
        <w:rPr>
          <w:rFonts w:ascii="Arial" w:hAnsi="Arial"/>
          <w:b/>
          <w:sz w:val="24"/>
          <w:szCs w:val="24"/>
        </w:rPr>
        <w:t xml:space="preserve"> PREMA</w:t>
      </w:r>
      <w:r>
        <w:rPr>
          <w:rFonts w:ascii="Arial" w:hAnsi="Arial"/>
          <w:b/>
          <w:spacing w:val="-1"/>
          <w:sz w:val="24"/>
          <w:szCs w:val="24"/>
        </w:rPr>
        <w:t xml:space="preserve"> ANEKSU</w:t>
      </w:r>
      <w:r>
        <w:rPr>
          <w:rFonts w:ascii="Arial" w:hAnsi="Arial"/>
          <w:b/>
          <w:sz w:val="24"/>
          <w:szCs w:val="24"/>
        </w:rPr>
        <w:t xml:space="preserve"> 8. </w:t>
      </w:r>
      <w:r>
        <w:rPr>
          <w:rFonts w:ascii="Arial" w:hAnsi="Arial"/>
          <w:b/>
          <w:spacing w:val="-1"/>
          <w:sz w:val="24"/>
          <w:szCs w:val="24"/>
        </w:rPr>
        <w:t>OPĆEG</w:t>
      </w:r>
      <w:r>
        <w:rPr>
          <w:rFonts w:ascii="Arial" w:hAnsi="Arial"/>
          <w:b/>
          <w:spacing w:val="3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OKVIRNOG </w:t>
      </w:r>
      <w:r>
        <w:rPr>
          <w:rFonts w:ascii="Arial" w:hAnsi="Arial"/>
          <w:b/>
          <w:spacing w:val="-1"/>
          <w:sz w:val="24"/>
          <w:szCs w:val="24"/>
        </w:rPr>
        <w:t>SPORAZUMA</w:t>
      </w:r>
      <w:r>
        <w:rPr>
          <w:rFonts w:ascii="Arial" w:hAnsi="Arial"/>
          <w:b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spacing w:val="2"/>
          <w:sz w:val="24"/>
          <w:szCs w:val="24"/>
        </w:rPr>
        <w:t>ZA</w:t>
      </w:r>
      <w:r>
        <w:rPr>
          <w:rFonts w:ascii="Arial" w:hAnsi="Arial"/>
          <w:b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MIR U BOSNI I </w:t>
      </w:r>
      <w:r>
        <w:rPr>
          <w:rFonts w:ascii="Arial" w:hAnsi="Arial"/>
          <w:b/>
          <w:spacing w:val="-1"/>
          <w:sz w:val="24"/>
          <w:szCs w:val="24"/>
        </w:rPr>
        <w:t>HERCEGOVINI</w:t>
      </w:r>
    </w:p>
    <w:p>
      <w:pPr>
        <w:pStyle w:val="Normal"/>
        <w:bidi w:val="0"/>
        <w:spacing w:lineRule="auto" w:line="240"/>
        <w:ind w:left="545" w:right="544" w:hanging="0"/>
        <w:jc w:val="center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pacing w:val="-1"/>
          <w:sz w:val="24"/>
          <w:szCs w:val="24"/>
        </w:rPr>
        <w:t>(“Službene novine Federacije BiH”, br. 2/02, 8/02, 27,02, 6/04 i 51/07)</w:t>
      </w:r>
    </w:p>
    <w:p>
      <w:pPr>
        <w:pStyle w:val="Normal"/>
        <w:bidi w:val="0"/>
        <w:spacing w:lineRule="auto" w:line="240"/>
        <w:ind w:left="545" w:right="544" w:hanging="0"/>
        <w:jc w:val="center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</w:r>
    </w:p>
    <w:p>
      <w:pPr>
        <w:pStyle w:val="Normal"/>
        <w:bidi w:val="0"/>
        <w:spacing w:lineRule="auto" w:line="240"/>
        <w:ind w:left="545" w:right="544" w:hanging="0"/>
        <w:jc w:val="center"/>
        <w:rPr>
          <w:b/>
          <w:b/>
          <w:bCs/>
        </w:rPr>
      </w:pPr>
      <w:r>
        <w:rPr>
          <w:rFonts w:ascii="Arial" w:hAnsi="Arial"/>
          <w:b/>
          <w:bCs/>
          <w:spacing w:val="-1"/>
          <w:sz w:val="24"/>
          <w:szCs w:val="24"/>
        </w:rPr>
        <w:t>Neslužbeni prečišćeni tekst</w:t>
      </w:r>
    </w:p>
    <w:p>
      <w:pPr>
        <w:pStyle w:val="Normal"/>
        <w:bidi w:val="0"/>
        <w:spacing w:lineRule="auto" w:line="240"/>
        <w:ind w:left="545" w:right="544" w:hanging="0"/>
        <w:jc w:val="center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</w:r>
    </w:p>
    <w:p>
      <w:pPr>
        <w:pStyle w:val="Normal"/>
        <w:bidi w:val="0"/>
        <w:spacing w:lineRule="auto" w:line="240"/>
        <w:ind w:left="545" w:right="544" w:hanging="0"/>
        <w:jc w:val="center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</w:r>
    </w:p>
    <w:p>
      <w:pPr>
        <w:pStyle w:val="Normal"/>
        <w:bidi w:val="0"/>
        <w:spacing w:lineRule="auto" w:line="240"/>
        <w:ind w:left="545" w:right="544" w:hanging="0"/>
        <w:jc w:val="center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/>
          <w:b/>
          <w:b/>
          <w:bCs/>
          <w:sz w:val="24"/>
          <w:szCs w:val="24"/>
        </w:rPr>
      </w:pPr>
      <w:r>
        <w:rPr>
          <w:rFonts w:eastAsia="Arial" w:ascii="Arial" w:hAnsi="Arial"/>
          <w:b/>
          <w:bCs/>
          <w:sz w:val="24"/>
          <w:szCs w:val="24"/>
        </w:rPr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255" w:leader="none"/>
        </w:tabs>
        <w:bidi w:val="0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OPĆE</w:t>
      </w:r>
      <w:r>
        <w:rPr>
          <w:rFonts w:ascii="Arial" w:hAnsi="Arial"/>
          <w:sz w:val="24"/>
          <w:szCs w:val="24"/>
        </w:rPr>
        <w:t xml:space="preserve"> ODREDBE</w:t>
      </w:r>
    </w:p>
    <w:p>
      <w:pPr>
        <w:pStyle w:val="TextBody"/>
        <w:bidi w:val="0"/>
        <w:spacing w:lineRule="auto" w:line="240"/>
        <w:ind w:left="3809" w:right="3806" w:hanging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pacing w:val="-1"/>
          <w:sz w:val="24"/>
          <w:szCs w:val="24"/>
        </w:rPr>
        <w:t>Član</w:t>
      </w:r>
      <w:r>
        <w:rPr>
          <w:rFonts w:ascii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1.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/>
          <w:sz w:val="24"/>
          <w:szCs w:val="24"/>
        </w:rPr>
      </w:pPr>
      <w:r>
        <w:rPr>
          <w:rFonts w:eastAsia="Arial" w:ascii="Arial" w:hAnsi="Arial"/>
          <w:sz w:val="24"/>
          <w:szCs w:val="24"/>
        </w:rPr>
      </w:r>
    </w:p>
    <w:p>
      <w:pPr>
        <w:pStyle w:val="TextBody"/>
        <w:bidi w:val="0"/>
        <w:spacing w:lineRule="auto" w:line="240"/>
        <w:ind w:left="120" w:right="11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Ovim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zakonom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utvrđuju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mjere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zaštite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rehabilitacije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dobara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koja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</w:t>
      </w:r>
      <w:r>
        <w:rPr>
          <w:rFonts w:ascii="Arial" w:hAnsi="Arial"/>
          <w:spacing w:val="49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utvrđena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kao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nacionalni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spomenici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Bosne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Hercegovine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odlukom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Komisije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>za</w:t>
      </w:r>
      <w:r>
        <w:rPr>
          <w:rFonts w:ascii="Arial" w:hAnsi="Arial"/>
          <w:spacing w:val="59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zaštitu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nacionalnih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spomenika,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uspostavljene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skladu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sa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Aneksom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8.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Općeg</w:t>
      </w:r>
      <w:r>
        <w:rPr>
          <w:rFonts w:ascii="Arial" w:hAnsi="Arial"/>
          <w:spacing w:val="6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okvirnog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sporazuma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za</w:t>
      </w:r>
      <w:r>
        <w:rPr>
          <w:rFonts w:ascii="Arial" w:hAnsi="Arial"/>
          <w:sz w:val="24"/>
          <w:szCs w:val="24"/>
        </w:rPr>
        <w:t xml:space="preserve"> mir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pacing w:val="-1"/>
          <w:sz w:val="24"/>
          <w:szCs w:val="24"/>
        </w:rPr>
        <w:t xml:space="preserve"> Bosni</w:t>
      </w:r>
      <w:r>
        <w:rPr>
          <w:rFonts w:ascii="Arial" w:hAnsi="Arial"/>
          <w:sz w:val="24"/>
          <w:szCs w:val="24"/>
        </w:rPr>
        <w:t xml:space="preserve"> i </w:t>
      </w:r>
      <w:r>
        <w:rPr>
          <w:rFonts w:ascii="Arial" w:hAnsi="Arial"/>
          <w:spacing w:val="-1"/>
          <w:sz w:val="24"/>
          <w:szCs w:val="24"/>
        </w:rPr>
        <w:t>Hercegovini</w:t>
      </w:r>
      <w:r>
        <w:rPr>
          <w:rFonts w:ascii="Arial" w:hAnsi="Arial"/>
          <w:sz w:val="24"/>
          <w:szCs w:val="24"/>
        </w:rPr>
        <w:t xml:space="preserve"> (u daljem</w:t>
      </w:r>
      <w:r>
        <w:rPr>
          <w:rFonts w:ascii="Arial" w:hAnsi="Arial"/>
          <w:spacing w:val="-1"/>
          <w:sz w:val="24"/>
          <w:szCs w:val="24"/>
        </w:rPr>
        <w:t xml:space="preserve"> tekstu: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Komisija).</w:t>
      </w:r>
    </w:p>
    <w:p>
      <w:pPr>
        <w:pStyle w:val="TextBody"/>
        <w:bidi w:val="0"/>
        <w:spacing w:lineRule="auto" w:line="240"/>
        <w:ind w:left="120" w:right="12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Odredbe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drugih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zakona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propisa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neće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>se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primjenjivati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ako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>su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pacing w:val="5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suprotnosti</w:t>
      </w:r>
      <w:r>
        <w:rPr>
          <w:rFonts w:ascii="Arial" w:hAnsi="Arial"/>
          <w:sz w:val="24"/>
          <w:szCs w:val="24"/>
        </w:rPr>
        <w:t xml:space="preserve"> sa</w:t>
      </w:r>
      <w:r>
        <w:rPr>
          <w:rFonts w:ascii="Arial" w:hAnsi="Arial"/>
          <w:spacing w:val="-1"/>
          <w:sz w:val="24"/>
          <w:szCs w:val="24"/>
        </w:rPr>
        <w:t xml:space="preserve"> ovim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zakonom.</w:t>
      </w:r>
    </w:p>
    <w:p>
      <w:pPr>
        <w:pStyle w:val="TextBody"/>
        <w:bidi w:val="0"/>
        <w:spacing w:lineRule="auto" w:line="240"/>
        <w:ind w:left="120" w:right="121" w:hanging="0"/>
        <w:jc w:val="both"/>
        <w:rPr>
          <w:spacing w:val="-1"/>
        </w:rPr>
      </w:pPr>
      <w:r>
        <w:rPr>
          <w:spacing w:val="-1"/>
        </w:rPr>
      </w:r>
    </w:p>
    <w:p>
      <w:pPr>
        <w:pStyle w:val="TextBody"/>
        <w:bidi w:val="0"/>
        <w:spacing w:lineRule="auto" w:line="240"/>
        <w:ind w:left="120" w:right="12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ab/>
        <w:tab/>
        <w:tab/>
        <w:tab/>
        <w:tab/>
        <w:tab/>
        <w:t xml:space="preserve">   </w:t>
      </w:r>
      <w:r>
        <w:rPr>
          <w:rFonts w:ascii="Arial" w:hAnsi="Arial"/>
          <w:b/>
          <w:bCs/>
          <w:spacing w:val="-1"/>
          <w:sz w:val="24"/>
          <w:szCs w:val="24"/>
        </w:rPr>
        <w:t>Član</w:t>
      </w:r>
      <w:r>
        <w:rPr>
          <w:rFonts w:ascii="Arial" w:hAnsi="Arial"/>
          <w:b/>
          <w:bCs/>
          <w:sz w:val="24"/>
          <w:szCs w:val="24"/>
        </w:rPr>
        <w:t xml:space="preserve"> 2.</w:t>
      </w:r>
      <w:r>
        <w:rPr>
          <w:rFonts w:ascii="Arial" w:hAnsi="Arial"/>
          <w:b/>
          <w:bCs/>
          <w:spacing w:val="24"/>
          <w:sz w:val="24"/>
          <w:szCs w:val="24"/>
        </w:rPr>
        <w:t xml:space="preserve"> </w:t>
      </w:r>
    </w:p>
    <w:p>
      <w:pPr>
        <w:pStyle w:val="TextBody"/>
        <w:bidi w:val="0"/>
        <w:spacing w:lineRule="atLeast" w:line="550" w:before="2" w:after="0"/>
        <w:ind w:right="2685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Pojašnjenje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izraza</w:t>
      </w:r>
      <w:r>
        <w:rPr>
          <w:rFonts w:ascii="Arial" w:hAnsi="Arial"/>
          <w:sz w:val="24"/>
          <w:szCs w:val="24"/>
        </w:rPr>
        <w:t xml:space="preserve"> u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ovom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zakonu:</w:t>
      </w:r>
    </w:p>
    <w:p>
      <w:pPr>
        <w:pStyle w:val="TextBody"/>
        <w:bidi w:val="0"/>
        <w:spacing w:lineRule="auto" w:line="240"/>
        <w:ind w:right="118" w:hanging="0"/>
        <w:jc w:val="both"/>
        <w:rPr>
          <w:spacing w:val="-1"/>
        </w:rPr>
      </w:pPr>
      <w:r>
        <w:rPr>
          <w:spacing w:val="-1"/>
        </w:rPr>
      </w:r>
    </w:p>
    <w:p>
      <w:pPr>
        <w:pStyle w:val="TextBody"/>
        <w:bidi w:val="0"/>
        <w:spacing w:lineRule="auto" w:line="240"/>
        <w:ind w:right="118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Nacionalni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spomenik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je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dobro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koje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je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Komisija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proglasila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nacionalnim</w:t>
      </w:r>
      <w:r>
        <w:rPr>
          <w:rFonts w:ascii="Arial" w:hAnsi="Arial"/>
          <w:spacing w:val="7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spomenikom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skladu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sa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čl.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VI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Aneksa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8.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Općeg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okvirnog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</w:rPr>
        <w:t>spor</w:t>
      </w:r>
      <w:r>
        <w:rPr>
          <w:rFonts w:cs="Arial" w:ascii="Arial" w:hAnsi="Arial"/>
          <w:spacing w:val="1"/>
          <w:sz w:val="24"/>
          <w:szCs w:val="24"/>
        </w:rPr>
        <w:t>azuma</w:t>
      </w:r>
      <w:r>
        <w:rPr>
          <w:rFonts w:cs="Arial" w:ascii="Arial" w:hAnsi="Arial"/>
          <w:spacing w:val="20"/>
          <w:sz w:val="24"/>
          <w:szCs w:val="24"/>
        </w:rPr>
        <w:t xml:space="preserve"> </w:t>
      </w:r>
      <w:r>
        <w:rPr>
          <w:rFonts w:cs="Arial" w:ascii="Arial" w:hAnsi="Arial"/>
          <w:spacing w:val="-2"/>
          <w:sz w:val="24"/>
          <w:szCs w:val="24"/>
        </w:rPr>
        <w:t>za</w:t>
      </w:r>
      <w:r>
        <w:rPr>
          <w:rFonts w:cs="Arial" w:ascii="Arial" w:hAnsi="Arial"/>
          <w:spacing w:val="3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mir</w:t>
      </w:r>
      <w:r>
        <w:rPr>
          <w:rFonts w:cs="Arial" w:ascii="Arial" w:hAnsi="Arial"/>
          <w:spacing w:val="1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u</w:t>
      </w:r>
      <w:r>
        <w:rPr>
          <w:rFonts w:cs="Arial" w:ascii="Arial" w:hAnsi="Arial"/>
          <w:spacing w:val="1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Bosni</w:t>
      </w:r>
      <w:r>
        <w:rPr>
          <w:rFonts w:cs="Arial" w:ascii="Arial" w:hAnsi="Arial"/>
          <w:spacing w:val="1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</w:t>
      </w:r>
      <w:r>
        <w:rPr>
          <w:rFonts w:cs="Arial" w:ascii="Arial" w:hAnsi="Arial"/>
          <w:spacing w:val="16"/>
          <w:sz w:val="24"/>
          <w:szCs w:val="24"/>
        </w:rPr>
        <w:t xml:space="preserve"> </w:t>
      </w:r>
      <w:r>
        <w:rPr>
          <w:rFonts w:cs="Arial" w:ascii="Arial" w:hAnsi="Arial"/>
          <w:spacing w:val="-1"/>
          <w:sz w:val="24"/>
          <w:szCs w:val="24"/>
        </w:rPr>
        <w:t>Hercegovini</w:t>
      </w:r>
      <w:r>
        <w:rPr>
          <w:rFonts w:cs="Arial" w:ascii="Arial" w:hAnsi="Arial"/>
          <w:spacing w:val="19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(u</w:t>
      </w:r>
      <w:r>
        <w:rPr>
          <w:rFonts w:cs="Arial" w:ascii="Arial" w:hAnsi="Arial"/>
          <w:spacing w:val="17"/>
          <w:sz w:val="24"/>
          <w:szCs w:val="24"/>
        </w:rPr>
        <w:t xml:space="preserve"> </w:t>
      </w:r>
      <w:r>
        <w:rPr>
          <w:rFonts w:cs="Arial" w:ascii="Arial" w:hAnsi="Arial"/>
          <w:spacing w:val="-1"/>
          <w:sz w:val="24"/>
          <w:szCs w:val="24"/>
        </w:rPr>
        <w:t>daljem</w:t>
      </w:r>
      <w:r>
        <w:rPr>
          <w:rFonts w:cs="Arial" w:ascii="Arial" w:hAnsi="Arial"/>
          <w:spacing w:val="18"/>
          <w:sz w:val="24"/>
          <w:szCs w:val="24"/>
        </w:rPr>
        <w:t xml:space="preserve"> </w:t>
      </w:r>
      <w:r>
        <w:rPr>
          <w:rFonts w:cs="Arial" w:ascii="Arial" w:hAnsi="Arial"/>
          <w:spacing w:val="-1"/>
          <w:sz w:val="24"/>
          <w:szCs w:val="24"/>
        </w:rPr>
        <w:t>tekstu:</w:t>
      </w:r>
      <w:r>
        <w:rPr>
          <w:rFonts w:cs="Arial" w:ascii="Arial" w:hAnsi="Arial"/>
          <w:spacing w:val="1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Aneks</w:t>
      </w:r>
      <w:r>
        <w:rPr>
          <w:rFonts w:cs="Arial" w:ascii="Arial" w:hAnsi="Arial"/>
          <w:spacing w:val="1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8),</w:t>
      </w:r>
      <w:r>
        <w:rPr>
          <w:rFonts w:cs="Arial" w:ascii="Arial" w:hAnsi="Arial"/>
          <w:spacing w:val="16"/>
          <w:sz w:val="24"/>
          <w:szCs w:val="24"/>
        </w:rPr>
        <w:t xml:space="preserve"> </w:t>
      </w:r>
      <w:r>
        <w:rPr>
          <w:rFonts w:cs="Arial" w:ascii="Arial" w:hAnsi="Arial"/>
          <w:spacing w:val="-1"/>
          <w:sz w:val="24"/>
          <w:szCs w:val="24"/>
        </w:rPr>
        <w:t>kao</w:t>
      </w:r>
      <w:r>
        <w:rPr>
          <w:rFonts w:cs="Arial" w:ascii="Arial" w:hAnsi="Arial"/>
          <w:spacing w:val="1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</w:t>
      </w:r>
      <w:r>
        <w:rPr>
          <w:rFonts w:cs="Arial" w:ascii="Arial" w:hAnsi="Arial"/>
          <w:spacing w:val="1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dobra</w:t>
      </w:r>
      <w:r>
        <w:rPr>
          <w:rFonts w:cs="Arial" w:ascii="Arial" w:hAnsi="Arial"/>
          <w:spacing w:val="14"/>
          <w:sz w:val="24"/>
          <w:szCs w:val="24"/>
        </w:rPr>
        <w:t xml:space="preserve"> </w:t>
      </w:r>
      <w:r>
        <w:rPr>
          <w:rFonts w:cs="Arial" w:ascii="Arial" w:hAnsi="Arial"/>
          <w:spacing w:val="-1"/>
          <w:sz w:val="24"/>
          <w:szCs w:val="24"/>
        </w:rPr>
        <w:t>upisana</w:t>
      </w:r>
      <w:r>
        <w:rPr>
          <w:rFonts w:cs="Arial" w:ascii="Arial" w:hAnsi="Arial"/>
          <w:spacing w:val="17"/>
          <w:sz w:val="24"/>
          <w:szCs w:val="24"/>
        </w:rPr>
        <w:t xml:space="preserve"> </w:t>
      </w:r>
      <w:r>
        <w:rPr>
          <w:rFonts w:cs="Arial" w:ascii="Arial" w:hAnsi="Arial"/>
          <w:spacing w:val="-1"/>
          <w:sz w:val="24"/>
          <w:szCs w:val="24"/>
        </w:rPr>
        <w:t>na</w:t>
      </w:r>
      <w:r>
        <w:rPr>
          <w:rFonts w:cs="Arial" w:ascii="Arial" w:hAnsi="Arial"/>
          <w:spacing w:val="5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priloženu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Privremenu</w:t>
      </w:r>
      <w:r>
        <w:rPr>
          <w:rFonts w:ascii="Arial" w:hAnsi="Arial"/>
          <w:spacing w:val="28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listu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nacionalnih</w:t>
      </w:r>
      <w:r>
        <w:rPr>
          <w:rFonts w:ascii="Arial" w:hAnsi="Arial"/>
          <w:spacing w:val="28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spomenika,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sve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dok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Komisija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ne</w:t>
      </w:r>
      <w:r>
        <w:rPr>
          <w:rFonts w:ascii="Arial" w:hAnsi="Arial"/>
          <w:spacing w:val="77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donese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konačnu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odluku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njihovom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statusu,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>za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što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ne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postoji</w:t>
      </w:r>
      <w:r>
        <w:rPr>
          <w:rFonts w:ascii="Arial" w:hAnsi="Arial"/>
          <w:spacing w:val="3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vremensko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ograničenje</w:t>
      </w:r>
      <w:r>
        <w:rPr>
          <w:rFonts w:ascii="Arial" w:hAnsi="Arial"/>
          <w:sz w:val="24"/>
          <w:szCs w:val="24"/>
        </w:rPr>
        <w:t xml:space="preserve"> i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bez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obzira</w:t>
      </w:r>
      <w:r>
        <w:rPr>
          <w:rFonts w:ascii="Arial" w:hAnsi="Arial"/>
          <w:sz w:val="24"/>
          <w:szCs w:val="24"/>
        </w:rPr>
        <w:t xml:space="preserve"> na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da li je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za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dotično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dobro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podnesen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zahtjev.</w:t>
      </w:r>
    </w:p>
    <w:p>
      <w:pPr>
        <w:pStyle w:val="TextBody"/>
        <w:bidi w:val="0"/>
        <w:spacing w:lineRule="auto" w:line="240"/>
        <w:ind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Rehabilitacija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nacionalnih</w:t>
      </w:r>
      <w:r>
        <w:rPr>
          <w:rFonts w:ascii="Arial" w:hAnsi="Arial"/>
          <w:spacing w:val="5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spomenika</w:t>
      </w:r>
      <w:r>
        <w:rPr>
          <w:rFonts w:ascii="Arial" w:hAnsi="Arial"/>
          <w:spacing w:val="5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Bosne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pacing w:val="50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Hercegovine,</w:t>
      </w:r>
      <w:r>
        <w:rPr>
          <w:rFonts w:ascii="Arial" w:hAnsi="Arial"/>
          <w:spacing w:val="5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pacing w:val="5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smislu</w:t>
      </w:r>
      <w:r>
        <w:rPr>
          <w:rFonts w:ascii="Arial" w:hAnsi="Arial"/>
          <w:spacing w:val="8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ovog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zakona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je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vraćanje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oštećenog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ili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uništenog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dobra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stanje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kojem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je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to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dobro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bilo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prije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njegovog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uništenja,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kao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ponovna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izgradnja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(obnova)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nacionalnog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spomenika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na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istom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mjestu,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istom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obliku,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istim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dimenzijama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pacing w:val="5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od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istog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ili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istovrsnog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materijala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kao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što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je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bio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prije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rušenja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uz,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mjeri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kojoj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je to</w:t>
      </w:r>
      <w:r>
        <w:rPr>
          <w:rFonts w:ascii="Arial" w:hAnsi="Arial"/>
          <w:spacing w:val="-1"/>
          <w:sz w:val="24"/>
          <w:szCs w:val="24"/>
        </w:rPr>
        <w:t xml:space="preserve"> moguće,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korištenje</w:t>
      </w:r>
      <w:r>
        <w:rPr>
          <w:rFonts w:ascii="Arial" w:hAnsi="Arial"/>
          <w:sz w:val="24"/>
          <w:szCs w:val="24"/>
        </w:rPr>
        <w:t xml:space="preserve"> iste </w:t>
      </w:r>
      <w:r>
        <w:rPr>
          <w:rFonts w:ascii="Arial" w:hAnsi="Arial"/>
          <w:spacing w:val="-1"/>
          <w:sz w:val="24"/>
          <w:szCs w:val="24"/>
        </w:rPr>
        <w:t>tehnologije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građenja.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/>
          <w:sz w:val="24"/>
          <w:szCs w:val="24"/>
        </w:rPr>
      </w:pPr>
      <w:r>
        <w:rPr>
          <w:rFonts w:eastAsia="Arial" w:ascii="Arial" w:hAnsi="Arial"/>
          <w:sz w:val="24"/>
          <w:szCs w:val="24"/>
        </w:rPr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322" w:leader="none"/>
        </w:tabs>
        <w:bidi w:val="0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ZAŠTITA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NACIONALNIH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SPOMENIKA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/>
          <w:sz w:val="24"/>
          <w:szCs w:val="24"/>
        </w:rPr>
      </w:pPr>
      <w:r>
        <w:rPr>
          <w:rFonts w:eastAsia="Arial" w:ascii="Arial" w:hAnsi="Arial"/>
          <w:sz w:val="24"/>
          <w:szCs w:val="24"/>
        </w:rPr>
      </w:r>
    </w:p>
    <w:p>
      <w:pPr>
        <w:pStyle w:val="TextBody"/>
        <w:bidi w:val="0"/>
        <w:spacing w:lineRule="auto" w:line="240"/>
        <w:ind w:left="3809" w:right="3806" w:hanging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pacing w:val="-1"/>
          <w:sz w:val="24"/>
          <w:szCs w:val="24"/>
        </w:rPr>
        <w:t>Član</w:t>
      </w:r>
      <w:r>
        <w:rPr>
          <w:rFonts w:ascii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3.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/>
          <w:sz w:val="24"/>
          <w:szCs w:val="24"/>
        </w:rPr>
      </w:pPr>
      <w:r>
        <w:rPr>
          <w:rFonts w:eastAsia="Arial"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Nacionalni</w:t>
      </w:r>
      <w:r>
        <w:rPr>
          <w:rFonts w:ascii="Arial" w:hAnsi="Arial"/>
          <w:spacing w:val="59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spomenici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uživaju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najviši</w:t>
      </w:r>
      <w:r>
        <w:rPr>
          <w:rFonts w:ascii="Arial" w:hAnsi="Arial"/>
          <w:spacing w:val="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stepen</w:t>
      </w:r>
      <w:r>
        <w:rPr>
          <w:rFonts w:ascii="Arial" w:hAnsi="Arial"/>
          <w:spacing w:val="59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pravne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zaštite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utvrđene</w:t>
      </w:r>
      <w:r>
        <w:rPr>
          <w:rFonts w:ascii="Arial" w:hAnsi="Arial"/>
          <w:spacing w:val="5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posebnim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zakonima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Federaciji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Bosne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Hercegovine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(u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daljem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tekstu: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Federacija).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Član 4.</w:t>
      </w:r>
    </w:p>
    <w:p>
      <w:pPr>
        <w:pStyle w:val="TextBody"/>
        <w:widowControl/>
        <w:bidi w:val="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Svako, a posebno nadležna tijela Federacije, kantona i gradske i općinske službe suzdržat će se od bilo kakvih radnji koje mogu oštetiti nacionalne spomenike ili dovesti u pitanje njihovu zaštitu i rehabilitaciju.</w:t>
      </w:r>
    </w:p>
    <w:p>
      <w:pPr>
        <w:pStyle w:val="TextBody"/>
        <w:widowControl/>
        <w:bidi w:val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III – ODOBRENJA ZA ZAŠTITU, KONZERVACIJU I OBNOVU NACIONALNIH SPOMENIKA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Član 5.</w:t>
      </w:r>
    </w:p>
    <w:p>
      <w:pPr>
        <w:pStyle w:val="TextBody"/>
        <w:widowControl/>
        <w:bidi w:val="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Odobrenja za zaštitu, konzervaciju, prezentaciju i rehabilitaciju nacionalnih spomenika na prostoru u granicama nacionalnog spomenika koje su utvrđene odlukom Komisije izdaje Federalno ministarstvo prostornog uređenja (u daljem tekstu: Ministarstvo), u skladu sa odredbama Zakona o prostornom planiranju i korištenju zemljišta na nivou Federacije Bosne i Hercegovine ("Služene novine Federacije BiH", broj 2/06 – u daljnjem tekstu: Zakon).</w:t>
      </w:r>
    </w:p>
    <w:p>
      <w:pPr>
        <w:pStyle w:val="TextBody"/>
        <w:widowControl/>
        <w:bidi w:val="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Odobrenja iz stava 1. ovog člana Ministarstvo izdaje na područjima upisanim na Privremenu listu nacionalnih spomenika, a u granicama koje kao privremene odlukom utvrdi Komisija.</w:t>
      </w:r>
    </w:p>
    <w:p>
      <w:pPr>
        <w:pStyle w:val="TextBody"/>
        <w:widowControl/>
        <w:bidi w:val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Nadležna tijela za odobravanje građenja van granica nacionalnih spomenika utvrđenih odlukom Komisije, odnosno van privremenih granica iz stava 2. ovog člana, kao i provođenje mjera zaštite u zaštitnim zonama i područjima koja graniče sa nacionalnim spomenikom utvrđuju se kantonalnim zakonima.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Član 6.</w:t>
      </w:r>
    </w:p>
    <w:p>
      <w:pPr>
        <w:pStyle w:val="TextBody"/>
        <w:widowControl/>
        <w:bidi w:val="0"/>
        <w:ind w:left="0" w:right="0" w:hanging="0"/>
        <w:jc w:val="center"/>
        <w:rPr/>
      </w:pPr>
      <w:r>
        <w:rPr>
          <w:rFonts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(Brisano)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Član 7.</w:t>
      </w:r>
    </w:p>
    <w:p>
      <w:pPr>
        <w:pStyle w:val="TextBody"/>
        <w:widowControl/>
        <w:bidi w:val="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 rehabilitaciju nacionalnih spomenika prije izdavanja odobrenja Ministarstvo je dužno za projekt rehabilitacije prethodno pribaviti stručno mišljenje nadležne institucije za zaštitu kulturno-historijskog naslijeđa.</w:t>
      </w:r>
    </w:p>
    <w:p>
      <w:pPr>
        <w:pStyle w:val="TextBody"/>
        <w:widowControl/>
        <w:bidi w:val="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 rehabilitaciju potpuno uništenih nacionalnih spomenika za koje ne postoji dokumentacija, prije izrade projektne dokumentacije Ministarstvo je dužno prethodno pribaviti stručno mišljenje i podloge nadležne institucije za zaštitu kulturno-historijskog naslijeđa.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Član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8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TextBody"/>
        <w:widowControl/>
        <w:bidi w:val="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Pod uvjetima da su ispunjeni kriteriji 2. (2), 6. i 7. (1) ovog zakona, Ministarstvo izdaje potrebne dozvole za rehabilitaciju nacionalnih spomenika u roku od 30 dana od podnošenja zahtjeva.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Član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9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TextBody"/>
        <w:widowControl/>
        <w:bidi w:val="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 postupku izdavanja odobrenja iz člana 5. ovog zakona primjenjuju se propisi o upravnom postupku, ukoliko odredbama ovog zakona nije drugačije propisano.</w:t>
      </w:r>
    </w:p>
    <w:p>
      <w:pPr>
        <w:pStyle w:val="TextBody"/>
        <w:widowControl/>
        <w:bidi w:val="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Protiv rješenja Ministarstva donesenog u postupku izdavanja odobrenja iz člana 5. st. 1. i 2. ovog zakona ne može se izjaviti žalba.</w:t>
      </w:r>
    </w:p>
    <w:p>
      <w:pPr>
        <w:pStyle w:val="TextBody"/>
        <w:widowControl/>
        <w:bidi w:val="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Protiv rješenja iz stava 2. ovog člana može se pokrenuti upravni spor tužbom kod nadležnog suda u roku od 30 dana od dana prijema rješenja.</w:t>
      </w:r>
    </w:p>
    <w:p>
      <w:pPr>
        <w:pStyle w:val="TextBody"/>
        <w:widowControl/>
        <w:bidi w:val="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Rješenja donesena suprotno odredbama ovog zakona ništavna su.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IV – OBAVEZE PREMA ANEKSU 8.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Član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10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Federacija je dužna osigurati pravne, naučne, tehničke, administrativne i finansijske mjere za zaštitu, konzervaciju, prezentaciju i rehabilitaciju nacionalnih spomenika.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Ministarstvo provodi mjere iz stava 1. ovog člana.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 – OBAVEZNA SARADNJA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Član 1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1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TextBody"/>
        <w:widowControl/>
        <w:bidi w:val="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Službenici tijela uprave i institucija Federacije, kantona, grada i općina dužni su sarađivati sa Komisijom.</w:t>
      </w:r>
    </w:p>
    <w:p>
      <w:pPr>
        <w:pStyle w:val="TextBody"/>
        <w:widowControl/>
        <w:bidi w:val="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Službenici tijela uprave i institucija Federacije, kantona, grada i općina dužni su sarađivati sa Ministarstvom i na zahtjev Ministarstva dostavljati mu svu relevantnu dokumentaciju vezanu za nacionalne spomenike.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Član 1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2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TextBody"/>
        <w:widowControl/>
        <w:bidi w:val="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Kantonalna tijela uprave i gradske i općinske službe dužne su u roku od 15 dana od dana stupanja na snagu ovog zakona Ministarstvu dostaviti sve zahtjeve sa pripadajućom dokumentacijom koji su u postupku, a odnose se na odobrenje iz člana 5. ovog zakona.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VI – NADZOR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Član 1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3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TextBody"/>
        <w:widowControl/>
        <w:bidi w:val="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Nadzor nad provođenjem ovog zakona i propisa donesenih na osnovi ovog zakona obavlja nadležna uprava za inspekcijske poslove.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Član 1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4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TextBody"/>
        <w:widowControl/>
        <w:bidi w:val="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Inspekcijski nadzor nad odredbama ovog zakona vodi se po odredbama o inspekcijskom nadzoru utvrđenim Zakonom.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VII – PRIJELAZNE I ZAVRŠNE ODREDBE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Član 1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5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Ako je upravni postupak za izdavanje odobrenja za rehabilitaciju pokrenut pred nadležnim tijelom do dana stupanja na snagu ovog zakona, a do tog dana nije doneseno prvostepeno rješenje, ili je rješenje prije toga bilo poništeno i vraćeno prvostepenom tijelu na ponovni postupak, postupak će se nastaviti po odredbama ovog zakona.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To ni u kom slučaju ne usporava izdavanje dozvole za rehabilitaciju niti neku mjeru koja se poduzima u skladu sa tom dozvolom, ni neku drugu radnju koja se poduzima u skladu sa ovim zakonom ili Aneksom 8.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Član 1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6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Sadržaj dokumenata prostornog uređenja suprotan odredbama ovog zakona neće se primjenjivati na zaštićeni prostor nacionalnih spomenika.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Član 1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7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Sva nadležna tijela i pojedinci koji postupaju po ovlaštenju nadležnih tijela dužni su zaštititi dobra za koja je podnesena molba Komisiji da se proglase za nacionalne spomenike u periodu od godinu dana od dana podnošenja molbe Komisiji ili do donošenja konačne odluke Komisije u skladu sa Aneksom 8. od poduzimanja mjera koje mogu oštetiti ta dobra.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Član 1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8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Ovaj zakon stupa na snagu narednog dana od dana objavljivanja u “Službenim novinama Federacije BiH“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"/>
      <w:lvlJc w:val="left"/>
      <w:pPr>
        <w:tabs>
          <w:tab w:val="num" w:pos="0"/>
        </w:tabs>
        <w:ind w:left="120" w:hanging="135"/>
      </w:pPr>
      <w:rPr>
        <w:rFonts w:ascii="Arial" w:hAnsi="Arial" w:eastAsia="Aria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963" w:hanging="135"/>
      </w:pPr>
      <w:rPr>
        <w:rFonts w:ascii="0" w:hAnsi="0" w:cs="0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805" w:hanging="135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48" w:hanging="135"/>
      </w:pPr>
      <w:rPr>
        <w:rFonts w:ascii="0" w:hAnsi="0" w:cs="0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490" w:hanging="135"/>
      </w:pPr>
      <w:rPr>
        <w:rFonts w:ascii="0" w:hAnsi="0" w:cs="0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333" w:hanging="135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176" w:hanging="135"/>
      </w:pPr>
      <w:rPr>
        <w:rFonts w:ascii="0" w:hAnsi="0" w:cs="0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018" w:hanging="135"/>
      </w:pPr>
      <w:rPr>
        <w:rFonts w:ascii="0" w:hAnsi="0" w:cs="0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861" w:hanging="135"/>
      </w:pPr>
      <w:rPr>
        <w:rFonts w:ascii="0" w:hAnsi="0" w:cs="0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ableParagraph">
    <w:name w:val="Table Paragraph"/>
    <w:basedOn w:val="Normal"/>
    <w:qFormat/>
    <w:pPr/>
    <w:rPr/>
  </w:style>
  <w:style w:type="paragraph" w:styleId="ListParagraph">
    <w:name w:val="List Paragraph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</TotalTime>
  <Application>LibreOffice/7.2.4.1$Windows_X86_64 LibreOffice_project/27d75539669ac387bb498e35313b970b7fe9c4f9</Application>
  <AppVersion>15.0000</AppVersion>
  <Pages>4</Pages>
  <Words>959</Words>
  <Characters>5550</Characters>
  <CharactersWithSpaces>6466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2023-10-02T13:15:03Z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