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header2.xml" ContentType="application/vnd.openxmlformats-officedocument.wordprocessingml.header+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9BB3A" w14:textId="0279D3B2" w:rsidR="001B1F9C" w:rsidRDefault="001972F5">
      <w:pPr>
        <w:pBdr>
          <w:top w:val="nil"/>
          <w:left w:val="nil"/>
          <w:bottom w:val="nil"/>
          <w:right w:val="nil"/>
          <w:between w:val="nil"/>
        </w:pBdr>
        <w:spacing w:before="120" w:after="120" w:line="276" w:lineRule="auto"/>
        <w:jc w:val="right"/>
        <w:rPr>
          <w:rFonts w:ascii="Open Sans" w:eastAsia="Open Sans" w:hAnsi="Open Sans" w:cs="Open Sans"/>
          <w:color w:val="404040"/>
          <w:lang w:val="bs-Latn-BA"/>
        </w:rPr>
      </w:pPr>
      <w:r>
        <w:rPr>
          <w:rFonts w:ascii="Open Sans" w:eastAsia="Open Sans" w:hAnsi="Open Sans" w:cs="Open Sans"/>
          <w:color w:val="404040"/>
          <w:lang w:val="bs-Latn-BA"/>
        </w:rPr>
        <w:t>operativn</w:t>
      </w:r>
    </w:p>
    <w:p w14:paraId="0D3B2168" w14:textId="2E2A6A22" w:rsidR="00055321" w:rsidRPr="008924E0" w:rsidRDefault="0025720B">
      <w:pPr>
        <w:pBdr>
          <w:top w:val="nil"/>
          <w:left w:val="nil"/>
          <w:bottom w:val="nil"/>
          <w:right w:val="nil"/>
          <w:between w:val="nil"/>
        </w:pBdr>
        <w:spacing w:before="120" w:after="120" w:line="276" w:lineRule="auto"/>
        <w:jc w:val="right"/>
        <w:rPr>
          <w:rFonts w:ascii="Open Sans" w:eastAsia="Open Sans" w:hAnsi="Open Sans" w:cs="Open Sans"/>
          <w:color w:val="404040"/>
          <w:lang w:val="bs-Latn-BA"/>
        </w:rPr>
      </w:pPr>
      <w:r w:rsidRPr="008924E0">
        <w:rPr>
          <w:noProof/>
          <w:lang w:val="bs-Latn-BA"/>
        </w:rPr>
        <mc:AlternateContent>
          <mc:Choice Requires="wpg">
            <w:drawing>
              <wp:anchor distT="0" distB="0" distL="114300" distR="114300" simplePos="0" relativeHeight="251666432" behindDoc="0" locked="0" layoutInCell="1" allowOverlap="1" wp14:anchorId="7959E001" wp14:editId="18A93386">
                <wp:simplePos x="0" y="0"/>
                <wp:positionH relativeFrom="column">
                  <wp:posOffset>-318770</wp:posOffset>
                </wp:positionH>
                <wp:positionV relativeFrom="paragraph">
                  <wp:posOffset>-34290</wp:posOffset>
                </wp:positionV>
                <wp:extent cx="3324225" cy="1158875"/>
                <wp:effectExtent l="0" t="0" r="0" b="0"/>
                <wp:wrapNone/>
                <wp:docPr id="1158" name="Group 1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24225" cy="1158875"/>
                          <a:chOff x="0" y="0"/>
                          <a:chExt cx="3622112" cy="1309121"/>
                        </a:xfrm>
                      </wpg:grpSpPr>
                      <pic:pic xmlns:pic="http://schemas.openxmlformats.org/drawingml/2006/picture">
                        <pic:nvPicPr>
                          <pic:cNvPr id="1159" name="Grafik 26"/>
                          <pic:cNvPicPr>
                            <a:picLocks noChangeAspect="1"/>
                          </pic:cNvPicPr>
                        </pic:nvPicPr>
                        <pic:blipFill rotWithShape="1">
                          <a:blip r:embed="rId9" cstate="print"/>
                          <a:srcRect t="13216" b="13598"/>
                          <a:stretch/>
                        </pic:blipFill>
                        <pic:spPr>
                          <a:xfrm>
                            <a:off x="0" y="0"/>
                            <a:ext cx="2458365" cy="1309121"/>
                          </a:xfrm>
                          <a:prstGeom prst="rect">
                            <a:avLst/>
                          </a:prstGeom>
                        </pic:spPr>
                      </pic:pic>
                      <pic:pic xmlns:pic="http://schemas.openxmlformats.org/drawingml/2006/picture">
                        <pic:nvPicPr>
                          <pic:cNvPr id="1160" name="Grafik 7"/>
                          <pic:cNvPicPr>
                            <a:picLocks noChangeAspect="1"/>
                          </pic:cNvPicPr>
                        </pic:nvPicPr>
                        <pic:blipFill>
                          <a:blip r:embed="rId10" cstate="print"/>
                          <a:srcRect/>
                          <a:stretch>
                            <a:fillRect/>
                          </a:stretch>
                        </pic:blipFill>
                        <pic:spPr bwMode="auto">
                          <a:xfrm>
                            <a:off x="2393233" y="558210"/>
                            <a:ext cx="1228879" cy="512109"/>
                          </a:xfrm>
                          <a:prstGeom prst="rect">
                            <a:avLst/>
                          </a:prstGeom>
                          <a:noFill/>
                          <a:ln w="9525">
                            <a:noFill/>
                            <a:miter lim="800000"/>
                            <a:headEnd/>
                            <a:tailEnd/>
                          </a:ln>
                        </pic:spPr>
                      </pic:pic>
                      <wps:wsp>
                        <wps:cNvPr id="1161" name="Textfeld 16"/>
                        <wps:cNvSpPr txBox="1"/>
                        <wps:spPr>
                          <a:xfrm>
                            <a:off x="2397862" y="294602"/>
                            <a:ext cx="1224137" cy="389984"/>
                          </a:xfrm>
                          <a:prstGeom prst="rect">
                            <a:avLst/>
                          </a:prstGeom>
                          <a:noFill/>
                        </wps:spPr>
                        <wps:txbx>
                          <w:txbxContent>
                            <w:p w14:paraId="6C263DAF" w14:textId="77777777" w:rsidR="0007275F" w:rsidRPr="00282123" w:rsidRDefault="0007275F" w:rsidP="0007275F">
                              <w:pPr>
                                <w:rPr>
                                  <w:rFonts w:ascii="Arial" w:hAnsi="Arial" w:cs="Arial"/>
                                  <w:color w:val="000000" w:themeColor="text1"/>
                                  <w:kern w:val="24"/>
                                  <w:sz w:val="18"/>
                                  <w:szCs w:val="18"/>
                                  <w:lang w:val="en-GB"/>
                                </w:rPr>
                              </w:pPr>
                              <w:r w:rsidRPr="00282123">
                                <w:rPr>
                                  <w:rFonts w:ascii="Arial" w:hAnsi="Arial" w:cs="Arial"/>
                                  <w:color w:val="000000" w:themeColor="text1"/>
                                  <w:kern w:val="24"/>
                                  <w:sz w:val="18"/>
                                  <w:szCs w:val="18"/>
                                  <w:lang w:val="en-GB"/>
                                </w:rPr>
                                <w:t>Implemented by</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7959E001" id="Group 1158" o:spid="_x0000_s1026" style="position:absolute;left:0;text-align:left;margin-left:-25.1pt;margin-top:-2.7pt;width:261.75pt;height:91.25pt;z-index:251666432;mso-width-relative:margin;mso-height-relative:margin" coordsize="36221,13091" o:gfxdata="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6" o:spid="_x0000_s1027" type="#_x0000_t75" style="position:absolute;width:24583;height:130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">
                  <v:imagedata r:id="rId11" o:title="" croptop="8661f" cropbottom="8912f"/>
                </v:shape>
                <v:shape id="Grafik 7" o:spid="_x0000_s1028" type="#_x0000_t75" style="position:absolute;left:23932;top:5582;width:12289;height:5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">
                  <v:imagedata r:id="rId12" o:title=""/>
                </v:shape>
                <v:shapetype id="_x0000_t202" coordsize="21600,21600" o:spt="202" path="m,l,21600r21600,l21600,xe">
                  <v:stroke joinstyle="miter"/>
                  <v:path gradientshapeok="t" o:connecttype="rect"/>
                </v:shapetype>
                <v:shape id="Textfeld 16" o:spid="_x0000_s1029" type="#_x0000_t202" style="position:absolute;left:23978;top:2946;width:12241;height:3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" filled="f" stroked="f">
                  <v:textbox>
                    <w:txbxContent>
                      <w:p w14:paraId="6C263DAF" w14:textId="77777777" w:rsidR="0007275F" w:rsidRPr="00282123" w:rsidRDefault="0007275F" w:rsidP="0007275F">
                        <w:pPr>
                          <w:rPr>
                            <w:rFonts w:ascii="Arial" w:hAnsi="Arial" w:cs="Arial"/>
                            <w:color w:val="000000" w:themeColor="text1"/>
                            <w:kern w:val="24"/>
                            <w:sz w:val="18"/>
                            <w:szCs w:val="18"/>
                            <w:lang w:val="en-GB"/>
                          </w:rPr>
                        </w:pPr>
                        <w:r w:rsidRPr="00282123">
                          <w:rPr>
                            <w:rFonts w:ascii="Arial" w:hAnsi="Arial" w:cs="Arial"/>
                            <w:color w:val="000000" w:themeColor="text1"/>
                            <w:kern w:val="24"/>
                            <w:sz w:val="18"/>
                            <w:szCs w:val="18"/>
                            <w:lang w:val="en-GB"/>
                          </w:rPr>
                          <w:t>Implemented by</w:t>
                        </w:r>
                      </w:p>
                    </w:txbxContent>
                  </v:textbox>
                </v:shape>
              </v:group>
            </w:pict>
          </mc:Fallback>
        </mc:AlternateContent>
      </w:r>
      <w:r w:rsidR="00282123" w:rsidRPr="008924E0">
        <w:rPr>
          <w:noProof/>
          <w:lang w:val="bs-Latn-BA"/>
        </w:rPr>
        <w:drawing>
          <wp:anchor distT="0" distB="0" distL="114300" distR="114300" simplePos="0" relativeHeight="251667456" behindDoc="0" locked="0" layoutInCell="1" allowOverlap="1" wp14:anchorId="5C7BA5BA" wp14:editId="47CD70B2">
            <wp:simplePos x="0" y="0"/>
            <wp:positionH relativeFrom="column">
              <wp:posOffset>3157855</wp:posOffset>
            </wp:positionH>
            <wp:positionV relativeFrom="paragraph">
              <wp:posOffset>71755</wp:posOffset>
            </wp:positionV>
            <wp:extent cx="2566670" cy="704215"/>
            <wp:effectExtent l="0" t="0" r="5080" b="635"/>
            <wp:wrapNone/>
            <wp:docPr id="1209" name="Picture 120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566670" cy="704215"/>
                    </a:xfrm>
                    <a:prstGeom prst="rect">
                      <a:avLst/>
                    </a:prstGeom>
                  </pic:spPr>
                </pic:pic>
              </a:graphicData>
            </a:graphic>
            <wp14:sizeRelH relativeFrom="page">
              <wp14:pctWidth>0</wp14:pctWidth>
            </wp14:sizeRelH>
            <wp14:sizeRelV relativeFrom="page">
              <wp14:pctHeight>0</wp14:pctHeight>
            </wp14:sizeRelV>
          </wp:anchor>
        </w:drawing>
      </w:r>
    </w:p>
    <w:p w14:paraId="307D3A0C" w14:textId="62B0461E" w:rsidR="00055321" w:rsidRPr="008924E0" w:rsidRDefault="0025720B">
      <w:pPr>
        <w:spacing w:line="276" w:lineRule="auto"/>
        <w:rPr>
          <w:rFonts w:ascii="Arial" w:eastAsia="Arial" w:hAnsi="Arial" w:cs="Arial"/>
          <w:b/>
          <w:smallCaps/>
          <w:color w:val="00592E"/>
          <w:sz w:val="28"/>
          <w:szCs w:val="28"/>
          <w:lang w:val="bs-Latn-BA"/>
        </w:rPr>
      </w:pPr>
      <w:r w:rsidRPr="008924E0">
        <w:rPr>
          <w:noProof/>
          <w:lang w:val="bs-Latn-BA"/>
        </w:rPr>
        <mc:AlternateContent>
          <mc:Choice Requires="wps">
            <w:drawing>
              <wp:anchor distT="0" distB="0" distL="114300" distR="114300" simplePos="0" relativeHeight="251659264" behindDoc="0" locked="0" layoutInCell="1" allowOverlap="1" wp14:anchorId="38A105C9" wp14:editId="17854F7D">
                <wp:simplePos x="0" y="0"/>
                <wp:positionH relativeFrom="column">
                  <wp:posOffset>-47625</wp:posOffset>
                </wp:positionH>
                <wp:positionV relativeFrom="paragraph">
                  <wp:posOffset>2450465</wp:posOffset>
                </wp:positionV>
                <wp:extent cx="5981700" cy="2668905"/>
                <wp:effectExtent l="0" t="3175" r="0" b="4445"/>
                <wp:wrapNone/>
                <wp:docPr id="1157" name="Rectangle 1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266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3B6C0" w14:textId="77777777" w:rsidR="00055321" w:rsidRDefault="00055321">
                            <w:pPr>
                              <w:spacing w:after="120" w:line="240" w:lineRule="auto"/>
                              <w:jc w:val="center"/>
                              <w:textDirection w:val="btLr"/>
                            </w:pPr>
                          </w:p>
                          <w:p w14:paraId="5AF68DDC" w14:textId="77777777" w:rsidR="00055321" w:rsidRDefault="00055321">
                            <w:pPr>
                              <w:spacing w:after="120" w:line="240" w:lineRule="auto"/>
                              <w:jc w:val="center"/>
                              <w:textDirection w:val="btLr"/>
                            </w:pPr>
                          </w:p>
                          <w:p w14:paraId="56AA0594" w14:textId="77777777" w:rsidR="008C4326" w:rsidRDefault="00740D4F">
                            <w:pPr>
                              <w:spacing w:after="120" w:line="240" w:lineRule="auto"/>
                              <w:jc w:val="center"/>
                              <w:textDirection w:val="btLr"/>
                              <w:rPr>
                                <w:rFonts w:ascii="Arial" w:eastAsia="Arial" w:hAnsi="Arial" w:cs="Arial"/>
                                <w:b/>
                                <w:color w:val="7B7D81"/>
                                <w:sz w:val="44"/>
                              </w:rPr>
                            </w:pPr>
                            <w:r>
                              <w:rPr>
                                <w:rFonts w:ascii="Arial" w:eastAsia="Arial" w:hAnsi="Arial" w:cs="Arial"/>
                                <w:b/>
                                <w:color w:val="7B7D81"/>
                                <w:sz w:val="44"/>
                              </w:rPr>
                              <w:t xml:space="preserve">Strategija obnove zgrada </w:t>
                            </w:r>
                          </w:p>
                          <w:p w14:paraId="531E86F2" w14:textId="53A4E87D" w:rsidR="008C4326" w:rsidRPr="008C4326" w:rsidRDefault="00740D4F" w:rsidP="008C4326">
                            <w:pPr>
                              <w:spacing w:after="120" w:line="240" w:lineRule="auto"/>
                              <w:jc w:val="center"/>
                              <w:textDirection w:val="btLr"/>
                            </w:pPr>
                            <w:r>
                              <w:rPr>
                                <w:rFonts w:ascii="Arial" w:eastAsia="Arial" w:hAnsi="Arial" w:cs="Arial"/>
                                <w:b/>
                                <w:color w:val="7B7D81"/>
                                <w:sz w:val="44"/>
                              </w:rPr>
                              <w:t xml:space="preserve">u Federaciji Bosne i Hercegovine </w:t>
                            </w:r>
                          </w:p>
                          <w:p w14:paraId="05D63D8F" w14:textId="552BC994" w:rsidR="00055321" w:rsidRPr="008C4326" w:rsidRDefault="00740D4F" w:rsidP="008C4326">
                            <w:pPr>
                              <w:spacing w:after="120" w:line="240" w:lineRule="auto"/>
                              <w:jc w:val="center"/>
                              <w:textDirection w:val="btLr"/>
                            </w:pPr>
                            <w:r>
                              <w:rPr>
                                <w:rFonts w:ascii="Arial" w:eastAsia="Arial" w:hAnsi="Arial" w:cs="Arial"/>
                                <w:b/>
                                <w:color w:val="7B7D81"/>
                                <w:sz w:val="44"/>
                              </w:rPr>
                              <w:t xml:space="preserve">do 2050. godine </w:t>
                            </w:r>
                          </w:p>
                          <w:p w14:paraId="5FDE7857" w14:textId="0C3A072C" w:rsidR="00686EE5" w:rsidRPr="008109D9" w:rsidRDefault="00740D4F" w:rsidP="00581C1C">
                            <w:pPr>
                              <w:pStyle w:val="ListParagraph"/>
                              <w:numPr>
                                <w:ilvl w:val="0"/>
                                <w:numId w:val="55"/>
                              </w:numPr>
                              <w:spacing w:before="240" w:after="120" w:line="275" w:lineRule="auto"/>
                              <w:jc w:val="center"/>
                              <w:textDirection w:val="btLr"/>
                              <w:rPr>
                                <w:bCs/>
                                <w:i/>
                                <w:iCs/>
                                <w:sz w:val="18"/>
                                <w:szCs w:val="18"/>
                              </w:rPr>
                            </w:pPr>
                            <w:r w:rsidRPr="008109D9">
                              <w:rPr>
                                <w:rFonts w:ascii="Arial" w:eastAsia="Arial" w:hAnsi="Arial" w:cs="Arial"/>
                                <w:bCs/>
                                <w:i/>
                                <w:iCs/>
                                <w:color w:val="7B7D81"/>
                                <w:sz w:val="40"/>
                                <w:szCs w:val="18"/>
                              </w:rPr>
                              <w:t>Nacrt</w:t>
                            </w:r>
                            <w:r w:rsidR="008109D9">
                              <w:rPr>
                                <w:rFonts w:ascii="Arial" w:eastAsia="Arial" w:hAnsi="Arial" w:cs="Arial"/>
                                <w:bCs/>
                                <w:i/>
                                <w:iCs/>
                                <w:color w:val="7B7D81"/>
                                <w:sz w:val="40"/>
                                <w:szCs w:val="18"/>
                              </w:rPr>
                              <w:t xml:space="preserve"> -</w:t>
                            </w:r>
                          </w:p>
                          <w:p w14:paraId="07045D03" w14:textId="77777777" w:rsidR="00055321" w:rsidRDefault="00055321">
                            <w:pPr>
                              <w:spacing w:after="0" w:line="240" w:lineRule="auto"/>
                              <w:jc w:val="center"/>
                              <w:textDirection w:val="btLr"/>
                            </w:pPr>
                          </w:p>
                          <w:p w14:paraId="4D70E932" w14:textId="77777777" w:rsidR="00055321" w:rsidRDefault="00055321">
                            <w:pPr>
                              <w:spacing w:after="0" w:line="240" w:lineRule="auto"/>
                              <w:jc w:val="center"/>
                              <w:textDirection w:val="btLr"/>
                            </w:pPr>
                          </w:p>
                          <w:p w14:paraId="7FAF0A56" w14:textId="77777777" w:rsidR="00055321" w:rsidRDefault="00055321">
                            <w:pPr>
                              <w:spacing w:after="0" w:line="240" w:lineRule="auto"/>
                              <w:jc w:val="center"/>
                              <w:textDirection w:val="btLr"/>
                            </w:pPr>
                          </w:p>
                          <w:p w14:paraId="792C8A03" w14:textId="77777777" w:rsidR="00055321" w:rsidRDefault="00055321">
                            <w:pPr>
                              <w:spacing w:after="0" w:line="240" w:lineRule="auto"/>
                              <w:jc w:val="center"/>
                              <w:textDirection w:val="btLr"/>
                            </w:pPr>
                          </w:p>
                          <w:p w14:paraId="3CB79033" w14:textId="77777777" w:rsidR="00055321" w:rsidRDefault="00055321">
                            <w:pPr>
                              <w:spacing w:after="0" w:line="240" w:lineRule="auto"/>
                              <w:jc w:val="center"/>
                              <w:textDirection w:val="btLr"/>
                            </w:pPr>
                          </w:p>
                          <w:p w14:paraId="6923B8C9" w14:textId="77777777" w:rsidR="00055321" w:rsidRDefault="00055321">
                            <w:pPr>
                              <w:spacing w:after="0" w:line="240" w:lineRule="auto"/>
                              <w:jc w:val="center"/>
                              <w:textDirection w:val="btLr"/>
                            </w:pPr>
                          </w:p>
                          <w:p w14:paraId="1A74E312" w14:textId="77777777" w:rsidR="00055321" w:rsidRDefault="00055321">
                            <w:pPr>
                              <w:spacing w:after="0" w:line="240" w:lineRule="auto"/>
                              <w:jc w:val="center"/>
                              <w:textDirection w:val="btLr"/>
                            </w:pPr>
                          </w:p>
                          <w:p w14:paraId="1137DA2C" w14:textId="77777777" w:rsidR="00055321" w:rsidRDefault="00055321">
                            <w:pPr>
                              <w:spacing w:after="0" w:line="240" w:lineRule="auto"/>
                              <w:jc w:val="center"/>
                              <w:textDirection w:val="btLr"/>
                            </w:pPr>
                          </w:p>
                          <w:p w14:paraId="26B9790B" w14:textId="77777777" w:rsidR="00055321" w:rsidRDefault="00055321">
                            <w:pPr>
                              <w:spacing w:after="0" w:line="240" w:lineRule="auto"/>
                              <w:jc w:val="center"/>
                              <w:textDirection w:val="btLr"/>
                            </w:pPr>
                          </w:p>
                          <w:p w14:paraId="3465512C" w14:textId="77777777" w:rsidR="00055321" w:rsidRDefault="00055321">
                            <w:pPr>
                              <w:spacing w:after="0" w:line="240" w:lineRule="auto"/>
                              <w:jc w:val="center"/>
                              <w:textDirection w:val="btLr"/>
                            </w:pPr>
                          </w:p>
                          <w:p w14:paraId="2DE7C4F9" w14:textId="77777777" w:rsidR="00055321" w:rsidRDefault="00055321">
                            <w:pPr>
                              <w:spacing w:after="0" w:line="240" w:lineRule="auto"/>
                              <w:jc w:val="center"/>
                              <w:textDirection w:val="btLr"/>
                            </w:pPr>
                          </w:p>
                          <w:p w14:paraId="2F7C62F1" w14:textId="77777777" w:rsidR="00055321" w:rsidRDefault="00055321">
                            <w:pPr>
                              <w:spacing w:after="0" w:line="240" w:lineRule="auto"/>
                              <w:jc w:val="center"/>
                              <w:textDirection w:val="btLr"/>
                            </w:pPr>
                          </w:p>
                          <w:p w14:paraId="51EC9343" w14:textId="77777777" w:rsidR="00055321" w:rsidRDefault="00055321">
                            <w:pPr>
                              <w:spacing w:after="0" w:line="240" w:lineRule="auto"/>
                              <w:jc w:val="center"/>
                              <w:textDirection w:val="btLr"/>
                            </w:pPr>
                          </w:p>
                          <w:p w14:paraId="7BDA57C3" w14:textId="77777777" w:rsidR="00055321" w:rsidRDefault="00055321">
                            <w:pPr>
                              <w:spacing w:after="0" w:line="240" w:lineRule="auto"/>
                              <w:jc w:val="center"/>
                              <w:textDirection w:val="btLr"/>
                            </w:pPr>
                          </w:p>
                          <w:p w14:paraId="0265DFA9" w14:textId="77777777" w:rsidR="00055321" w:rsidRDefault="00055321">
                            <w:pPr>
                              <w:spacing w:after="0" w:line="240" w:lineRule="auto"/>
                              <w:jc w:val="center"/>
                              <w:textDirection w:val="btLr"/>
                            </w:pPr>
                          </w:p>
                          <w:p w14:paraId="194207C6" w14:textId="77777777" w:rsidR="00055321" w:rsidRDefault="00055321">
                            <w:pPr>
                              <w:spacing w:after="0" w:line="240" w:lineRule="auto"/>
                              <w:jc w:val="center"/>
                              <w:textDirection w:val="btLr"/>
                            </w:pPr>
                          </w:p>
                          <w:p w14:paraId="1531054F" w14:textId="77777777" w:rsidR="00055321" w:rsidRDefault="00055321">
                            <w:pPr>
                              <w:spacing w:after="0" w:line="240" w:lineRule="auto"/>
                              <w:jc w:val="center"/>
                              <w:textDirection w:val="btLr"/>
                            </w:pPr>
                          </w:p>
                        </w:txbxContent>
                      </wps:txbx>
                      <wps:bodyPr rot="0" vert="horz" wrap="square" lIns="91425" tIns="45698" rIns="91425" bIns="45698" anchor="ctr"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8A105C9" id="Rectangle 1157" o:spid="_x0000_s1030" style="position:absolute;left:0;text-align:left;margin-left:-3.75pt;margin-top:192.95pt;width:471pt;height:21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" filled="f" stroked="f">
                <v:textbox inset="2.53958mm,1.2694mm,2.53958mm,1.2694mm">
                  <w:txbxContent>
                    <w:p w14:paraId="0033B6C0" w14:textId="77777777" w:rsidR="00055321" w:rsidRDefault="00055321">
                      <w:pPr>
                        <w:spacing w:after="120" w:line="240" w:lineRule="auto"/>
                        <w:jc w:val="center"/>
                        <w:textDirection w:val="btLr"/>
                      </w:pPr>
                    </w:p>
                    <w:p w14:paraId="5AF68DDC" w14:textId="77777777" w:rsidR="00055321" w:rsidRDefault="00055321">
                      <w:pPr>
                        <w:spacing w:after="120" w:line="240" w:lineRule="auto"/>
                        <w:jc w:val="center"/>
                        <w:textDirection w:val="btLr"/>
                      </w:pPr>
                    </w:p>
                    <w:p w14:paraId="56AA0594" w14:textId="77777777" w:rsidR="008C4326" w:rsidRDefault="00740D4F">
                      <w:pPr>
                        <w:spacing w:after="120" w:line="240" w:lineRule="auto"/>
                        <w:jc w:val="center"/>
                        <w:textDirection w:val="btLr"/>
                        <w:rPr>
                          <w:rFonts w:ascii="Arial" w:eastAsia="Arial" w:hAnsi="Arial" w:cs="Arial"/>
                          <w:b/>
                          <w:color w:val="7B7D81"/>
                          <w:sz w:val="44"/>
                        </w:rPr>
                      </w:pPr>
                      <w:r>
                        <w:rPr>
                          <w:rFonts w:ascii="Arial" w:eastAsia="Arial" w:hAnsi="Arial" w:cs="Arial"/>
                          <w:b/>
                          <w:color w:val="7B7D81"/>
                          <w:sz w:val="44"/>
                        </w:rPr>
                        <w:t xml:space="preserve">Strategija obnove zgrada </w:t>
                      </w:r>
                    </w:p>
                    <w:p w14:paraId="531E86F2" w14:textId="53A4E87D" w:rsidR="008C4326" w:rsidRPr="008C4326" w:rsidRDefault="00740D4F" w:rsidP="008C4326">
                      <w:pPr>
                        <w:spacing w:after="120" w:line="240" w:lineRule="auto"/>
                        <w:jc w:val="center"/>
                        <w:textDirection w:val="btLr"/>
                      </w:pPr>
                      <w:r>
                        <w:rPr>
                          <w:rFonts w:ascii="Arial" w:eastAsia="Arial" w:hAnsi="Arial" w:cs="Arial"/>
                          <w:b/>
                          <w:color w:val="7B7D81"/>
                          <w:sz w:val="44"/>
                        </w:rPr>
                        <w:t xml:space="preserve">u </w:t>
                      </w:r>
                      <w:proofErr w:type="spellStart"/>
                      <w:r>
                        <w:rPr>
                          <w:rFonts w:ascii="Arial" w:eastAsia="Arial" w:hAnsi="Arial" w:cs="Arial"/>
                          <w:b/>
                          <w:color w:val="7B7D81"/>
                          <w:sz w:val="44"/>
                        </w:rPr>
                        <w:t>Federaciji</w:t>
                      </w:r>
                      <w:proofErr w:type="spellEnd"/>
                      <w:r>
                        <w:rPr>
                          <w:rFonts w:ascii="Arial" w:eastAsia="Arial" w:hAnsi="Arial" w:cs="Arial"/>
                          <w:b/>
                          <w:color w:val="7B7D81"/>
                          <w:sz w:val="44"/>
                        </w:rPr>
                        <w:t xml:space="preserve"> </w:t>
                      </w:r>
                      <w:proofErr w:type="spellStart"/>
                      <w:r>
                        <w:rPr>
                          <w:rFonts w:ascii="Arial" w:eastAsia="Arial" w:hAnsi="Arial" w:cs="Arial"/>
                          <w:b/>
                          <w:color w:val="7B7D81"/>
                          <w:sz w:val="44"/>
                        </w:rPr>
                        <w:t>Bosne</w:t>
                      </w:r>
                      <w:proofErr w:type="spellEnd"/>
                      <w:r>
                        <w:rPr>
                          <w:rFonts w:ascii="Arial" w:eastAsia="Arial" w:hAnsi="Arial" w:cs="Arial"/>
                          <w:b/>
                          <w:color w:val="7B7D81"/>
                          <w:sz w:val="44"/>
                        </w:rPr>
                        <w:t xml:space="preserve"> </w:t>
                      </w:r>
                      <w:proofErr w:type="spellStart"/>
                      <w:r>
                        <w:rPr>
                          <w:rFonts w:ascii="Arial" w:eastAsia="Arial" w:hAnsi="Arial" w:cs="Arial"/>
                          <w:b/>
                          <w:color w:val="7B7D81"/>
                          <w:sz w:val="44"/>
                        </w:rPr>
                        <w:t>i</w:t>
                      </w:r>
                      <w:proofErr w:type="spellEnd"/>
                      <w:r>
                        <w:rPr>
                          <w:rFonts w:ascii="Arial" w:eastAsia="Arial" w:hAnsi="Arial" w:cs="Arial"/>
                          <w:b/>
                          <w:color w:val="7B7D81"/>
                          <w:sz w:val="44"/>
                        </w:rPr>
                        <w:t xml:space="preserve"> </w:t>
                      </w:r>
                      <w:proofErr w:type="spellStart"/>
                      <w:r>
                        <w:rPr>
                          <w:rFonts w:ascii="Arial" w:eastAsia="Arial" w:hAnsi="Arial" w:cs="Arial"/>
                          <w:b/>
                          <w:color w:val="7B7D81"/>
                          <w:sz w:val="44"/>
                        </w:rPr>
                        <w:t>Hercegovine</w:t>
                      </w:r>
                      <w:proofErr w:type="spellEnd"/>
                      <w:r>
                        <w:rPr>
                          <w:rFonts w:ascii="Arial" w:eastAsia="Arial" w:hAnsi="Arial" w:cs="Arial"/>
                          <w:b/>
                          <w:color w:val="7B7D81"/>
                          <w:sz w:val="44"/>
                        </w:rPr>
                        <w:t xml:space="preserve"> </w:t>
                      </w:r>
                    </w:p>
                    <w:p w14:paraId="05D63D8F" w14:textId="552BC994" w:rsidR="00055321" w:rsidRPr="008C4326" w:rsidRDefault="00740D4F" w:rsidP="008C4326">
                      <w:pPr>
                        <w:spacing w:after="120" w:line="240" w:lineRule="auto"/>
                        <w:jc w:val="center"/>
                        <w:textDirection w:val="btLr"/>
                      </w:pPr>
                      <w:proofErr w:type="spellStart"/>
                      <w:r>
                        <w:rPr>
                          <w:rFonts w:ascii="Arial" w:eastAsia="Arial" w:hAnsi="Arial" w:cs="Arial"/>
                          <w:b/>
                          <w:color w:val="7B7D81"/>
                          <w:sz w:val="44"/>
                        </w:rPr>
                        <w:t>do</w:t>
                      </w:r>
                      <w:proofErr w:type="spellEnd"/>
                      <w:r>
                        <w:rPr>
                          <w:rFonts w:ascii="Arial" w:eastAsia="Arial" w:hAnsi="Arial" w:cs="Arial"/>
                          <w:b/>
                          <w:color w:val="7B7D81"/>
                          <w:sz w:val="44"/>
                        </w:rPr>
                        <w:t xml:space="preserve"> 2050. godine </w:t>
                      </w:r>
                    </w:p>
                    <w:p w14:paraId="5FDE7857" w14:textId="0C3A072C" w:rsidR="00686EE5" w:rsidRPr="008109D9" w:rsidRDefault="00740D4F" w:rsidP="00581C1C">
                      <w:pPr>
                        <w:pStyle w:val="ListParagraph"/>
                        <w:numPr>
                          <w:ilvl w:val="0"/>
                          <w:numId w:val="55"/>
                        </w:numPr>
                        <w:spacing w:before="240" w:after="120" w:line="275" w:lineRule="auto"/>
                        <w:jc w:val="center"/>
                        <w:textDirection w:val="btLr"/>
                        <w:rPr>
                          <w:bCs/>
                          <w:i/>
                          <w:iCs/>
                          <w:sz w:val="18"/>
                          <w:szCs w:val="18"/>
                        </w:rPr>
                      </w:pPr>
                      <w:r w:rsidRPr="008109D9">
                        <w:rPr>
                          <w:rFonts w:ascii="Arial" w:eastAsia="Arial" w:hAnsi="Arial" w:cs="Arial"/>
                          <w:bCs/>
                          <w:i/>
                          <w:iCs/>
                          <w:color w:val="7B7D81"/>
                          <w:sz w:val="40"/>
                          <w:szCs w:val="18"/>
                        </w:rPr>
                        <w:t>Nacrt</w:t>
                      </w:r>
                      <w:r w:rsidR="008109D9">
                        <w:rPr>
                          <w:rFonts w:ascii="Arial" w:eastAsia="Arial" w:hAnsi="Arial" w:cs="Arial"/>
                          <w:bCs/>
                          <w:i/>
                          <w:iCs/>
                          <w:color w:val="7B7D81"/>
                          <w:sz w:val="40"/>
                          <w:szCs w:val="18"/>
                        </w:rPr>
                        <w:t xml:space="preserve"> -</w:t>
                      </w:r>
                    </w:p>
                    <w:p w14:paraId="07045D03" w14:textId="77777777" w:rsidR="00055321" w:rsidRDefault="00055321">
                      <w:pPr>
                        <w:spacing w:after="0" w:line="240" w:lineRule="auto"/>
                        <w:jc w:val="center"/>
                        <w:textDirection w:val="btLr"/>
                      </w:pPr>
                    </w:p>
                    <w:p w14:paraId="4D70E932" w14:textId="77777777" w:rsidR="00055321" w:rsidRDefault="00055321">
                      <w:pPr>
                        <w:spacing w:after="0" w:line="240" w:lineRule="auto"/>
                        <w:jc w:val="center"/>
                        <w:textDirection w:val="btLr"/>
                      </w:pPr>
                    </w:p>
                    <w:p w14:paraId="7FAF0A56" w14:textId="77777777" w:rsidR="00055321" w:rsidRDefault="00055321">
                      <w:pPr>
                        <w:spacing w:after="0" w:line="240" w:lineRule="auto"/>
                        <w:jc w:val="center"/>
                        <w:textDirection w:val="btLr"/>
                      </w:pPr>
                    </w:p>
                    <w:p w14:paraId="792C8A03" w14:textId="77777777" w:rsidR="00055321" w:rsidRDefault="00055321">
                      <w:pPr>
                        <w:spacing w:after="0" w:line="240" w:lineRule="auto"/>
                        <w:jc w:val="center"/>
                        <w:textDirection w:val="btLr"/>
                      </w:pPr>
                    </w:p>
                    <w:p w14:paraId="3CB79033" w14:textId="77777777" w:rsidR="00055321" w:rsidRDefault="00055321">
                      <w:pPr>
                        <w:spacing w:after="0" w:line="240" w:lineRule="auto"/>
                        <w:jc w:val="center"/>
                        <w:textDirection w:val="btLr"/>
                      </w:pPr>
                    </w:p>
                    <w:p w14:paraId="6923B8C9" w14:textId="77777777" w:rsidR="00055321" w:rsidRDefault="00055321">
                      <w:pPr>
                        <w:spacing w:after="0" w:line="240" w:lineRule="auto"/>
                        <w:jc w:val="center"/>
                        <w:textDirection w:val="btLr"/>
                      </w:pPr>
                    </w:p>
                    <w:p w14:paraId="1A74E312" w14:textId="77777777" w:rsidR="00055321" w:rsidRDefault="00055321">
                      <w:pPr>
                        <w:spacing w:after="0" w:line="240" w:lineRule="auto"/>
                        <w:jc w:val="center"/>
                        <w:textDirection w:val="btLr"/>
                      </w:pPr>
                    </w:p>
                    <w:p w14:paraId="1137DA2C" w14:textId="77777777" w:rsidR="00055321" w:rsidRDefault="00055321">
                      <w:pPr>
                        <w:spacing w:after="0" w:line="240" w:lineRule="auto"/>
                        <w:jc w:val="center"/>
                        <w:textDirection w:val="btLr"/>
                      </w:pPr>
                    </w:p>
                    <w:p w14:paraId="26B9790B" w14:textId="77777777" w:rsidR="00055321" w:rsidRDefault="00055321">
                      <w:pPr>
                        <w:spacing w:after="0" w:line="240" w:lineRule="auto"/>
                        <w:jc w:val="center"/>
                        <w:textDirection w:val="btLr"/>
                      </w:pPr>
                    </w:p>
                    <w:p w14:paraId="3465512C" w14:textId="77777777" w:rsidR="00055321" w:rsidRDefault="00055321">
                      <w:pPr>
                        <w:spacing w:after="0" w:line="240" w:lineRule="auto"/>
                        <w:jc w:val="center"/>
                        <w:textDirection w:val="btLr"/>
                      </w:pPr>
                    </w:p>
                    <w:p w14:paraId="2DE7C4F9" w14:textId="77777777" w:rsidR="00055321" w:rsidRDefault="00055321">
                      <w:pPr>
                        <w:spacing w:after="0" w:line="240" w:lineRule="auto"/>
                        <w:jc w:val="center"/>
                        <w:textDirection w:val="btLr"/>
                      </w:pPr>
                    </w:p>
                    <w:p w14:paraId="2F7C62F1" w14:textId="77777777" w:rsidR="00055321" w:rsidRDefault="00055321">
                      <w:pPr>
                        <w:spacing w:after="0" w:line="240" w:lineRule="auto"/>
                        <w:jc w:val="center"/>
                        <w:textDirection w:val="btLr"/>
                      </w:pPr>
                    </w:p>
                    <w:p w14:paraId="51EC9343" w14:textId="77777777" w:rsidR="00055321" w:rsidRDefault="00055321">
                      <w:pPr>
                        <w:spacing w:after="0" w:line="240" w:lineRule="auto"/>
                        <w:jc w:val="center"/>
                        <w:textDirection w:val="btLr"/>
                      </w:pPr>
                    </w:p>
                    <w:p w14:paraId="7BDA57C3" w14:textId="77777777" w:rsidR="00055321" w:rsidRDefault="00055321">
                      <w:pPr>
                        <w:spacing w:after="0" w:line="240" w:lineRule="auto"/>
                        <w:jc w:val="center"/>
                        <w:textDirection w:val="btLr"/>
                      </w:pPr>
                    </w:p>
                    <w:p w14:paraId="0265DFA9" w14:textId="77777777" w:rsidR="00055321" w:rsidRDefault="00055321">
                      <w:pPr>
                        <w:spacing w:after="0" w:line="240" w:lineRule="auto"/>
                        <w:jc w:val="center"/>
                        <w:textDirection w:val="btLr"/>
                      </w:pPr>
                    </w:p>
                    <w:p w14:paraId="194207C6" w14:textId="77777777" w:rsidR="00055321" w:rsidRDefault="00055321">
                      <w:pPr>
                        <w:spacing w:after="0" w:line="240" w:lineRule="auto"/>
                        <w:jc w:val="center"/>
                        <w:textDirection w:val="btLr"/>
                      </w:pPr>
                    </w:p>
                    <w:p w14:paraId="1531054F" w14:textId="77777777" w:rsidR="00055321" w:rsidRDefault="00055321">
                      <w:pPr>
                        <w:spacing w:after="0" w:line="240" w:lineRule="auto"/>
                        <w:jc w:val="center"/>
                        <w:textDirection w:val="btLr"/>
                      </w:pPr>
                    </w:p>
                  </w:txbxContent>
                </v:textbox>
              </v:rect>
            </w:pict>
          </mc:Fallback>
        </mc:AlternateContent>
      </w:r>
      <w:r w:rsidRPr="008924E0">
        <w:rPr>
          <w:noProof/>
          <w:lang w:val="bs-Latn-BA"/>
        </w:rPr>
        <mc:AlternateContent>
          <mc:Choice Requires="wps">
            <w:drawing>
              <wp:anchor distT="91440" distB="91440" distL="114300" distR="114300" simplePos="0" relativeHeight="251669504" behindDoc="0" locked="0" layoutInCell="1" allowOverlap="1" wp14:anchorId="461DC4D8" wp14:editId="713C715B">
                <wp:simplePos x="0" y="0"/>
                <wp:positionH relativeFrom="page">
                  <wp:posOffset>2159000</wp:posOffset>
                </wp:positionH>
                <wp:positionV relativeFrom="paragraph">
                  <wp:posOffset>8082915</wp:posOffset>
                </wp:positionV>
                <wp:extent cx="3353435" cy="417195"/>
                <wp:effectExtent l="0" t="0" r="0" b="0"/>
                <wp:wrapTopAndBottom/>
                <wp:docPr id="1156" name="Text Box 1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417195"/>
                        </a:xfrm>
                        <a:prstGeom prst="rect">
                          <a:avLst/>
                        </a:prstGeom>
                        <a:noFill/>
                        <a:ln w="9525">
                          <a:noFill/>
                          <a:miter lim="800000"/>
                          <a:headEnd/>
                          <a:tailEnd/>
                        </a:ln>
                      </wps:spPr>
                      <wps:txbx>
                        <w:txbxContent>
                          <w:p w14:paraId="7A1AAA57" w14:textId="4DBB6D44" w:rsidR="00282123" w:rsidRPr="00282123" w:rsidRDefault="00282123" w:rsidP="00282123">
                            <w:pPr>
                              <w:pBdr>
                                <w:top w:val="nil"/>
                                <w:left w:val="nil"/>
                                <w:bottom w:val="nil"/>
                                <w:right w:val="nil"/>
                                <w:between w:val="nil"/>
                              </w:pBdr>
                              <w:spacing w:before="120" w:after="120"/>
                              <w:jc w:val="center"/>
                              <w:rPr>
                                <w:rFonts w:ascii="Arial" w:hAnsi="Arial" w:cs="Arial"/>
                                <w:color w:val="404040"/>
                                <w:sz w:val="24"/>
                                <w:szCs w:val="24"/>
                                <w:lang w:val="hr-BA"/>
                              </w:rPr>
                            </w:pPr>
                            <w:r w:rsidRPr="00282123">
                              <w:rPr>
                                <w:rFonts w:ascii="Arial" w:hAnsi="Arial" w:cs="Arial"/>
                                <w:color w:val="404040"/>
                                <w:lang w:val="hr-BA"/>
                              </w:rPr>
                              <w:t>Juni 2022</w:t>
                            </w:r>
                            <w:r>
                              <w:rPr>
                                <w:rFonts w:ascii="Arial" w:hAnsi="Arial" w:cs="Arial"/>
                                <w:color w:val="404040"/>
                                <w:lang w:val="hr-BA"/>
                              </w:rPr>
                              <w:t>.</w:t>
                            </w:r>
                            <w:r w:rsidRPr="00282123">
                              <w:rPr>
                                <w:rFonts w:ascii="Arial" w:hAnsi="Arial" w:cs="Arial"/>
                                <w:color w:val="404040"/>
                                <w:lang w:val="hr-BA"/>
                              </w:rPr>
                              <w:t xml:space="preserve"> – </w:t>
                            </w:r>
                            <w:r w:rsidR="00734FB3">
                              <w:rPr>
                                <w:rFonts w:ascii="Arial" w:hAnsi="Arial" w:cs="Arial"/>
                                <w:color w:val="404040"/>
                                <w:lang w:val="hr-BA"/>
                              </w:rPr>
                              <w:t>februar</w:t>
                            </w:r>
                            <w:r w:rsidR="00004409" w:rsidRPr="00282123">
                              <w:rPr>
                                <w:rFonts w:ascii="Arial" w:hAnsi="Arial" w:cs="Arial"/>
                                <w:color w:val="404040"/>
                                <w:lang w:val="hr-BA"/>
                              </w:rPr>
                              <w:t xml:space="preserve"> </w:t>
                            </w:r>
                            <w:r w:rsidRPr="00282123">
                              <w:rPr>
                                <w:rFonts w:ascii="Arial" w:hAnsi="Arial" w:cs="Arial"/>
                                <w:color w:val="404040"/>
                                <w:lang w:val="hr-BA"/>
                              </w:rPr>
                              <w:t>202</w:t>
                            </w:r>
                            <w:r w:rsidR="00740D4F">
                              <w:rPr>
                                <w:rFonts w:ascii="Arial" w:hAnsi="Arial" w:cs="Arial"/>
                                <w:color w:val="404040"/>
                                <w:lang w:val="hr-BA"/>
                              </w:rPr>
                              <w:t>3</w:t>
                            </w:r>
                            <w:r>
                              <w:rPr>
                                <w:rFonts w:ascii="Arial" w:hAnsi="Arial" w:cs="Arial"/>
                                <w:color w:val="404040"/>
                                <w:lang w:val="hr-BA"/>
                              </w:rPr>
                              <w:t>.</w:t>
                            </w:r>
                            <w:r w:rsidR="00734FB3">
                              <w:rPr>
                                <w:rFonts w:ascii="Arial" w:hAnsi="Arial" w:cs="Arial"/>
                                <w:color w:val="404040"/>
                                <w:lang w:val="hr-BA"/>
                              </w:rPr>
                              <w:t xml:space="preserve"> godine</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xmlns:w16du="http://schemas.microsoft.com/office/word/2023/wordml/word16du">
            <w:pict>
              <v:shape w14:anchorId="461DC4D8" id="Text Box 1156" o:spid="_x0000_s1031" type="#_x0000_t202" style="position:absolute;left:0;text-align:left;margin-left:170pt;margin-top:636.45pt;width:264.05pt;height:32.85pt;z-index:251669504;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" filled="f" stroked="f">
                <v:textbox style="mso-fit-shape-to-text:t">
                  <w:txbxContent>
                    <w:p w14:paraId="7A1AAA57" w14:textId="4DBB6D44" w:rsidR="00282123" w:rsidRPr="00282123" w:rsidRDefault="00282123" w:rsidP="00282123">
                      <w:pPr>
                        <w:pBdr>
                          <w:top w:val="nil"/>
                          <w:left w:val="nil"/>
                          <w:bottom w:val="nil"/>
                          <w:right w:val="nil"/>
                          <w:between w:val="nil"/>
                        </w:pBdr>
                        <w:spacing w:before="120" w:after="120"/>
                        <w:jc w:val="center"/>
                        <w:rPr>
                          <w:rFonts w:ascii="Arial" w:hAnsi="Arial" w:cs="Arial"/>
                          <w:color w:val="404040"/>
                          <w:sz w:val="24"/>
                          <w:szCs w:val="24"/>
                          <w:lang w:val="hr-BA"/>
                        </w:rPr>
                      </w:pPr>
                      <w:r w:rsidRPr="00282123">
                        <w:rPr>
                          <w:rFonts w:ascii="Arial" w:hAnsi="Arial" w:cs="Arial"/>
                          <w:color w:val="404040"/>
                          <w:lang w:val="hr-BA"/>
                        </w:rPr>
                        <w:t>Juni 2022</w:t>
                      </w:r>
                      <w:r>
                        <w:rPr>
                          <w:rFonts w:ascii="Arial" w:hAnsi="Arial" w:cs="Arial"/>
                          <w:color w:val="404040"/>
                          <w:lang w:val="hr-BA"/>
                        </w:rPr>
                        <w:t>.</w:t>
                      </w:r>
                      <w:r w:rsidRPr="00282123">
                        <w:rPr>
                          <w:rFonts w:ascii="Arial" w:hAnsi="Arial" w:cs="Arial"/>
                          <w:color w:val="404040"/>
                          <w:lang w:val="hr-BA"/>
                        </w:rPr>
                        <w:t xml:space="preserve"> – </w:t>
                      </w:r>
                      <w:r w:rsidR="00734FB3">
                        <w:rPr>
                          <w:rFonts w:ascii="Arial" w:hAnsi="Arial" w:cs="Arial"/>
                          <w:color w:val="404040"/>
                          <w:lang w:val="hr-BA"/>
                        </w:rPr>
                        <w:t>februar</w:t>
                      </w:r>
                      <w:r w:rsidR="00004409" w:rsidRPr="00282123">
                        <w:rPr>
                          <w:rFonts w:ascii="Arial" w:hAnsi="Arial" w:cs="Arial"/>
                          <w:color w:val="404040"/>
                          <w:lang w:val="hr-BA"/>
                        </w:rPr>
                        <w:t xml:space="preserve"> </w:t>
                      </w:r>
                      <w:r w:rsidRPr="00282123">
                        <w:rPr>
                          <w:rFonts w:ascii="Arial" w:hAnsi="Arial" w:cs="Arial"/>
                          <w:color w:val="404040"/>
                          <w:lang w:val="hr-BA"/>
                        </w:rPr>
                        <w:t>202</w:t>
                      </w:r>
                      <w:r w:rsidR="00740D4F">
                        <w:rPr>
                          <w:rFonts w:ascii="Arial" w:hAnsi="Arial" w:cs="Arial"/>
                          <w:color w:val="404040"/>
                          <w:lang w:val="hr-BA"/>
                        </w:rPr>
                        <w:t>3</w:t>
                      </w:r>
                      <w:r>
                        <w:rPr>
                          <w:rFonts w:ascii="Arial" w:hAnsi="Arial" w:cs="Arial"/>
                          <w:color w:val="404040"/>
                          <w:lang w:val="hr-BA"/>
                        </w:rPr>
                        <w:t>.</w:t>
                      </w:r>
                      <w:r w:rsidR="00734FB3">
                        <w:rPr>
                          <w:rFonts w:ascii="Arial" w:hAnsi="Arial" w:cs="Arial"/>
                          <w:color w:val="404040"/>
                          <w:lang w:val="hr-BA"/>
                        </w:rPr>
                        <w:t xml:space="preserve"> godine</w:t>
                      </w:r>
                    </w:p>
                  </w:txbxContent>
                </v:textbox>
                <w10:wrap type="topAndBottom" anchorx="page"/>
              </v:shape>
            </w:pict>
          </mc:Fallback>
        </mc:AlternateContent>
      </w:r>
      <w:r w:rsidR="00282123" w:rsidRPr="008924E0">
        <w:rPr>
          <w:lang w:val="bs-Latn-BA"/>
        </w:rPr>
        <w:br w:type="page"/>
      </w:r>
    </w:p>
    <w:p w14:paraId="2AADDE5C" w14:textId="4AF91CAE" w:rsidR="00055321" w:rsidRPr="008924E0" w:rsidRDefault="00055321">
      <w:pPr>
        <w:rPr>
          <w:lang w:val="bs-Latn-BA"/>
        </w:rPr>
      </w:pPr>
    </w:p>
    <w:tbl>
      <w:tblPr>
        <w:tblStyle w:val="30"/>
        <w:tblW w:w="888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80" w:firstRow="0" w:lastRow="0" w:firstColumn="1" w:lastColumn="0" w:noHBand="0" w:noVBand="1"/>
      </w:tblPr>
      <w:tblGrid>
        <w:gridCol w:w="2172"/>
        <w:gridCol w:w="6714"/>
      </w:tblGrid>
      <w:tr w:rsidR="00055321" w:rsidRPr="008924E0" w14:paraId="762DBCEC" w14:textId="77777777" w:rsidTr="0005532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6B382B96" w14:textId="77777777" w:rsidR="00055321" w:rsidRPr="008924E0" w:rsidRDefault="00740D4F">
            <w:pPr>
              <w:pBdr>
                <w:top w:val="nil"/>
                <w:left w:val="nil"/>
                <w:bottom w:val="nil"/>
                <w:right w:val="nil"/>
                <w:between w:val="nil"/>
              </w:pBdr>
              <w:spacing w:before="120" w:after="120"/>
              <w:rPr>
                <w:rFonts w:ascii="Arial" w:hAnsi="Arial" w:cs="Arial"/>
                <w:color w:val="404040"/>
                <w:sz w:val="22"/>
                <w:szCs w:val="22"/>
                <w:lang w:val="bs-Latn-BA"/>
              </w:rPr>
            </w:pPr>
            <w:r w:rsidRPr="008924E0">
              <w:rPr>
                <w:rFonts w:ascii="Arial" w:hAnsi="Arial" w:cs="Arial"/>
                <w:b w:val="0"/>
                <w:color w:val="404040"/>
                <w:sz w:val="22"/>
                <w:szCs w:val="22"/>
                <w:lang w:val="bs-Latn-BA"/>
              </w:rPr>
              <w:t xml:space="preserve">Naziv projekta: </w:t>
            </w:r>
          </w:p>
        </w:tc>
        <w:tc>
          <w:tcPr>
            <w:tcW w:w="6714" w:type="dxa"/>
            <w:vAlign w:val="center"/>
          </w:tcPr>
          <w:p w14:paraId="64ED1439" w14:textId="77777777" w:rsidR="00055321" w:rsidRPr="008924E0" w:rsidRDefault="00740D4F">
            <w:pPr>
              <w:pBdr>
                <w:top w:val="nil"/>
                <w:left w:val="nil"/>
                <w:bottom w:val="nil"/>
                <w:right w:val="nil"/>
                <w:between w:val="nil"/>
              </w:pBd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404040"/>
                <w:sz w:val="24"/>
                <w:szCs w:val="24"/>
                <w:lang w:val="bs-Latn-BA"/>
              </w:rPr>
            </w:pPr>
            <w:r w:rsidRPr="008924E0">
              <w:rPr>
                <w:rFonts w:ascii="Arial" w:hAnsi="Arial" w:cs="Arial"/>
                <w:color w:val="404040"/>
                <w:sz w:val="22"/>
                <w:szCs w:val="22"/>
                <w:lang w:val="bs-Latn-BA"/>
              </w:rPr>
              <w:t>Strategija obnove zgrada u Federaciji Bosne I Hercegovine do 2050. godine</w:t>
            </w:r>
          </w:p>
        </w:tc>
      </w:tr>
      <w:tr w:rsidR="00055321" w:rsidRPr="008924E0" w14:paraId="595CE54B" w14:textId="77777777" w:rsidTr="00055321">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53B5B15B" w14:textId="77777777" w:rsidR="00055321" w:rsidRPr="008924E0" w:rsidRDefault="00740D4F">
            <w:pPr>
              <w:pBdr>
                <w:top w:val="nil"/>
                <w:left w:val="nil"/>
                <w:bottom w:val="nil"/>
                <w:right w:val="nil"/>
                <w:between w:val="nil"/>
              </w:pBdr>
              <w:spacing w:before="120" w:after="120"/>
              <w:rPr>
                <w:rFonts w:ascii="Arial" w:hAnsi="Arial" w:cs="Arial"/>
                <w:color w:val="404040"/>
                <w:sz w:val="22"/>
                <w:szCs w:val="22"/>
                <w:lang w:val="bs-Latn-BA"/>
              </w:rPr>
            </w:pPr>
            <w:r w:rsidRPr="008924E0">
              <w:rPr>
                <w:rFonts w:ascii="Arial" w:hAnsi="Arial" w:cs="Arial"/>
                <w:b w:val="0"/>
                <w:color w:val="404040"/>
                <w:sz w:val="22"/>
                <w:szCs w:val="22"/>
                <w:lang w:val="bs-Latn-BA"/>
              </w:rPr>
              <w:t>Naručilac:</w:t>
            </w:r>
          </w:p>
        </w:tc>
        <w:tc>
          <w:tcPr>
            <w:tcW w:w="6714" w:type="dxa"/>
            <w:vAlign w:val="center"/>
          </w:tcPr>
          <w:p w14:paraId="7C61C134" w14:textId="77777777" w:rsidR="00055321" w:rsidRPr="008924E0" w:rsidRDefault="00740D4F">
            <w:pPr>
              <w:pBdr>
                <w:top w:val="nil"/>
                <w:left w:val="nil"/>
                <w:bottom w:val="nil"/>
                <w:right w:val="nil"/>
                <w:between w:val="nil"/>
              </w:pBdr>
              <w:spacing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bs-Latn-BA"/>
              </w:rPr>
            </w:pPr>
            <w:r w:rsidRPr="008924E0">
              <w:rPr>
                <w:rFonts w:ascii="Arial" w:hAnsi="Arial" w:cs="Arial"/>
                <w:sz w:val="22"/>
                <w:szCs w:val="22"/>
                <w:lang w:val="bs-Latn-BA"/>
              </w:rPr>
              <w:t>Deutsche Gesellschaft für Internationale Zusammenarbeit (GIZ) GmbH</w:t>
            </w:r>
          </w:p>
          <w:p w14:paraId="4D3DDD3A" w14:textId="77777777" w:rsidR="00055321" w:rsidRPr="008924E0" w:rsidRDefault="00740D4F">
            <w:pPr>
              <w:pBdr>
                <w:top w:val="nil"/>
                <w:left w:val="nil"/>
                <w:bottom w:val="nil"/>
                <w:right w:val="nil"/>
                <w:between w:val="nil"/>
              </w:pBdr>
              <w:spacing w:line="288" w:lineRule="auto"/>
              <w:cnfStyle w:val="000000010000" w:firstRow="0" w:lastRow="0" w:firstColumn="0" w:lastColumn="0" w:oddVBand="0" w:evenVBand="0" w:oddHBand="0" w:evenHBand="1" w:firstRowFirstColumn="0" w:firstRowLastColumn="0" w:lastRowFirstColumn="0" w:lastRowLastColumn="0"/>
              <w:rPr>
                <w:rFonts w:ascii="Arial" w:hAnsi="Arial" w:cs="Arial"/>
                <w:sz w:val="22"/>
                <w:szCs w:val="22"/>
                <w:lang w:val="bs-Latn-BA"/>
              </w:rPr>
            </w:pPr>
            <w:r w:rsidRPr="008924E0">
              <w:rPr>
                <w:rFonts w:ascii="Arial" w:hAnsi="Arial" w:cs="Arial"/>
                <w:sz w:val="22"/>
                <w:szCs w:val="22"/>
                <w:lang w:val="bs-Latn-BA"/>
              </w:rPr>
              <w:t>GIZ ured Bosna i Hercegovina</w:t>
            </w:r>
            <w:r w:rsidRPr="008924E0">
              <w:rPr>
                <w:rFonts w:ascii="Arial" w:hAnsi="Arial" w:cs="Arial"/>
                <w:sz w:val="22"/>
                <w:szCs w:val="22"/>
                <w:lang w:val="bs-Latn-BA"/>
              </w:rPr>
              <w:br/>
              <w:t>Zmaja od Bosne 7-7a</w:t>
            </w:r>
            <w:r w:rsidRPr="008924E0">
              <w:rPr>
                <w:rFonts w:ascii="Arial" w:hAnsi="Arial" w:cs="Arial"/>
                <w:sz w:val="22"/>
                <w:szCs w:val="22"/>
                <w:lang w:val="bs-Latn-BA"/>
              </w:rPr>
              <w:br/>
              <w:t>Sarajevo</w:t>
            </w:r>
            <w:r w:rsidRPr="008924E0">
              <w:rPr>
                <w:rFonts w:ascii="Arial" w:hAnsi="Arial" w:cs="Arial"/>
                <w:sz w:val="22"/>
                <w:szCs w:val="22"/>
                <w:lang w:val="bs-Latn-BA"/>
              </w:rPr>
              <w:br/>
              <w:t>+387 33 957 500</w:t>
            </w:r>
            <w:r w:rsidRPr="008924E0">
              <w:rPr>
                <w:rFonts w:ascii="Arial" w:hAnsi="Arial" w:cs="Arial"/>
                <w:sz w:val="22"/>
                <w:szCs w:val="22"/>
                <w:lang w:val="bs-Latn-BA"/>
              </w:rPr>
              <w:br/>
              <w:t>+387 33 957 501</w:t>
            </w:r>
            <w:r w:rsidRPr="008924E0">
              <w:rPr>
                <w:rFonts w:ascii="Arial" w:hAnsi="Arial" w:cs="Arial"/>
                <w:sz w:val="22"/>
                <w:szCs w:val="22"/>
                <w:lang w:val="bs-Latn-BA"/>
              </w:rPr>
              <w:br/>
            </w:r>
            <w:r w:rsidR="00000000">
              <w:fldChar w:fldCharType="begin"/>
            </w:r>
            <w:r w:rsidR="00000000">
              <w:instrText>HYPERLINK "mailto:giz-bosnienherzegowina@giz.de" \h</w:instrText>
            </w:r>
            <w:r w:rsidR="00000000">
              <w:fldChar w:fldCharType="separate"/>
            </w:r>
            <w:r w:rsidRPr="008924E0">
              <w:rPr>
                <w:rFonts w:ascii="Arial" w:hAnsi="Arial" w:cs="Arial"/>
                <w:color w:val="0563C1"/>
                <w:sz w:val="22"/>
                <w:szCs w:val="22"/>
                <w:u w:val="single"/>
                <w:lang w:val="bs-Latn-BA"/>
              </w:rPr>
              <w:t>giz-bosnienherzegowina@giz.de</w:t>
            </w:r>
            <w:r w:rsidR="00000000">
              <w:rPr>
                <w:rFonts w:ascii="Arial" w:hAnsi="Arial" w:cs="Arial"/>
                <w:color w:val="0563C1"/>
                <w:u w:val="single"/>
                <w:lang w:val="bs-Latn-BA"/>
              </w:rPr>
              <w:fldChar w:fldCharType="end"/>
            </w:r>
          </w:p>
        </w:tc>
      </w:tr>
      <w:tr w:rsidR="00055321" w:rsidRPr="008924E0" w14:paraId="2CBF1632" w14:textId="77777777" w:rsidTr="0005532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5BD54550" w14:textId="77777777" w:rsidR="00055321" w:rsidRPr="008924E0" w:rsidRDefault="00740D4F">
            <w:pPr>
              <w:pBdr>
                <w:top w:val="nil"/>
                <w:left w:val="nil"/>
                <w:bottom w:val="nil"/>
                <w:right w:val="nil"/>
                <w:between w:val="nil"/>
              </w:pBdr>
              <w:spacing w:before="120" w:after="120"/>
              <w:rPr>
                <w:rFonts w:ascii="Arial" w:hAnsi="Arial" w:cs="Arial"/>
                <w:color w:val="404040"/>
                <w:sz w:val="22"/>
                <w:szCs w:val="22"/>
                <w:lang w:val="bs-Latn-BA"/>
              </w:rPr>
            </w:pPr>
            <w:r w:rsidRPr="008924E0">
              <w:rPr>
                <w:rFonts w:ascii="Arial" w:hAnsi="Arial" w:cs="Arial"/>
                <w:b w:val="0"/>
                <w:color w:val="404040"/>
                <w:sz w:val="22"/>
                <w:szCs w:val="22"/>
                <w:lang w:val="bs-Latn-BA"/>
              </w:rPr>
              <w:t>Jezik:</w:t>
            </w:r>
          </w:p>
        </w:tc>
        <w:tc>
          <w:tcPr>
            <w:tcW w:w="6714" w:type="dxa"/>
            <w:vAlign w:val="center"/>
          </w:tcPr>
          <w:p w14:paraId="1FD0EA74" w14:textId="77777777" w:rsidR="00055321" w:rsidRPr="008924E0" w:rsidRDefault="00740D4F">
            <w:pPr>
              <w:pBdr>
                <w:top w:val="nil"/>
                <w:left w:val="nil"/>
                <w:bottom w:val="nil"/>
                <w:right w:val="nil"/>
                <w:between w:val="nil"/>
              </w:pBd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404040"/>
                <w:sz w:val="24"/>
                <w:szCs w:val="24"/>
                <w:lang w:val="bs-Latn-BA"/>
              </w:rPr>
            </w:pPr>
            <w:r w:rsidRPr="008924E0">
              <w:rPr>
                <w:rFonts w:ascii="Arial" w:hAnsi="Arial" w:cs="Arial"/>
                <w:color w:val="404040"/>
                <w:sz w:val="24"/>
                <w:szCs w:val="24"/>
                <w:lang w:val="bs-Latn-BA"/>
              </w:rPr>
              <w:t>Bosanski</w:t>
            </w:r>
          </w:p>
        </w:tc>
      </w:tr>
      <w:tr w:rsidR="00055321" w:rsidRPr="008924E0" w14:paraId="08BD09FB" w14:textId="77777777" w:rsidTr="00055321">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39C33C87" w14:textId="77777777" w:rsidR="00055321" w:rsidRPr="008924E0" w:rsidRDefault="00740D4F">
            <w:pPr>
              <w:pBdr>
                <w:top w:val="nil"/>
                <w:left w:val="nil"/>
                <w:bottom w:val="nil"/>
                <w:right w:val="nil"/>
                <w:between w:val="nil"/>
              </w:pBdr>
              <w:spacing w:before="120" w:after="120"/>
              <w:rPr>
                <w:rFonts w:ascii="Arial" w:hAnsi="Arial" w:cs="Arial"/>
                <w:color w:val="404040"/>
                <w:sz w:val="22"/>
                <w:szCs w:val="22"/>
                <w:lang w:val="bs-Latn-BA"/>
              </w:rPr>
            </w:pPr>
            <w:r w:rsidRPr="008924E0">
              <w:rPr>
                <w:rFonts w:ascii="Arial" w:hAnsi="Arial" w:cs="Arial"/>
                <w:b w:val="0"/>
                <w:color w:val="404040"/>
                <w:sz w:val="22"/>
                <w:szCs w:val="22"/>
                <w:lang w:val="bs-Latn-BA"/>
              </w:rPr>
              <w:t>Pripremio:</w:t>
            </w:r>
          </w:p>
        </w:tc>
        <w:tc>
          <w:tcPr>
            <w:tcW w:w="6714" w:type="dxa"/>
            <w:vAlign w:val="center"/>
          </w:tcPr>
          <w:p w14:paraId="11F5E202" w14:textId="77777777" w:rsidR="00055321" w:rsidRPr="00734FB3" w:rsidRDefault="00740D4F" w:rsidP="00734FB3">
            <w:pPr>
              <w:pBdr>
                <w:top w:val="nil"/>
                <w:left w:val="nil"/>
                <w:bottom w:val="nil"/>
                <w:right w:val="nil"/>
                <w:between w:val="nil"/>
              </w:pBdr>
              <w:spacing w:line="288" w:lineRule="auto"/>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lang w:val="bs-Latn-BA"/>
              </w:rPr>
            </w:pPr>
            <w:r w:rsidRPr="00734FB3">
              <w:rPr>
                <w:rFonts w:ascii="Arial" w:hAnsi="Arial" w:cs="Arial"/>
                <w:color w:val="auto"/>
                <w:sz w:val="22"/>
                <w:szCs w:val="22"/>
                <w:lang w:val="bs-Latn-BA"/>
              </w:rPr>
              <w:t>Centar za tehnološki, ekonomski i okolinski razvoj - CETEOR Sarajevo</w:t>
            </w:r>
          </w:p>
          <w:p w14:paraId="20EC2DD6" w14:textId="77777777" w:rsidR="00055321" w:rsidRPr="00734FB3" w:rsidRDefault="00740D4F" w:rsidP="00734FB3">
            <w:pPr>
              <w:pBdr>
                <w:top w:val="nil"/>
                <w:left w:val="nil"/>
                <w:bottom w:val="nil"/>
                <w:right w:val="nil"/>
                <w:between w:val="nil"/>
              </w:pBdr>
              <w:spacing w:line="288" w:lineRule="auto"/>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lang w:val="bs-Latn-BA"/>
              </w:rPr>
            </w:pPr>
            <w:r w:rsidRPr="00734FB3">
              <w:rPr>
                <w:rFonts w:ascii="Arial" w:hAnsi="Arial" w:cs="Arial"/>
                <w:color w:val="auto"/>
                <w:sz w:val="22"/>
                <w:szCs w:val="22"/>
                <w:lang w:val="bs-Latn-BA"/>
              </w:rPr>
              <w:t>Topal Osman Paše 32B</w:t>
            </w:r>
          </w:p>
          <w:p w14:paraId="1FA72CAE" w14:textId="77777777" w:rsidR="00055321" w:rsidRPr="00734FB3" w:rsidRDefault="00740D4F" w:rsidP="00734FB3">
            <w:pPr>
              <w:pBdr>
                <w:top w:val="nil"/>
                <w:left w:val="nil"/>
                <w:bottom w:val="nil"/>
                <w:right w:val="nil"/>
                <w:between w:val="nil"/>
              </w:pBdr>
              <w:spacing w:line="288" w:lineRule="auto"/>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lang w:val="bs-Latn-BA"/>
              </w:rPr>
            </w:pPr>
            <w:r w:rsidRPr="00734FB3">
              <w:rPr>
                <w:rFonts w:ascii="Arial" w:hAnsi="Arial" w:cs="Arial"/>
                <w:color w:val="auto"/>
                <w:sz w:val="22"/>
                <w:szCs w:val="22"/>
                <w:lang w:val="bs-Latn-BA"/>
              </w:rPr>
              <w:t>71000 Sarajevo, BiH</w:t>
            </w:r>
          </w:p>
          <w:p w14:paraId="6B69E30E" w14:textId="77777777" w:rsidR="00055321" w:rsidRPr="00734FB3" w:rsidRDefault="00740D4F" w:rsidP="00734FB3">
            <w:pPr>
              <w:pBdr>
                <w:top w:val="nil"/>
                <w:left w:val="nil"/>
                <w:bottom w:val="nil"/>
                <w:right w:val="nil"/>
                <w:between w:val="nil"/>
              </w:pBdr>
              <w:spacing w:line="288" w:lineRule="auto"/>
              <w:cnfStyle w:val="000000010000" w:firstRow="0" w:lastRow="0" w:firstColumn="0" w:lastColumn="0" w:oddVBand="0" w:evenVBand="0" w:oddHBand="0" w:evenHBand="1" w:firstRowFirstColumn="0" w:firstRowLastColumn="0" w:lastRowFirstColumn="0" w:lastRowLastColumn="0"/>
              <w:rPr>
                <w:rFonts w:ascii="Arial" w:hAnsi="Arial" w:cs="Arial"/>
                <w:color w:val="auto"/>
                <w:sz w:val="22"/>
                <w:szCs w:val="22"/>
                <w:lang w:val="bs-Latn-BA"/>
              </w:rPr>
            </w:pPr>
            <w:r w:rsidRPr="00734FB3">
              <w:rPr>
                <w:rFonts w:ascii="Arial" w:hAnsi="Arial" w:cs="Arial"/>
                <w:color w:val="auto"/>
                <w:sz w:val="22"/>
                <w:szCs w:val="22"/>
                <w:lang w:val="bs-Latn-BA"/>
              </w:rPr>
              <w:t>Tel:  +387 33 563 580</w:t>
            </w:r>
          </w:p>
          <w:p w14:paraId="583873BD" w14:textId="77777777" w:rsidR="00055321" w:rsidRPr="00734FB3" w:rsidRDefault="00740D4F" w:rsidP="00734FB3">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Arial" w:hAnsi="Arial" w:cs="Arial"/>
                <w:color w:val="auto"/>
                <w:sz w:val="24"/>
                <w:szCs w:val="24"/>
                <w:lang w:val="bs-Latn-BA"/>
              </w:rPr>
            </w:pPr>
            <w:r w:rsidRPr="00734FB3">
              <w:rPr>
                <w:rFonts w:ascii="Arial" w:hAnsi="Arial" w:cs="Arial"/>
                <w:color w:val="auto"/>
                <w:sz w:val="22"/>
                <w:szCs w:val="22"/>
                <w:lang w:val="bs-Latn-BA"/>
              </w:rPr>
              <w:t>Fax: +387 33 205 725</w:t>
            </w:r>
          </w:p>
        </w:tc>
      </w:tr>
      <w:tr w:rsidR="00055321" w:rsidRPr="008924E0" w14:paraId="3007F9EE" w14:textId="77777777" w:rsidTr="0005532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5734A05F" w14:textId="77777777" w:rsidR="00055321" w:rsidRPr="008924E0" w:rsidRDefault="00740D4F">
            <w:pPr>
              <w:pBdr>
                <w:top w:val="nil"/>
                <w:left w:val="nil"/>
                <w:bottom w:val="nil"/>
                <w:right w:val="nil"/>
                <w:between w:val="nil"/>
              </w:pBdr>
              <w:spacing w:before="120" w:after="120"/>
              <w:rPr>
                <w:rFonts w:ascii="Arial" w:hAnsi="Arial" w:cs="Arial"/>
                <w:color w:val="404040"/>
                <w:sz w:val="22"/>
                <w:szCs w:val="22"/>
                <w:lang w:val="bs-Latn-BA"/>
              </w:rPr>
            </w:pPr>
            <w:r w:rsidRPr="008924E0">
              <w:rPr>
                <w:rFonts w:ascii="Arial" w:hAnsi="Arial" w:cs="Arial"/>
                <w:b w:val="0"/>
                <w:color w:val="404040"/>
                <w:sz w:val="22"/>
                <w:szCs w:val="22"/>
                <w:lang w:val="bs-Latn-BA"/>
              </w:rPr>
              <w:t>Website:</w:t>
            </w:r>
          </w:p>
        </w:tc>
        <w:tc>
          <w:tcPr>
            <w:tcW w:w="6714" w:type="dxa"/>
            <w:vAlign w:val="center"/>
          </w:tcPr>
          <w:p w14:paraId="18F95393" w14:textId="77777777" w:rsidR="00055321" w:rsidRPr="008924E0" w:rsidRDefault="00000000">
            <w:pPr>
              <w:pBdr>
                <w:top w:val="nil"/>
                <w:left w:val="nil"/>
                <w:bottom w:val="nil"/>
                <w:right w:val="nil"/>
                <w:between w:val="nil"/>
              </w:pBd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color w:val="404040"/>
                <w:sz w:val="24"/>
                <w:szCs w:val="24"/>
                <w:lang w:val="bs-Latn-BA"/>
              </w:rPr>
            </w:pPr>
            <w:hyperlink r:id="rId14">
              <w:r w:rsidR="00740D4F" w:rsidRPr="008924E0">
                <w:rPr>
                  <w:rFonts w:ascii="Arial" w:hAnsi="Arial" w:cs="Arial"/>
                  <w:color w:val="0563C1"/>
                  <w:sz w:val="24"/>
                  <w:szCs w:val="24"/>
                  <w:u w:val="single"/>
                  <w:lang w:val="bs-Latn-BA"/>
                </w:rPr>
                <w:t>www.ceteor.ba</w:t>
              </w:r>
            </w:hyperlink>
            <w:r w:rsidR="00740D4F" w:rsidRPr="008924E0">
              <w:rPr>
                <w:rFonts w:ascii="Arial" w:hAnsi="Arial" w:cs="Arial"/>
                <w:color w:val="404040"/>
                <w:sz w:val="24"/>
                <w:szCs w:val="24"/>
                <w:lang w:val="bs-Latn-BA"/>
              </w:rPr>
              <w:t xml:space="preserve"> </w:t>
            </w:r>
          </w:p>
        </w:tc>
      </w:tr>
      <w:tr w:rsidR="00055321" w:rsidRPr="008924E0" w14:paraId="49EFFE15" w14:textId="77777777" w:rsidTr="00055321">
        <w:trPr>
          <w:cnfStyle w:val="000000010000" w:firstRow="0" w:lastRow="0" w:firstColumn="0" w:lastColumn="0" w:oddVBand="0" w:evenVBand="0" w:oddHBand="0" w:evenHBand="1"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3D0BFCE6" w14:textId="77777777" w:rsidR="00055321" w:rsidRPr="008924E0" w:rsidRDefault="00740D4F">
            <w:pPr>
              <w:pBdr>
                <w:top w:val="nil"/>
                <w:left w:val="nil"/>
                <w:bottom w:val="nil"/>
                <w:right w:val="nil"/>
                <w:between w:val="nil"/>
              </w:pBdr>
              <w:spacing w:before="120" w:after="120"/>
              <w:rPr>
                <w:rFonts w:ascii="Arial" w:hAnsi="Arial" w:cs="Arial"/>
                <w:color w:val="404040"/>
                <w:sz w:val="22"/>
                <w:szCs w:val="22"/>
                <w:lang w:val="bs-Latn-BA"/>
              </w:rPr>
            </w:pPr>
            <w:r w:rsidRPr="008924E0">
              <w:rPr>
                <w:rFonts w:ascii="Arial" w:hAnsi="Arial" w:cs="Arial"/>
                <w:b w:val="0"/>
                <w:color w:val="404040"/>
                <w:sz w:val="22"/>
                <w:szCs w:val="22"/>
                <w:lang w:val="bs-Latn-BA"/>
              </w:rPr>
              <w:t>Period izrade:</w:t>
            </w:r>
          </w:p>
        </w:tc>
        <w:tc>
          <w:tcPr>
            <w:tcW w:w="6714" w:type="dxa"/>
            <w:vAlign w:val="center"/>
          </w:tcPr>
          <w:p w14:paraId="0FF1CA71" w14:textId="37E1ABBA" w:rsidR="00055321" w:rsidRPr="008924E0" w:rsidRDefault="00740D4F">
            <w:pPr>
              <w:pBdr>
                <w:top w:val="nil"/>
                <w:left w:val="nil"/>
                <w:bottom w:val="nil"/>
                <w:right w:val="nil"/>
                <w:between w:val="nil"/>
              </w:pBdr>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color w:val="404040"/>
                <w:sz w:val="24"/>
                <w:szCs w:val="24"/>
                <w:lang w:val="bs-Latn-BA"/>
              </w:rPr>
            </w:pPr>
            <w:r w:rsidRPr="008924E0">
              <w:rPr>
                <w:rFonts w:ascii="Arial" w:hAnsi="Arial" w:cs="Arial"/>
                <w:color w:val="404040"/>
                <w:sz w:val="22"/>
                <w:szCs w:val="22"/>
                <w:lang w:val="bs-Latn-BA"/>
              </w:rPr>
              <w:t>Juni 2022</w:t>
            </w:r>
            <w:r w:rsidR="00282123" w:rsidRPr="008924E0">
              <w:rPr>
                <w:rFonts w:ascii="Arial" w:hAnsi="Arial" w:cs="Arial"/>
                <w:color w:val="404040"/>
                <w:sz w:val="22"/>
                <w:szCs w:val="22"/>
                <w:lang w:val="bs-Latn-BA"/>
              </w:rPr>
              <w:t>.</w:t>
            </w:r>
            <w:r w:rsidRPr="008924E0">
              <w:rPr>
                <w:rFonts w:ascii="Arial" w:hAnsi="Arial" w:cs="Arial"/>
                <w:color w:val="404040"/>
                <w:sz w:val="22"/>
                <w:szCs w:val="22"/>
                <w:lang w:val="bs-Latn-BA"/>
              </w:rPr>
              <w:t xml:space="preserve"> – </w:t>
            </w:r>
            <w:r w:rsidR="00E10E08">
              <w:rPr>
                <w:rFonts w:ascii="Arial" w:hAnsi="Arial" w:cs="Arial"/>
                <w:color w:val="404040"/>
                <w:sz w:val="22"/>
                <w:szCs w:val="22"/>
                <w:lang w:val="bs-Latn-BA"/>
              </w:rPr>
              <w:t>f</w:t>
            </w:r>
            <w:r w:rsidR="007F45C2" w:rsidRPr="008924E0">
              <w:rPr>
                <w:rFonts w:ascii="Arial" w:hAnsi="Arial" w:cs="Arial"/>
                <w:color w:val="404040"/>
                <w:sz w:val="22"/>
                <w:szCs w:val="22"/>
                <w:lang w:val="bs-Latn-BA"/>
              </w:rPr>
              <w:t>ebruar</w:t>
            </w:r>
            <w:r w:rsidRPr="008924E0">
              <w:rPr>
                <w:rFonts w:ascii="Arial" w:hAnsi="Arial" w:cs="Arial"/>
                <w:color w:val="404040"/>
                <w:sz w:val="22"/>
                <w:szCs w:val="22"/>
                <w:lang w:val="bs-Latn-BA"/>
              </w:rPr>
              <w:t xml:space="preserve"> 2023</w:t>
            </w:r>
            <w:r w:rsidR="00282123" w:rsidRPr="008924E0">
              <w:rPr>
                <w:rFonts w:ascii="Arial" w:hAnsi="Arial" w:cs="Arial"/>
                <w:color w:val="404040"/>
                <w:sz w:val="22"/>
                <w:szCs w:val="22"/>
                <w:lang w:val="bs-Latn-BA"/>
              </w:rPr>
              <w:t>.</w:t>
            </w:r>
            <w:r w:rsidR="007F45C2" w:rsidRPr="008924E0">
              <w:rPr>
                <w:rFonts w:ascii="Arial" w:hAnsi="Arial" w:cs="Arial"/>
                <w:color w:val="404040"/>
                <w:sz w:val="22"/>
                <w:szCs w:val="22"/>
                <w:lang w:val="bs-Latn-BA"/>
              </w:rPr>
              <w:t xml:space="preserve"> godine</w:t>
            </w:r>
          </w:p>
        </w:tc>
      </w:tr>
      <w:tr w:rsidR="00055321" w:rsidRPr="008924E0" w14:paraId="3F08D8CD" w14:textId="77777777" w:rsidTr="0005532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172" w:type="dxa"/>
            <w:vAlign w:val="center"/>
          </w:tcPr>
          <w:p w14:paraId="16F34BD7" w14:textId="77777777" w:rsidR="00055321" w:rsidRPr="008924E0" w:rsidRDefault="00740D4F">
            <w:pPr>
              <w:pBdr>
                <w:top w:val="nil"/>
                <w:left w:val="nil"/>
                <w:bottom w:val="nil"/>
                <w:right w:val="nil"/>
                <w:between w:val="nil"/>
              </w:pBdr>
              <w:spacing w:before="120" w:after="120"/>
              <w:rPr>
                <w:rFonts w:ascii="Arial" w:hAnsi="Arial" w:cs="Arial"/>
                <w:color w:val="404040"/>
                <w:sz w:val="22"/>
                <w:szCs w:val="22"/>
                <w:lang w:val="bs-Latn-BA"/>
              </w:rPr>
            </w:pPr>
            <w:r w:rsidRPr="008924E0">
              <w:rPr>
                <w:rFonts w:ascii="Arial" w:hAnsi="Arial" w:cs="Arial"/>
                <w:b w:val="0"/>
                <w:color w:val="404040"/>
                <w:sz w:val="22"/>
                <w:szCs w:val="22"/>
                <w:lang w:val="bs-Latn-BA"/>
              </w:rPr>
              <w:t>Broj:</w:t>
            </w:r>
          </w:p>
        </w:tc>
        <w:tc>
          <w:tcPr>
            <w:tcW w:w="6714" w:type="dxa"/>
            <w:vAlign w:val="center"/>
          </w:tcPr>
          <w:p w14:paraId="0EB13347" w14:textId="170DDDD0" w:rsidR="00055321" w:rsidRPr="008924E0" w:rsidRDefault="00740D4F">
            <w:pPr>
              <w:pBdr>
                <w:top w:val="nil"/>
                <w:left w:val="nil"/>
                <w:bottom w:val="nil"/>
                <w:right w:val="nil"/>
                <w:between w:val="nil"/>
              </w:pBdr>
              <w:spacing w:line="288" w:lineRule="auto"/>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bs-Latn-BA"/>
              </w:rPr>
            </w:pPr>
            <w:r w:rsidRPr="008924E0">
              <w:rPr>
                <w:rFonts w:ascii="Arial" w:hAnsi="Arial" w:cs="Arial"/>
                <w:sz w:val="22"/>
                <w:szCs w:val="22"/>
                <w:lang w:val="bs-Latn-BA"/>
              </w:rPr>
              <w:t xml:space="preserve"> </w:t>
            </w:r>
            <w:r w:rsidR="006A0ADF" w:rsidRPr="008924E0">
              <w:rPr>
                <w:rFonts w:ascii="Arial" w:hAnsi="Arial" w:cs="Arial"/>
                <w:sz w:val="22"/>
                <w:szCs w:val="22"/>
                <w:lang w:val="bs-Latn-BA"/>
              </w:rPr>
              <w:t>01/P-3091/22</w:t>
            </w:r>
          </w:p>
        </w:tc>
      </w:tr>
    </w:tbl>
    <w:p w14:paraId="5171F82E" w14:textId="77777777" w:rsidR="00055321" w:rsidRPr="008924E0" w:rsidRDefault="00055321">
      <w:pPr>
        <w:rPr>
          <w:lang w:val="bs-Latn-BA"/>
        </w:rPr>
      </w:pPr>
    </w:p>
    <w:p w14:paraId="1C4AD009" w14:textId="77777777" w:rsidR="00055321" w:rsidRPr="008924E0" w:rsidRDefault="00055321">
      <w:pPr>
        <w:spacing w:line="276" w:lineRule="auto"/>
        <w:jc w:val="center"/>
        <w:rPr>
          <w:lang w:val="bs-Latn-BA"/>
        </w:rPr>
      </w:pPr>
    </w:p>
    <w:p w14:paraId="7D1B9C24" w14:textId="77777777" w:rsidR="00055321" w:rsidRPr="008924E0" w:rsidRDefault="00055321">
      <w:pPr>
        <w:spacing w:line="276" w:lineRule="auto"/>
        <w:jc w:val="center"/>
        <w:rPr>
          <w:lang w:val="bs-Latn-BA"/>
        </w:rPr>
      </w:pPr>
    </w:p>
    <w:p w14:paraId="27421E18" w14:textId="77777777" w:rsidR="00055321" w:rsidRPr="008924E0" w:rsidRDefault="00740D4F">
      <w:pPr>
        <w:rPr>
          <w:lang w:val="bs-Latn-BA"/>
        </w:rPr>
      </w:pPr>
      <w:r w:rsidRPr="008924E0">
        <w:rPr>
          <w:lang w:val="bs-Latn-BA"/>
        </w:rPr>
        <w:br w:type="page"/>
      </w:r>
    </w:p>
    <w:p w14:paraId="2E8952DD" w14:textId="77777777" w:rsidR="00055321" w:rsidRPr="008924E0" w:rsidRDefault="00740D4F">
      <w:pPr>
        <w:keepNext/>
        <w:keepLines/>
        <w:pBdr>
          <w:top w:val="nil"/>
          <w:left w:val="nil"/>
          <w:bottom w:val="nil"/>
          <w:right w:val="nil"/>
          <w:between w:val="nil"/>
        </w:pBdr>
        <w:spacing w:before="240" w:after="0"/>
        <w:ind w:left="360" w:hanging="360"/>
        <w:jc w:val="left"/>
        <w:rPr>
          <w:b/>
          <w:color w:val="005837"/>
          <w:sz w:val="32"/>
          <w:szCs w:val="32"/>
          <w:lang w:val="bs-Latn-BA"/>
        </w:rPr>
      </w:pPr>
      <w:r w:rsidRPr="008924E0">
        <w:rPr>
          <w:b/>
          <w:color w:val="005837"/>
          <w:sz w:val="32"/>
          <w:szCs w:val="32"/>
          <w:lang w:val="bs-Latn-BA"/>
        </w:rPr>
        <w:lastRenderedPageBreak/>
        <w:t>SADRŽAJ</w:t>
      </w:r>
    </w:p>
    <w:p w14:paraId="653CC173" w14:textId="77777777" w:rsidR="00055321" w:rsidRPr="008924E0" w:rsidRDefault="00055321">
      <w:pPr>
        <w:rPr>
          <w:lang w:val="bs-Latn-BA"/>
        </w:rPr>
      </w:pPr>
    </w:p>
    <w:sdt>
      <w:sdtPr>
        <w:rPr>
          <w:lang w:val="bs-Latn-BA"/>
        </w:rPr>
        <w:id w:val="-354344314"/>
        <w:docPartObj>
          <w:docPartGallery w:val="Table of Contents"/>
          <w:docPartUnique/>
        </w:docPartObj>
      </w:sdtPr>
      <w:sdtContent>
        <w:p w14:paraId="321E250C" w14:textId="193F31DC" w:rsidR="00266328" w:rsidRDefault="008A246A">
          <w:pPr>
            <w:pStyle w:val="TOC1"/>
            <w:tabs>
              <w:tab w:val="right" w:leader="dot" w:pos="9017"/>
            </w:tabs>
            <w:rPr>
              <w:rFonts w:asciiTheme="minorHAnsi" w:hAnsiTheme="minorHAnsi" w:cstheme="minorBidi"/>
              <w:noProof/>
              <w:kern w:val="2"/>
              <w:lang w:eastAsia="en-US"/>
              <w14:ligatures w14:val="standardContextual"/>
            </w:rPr>
          </w:pPr>
          <w:r w:rsidRPr="008924E0">
            <w:rPr>
              <w:lang w:val="bs-Latn-BA"/>
            </w:rPr>
            <w:fldChar w:fldCharType="begin"/>
          </w:r>
          <w:r w:rsidRPr="008924E0">
            <w:rPr>
              <w:lang w:val="bs-Latn-BA"/>
            </w:rPr>
            <w:instrText xml:space="preserve"> TOC \o "4-4" \h \z \t "Heading 1,1,Heading 2,2,Heading 3,3" </w:instrText>
          </w:r>
          <w:r w:rsidRPr="008924E0">
            <w:rPr>
              <w:lang w:val="bs-Latn-BA"/>
            </w:rPr>
            <w:fldChar w:fldCharType="separate"/>
          </w:r>
          <w:hyperlink w:anchor="_Toc134011746" w:history="1">
            <w:r w:rsidR="00266328" w:rsidRPr="00BB50AC">
              <w:rPr>
                <w:rStyle w:val="Hyperlink"/>
                <w:noProof/>
                <w:lang w:val="bs-Latn-BA"/>
              </w:rPr>
              <w:t>UVOD</w:t>
            </w:r>
            <w:r w:rsidR="00266328">
              <w:rPr>
                <w:noProof/>
                <w:webHidden/>
              </w:rPr>
              <w:tab/>
            </w:r>
            <w:r w:rsidR="00266328">
              <w:rPr>
                <w:noProof/>
                <w:webHidden/>
              </w:rPr>
              <w:fldChar w:fldCharType="begin"/>
            </w:r>
            <w:r w:rsidR="00266328">
              <w:rPr>
                <w:noProof/>
                <w:webHidden/>
              </w:rPr>
              <w:instrText xml:space="preserve"> PAGEREF _Toc134011746 \h </w:instrText>
            </w:r>
            <w:r w:rsidR="00266328">
              <w:rPr>
                <w:noProof/>
                <w:webHidden/>
              </w:rPr>
            </w:r>
            <w:r w:rsidR="00266328">
              <w:rPr>
                <w:noProof/>
                <w:webHidden/>
              </w:rPr>
              <w:fldChar w:fldCharType="separate"/>
            </w:r>
            <w:r w:rsidR="00266328">
              <w:rPr>
                <w:noProof/>
                <w:webHidden/>
              </w:rPr>
              <w:t>12</w:t>
            </w:r>
            <w:r w:rsidR="00266328">
              <w:rPr>
                <w:noProof/>
                <w:webHidden/>
              </w:rPr>
              <w:fldChar w:fldCharType="end"/>
            </w:r>
          </w:hyperlink>
        </w:p>
        <w:p w14:paraId="49800AE9" w14:textId="7CE57C8D"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47" w:history="1">
            <w:r w:rsidR="00266328" w:rsidRPr="00BB50AC">
              <w:rPr>
                <w:rStyle w:val="Hyperlink"/>
                <w:noProof/>
                <w:lang w:val="bs-Latn-BA"/>
              </w:rPr>
              <w:t>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Metodologija izrade Strategije</w:t>
            </w:r>
            <w:r w:rsidR="00266328">
              <w:rPr>
                <w:noProof/>
                <w:webHidden/>
              </w:rPr>
              <w:tab/>
            </w:r>
            <w:r w:rsidR="00266328">
              <w:rPr>
                <w:noProof/>
                <w:webHidden/>
              </w:rPr>
              <w:fldChar w:fldCharType="begin"/>
            </w:r>
            <w:r w:rsidR="00266328">
              <w:rPr>
                <w:noProof/>
                <w:webHidden/>
              </w:rPr>
              <w:instrText xml:space="preserve"> PAGEREF _Toc134011747 \h </w:instrText>
            </w:r>
            <w:r w:rsidR="00266328">
              <w:rPr>
                <w:noProof/>
                <w:webHidden/>
              </w:rPr>
            </w:r>
            <w:r w:rsidR="00266328">
              <w:rPr>
                <w:noProof/>
                <w:webHidden/>
              </w:rPr>
              <w:fldChar w:fldCharType="separate"/>
            </w:r>
            <w:r w:rsidR="00266328">
              <w:rPr>
                <w:noProof/>
                <w:webHidden/>
              </w:rPr>
              <w:t>14</w:t>
            </w:r>
            <w:r w:rsidR="00266328">
              <w:rPr>
                <w:noProof/>
                <w:webHidden/>
              </w:rPr>
              <w:fldChar w:fldCharType="end"/>
            </w:r>
          </w:hyperlink>
        </w:p>
        <w:p w14:paraId="502F6668" w14:textId="72A1D31D"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48" w:history="1">
            <w:r w:rsidR="00266328" w:rsidRPr="00BB50AC">
              <w:rPr>
                <w:rStyle w:val="Hyperlink"/>
                <w:noProof/>
                <w:lang w:val="bs-Latn-BA"/>
              </w:rPr>
              <w:t>2.</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Izvod iz Situacione analize</w:t>
            </w:r>
            <w:r w:rsidR="00266328">
              <w:rPr>
                <w:noProof/>
                <w:webHidden/>
              </w:rPr>
              <w:tab/>
            </w:r>
            <w:r w:rsidR="00266328">
              <w:rPr>
                <w:noProof/>
                <w:webHidden/>
              </w:rPr>
              <w:fldChar w:fldCharType="begin"/>
            </w:r>
            <w:r w:rsidR="00266328">
              <w:rPr>
                <w:noProof/>
                <w:webHidden/>
              </w:rPr>
              <w:instrText xml:space="preserve"> PAGEREF _Toc134011748 \h </w:instrText>
            </w:r>
            <w:r w:rsidR="00266328">
              <w:rPr>
                <w:noProof/>
                <w:webHidden/>
              </w:rPr>
            </w:r>
            <w:r w:rsidR="00266328">
              <w:rPr>
                <w:noProof/>
                <w:webHidden/>
              </w:rPr>
              <w:fldChar w:fldCharType="separate"/>
            </w:r>
            <w:r w:rsidR="00266328">
              <w:rPr>
                <w:noProof/>
                <w:webHidden/>
              </w:rPr>
              <w:t>18</w:t>
            </w:r>
            <w:r w:rsidR="00266328">
              <w:rPr>
                <w:noProof/>
                <w:webHidden/>
              </w:rPr>
              <w:fldChar w:fldCharType="end"/>
            </w:r>
          </w:hyperlink>
        </w:p>
        <w:p w14:paraId="457894D9" w14:textId="580ADABC" w:rsidR="00266328" w:rsidRDefault="00000000">
          <w:pPr>
            <w:pStyle w:val="TOC2"/>
            <w:rPr>
              <w:rFonts w:asciiTheme="minorHAnsi" w:hAnsiTheme="minorHAnsi" w:cstheme="minorBidi"/>
              <w:noProof/>
              <w:kern w:val="2"/>
              <w:lang w:eastAsia="en-US"/>
              <w14:ligatures w14:val="standardContextual"/>
            </w:rPr>
          </w:pPr>
          <w:hyperlink w:anchor="_Toc134011749" w:history="1">
            <w:r w:rsidR="00266328" w:rsidRPr="00BB50AC">
              <w:rPr>
                <w:rStyle w:val="Hyperlink"/>
                <w:noProof/>
                <w:lang w:val="bs-Latn-BA"/>
              </w:rPr>
              <w:t>2.1.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Kontekst i regulatorni okvir</w:t>
            </w:r>
            <w:r w:rsidR="00266328">
              <w:rPr>
                <w:noProof/>
                <w:webHidden/>
              </w:rPr>
              <w:tab/>
            </w:r>
            <w:r w:rsidR="00266328">
              <w:rPr>
                <w:noProof/>
                <w:webHidden/>
              </w:rPr>
              <w:fldChar w:fldCharType="begin"/>
            </w:r>
            <w:r w:rsidR="00266328">
              <w:rPr>
                <w:noProof/>
                <w:webHidden/>
              </w:rPr>
              <w:instrText xml:space="preserve"> PAGEREF _Toc134011749 \h </w:instrText>
            </w:r>
            <w:r w:rsidR="00266328">
              <w:rPr>
                <w:noProof/>
                <w:webHidden/>
              </w:rPr>
            </w:r>
            <w:r w:rsidR="00266328">
              <w:rPr>
                <w:noProof/>
                <w:webHidden/>
              </w:rPr>
              <w:fldChar w:fldCharType="separate"/>
            </w:r>
            <w:r w:rsidR="00266328">
              <w:rPr>
                <w:noProof/>
                <w:webHidden/>
              </w:rPr>
              <w:t>18</w:t>
            </w:r>
            <w:r w:rsidR="00266328">
              <w:rPr>
                <w:noProof/>
                <w:webHidden/>
              </w:rPr>
              <w:fldChar w:fldCharType="end"/>
            </w:r>
          </w:hyperlink>
        </w:p>
        <w:p w14:paraId="3DF32658" w14:textId="02B41A4B" w:rsidR="00266328" w:rsidRDefault="00000000">
          <w:pPr>
            <w:pStyle w:val="TOC3"/>
            <w:rPr>
              <w:rFonts w:asciiTheme="minorHAnsi" w:hAnsiTheme="minorHAnsi" w:cstheme="minorBidi"/>
              <w:noProof/>
              <w:kern w:val="2"/>
              <w:lang w:eastAsia="en-US"/>
              <w14:ligatures w14:val="standardContextual"/>
            </w:rPr>
          </w:pPr>
          <w:hyperlink w:anchor="_Toc134011750" w:history="1">
            <w:r w:rsidR="00266328" w:rsidRPr="00BB50AC">
              <w:rPr>
                <w:rStyle w:val="Hyperlink"/>
                <w:noProof/>
              </w:rPr>
              <w:t>2.1.1.</w:t>
            </w:r>
            <w:r w:rsidR="00266328">
              <w:rPr>
                <w:rFonts w:asciiTheme="minorHAnsi" w:hAnsiTheme="minorHAnsi" w:cstheme="minorBidi"/>
                <w:noProof/>
                <w:kern w:val="2"/>
                <w:lang w:eastAsia="en-US"/>
                <w14:ligatures w14:val="standardContextual"/>
              </w:rPr>
              <w:tab/>
            </w:r>
            <w:r w:rsidR="00266328" w:rsidRPr="00BB50AC">
              <w:rPr>
                <w:rStyle w:val="Hyperlink"/>
                <w:noProof/>
              </w:rPr>
              <w:t>Međunarodni kontekst i politika EU</w:t>
            </w:r>
            <w:r w:rsidR="00266328">
              <w:rPr>
                <w:noProof/>
                <w:webHidden/>
              </w:rPr>
              <w:tab/>
            </w:r>
            <w:r w:rsidR="00266328">
              <w:rPr>
                <w:noProof/>
                <w:webHidden/>
              </w:rPr>
              <w:fldChar w:fldCharType="begin"/>
            </w:r>
            <w:r w:rsidR="00266328">
              <w:rPr>
                <w:noProof/>
                <w:webHidden/>
              </w:rPr>
              <w:instrText xml:space="preserve"> PAGEREF _Toc134011750 \h </w:instrText>
            </w:r>
            <w:r w:rsidR="00266328">
              <w:rPr>
                <w:noProof/>
                <w:webHidden/>
              </w:rPr>
            </w:r>
            <w:r w:rsidR="00266328">
              <w:rPr>
                <w:noProof/>
                <w:webHidden/>
              </w:rPr>
              <w:fldChar w:fldCharType="separate"/>
            </w:r>
            <w:r w:rsidR="00266328">
              <w:rPr>
                <w:noProof/>
                <w:webHidden/>
              </w:rPr>
              <w:t>18</w:t>
            </w:r>
            <w:r w:rsidR="00266328">
              <w:rPr>
                <w:noProof/>
                <w:webHidden/>
              </w:rPr>
              <w:fldChar w:fldCharType="end"/>
            </w:r>
          </w:hyperlink>
        </w:p>
        <w:p w14:paraId="3412CBD2" w14:textId="15DF95C5" w:rsidR="00266328" w:rsidRDefault="00000000">
          <w:pPr>
            <w:pStyle w:val="TOC3"/>
            <w:rPr>
              <w:rFonts w:asciiTheme="minorHAnsi" w:hAnsiTheme="minorHAnsi" w:cstheme="minorBidi"/>
              <w:noProof/>
              <w:kern w:val="2"/>
              <w:lang w:eastAsia="en-US"/>
              <w14:ligatures w14:val="standardContextual"/>
            </w:rPr>
          </w:pPr>
          <w:hyperlink w:anchor="_Toc134011751" w:history="1">
            <w:r w:rsidR="00266328" w:rsidRPr="00BB50AC">
              <w:rPr>
                <w:rStyle w:val="Hyperlink"/>
                <w:noProof/>
              </w:rPr>
              <w:t>2.1.2.</w:t>
            </w:r>
            <w:r w:rsidR="00266328">
              <w:rPr>
                <w:rFonts w:asciiTheme="minorHAnsi" w:hAnsiTheme="minorHAnsi" w:cstheme="minorBidi"/>
                <w:noProof/>
                <w:kern w:val="2"/>
                <w:lang w:eastAsia="en-US"/>
                <w14:ligatures w14:val="standardContextual"/>
              </w:rPr>
              <w:tab/>
            </w:r>
            <w:r w:rsidR="00266328" w:rsidRPr="00BB50AC">
              <w:rPr>
                <w:rStyle w:val="Hyperlink"/>
                <w:noProof/>
              </w:rPr>
              <w:t>Kontekst politike energijske efikasnosti u Bosni i Hercegovini</w:t>
            </w:r>
            <w:r w:rsidR="00266328">
              <w:rPr>
                <w:noProof/>
                <w:webHidden/>
              </w:rPr>
              <w:tab/>
            </w:r>
            <w:r w:rsidR="00266328">
              <w:rPr>
                <w:noProof/>
                <w:webHidden/>
              </w:rPr>
              <w:fldChar w:fldCharType="begin"/>
            </w:r>
            <w:r w:rsidR="00266328">
              <w:rPr>
                <w:noProof/>
                <w:webHidden/>
              </w:rPr>
              <w:instrText xml:space="preserve"> PAGEREF _Toc134011751 \h </w:instrText>
            </w:r>
            <w:r w:rsidR="00266328">
              <w:rPr>
                <w:noProof/>
                <w:webHidden/>
              </w:rPr>
            </w:r>
            <w:r w:rsidR="00266328">
              <w:rPr>
                <w:noProof/>
                <w:webHidden/>
              </w:rPr>
              <w:fldChar w:fldCharType="separate"/>
            </w:r>
            <w:r w:rsidR="00266328">
              <w:rPr>
                <w:noProof/>
                <w:webHidden/>
              </w:rPr>
              <w:t>19</w:t>
            </w:r>
            <w:r w:rsidR="00266328">
              <w:rPr>
                <w:noProof/>
                <w:webHidden/>
              </w:rPr>
              <w:fldChar w:fldCharType="end"/>
            </w:r>
          </w:hyperlink>
        </w:p>
        <w:p w14:paraId="50220690" w14:textId="2A6D6ECB" w:rsidR="00266328" w:rsidRDefault="00000000">
          <w:pPr>
            <w:pStyle w:val="TOC3"/>
            <w:rPr>
              <w:rFonts w:asciiTheme="minorHAnsi" w:hAnsiTheme="minorHAnsi" w:cstheme="minorBidi"/>
              <w:noProof/>
              <w:kern w:val="2"/>
              <w:lang w:eastAsia="en-US"/>
              <w14:ligatures w14:val="standardContextual"/>
            </w:rPr>
          </w:pPr>
          <w:hyperlink w:anchor="_Toc134011752" w:history="1">
            <w:r w:rsidR="00266328" w:rsidRPr="00BB50AC">
              <w:rPr>
                <w:rStyle w:val="Hyperlink"/>
                <w:noProof/>
              </w:rPr>
              <w:t>2.1.3.</w:t>
            </w:r>
            <w:r w:rsidR="00266328">
              <w:rPr>
                <w:rFonts w:asciiTheme="minorHAnsi" w:hAnsiTheme="minorHAnsi" w:cstheme="minorBidi"/>
                <w:noProof/>
                <w:kern w:val="2"/>
                <w:lang w:eastAsia="en-US"/>
                <w14:ligatures w14:val="standardContextual"/>
              </w:rPr>
              <w:tab/>
            </w:r>
            <w:r w:rsidR="00266328" w:rsidRPr="00BB50AC">
              <w:rPr>
                <w:rStyle w:val="Hyperlink"/>
                <w:noProof/>
              </w:rPr>
              <w:t>Kontekst politike energijske efikasnosti u Federaciji Bosne i Hercegovine</w:t>
            </w:r>
            <w:r w:rsidR="00266328">
              <w:rPr>
                <w:noProof/>
                <w:webHidden/>
              </w:rPr>
              <w:tab/>
            </w:r>
            <w:r w:rsidR="00266328">
              <w:rPr>
                <w:noProof/>
                <w:webHidden/>
              </w:rPr>
              <w:fldChar w:fldCharType="begin"/>
            </w:r>
            <w:r w:rsidR="00266328">
              <w:rPr>
                <w:noProof/>
                <w:webHidden/>
              </w:rPr>
              <w:instrText xml:space="preserve"> PAGEREF _Toc134011752 \h </w:instrText>
            </w:r>
            <w:r w:rsidR="00266328">
              <w:rPr>
                <w:noProof/>
                <w:webHidden/>
              </w:rPr>
            </w:r>
            <w:r w:rsidR="00266328">
              <w:rPr>
                <w:noProof/>
                <w:webHidden/>
              </w:rPr>
              <w:fldChar w:fldCharType="separate"/>
            </w:r>
            <w:r w:rsidR="00266328">
              <w:rPr>
                <w:noProof/>
                <w:webHidden/>
              </w:rPr>
              <w:t>20</w:t>
            </w:r>
            <w:r w:rsidR="00266328">
              <w:rPr>
                <w:noProof/>
                <w:webHidden/>
              </w:rPr>
              <w:fldChar w:fldCharType="end"/>
            </w:r>
          </w:hyperlink>
        </w:p>
        <w:p w14:paraId="4462A2E5" w14:textId="684B4801" w:rsidR="00266328" w:rsidRDefault="00000000">
          <w:pPr>
            <w:pStyle w:val="TOC2"/>
            <w:rPr>
              <w:rFonts w:asciiTheme="minorHAnsi" w:hAnsiTheme="minorHAnsi" w:cstheme="minorBidi"/>
              <w:noProof/>
              <w:kern w:val="2"/>
              <w:lang w:eastAsia="en-US"/>
              <w14:ligatures w14:val="standardContextual"/>
            </w:rPr>
          </w:pPr>
          <w:hyperlink w:anchor="_Toc134011753" w:history="1">
            <w:r w:rsidR="00266328" w:rsidRPr="00BB50AC">
              <w:rPr>
                <w:rStyle w:val="Hyperlink"/>
                <w:noProof/>
                <w:lang w:val="bs-Latn-BA"/>
              </w:rPr>
              <w:t>2.2.</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Opis postojećeg stanja građevinskog fonda</w:t>
            </w:r>
            <w:r w:rsidR="00266328">
              <w:rPr>
                <w:noProof/>
                <w:webHidden/>
              </w:rPr>
              <w:tab/>
            </w:r>
            <w:r w:rsidR="00266328">
              <w:rPr>
                <w:noProof/>
                <w:webHidden/>
              </w:rPr>
              <w:fldChar w:fldCharType="begin"/>
            </w:r>
            <w:r w:rsidR="00266328">
              <w:rPr>
                <w:noProof/>
                <w:webHidden/>
              </w:rPr>
              <w:instrText xml:space="preserve"> PAGEREF _Toc134011753 \h </w:instrText>
            </w:r>
            <w:r w:rsidR="00266328">
              <w:rPr>
                <w:noProof/>
                <w:webHidden/>
              </w:rPr>
            </w:r>
            <w:r w:rsidR="00266328">
              <w:rPr>
                <w:noProof/>
                <w:webHidden/>
              </w:rPr>
              <w:fldChar w:fldCharType="separate"/>
            </w:r>
            <w:r w:rsidR="00266328">
              <w:rPr>
                <w:noProof/>
                <w:webHidden/>
              </w:rPr>
              <w:t>22</w:t>
            </w:r>
            <w:r w:rsidR="00266328">
              <w:rPr>
                <w:noProof/>
                <w:webHidden/>
              </w:rPr>
              <w:fldChar w:fldCharType="end"/>
            </w:r>
          </w:hyperlink>
        </w:p>
        <w:p w14:paraId="17100A34" w14:textId="1F873279" w:rsidR="00266328" w:rsidRDefault="00000000">
          <w:pPr>
            <w:pStyle w:val="TOC3"/>
            <w:rPr>
              <w:rFonts w:asciiTheme="minorHAnsi" w:hAnsiTheme="minorHAnsi" w:cstheme="minorBidi"/>
              <w:noProof/>
              <w:kern w:val="2"/>
              <w:lang w:eastAsia="en-US"/>
              <w14:ligatures w14:val="standardContextual"/>
            </w:rPr>
          </w:pPr>
          <w:hyperlink w:anchor="_Toc134011754" w:history="1">
            <w:r w:rsidR="00266328" w:rsidRPr="00BB50AC">
              <w:rPr>
                <w:rStyle w:val="Hyperlink"/>
                <w:noProof/>
              </w:rPr>
              <w:t>2.2.1.</w:t>
            </w:r>
            <w:r w:rsidR="00266328">
              <w:rPr>
                <w:rFonts w:asciiTheme="minorHAnsi" w:hAnsiTheme="minorHAnsi" w:cstheme="minorBidi"/>
                <w:noProof/>
                <w:kern w:val="2"/>
                <w:lang w:eastAsia="en-US"/>
                <w14:ligatures w14:val="standardContextual"/>
              </w:rPr>
              <w:tab/>
            </w:r>
            <w:r w:rsidR="00266328" w:rsidRPr="00BB50AC">
              <w:rPr>
                <w:rStyle w:val="Hyperlink"/>
                <w:noProof/>
              </w:rPr>
              <w:t>Pregled dosadašnjih aktivnosti na energijskoj obnovi zgrada u FBiH</w:t>
            </w:r>
            <w:r w:rsidR="00266328">
              <w:rPr>
                <w:noProof/>
                <w:webHidden/>
              </w:rPr>
              <w:tab/>
            </w:r>
            <w:r w:rsidR="00266328">
              <w:rPr>
                <w:noProof/>
                <w:webHidden/>
              </w:rPr>
              <w:fldChar w:fldCharType="begin"/>
            </w:r>
            <w:r w:rsidR="00266328">
              <w:rPr>
                <w:noProof/>
                <w:webHidden/>
              </w:rPr>
              <w:instrText xml:space="preserve"> PAGEREF _Toc134011754 \h </w:instrText>
            </w:r>
            <w:r w:rsidR="00266328">
              <w:rPr>
                <w:noProof/>
                <w:webHidden/>
              </w:rPr>
            </w:r>
            <w:r w:rsidR="00266328">
              <w:rPr>
                <w:noProof/>
                <w:webHidden/>
              </w:rPr>
              <w:fldChar w:fldCharType="separate"/>
            </w:r>
            <w:r w:rsidR="00266328">
              <w:rPr>
                <w:noProof/>
                <w:webHidden/>
              </w:rPr>
              <w:t>22</w:t>
            </w:r>
            <w:r w:rsidR="00266328">
              <w:rPr>
                <w:noProof/>
                <w:webHidden/>
              </w:rPr>
              <w:fldChar w:fldCharType="end"/>
            </w:r>
          </w:hyperlink>
        </w:p>
        <w:p w14:paraId="5D642CA7" w14:textId="3A4E44BA" w:rsidR="00266328" w:rsidRDefault="00000000">
          <w:pPr>
            <w:pStyle w:val="TOC3"/>
            <w:rPr>
              <w:rFonts w:asciiTheme="minorHAnsi" w:hAnsiTheme="minorHAnsi" w:cstheme="minorBidi"/>
              <w:noProof/>
              <w:kern w:val="2"/>
              <w:lang w:eastAsia="en-US"/>
              <w14:ligatures w14:val="standardContextual"/>
            </w:rPr>
          </w:pPr>
          <w:hyperlink w:anchor="_Toc134011755" w:history="1">
            <w:r w:rsidR="00266328" w:rsidRPr="00BB50AC">
              <w:rPr>
                <w:rStyle w:val="Hyperlink"/>
                <w:noProof/>
              </w:rPr>
              <w:t>2.2.2.</w:t>
            </w:r>
            <w:r w:rsidR="00266328">
              <w:rPr>
                <w:rFonts w:asciiTheme="minorHAnsi" w:hAnsiTheme="minorHAnsi" w:cstheme="minorBidi"/>
                <w:noProof/>
                <w:kern w:val="2"/>
                <w:lang w:eastAsia="en-US"/>
                <w14:ligatures w14:val="standardContextual"/>
              </w:rPr>
              <w:tab/>
            </w:r>
            <w:r w:rsidR="00266328" w:rsidRPr="00BB50AC">
              <w:rPr>
                <w:rStyle w:val="Hyperlink"/>
                <w:noProof/>
              </w:rPr>
              <w:t>Pregled fonda zgrada u FBiH</w:t>
            </w:r>
            <w:r w:rsidR="00266328">
              <w:rPr>
                <w:noProof/>
                <w:webHidden/>
              </w:rPr>
              <w:tab/>
            </w:r>
            <w:r w:rsidR="00266328">
              <w:rPr>
                <w:noProof/>
                <w:webHidden/>
              </w:rPr>
              <w:fldChar w:fldCharType="begin"/>
            </w:r>
            <w:r w:rsidR="00266328">
              <w:rPr>
                <w:noProof/>
                <w:webHidden/>
              </w:rPr>
              <w:instrText xml:space="preserve"> PAGEREF _Toc134011755 \h </w:instrText>
            </w:r>
            <w:r w:rsidR="00266328">
              <w:rPr>
                <w:noProof/>
                <w:webHidden/>
              </w:rPr>
            </w:r>
            <w:r w:rsidR="00266328">
              <w:rPr>
                <w:noProof/>
                <w:webHidden/>
              </w:rPr>
              <w:fldChar w:fldCharType="separate"/>
            </w:r>
            <w:r w:rsidR="00266328">
              <w:rPr>
                <w:noProof/>
                <w:webHidden/>
              </w:rPr>
              <w:t>22</w:t>
            </w:r>
            <w:r w:rsidR="00266328">
              <w:rPr>
                <w:noProof/>
                <w:webHidden/>
              </w:rPr>
              <w:fldChar w:fldCharType="end"/>
            </w:r>
          </w:hyperlink>
        </w:p>
        <w:p w14:paraId="6711F29C" w14:textId="1BBDB5CB"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756" w:history="1">
            <w:r w:rsidR="00266328" w:rsidRPr="00BB50AC">
              <w:rPr>
                <w:rStyle w:val="Hyperlink"/>
                <w:noProof/>
                <w:lang w:val="bs-Latn-BA"/>
              </w:rPr>
              <w:t>2.2.2.1.</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Kategorizacija fonda zgrada prema namjeni</w:t>
            </w:r>
            <w:r w:rsidR="00266328">
              <w:rPr>
                <w:noProof/>
                <w:webHidden/>
              </w:rPr>
              <w:tab/>
            </w:r>
            <w:r w:rsidR="00266328">
              <w:rPr>
                <w:noProof/>
                <w:webHidden/>
              </w:rPr>
              <w:fldChar w:fldCharType="begin"/>
            </w:r>
            <w:r w:rsidR="00266328">
              <w:rPr>
                <w:noProof/>
                <w:webHidden/>
              </w:rPr>
              <w:instrText xml:space="preserve"> PAGEREF _Toc134011756 \h </w:instrText>
            </w:r>
            <w:r w:rsidR="00266328">
              <w:rPr>
                <w:noProof/>
                <w:webHidden/>
              </w:rPr>
            </w:r>
            <w:r w:rsidR="00266328">
              <w:rPr>
                <w:noProof/>
                <w:webHidden/>
              </w:rPr>
              <w:fldChar w:fldCharType="separate"/>
            </w:r>
            <w:r w:rsidR="00266328">
              <w:rPr>
                <w:noProof/>
                <w:webHidden/>
              </w:rPr>
              <w:t>22</w:t>
            </w:r>
            <w:r w:rsidR="00266328">
              <w:rPr>
                <w:noProof/>
                <w:webHidden/>
              </w:rPr>
              <w:fldChar w:fldCharType="end"/>
            </w:r>
          </w:hyperlink>
        </w:p>
        <w:p w14:paraId="369532C0" w14:textId="5E3477ED"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757" w:history="1">
            <w:r w:rsidR="00266328" w:rsidRPr="00BB50AC">
              <w:rPr>
                <w:rStyle w:val="Hyperlink"/>
                <w:noProof/>
                <w:lang w:val="bs-Latn-BA"/>
              </w:rPr>
              <w:t>2.2.2.2.</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Projekcija kretanja fonda zgrada do 2050. godine</w:t>
            </w:r>
            <w:r w:rsidR="00266328">
              <w:rPr>
                <w:noProof/>
                <w:webHidden/>
              </w:rPr>
              <w:tab/>
            </w:r>
            <w:r w:rsidR="00266328">
              <w:rPr>
                <w:noProof/>
                <w:webHidden/>
              </w:rPr>
              <w:fldChar w:fldCharType="begin"/>
            </w:r>
            <w:r w:rsidR="00266328">
              <w:rPr>
                <w:noProof/>
                <w:webHidden/>
              </w:rPr>
              <w:instrText xml:space="preserve"> PAGEREF _Toc134011757 \h </w:instrText>
            </w:r>
            <w:r w:rsidR="00266328">
              <w:rPr>
                <w:noProof/>
                <w:webHidden/>
              </w:rPr>
            </w:r>
            <w:r w:rsidR="00266328">
              <w:rPr>
                <w:noProof/>
                <w:webHidden/>
              </w:rPr>
              <w:fldChar w:fldCharType="separate"/>
            </w:r>
            <w:r w:rsidR="00266328">
              <w:rPr>
                <w:noProof/>
                <w:webHidden/>
              </w:rPr>
              <w:t>23</w:t>
            </w:r>
            <w:r w:rsidR="00266328">
              <w:rPr>
                <w:noProof/>
                <w:webHidden/>
              </w:rPr>
              <w:fldChar w:fldCharType="end"/>
            </w:r>
          </w:hyperlink>
        </w:p>
        <w:p w14:paraId="14C8AEB1" w14:textId="6BB7A2C0"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758" w:history="1">
            <w:r w:rsidR="00266328" w:rsidRPr="00BB50AC">
              <w:rPr>
                <w:rStyle w:val="Hyperlink"/>
                <w:noProof/>
                <w:lang w:val="bs-Latn-BA"/>
              </w:rPr>
              <w:t>2.2.2.3.</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Energijske karakteristike zgrada</w:t>
            </w:r>
            <w:r w:rsidR="00266328">
              <w:rPr>
                <w:noProof/>
                <w:webHidden/>
              </w:rPr>
              <w:tab/>
            </w:r>
            <w:r w:rsidR="00266328">
              <w:rPr>
                <w:noProof/>
                <w:webHidden/>
              </w:rPr>
              <w:fldChar w:fldCharType="begin"/>
            </w:r>
            <w:r w:rsidR="00266328">
              <w:rPr>
                <w:noProof/>
                <w:webHidden/>
              </w:rPr>
              <w:instrText xml:space="preserve"> PAGEREF _Toc134011758 \h </w:instrText>
            </w:r>
            <w:r w:rsidR="00266328">
              <w:rPr>
                <w:noProof/>
                <w:webHidden/>
              </w:rPr>
            </w:r>
            <w:r w:rsidR="00266328">
              <w:rPr>
                <w:noProof/>
                <w:webHidden/>
              </w:rPr>
              <w:fldChar w:fldCharType="separate"/>
            </w:r>
            <w:r w:rsidR="00266328">
              <w:rPr>
                <w:noProof/>
                <w:webHidden/>
              </w:rPr>
              <w:t>27</w:t>
            </w:r>
            <w:r w:rsidR="00266328">
              <w:rPr>
                <w:noProof/>
                <w:webHidden/>
              </w:rPr>
              <w:fldChar w:fldCharType="end"/>
            </w:r>
          </w:hyperlink>
        </w:p>
        <w:p w14:paraId="71E285F4" w14:textId="760679A7"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59" w:history="1">
            <w:r w:rsidR="00266328" w:rsidRPr="00BB50AC">
              <w:rPr>
                <w:rStyle w:val="Hyperlink"/>
                <w:noProof/>
                <w:lang w:val="bs-Latn-BA"/>
              </w:rPr>
              <w:t>3.</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Razvojni strateški pravci</w:t>
            </w:r>
            <w:r w:rsidR="00266328">
              <w:rPr>
                <w:noProof/>
                <w:webHidden/>
              </w:rPr>
              <w:tab/>
            </w:r>
            <w:r w:rsidR="00266328">
              <w:rPr>
                <w:noProof/>
                <w:webHidden/>
              </w:rPr>
              <w:fldChar w:fldCharType="begin"/>
            </w:r>
            <w:r w:rsidR="00266328">
              <w:rPr>
                <w:noProof/>
                <w:webHidden/>
              </w:rPr>
              <w:instrText xml:space="preserve"> PAGEREF _Toc134011759 \h </w:instrText>
            </w:r>
            <w:r w:rsidR="00266328">
              <w:rPr>
                <w:noProof/>
                <w:webHidden/>
              </w:rPr>
            </w:r>
            <w:r w:rsidR="00266328">
              <w:rPr>
                <w:noProof/>
                <w:webHidden/>
              </w:rPr>
              <w:fldChar w:fldCharType="separate"/>
            </w:r>
            <w:r w:rsidR="00266328">
              <w:rPr>
                <w:noProof/>
                <w:webHidden/>
              </w:rPr>
              <w:t>31</w:t>
            </w:r>
            <w:r w:rsidR="00266328">
              <w:rPr>
                <w:noProof/>
                <w:webHidden/>
              </w:rPr>
              <w:fldChar w:fldCharType="end"/>
            </w:r>
          </w:hyperlink>
        </w:p>
        <w:p w14:paraId="1A39D0B0" w14:textId="4B865F40"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60" w:history="1">
            <w:r w:rsidR="00266328" w:rsidRPr="00BB50AC">
              <w:rPr>
                <w:rStyle w:val="Hyperlink"/>
                <w:noProof/>
                <w:lang w:val="bs-Latn-BA"/>
              </w:rPr>
              <w:t>4.</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Vizija</w:t>
            </w:r>
            <w:r w:rsidR="00266328">
              <w:rPr>
                <w:noProof/>
                <w:webHidden/>
              </w:rPr>
              <w:tab/>
            </w:r>
            <w:r w:rsidR="00266328">
              <w:rPr>
                <w:noProof/>
                <w:webHidden/>
              </w:rPr>
              <w:fldChar w:fldCharType="begin"/>
            </w:r>
            <w:r w:rsidR="00266328">
              <w:rPr>
                <w:noProof/>
                <w:webHidden/>
              </w:rPr>
              <w:instrText xml:space="preserve"> PAGEREF _Toc134011760 \h </w:instrText>
            </w:r>
            <w:r w:rsidR="00266328">
              <w:rPr>
                <w:noProof/>
                <w:webHidden/>
              </w:rPr>
            </w:r>
            <w:r w:rsidR="00266328">
              <w:rPr>
                <w:noProof/>
                <w:webHidden/>
              </w:rPr>
              <w:fldChar w:fldCharType="separate"/>
            </w:r>
            <w:r w:rsidR="00266328">
              <w:rPr>
                <w:noProof/>
                <w:webHidden/>
              </w:rPr>
              <w:t>32</w:t>
            </w:r>
            <w:r w:rsidR="00266328">
              <w:rPr>
                <w:noProof/>
                <w:webHidden/>
              </w:rPr>
              <w:fldChar w:fldCharType="end"/>
            </w:r>
          </w:hyperlink>
        </w:p>
        <w:p w14:paraId="3707AAE8" w14:textId="55798C3E"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61" w:history="1">
            <w:r w:rsidR="00266328" w:rsidRPr="00BB50AC">
              <w:rPr>
                <w:rStyle w:val="Hyperlink"/>
                <w:noProof/>
                <w:lang w:val="bs-Latn-BA"/>
              </w:rPr>
              <w:t>5.</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Strateški cilj sa indikatorima</w:t>
            </w:r>
            <w:r w:rsidR="00266328">
              <w:rPr>
                <w:noProof/>
                <w:webHidden/>
              </w:rPr>
              <w:tab/>
            </w:r>
            <w:r w:rsidR="00266328">
              <w:rPr>
                <w:noProof/>
                <w:webHidden/>
              </w:rPr>
              <w:fldChar w:fldCharType="begin"/>
            </w:r>
            <w:r w:rsidR="00266328">
              <w:rPr>
                <w:noProof/>
                <w:webHidden/>
              </w:rPr>
              <w:instrText xml:space="preserve"> PAGEREF _Toc134011761 \h </w:instrText>
            </w:r>
            <w:r w:rsidR="00266328">
              <w:rPr>
                <w:noProof/>
                <w:webHidden/>
              </w:rPr>
            </w:r>
            <w:r w:rsidR="00266328">
              <w:rPr>
                <w:noProof/>
                <w:webHidden/>
              </w:rPr>
              <w:fldChar w:fldCharType="separate"/>
            </w:r>
            <w:r w:rsidR="00266328">
              <w:rPr>
                <w:noProof/>
                <w:webHidden/>
              </w:rPr>
              <w:t>33</w:t>
            </w:r>
            <w:r w:rsidR="00266328">
              <w:rPr>
                <w:noProof/>
                <w:webHidden/>
              </w:rPr>
              <w:fldChar w:fldCharType="end"/>
            </w:r>
          </w:hyperlink>
        </w:p>
        <w:p w14:paraId="3C345E3F" w14:textId="20C9B0DC"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62" w:history="1">
            <w:r w:rsidR="00266328" w:rsidRPr="00BB50AC">
              <w:rPr>
                <w:rStyle w:val="Hyperlink"/>
                <w:noProof/>
                <w:lang w:val="bs-Latn-BA"/>
              </w:rPr>
              <w:t>6.</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Analiza scenarija OBNOVE za stambene i nestambene zgrade</w:t>
            </w:r>
            <w:r w:rsidR="00266328">
              <w:rPr>
                <w:noProof/>
                <w:webHidden/>
              </w:rPr>
              <w:tab/>
            </w:r>
            <w:r w:rsidR="00266328">
              <w:rPr>
                <w:noProof/>
                <w:webHidden/>
              </w:rPr>
              <w:fldChar w:fldCharType="begin"/>
            </w:r>
            <w:r w:rsidR="00266328">
              <w:rPr>
                <w:noProof/>
                <w:webHidden/>
              </w:rPr>
              <w:instrText xml:space="preserve"> PAGEREF _Toc134011762 \h </w:instrText>
            </w:r>
            <w:r w:rsidR="00266328">
              <w:rPr>
                <w:noProof/>
                <w:webHidden/>
              </w:rPr>
            </w:r>
            <w:r w:rsidR="00266328">
              <w:rPr>
                <w:noProof/>
                <w:webHidden/>
              </w:rPr>
              <w:fldChar w:fldCharType="separate"/>
            </w:r>
            <w:r w:rsidR="00266328">
              <w:rPr>
                <w:noProof/>
                <w:webHidden/>
              </w:rPr>
              <w:t>36</w:t>
            </w:r>
            <w:r w:rsidR="00266328">
              <w:rPr>
                <w:noProof/>
                <w:webHidden/>
              </w:rPr>
              <w:fldChar w:fldCharType="end"/>
            </w:r>
          </w:hyperlink>
        </w:p>
        <w:p w14:paraId="40107A2B" w14:textId="3B6F2AB1" w:rsidR="00266328" w:rsidRDefault="00000000">
          <w:pPr>
            <w:pStyle w:val="TOC2"/>
            <w:rPr>
              <w:rFonts w:asciiTheme="minorHAnsi" w:hAnsiTheme="minorHAnsi" w:cstheme="minorBidi"/>
              <w:noProof/>
              <w:kern w:val="2"/>
              <w:lang w:eastAsia="en-US"/>
              <w14:ligatures w14:val="standardContextual"/>
            </w:rPr>
          </w:pPr>
          <w:hyperlink w:anchor="_Toc134011763" w:history="1">
            <w:r w:rsidR="00266328" w:rsidRPr="00BB50AC">
              <w:rPr>
                <w:rStyle w:val="Hyperlink"/>
                <w:noProof/>
                <w:lang w:val="bs-Latn-BA"/>
              </w:rPr>
              <w:t>6.1.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Stambeni fond</w:t>
            </w:r>
            <w:r w:rsidR="00266328">
              <w:rPr>
                <w:noProof/>
                <w:webHidden/>
              </w:rPr>
              <w:tab/>
            </w:r>
            <w:r w:rsidR="00266328">
              <w:rPr>
                <w:noProof/>
                <w:webHidden/>
              </w:rPr>
              <w:fldChar w:fldCharType="begin"/>
            </w:r>
            <w:r w:rsidR="00266328">
              <w:rPr>
                <w:noProof/>
                <w:webHidden/>
              </w:rPr>
              <w:instrText xml:space="preserve"> PAGEREF _Toc134011763 \h </w:instrText>
            </w:r>
            <w:r w:rsidR="00266328">
              <w:rPr>
                <w:noProof/>
                <w:webHidden/>
              </w:rPr>
            </w:r>
            <w:r w:rsidR="00266328">
              <w:rPr>
                <w:noProof/>
                <w:webHidden/>
              </w:rPr>
              <w:fldChar w:fldCharType="separate"/>
            </w:r>
            <w:r w:rsidR="00266328">
              <w:rPr>
                <w:noProof/>
                <w:webHidden/>
              </w:rPr>
              <w:t>39</w:t>
            </w:r>
            <w:r w:rsidR="00266328">
              <w:rPr>
                <w:noProof/>
                <w:webHidden/>
              </w:rPr>
              <w:fldChar w:fldCharType="end"/>
            </w:r>
          </w:hyperlink>
        </w:p>
        <w:p w14:paraId="532B90F2" w14:textId="5AC779AD" w:rsidR="00266328" w:rsidRDefault="00000000">
          <w:pPr>
            <w:pStyle w:val="TOC2"/>
            <w:rPr>
              <w:rFonts w:asciiTheme="minorHAnsi" w:hAnsiTheme="minorHAnsi" w:cstheme="minorBidi"/>
              <w:noProof/>
              <w:kern w:val="2"/>
              <w:lang w:eastAsia="en-US"/>
              <w14:ligatures w14:val="standardContextual"/>
            </w:rPr>
          </w:pPr>
          <w:hyperlink w:anchor="_Toc134011764" w:history="1">
            <w:r w:rsidR="00266328" w:rsidRPr="00BB50AC">
              <w:rPr>
                <w:rStyle w:val="Hyperlink"/>
                <w:noProof/>
                <w:lang w:val="bs-Latn-BA"/>
              </w:rPr>
              <w:t>6.2.</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Nestambeni fond</w:t>
            </w:r>
            <w:r w:rsidR="00266328">
              <w:rPr>
                <w:noProof/>
                <w:webHidden/>
              </w:rPr>
              <w:tab/>
            </w:r>
            <w:r w:rsidR="00266328">
              <w:rPr>
                <w:noProof/>
                <w:webHidden/>
              </w:rPr>
              <w:fldChar w:fldCharType="begin"/>
            </w:r>
            <w:r w:rsidR="00266328">
              <w:rPr>
                <w:noProof/>
                <w:webHidden/>
              </w:rPr>
              <w:instrText xml:space="preserve"> PAGEREF _Toc134011764 \h </w:instrText>
            </w:r>
            <w:r w:rsidR="00266328">
              <w:rPr>
                <w:noProof/>
                <w:webHidden/>
              </w:rPr>
            </w:r>
            <w:r w:rsidR="00266328">
              <w:rPr>
                <w:noProof/>
                <w:webHidden/>
              </w:rPr>
              <w:fldChar w:fldCharType="separate"/>
            </w:r>
            <w:r w:rsidR="00266328">
              <w:rPr>
                <w:noProof/>
                <w:webHidden/>
              </w:rPr>
              <w:t>49</w:t>
            </w:r>
            <w:r w:rsidR="00266328">
              <w:rPr>
                <w:noProof/>
                <w:webHidden/>
              </w:rPr>
              <w:fldChar w:fldCharType="end"/>
            </w:r>
          </w:hyperlink>
        </w:p>
        <w:p w14:paraId="49647F23" w14:textId="099B49C1" w:rsidR="00266328" w:rsidRDefault="00000000">
          <w:pPr>
            <w:pStyle w:val="TOC3"/>
            <w:rPr>
              <w:rFonts w:asciiTheme="minorHAnsi" w:hAnsiTheme="minorHAnsi" w:cstheme="minorBidi"/>
              <w:noProof/>
              <w:kern w:val="2"/>
              <w:lang w:eastAsia="en-US"/>
              <w14:ligatures w14:val="standardContextual"/>
            </w:rPr>
          </w:pPr>
          <w:hyperlink w:anchor="_Toc134011765" w:history="1">
            <w:r w:rsidR="00266328" w:rsidRPr="00BB50AC">
              <w:rPr>
                <w:rStyle w:val="Hyperlink"/>
                <w:noProof/>
              </w:rPr>
              <w:t>6.2.1.</w:t>
            </w:r>
            <w:r w:rsidR="00266328">
              <w:rPr>
                <w:rFonts w:asciiTheme="minorHAnsi" w:hAnsiTheme="minorHAnsi" w:cstheme="minorBidi"/>
                <w:noProof/>
                <w:kern w:val="2"/>
                <w:lang w:eastAsia="en-US"/>
                <w14:ligatures w14:val="standardContextual"/>
              </w:rPr>
              <w:tab/>
            </w:r>
            <w:r w:rsidR="00266328" w:rsidRPr="00BB50AC">
              <w:rPr>
                <w:rStyle w:val="Hyperlink"/>
                <w:noProof/>
              </w:rPr>
              <w:t>Fond javnih zgrada</w:t>
            </w:r>
            <w:r w:rsidR="00266328">
              <w:rPr>
                <w:noProof/>
                <w:webHidden/>
              </w:rPr>
              <w:tab/>
            </w:r>
            <w:r w:rsidR="00266328">
              <w:rPr>
                <w:noProof/>
                <w:webHidden/>
              </w:rPr>
              <w:fldChar w:fldCharType="begin"/>
            </w:r>
            <w:r w:rsidR="00266328">
              <w:rPr>
                <w:noProof/>
                <w:webHidden/>
              </w:rPr>
              <w:instrText xml:space="preserve"> PAGEREF _Toc134011765 \h </w:instrText>
            </w:r>
            <w:r w:rsidR="00266328">
              <w:rPr>
                <w:noProof/>
                <w:webHidden/>
              </w:rPr>
            </w:r>
            <w:r w:rsidR="00266328">
              <w:rPr>
                <w:noProof/>
                <w:webHidden/>
              </w:rPr>
              <w:fldChar w:fldCharType="separate"/>
            </w:r>
            <w:r w:rsidR="00266328">
              <w:rPr>
                <w:noProof/>
                <w:webHidden/>
              </w:rPr>
              <w:t>49</w:t>
            </w:r>
            <w:r w:rsidR="00266328">
              <w:rPr>
                <w:noProof/>
                <w:webHidden/>
              </w:rPr>
              <w:fldChar w:fldCharType="end"/>
            </w:r>
          </w:hyperlink>
        </w:p>
        <w:p w14:paraId="2F6E38C8" w14:textId="00F1D3D6" w:rsidR="00266328" w:rsidRDefault="00000000">
          <w:pPr>
            <w:pStyle w:val="TOC3"/>
            <w:rPr>
              <w:rFonts w:asciiTheme="minorHAnsi" w:hAnsiTheme="minorHAnsi" w:cstheme="minorBidi"/>
              <w:noProof/>
              <w:kern w:val="2"/>
              <w:lang w:eastAsia="en-US"/>
              <w14:ligatures w14:val="standardContextual"/>
            </w:rPr>
          </w:pPr>
          <w:hyperlink w:anchor="_Toc134011766" w:history="1">
            <w:r w:rsidR="00266328" w:rsidRPr="00BB50AC">
              <w:rPr>
                <w:rStyle w:val="Hyperlink"/>
                <w:noProof/>
              </w:rPr>
              <w:t>6.2.1.1.</w:t>
            </w:r>
            <w:r w:rsidR="00266328">
              <w:rPr>
                <w:rFonts w:asciiTheme="minorHAnsi" w:hAnsiTheme="minorHAnsi" w:cstheme="minorBidi"/>
                <w:noProof/>
                <w:kern w:val="2"/>
                <w:lang w:eastAsia="en-US"/>
                <w14:ligatures w14:val="standardContextual"/>
              </w:rPr>
              <w:tab/>
            </w:r>
            <w:r w:rsidR="00266328" w:rsidRPr="00BB50AC">
              <w:rPr>
                <w:rStyle w:val="Hyperlink"/>
                <w:noProof/>
              </w:rPr>
              <w:t>Energijska obnova zgrada obuhvaćenih Operativnim planom poboljšanja energijske efikasnosti u institucijama FBiH</w:t>
            </w:r>
            <w:r w:rsidR="00266328">
              <w:rPr>
                <w:noProof/>
                <w:webHidden/>
              </w:rPr>
              <w:tab/>
            </w:r>
            <w:r w:rsidR="00266328">
              <w:rPr>
                <w:noProof/>
                <w:webHidden/>
              </w:rPr>
              <w:fldChar w:fldCharType="begin"/>
            </w:r>
            <w:r w:rsidR="00266328">
              <w:rPr>
                <w:noProof/>
                <w:webHidden/>
              </w:rPr>
              <w:instrText xml:space="preserve"> PAGEREF _Toc134011766 \h </w:instrText>
            </w:r>
            <w:r w:rsidR="00266328">
              <w:rPr>
                <w:noProof/>
                <w:webHidden/>
              </w:rPr>
            </w:r>
            <w:r w:rsidR="00266328">
              <w:rPr>
                <w:noProof/>
                <w:webHidden/>
              </w:rPr>
              <w:fldChar w:fldCharType="separate"/>
            </w:r>
            <w:r w:rsidR="00266328">
              <w:rPr>
                <w:noProof/>
                <w:webHidden/>
              </w:rPr>
              <w:t>49</w:t>
            </w:r>
            <w:r w:rsidR="00266328">
              <w:rPr>
                <w:noProof/>
                <w:webHidden/>
              </w:rPr>
              <w:fldChar w:fldCharType="end"/>
            </w:r>
          </w:hyperlink>
        </w:p>
        <w:p w14:paraId="32852D0B" w14:textId="0E149237" w:rsidR="00266328" w:rsidRDefault="00000000">
          <w:pPr>
            <w:pStyle w:val="TOC3"/>
            <w:rPr>
              <w:rFonts w:asciiTheme="minorHAnsi" w:hAnsiTheme="minorHAnsi" w:cstheme="minorBidi"/>
              <w:noProof/>
              <w:kern w:val="2"/>
              <w:lang w:eastAsia="en-US"/>
              <w14:ligatures w14:val="standardContextual"/>
            </w:rPr>
          </w:pPr>
          <w:hyperlink w:anchor="_Toc134011767" w:history="1">
            <w:r w:rsidR="00266328" w:rsidRPr="00BB50AC">
              <w:rPr>
                <w:rStyle w:val="Hyperlink"/>
                <w:noProof/>
              </w:rPr>
              <w:t>6.2.1.2.</w:t>
            </w:r>
            <w:r w:rsidR="00266328">
              <w:rPr>
                <w:rFonts w:asciiTheme="minorHAnsi" w:hAnsiTheme="minorHAnsi" w:cstheme="minorBidi"/>
                <w:noProof/>
                <w:kern w:val="2"/>
                <w:lang w:eastAsia="en-US"/>
                <w14:ligatures w14:val="standardContextual"/>
              </w:rPr>
              <w:tab/>
            </w:r>
            <w:r w:rsidR="00266328" w:rsidRPr="00BB50AC">
              <w:rPr>
                <w:rStyle w:val="Hyperlink"/>
                <w:noProof/>
              </w:rPr>
              <w:t>Energijska obnova javnih zgrada</w:t>
            </w:r>
            <w:r w:rsidR="00266328">
              <w:rPr>
                <w:noProof/>
                <w:webHidden/>
              </w:rPr>
              <w:tab/>
            </w:r>
            <w:r w:rsidR="00266328">
              <w:rPr>
                <w:noProof/>
                <w:webHidden/>
              </w:rPr>
              <w:fldChar w:fldCharType="begin"/>
            </w:r>
            <w:r w:rsidR="00266328">
              <w:rPr>
                <w:noProof/>
                <w:webHidden/>
              </w:rPr>
              <w:instrText xml:space="preserve"> PAGEREF _Toc134011767 \h </w:instrText>
            </w:r>
            <w:r w:rsidR="00266328">
              <w:rPr>
                <w:noProof/>
                <w:webHidden/>
              </w:rPr>
            </w:r>
            <w:r w:rsidR="00266328">
              <w:rPr>
                <w:noProof/>
                <w:webHidden/>
              </w:rPr>
              <w:fldChar w:fldCharType="separate"/>
            </w:r>
            <w:r w:rsidR="00266328">
              <w:rPr>
                <w:noProof/>
                <w:webHidden/>
              </w:rPr>
              <w:t>50</w:t>
            </w:r>
            <w:r w:rsidR="00266328">
              <w:rPr>
                <w:noProof/>
                <w:webHidden/>
              </w:rPr>
              <w:fldChar w:fldCharType="end"/>
            </w:r>
          </w:hyperlink>
        </w:p>
        <w:p w14:paraId="3A1DD76A" w14:textId="0FCB16ED" w:rsidR="00266328" w:rsidRDefault="00000000">
          <w:pPr>
            <w:pStyle w:val="TOC3"/>
            <w:rPr>
              <w:rFonts w:asciiTheme="minorHAnsi" w:hAnsiTheme="minorHAnsi" w:cstheme="minorBidi"/>
              <w:noProof/>
              <w:kern w:val="2"/>
              <w:lang w:eastAsia="en-US"/>
              <w14:ligatures w14:val="standardContextual"/>
            </w:rPr>
          </w:pPr>
          <w:hyperlink w:anchor="_Toc134011768" w:history="1">
            <w:r w:rsidR="00266328" w:rsidRPr="00BB50AC">
              <w:rPr>
                <w:rStyle w:val="Hyperlink"/>
                <w:noProof/>
              </w:rPr>
              <w:t>6.2.2.</w:t>
            </w:r>
            <w:r w:rsidR="00266328">
              <w:rPr>
                <w:rFonts w:asciiTheme="minorHAnsi" w:hAnsiTheme="minorHAnsi" w:cstheme="minorBidi"/>
                <w:noProof/>
                <w:kern w:val="2"/>
                <w:lang w:eastAsia="en-US"/>
                <w14:ligatures w14:val="standardContextual"/>
              </w:rPr>
              <w:tab/>
            </w:r>
            <w:r w:rsidR="00266328" w:rsidRPr="00BB50AC">
              <w:rPr>
                <w:rStyle w:val="Hyperlink"/>
                <w:noProof/>
              </w:rPr>
              <w:t>Komercijalne zgrade</w:t>
            </w:r>
            <w:r w:rsidR="00266328">
              <w:rPr>
                <w:noProof/>
                <w:webHidden/>
              </w:rPr>
              <w:tab/>
            </w:r>
            <w:r w:rsidR="00266328">
              <w:rPr>
                <w:noProof/>
                <w:webHidden/>
              </w:rPr>
              <w:fldChar w:fldCharType="begin"/>
            </w:r>
            <w:r w:rsidR="00266328">
              <w:rPr>
                <w:noProof/>
                <w:webHidden/>
              </w:rPr>
              <w:instrText xml:space="preserve"> PAGEREF _Toc134011768 \h </w:instrText>
            </w:r>
            <w:r w:rsidR="00266328">
              <w:rPr>
                <w:noProof/>
                <w:webHidden/>
              </w:rPr>
            </w:r>
            <w:r w:rsidR="00266328">
              <w:rPr>
                <w:noProof/>
                <w:webHidden/>
              </w:rPr>
              <w:fldChar w:fldCharType="separate"/>
            </w:r>
            <w:r w:rsidR="00266328">
              <w:rPr>
                <w:noProof/>
                <w:webHidden/>
              </w:rPr>
              <w:t>55</w:t>
            </w:r>
            <w:r w:rsidR="00266328">
              <w:rPr>
                <w:noProof/>
                <w:webHidden/>
              </w:rPr>
              <w:fldChar w:fldCharType="end"/>
            </w:r>
          </w:hyperlink>
        </w:p>
        <w:p w14:paraId="25DDBDE0" w14:textId="6C3C7244" w:rsidR="00266328" w:rsidRDefault="00000000">
          <w:pPr>
            <w:pStyle w:val="TOC2"/>
            <w:rPr>
              <w:rFonts w:asciiTheme="minorHAnsi" w:hAnsiTheme="minorHAnsi" w:cstheme="minorBidi"/>
              <w:noProof/>
              <w:kern w:val="2"/>
              <w:lang w:eastAsia="en-US"/>
              <w14:ligatures w14:val="standardContextual"/>
            </w:rPr>
          </w:pPr>
          <w:hyperlink w:anchor="_Toc134011769" w:history="1">
            <w:r w:rsidR="00266328" w:rsidRPr="00BB50AC">
              <w:rPr>
                <w:rStyle w:val="Hyperlink"/>
                <w:noProof/>
                <w:lang w:val="bs-Latn-BA"/>
              </w:rPr>
              <w:t>6.3.</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Zgrade sa statusom nacionalnih spomenika</w:t>
            </w:r>
            <w:r w:rsidR="00266328">
              <w:rPr>
                <w:noProof/>
                <w:webHidden/>
              </w:rPr>
              <w:tab/>
            </w:r>
            <w:r w:rsidR="00266328">
              <w:rPr>
                <w:noProof/>
                <w:webHidden/>
              </w:rPr>
              <w:fldChar w:fldCharType="begin"/>
            </w:r>
            <w:r w:rsidR="00266328">
              <w:rPr>
                <w:noProof/>
                <w:webHidden/>
              </w:rPr>
              <w:instrText xml:space="preserve"> PAGEREF _Toc134011769 \h </w:instrText>
            </w:r>
            <w:r w:rsidR="00266328">
              <w:rPr>
                <w:noProof/>
                <w:webHidden/>
              </w:rPr>
            </w:r>
            <w:r w:rsidR="00266328">
              <w:rPr>
                <w:noProof/>
                <w:webHidden/>
              </w:rPr>
              <w:fldChar w:fldCharType="separate"/>
            </w:r>
            <w:r w:rsidR="00266328">
              <w:rPr>
                <w:noProof/>
                <w:webHidden/>
              </w:rPr>
              <w:t>56</w:t>
            </w:r>
            <w:r w:rsidR="00266328">
              <w:rPr>
                <w:noProof/>
                <w:webHidden/>
              </w:rPr>
              <w:fldChar w:fldCharType="end"/>
            </w:r>
          </w:hyperlink>
        </w:p>
        <w:p w14:paraId="46C9EEF9" w14:textId="3769BCFF" w:rsidR="00266328" w:rsidRDefault="00000000">
          <w:pPr>
            <w:pStyle w:val="TOC2"/>
            <w:rPr>
              <w:rFonts w:asciiTheme="minorHAnsi" w:hAnsiTheme="minorHAnsi" w:cstheme="minorBidi"/>
              <w:noProof/>
              <w:kern w:val="2"/>
              <w:lang w:eastAsia="en-US"/>
              <w14:ligatures w14:val="standardContextual"/>
            </w:rPr>
          </w:pPr>
          <w:hyperlink w:anchor="_Toc134011770" w:history="1">
            <w:r w:rsidR="00266328" w:rsidRPr="00BB50AC">
              <w:rPr>
                <w:rStyle w:val="Hyperlink"/>
                <w:noProof/>
                <w:lang w:val="bs-Latn-BA"/>
              </w:rPr>
              <w:t>6.4.</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Zgrade u vlasništvu i korištenju oružanih snaga BiH</w:t>
            </w:r>
            <w:r w:rsidR="00266328">
              <w:rPr>
                <w:noProof/>
                <w:webHidden/>
              </w:rPr>
              <w:tab/>
            </w:r>
            <w:r w:rsidR="00266328">
              <w:rPr>
                <w:noProof/>
                <w:webHidden/>
              </w:rPr>
              <w:fldChar w:fldCharType="begin"/>
            </w:r>
            <w:r w:rsidR="00266328">
              <w:rPr>
                <w:noProof/>
                <w:webHidden/>
              </w:rPr>
              <w:instrText xml:space="preserve"> PAGEREF _Toc134011770 \h </w:instrText>
            </w:r>
            <w:r w:rsidR="00266328">
              <w:rPr>
                <w:noProof/>
                <w:webHidden/>
              </w:rPr>
            </w:r>
            <w:r w:rsidR="00266328">
              <w:rPr>
                <w:noProof/>
                <w:webHidden/>
              </w:rPr>
              <w:fldChar w:fldCharType="separate"/>
            </w:r>
            <w:r w:rsidR="00266328">
              <w:rPr>
                <w:noProof/>
                <w:webHidden/>
              </w:rPr>
              <w:t>57</w:t>
            </w:r>
            <w:r w:rsidR="00266328">
              <w:rPr>
                <w:noProof/>
                <w:webHidden/>
              </w:rPr>
              <w:fldChar w:fldCharType="end"/>
            </w:r>
          </w:hyperlink>
        </w:p>
        <w:p w14:paraId="4BE1B3ED" w14:textId="102F9ED0" w:rsidR="00266328" w:rsidRDefault="00000000">
          <w:pPr>
            <w:pStyle w:val="TOC2"/>
            <w:rPr>
              <w:rFonts w:asciiTheme="minorHAnsi" w:hAnsiTheme="minorHAnsi" w:cstheme="minorBidi"/>
              <w:noProof/>
              <w:kern w:val="2"/>
              <w:lang w:eastAsia="en-US"/>
              <w14:ligatures w14:val="standardContextual"/>
            </w:rPr>
          </w:pPr>
          <w:hyperlink w:anchor="_Toc134011771" w:history="1">
            <w:r w:rsidR="00266328" w:rsidRPr="00BB50AC">
              <w:rPr>
                <w:rStyle w:val="Hyperlink"/>
                <w:noProof/>
                <w:lang w:val="bs-Latn-BA"/>
              </w:rPr>
              <w:t>6.5.</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Nelegalno izgrađene zgrade</w:t>
            </w:r>
            <w:r w:rsidR="00266328">
              <w:rPr>
                <w:noProof/>
                <w:webHidden/>
              </w:rPr>
              <w:tab/>
            </w:r>
            <w:r w:rsidR="00266328">
              <w:rPr>
                <w:noProof/>
                <w:webHidden/>
              </w:rPr>
              <w:fldChar w:fldCharType="begin"/>
            </w:r>
            <w:r w:rsidR="00266328">
              <w:rPr>
                <w:noProof/>
                <w:webHidden/>
              </w:rPr>
              <w:instrText xml:space="preserve"> PAGEREF _Toc134011771 \h </w:instrText>
            </w:r>
            <w:r w:rsidR="00266328">
              <w:rPr>
                <w:noProof/>
                <w:webHidden/>
              </w:rPr>
            </w:r>
            <w:r w:rsidR="00266328">
              <w:rPr>
                <w:noProof/>
                <w:webHidden/>
              </w:rPr>
              <w:fldChar w:fldCharType="separate"/>
            </w:r>
            <w:r w:rsidR="00266328">
              <w:rPr>
                <w:noProof/>
                <w:webHidden/>
              </w:rPr>
              <w:t>57</w:t>
            </w:r>
            <w:r w:rsidR="00266328">
              <w:rPr>
                <w:noProof/>
                <w:webHidden/>
              </w:rPr>
              <w:fldChar w:fldCharType="end"/>
            </w:r>
          </w:hyperlink>
        </w:p>
        <w:p w14:paraId="2CC07366" w14:textId="114A5376" w:rsidR="00266328" w:rsidRDefault="00000000">
          <w:pPr>
            <w:pStyle w:val="TOC2"/>
            <w:rPr>
              <w:rFonts w:asciiTheme="minorHAnsi" w:hAnsiTheme="minorHAnsi" w:cstheme="minorBidi"/>
              <w:noProof/>
              <w:kern w:val="2"/>
              <w:lang w:eastAsia="en-US"/>
              <w14:ligatures w14:val="standardContextual"/>
            </w:rPr>
          </w:pPr>
          <w:hyperlink w:anchor="_Toc134011772" w:history="1">
            <w:r w:rsidR="00266328" w:rsidRPr="00BB50AC">
              <w:rPr>
                <w:rStyle w:val="Hyperlink"/>
                <w:noProof/>
                <w:lang w:val="bs-Latn-BA"/>
              </w:rPr>
              <w:t>6.6.</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Zgrade gotovo nulte energije (nZEB)</w:t>
            </w:r>
            <w:r w:rsidR="00266328">
              <w:rPr>
                <w:noProof/>
                <w:webHidden/>
              </w:rPr>
              <w:tab/>
            </w:r>
            <w:r w:rsidR="00266328">
              <w:rPr>
                <w:noProof/>
                <w:webHidden/>
              </w:rPr>
              <w:fldChar w:fldCharType="begin"/>
            </w:r>
            <w:r w:rsidR="00266328">
              <w:rPr>
                <w:noProof/>
                <w:webHidden/>
              </w:rPr>
              <w:instrText xml:space="preserve"> PAGEREF _Toc134011772 \h </w:instrText>
            </w:r>
            <w:r w:rsidR="00266328">
              <w:rPr>
                <w:noProof/>
                <w:webHidden/>
              </w:rPr>
            </w:r>
            <w:r w:rsidR="00266328">
              <w:rPr>
                <w:noProof/>
                <w:webHidden/>
              </w:rPr>
              <w:fldChar w:fldCharType="separate"/>
            </w:r>
            <w:r w:rsidR="00266328">
              <w:rPr>
                <w:noProof/>
                <w:webHidden/>
              </w:rPr>
              <w:t>57</w:t>
            </w:r>
            <w:r w:rsidR="00266328">
              <w:rPr>
                <w:noProof/>
                <w:webHidden/>
              </w:rPr>
              <w:fldChar w:fldCharType="end"/>
            </w:r>
          </w:hyperlink>
        </w:p>
        <w:p w14:paraId="6E17E3E6" w14:textId="0F09F4BE"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73" w:history="1">
            <w:r w:rsidR="00266328" w:rsidRPr="00BB50AC">
              <w:rPr>
                <w:rStyle w:val="Hyperlink"/>
                <w:noProof/>
                <w:lang w:val="bs-Latn-BA"/>
              </w:rPr>
              <w:t>7.</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Prioriteti i mjere</w:t>
            </w:r>
            <w:r w:rsidR="00266328">
              <w:rPr>
                <w:noProof/>
                <w:webHidden/>
              </w:rPr>
              <w:tab/>
            </w:r>
            <w:r w:rsidR="00266328">
              <w:rPr>
                <w:noProof/>
                <w:webHidden/>
              </w:rPr>
              <w:fldChar w:fldCharType="begin"/>
            </w:r>
            <w:r w:rsidR="00266328">
              <w:rPr>
                <w:noProof/>
                <w:webHidden/>
              </w:rPr>
              <w:instrText xml:space="preserve"> PAGEREF _Toc134011773 \h </w:instrText>
            </w:r>
            <w:r w:rsidR="00266328">
              <w:rPr>
                <w:noProof/>
                <w:webHidden/>
              </w:rPr>
            </w:r>
            <w:r w:rsidR="00266328">
              <w:rPr>
                <w:noProof/>
                <w:webHidden/>
              </w:rPr>
              <w:fldChar w:fldCharType="separate"/>
            </w:r>
            <w:r w:rsidR="00266328">
              <w:rPr>
                <w:noProof/>
                <w:webHidden/>
              </w:rPr>
              <w:t>59</w:t>
            </w:r>
            <w:r w:rsidR="00266328">
              <w:rPr>
                <w:noProof/>
                <w:webHidden/>
              </w:rPr>
              <w:fldChar w:fldCharType="end"/>
            </w:r>
          </w:hyperlink>
        </w:p>
        <w:p w14:paraId="258ED236" w14:textId="4EA95C1D" w:rsidR="00266328" w:rsidRDefault="00000000">
          <w:pPr>
            <w:pStyle w:val="TOC2"/>
            <w:rPr>
              <w:rFonts w:asciiTheme="minorHAnsi" w:hAnsiTheme="minorHAnsi" w:cstheme="minorBidi"/>
              <w:noProof/>
              <w:kern w:val="2"/>
              <w:lang w:eastAsia="en-US"/>
              <w14:ligatures w14:val="standardContextual"/>
            </w:rPr>
          </w:pPr>
          <w:hyperlink w:anchor="_Toc134011774" w:history="1">
            <w:r w:rsidR="00266328" w:rsidRPr="00BB50AC">
              <w:rPr>
                <w:rStyle w:val="Hyperlink"/>
                <w:noProof/>
                <w:lang w:val="bs-Latn-BA"/>
              </w:rPr>
              <w:t>Prioritet 1.1. Transformirati postojeći fond zgrada FBiH u energijski visokoefikasan</w:t>
            </w:r>
            <w:r w:rsidR="00266328">
              <w:rPr>
                <w:noProof/>
                <w:webHidden/>
              </w:rPr>
              <w:tab/>
            </w:r>
            <w:r w:rsidR="00266328">
              <w:rPr>
                <w:noProof/>
                <w:webHidden/>
              </w:rPr>
              <w:fldChar w:fldCharType="begin"/>
            </w:r>
            <w:r w:rsidR="00266328">
              <w:rPr>
                <w:noProof/>
                <w:webHidden/>
              </w:rPr>
              <w:instrText xml:space="preserve"> PAGEREF _Toc134011774 \h </w:instrText>
            </w:r>
            <w:r w:rsidR="00266328">
              <w:rPr>
                <w:noProof/>
                <w:webHidden/>
              </w:rPr>
            </w:r>
            <w:r w:rsidR="00266328">
              <w:rPr>
                <w:noProof/>
                <w:webHidden/>
              </w:rPr>
              <w:fldChar w:fldCharType="separate"/>
            </w:r>
            <w:r w:rsidR="00266328">
              <w:rPr>
                <w:noProof/>
                <w:webHidden/>
              </w:rPr>
              <w:t>59</w:t>
            </w:r>
            <w:r w:rsidR="00266328">
              <w:rPr>
                <w:noProof/>
                <w:webHidden/>
              </w:rPr>
              <w:fldChar w:fldCharType="end"/>
            </w:r>
          </w:hyperlink>
        </w:p>
        <w:p w14:paraId="73232B92" w14:textId="7185E6DE" w:rsidR="00266328" w:rsidRDefault="00000000">
          <w:pPr>
            <w:pStyle w:val="TOC2"/>
            <w:rPr>
              <w:rFonts w:asciiTheme="minorHAnsi" w:hAnsiTheme="minorHAnsi" w:cstheme="minorBidi"/>
              <w:noProof/>
              <w:kern w:val="2"/>
              <w:lang w:eastAsia="en-US"/>
              <w14:ligatures w14:val="standardContextual"/>
            </w:rPr>
          </w:pPr>
          <w:hyperlink w:anchor="_Toc134011775" w:history="1">
            <w:r w:rsidR="00266328" w:rsidRPr="00BB50AC">
              <w:rPr>
                <w:rStyle w:val="Hyperlink"/>
                <w:noProof/>
                <w:lang w:val="bs-Latn-BA"/>
              </w:rPr>
              <w:t>Mjera  1.1.1. Unaprijediti regulatorni okvir u cilju ostvarivanja potpune harmonizacije s pravnom stečevinom EU u oblasti EE koji će omogućiti energijsku obnovu zgrada</w:t>
            </w:r>
            <w:r w:rsidR="00266328">
              <w:rPr>
                <w:noProof/>
                <w:webHidden/>
              </w:rPr>
              <w:tab/>
            </w:r>
            <w:r w:rsidR="00266328">
              <w:rPr>
                <w:noProof/>
                <w:webHidden/>
              </w:rPr>
              <w:fldChar w:fldCharType="begin"/>
            </w:r>
            <w:r w:rsidR="00266328">
              <w:rPr>
                <w:noProof/>
                <w:webHidden/>
              </w:rPr>
              <w:instrText xml:space="preserve"> PAGEREF _Toc134011775 \h </w:instrText>
            </w:r>
            <w:r w:rsidR="00266328">
              <w:rPr>
                <w:noProof/>
                <w:webHidden/>
              </w:rPr>
            </w:r>
            <w:r w:rsidR="00266328">
              <w:rPr>
                <w:noProof/>
                <w:webHidden/>
              </w:rPr>
              <w:fldChar w:fldCharType="separate"/>
            </w:r>
            <w:r w:rsidR="00266328">
              <w:rPr>
                <w:noProof/>
                <w:webHidden/>
              </w:rPr>
              <w:t>60</w:t>
            </w:r>
            <w:r w:rsidR="00266328">
              <w:rPr>
                <w:noProof/>
                <w:webHidden/>
              </w:rPr>
              <w:fldChar w:fldCharType="end"/>
            </w:r>
          </w:hyperlink>
        </w:p>
        <w:p w14:paraId="274B6498" w14:textId="3161A3DD" w:rsidR="00266328" w:rsidRDefault="00000000">
          <w:pPr>
            <w:pStyle w:val="TOC2"/>
            <w:rPr>
              <w:rFonts w:asciiTheme="minorHAnsi" w:hAnsiTheme="minorHAnsi" w:cstheme="minorBidi"/>
              <w:noProof/>
              <w:kern w:val="2"/>
              <w:lang w:eastAsia="en-US"/>
              <w14:ligatures w14:val="standardContextual"/>
            </w:rPr>
          </w:pPr>
          <w:hyperlink w:anchor="_Toc134011776" w:history="1">
            <w:r w:rsidR="00266328" w:rsidRPr="00BB50AC">
              <w:rPr>
                <w:rStyle w:val="Hyperlink"/>
                <w:noProof/>
                <w:lang w:val="bs-Latn-BA"/>
              </w:rPr>
              <w:t>Mjera 1.1.2. Jačati institucionalne kapacitete na svim nivoima vlasti i međusektorsku saradnju u cilju provođenja energijske obnove zgrada</w:t>
            </w:r>
            <w:r w:rsidR="00266328">
              <w:rPr>
                <w:noProof/>
                <w:webHidden/>
              </w:rPr>
              <w:tab/>
            </w:r>
            <w:r w:rsidR="00266328">
              <w:rPr>
                <w:noProof/>
                <w:webHidden/>
              </w:rPr>
              <w:fldChar w:fldCharType="begin"/>
            </w:r>
            <w:r w:rsidR="00266328">
              <w:rPr>
                <w:noProof/>
                <w:webHidden/>
              </w:rPr>
              <w:instrText xml:space="preserve"> PAGEREF _Toc134011776 \h </w:instrText>
            </w:r>
            <w:r w:rsidR="00266328">
              <w:rPr>
                <w:noProof/>
                <w:webHidden/>
              </w:rPr>
            </w:r>
            <w:r w:rsidR="00266328">
              <w:rPr>
                <w:noProof/>
                <w:webHidden/>
              </w:rPr>
              <w:fldChar w:fldCharType="separate"/>
            </w:r>
            <w:r w:rsidR="00266328">
              <w:rPr>
                <w:noProof/>
                <w:webHidden/>
              </w:rPr>
              <w:t>62</w:t>
            </w:r>
            <w:r w:rsidR="00266328">
              <w:rPr>
                <w:noProof/>
                <w:webHidden/>
              </w:rPr>
              <w:fldChar w:fldCharType="end"/>
            </w:r>
          </w:hyperlink>
        </w:p>
        <w:p w14:paraId="125EEC12" w14:textId="5CED07CE" w:rsidR="00266328" w:rsidRDefault="00000000">
          <w:pPr>
            <w:pStyle w:val="TOC2"/>
            <w:rPr>
              <w:rFonts w:asciiTheme="minorHAnsi" w:hAnsiTheme="minorHAnsi" w:cstheme="minorBidi"/>
              <w:noProof/>
              <w:kern w:val="2"/>
              <w:lang w:eastAsia="en-US"/>
              <w14:ligatures w14:val="standardContextual"/>
            </w:rPr>
          </w:pPr>
          <w:hyperlink w:anchor="_Toc134011777" w:history="1">
            <w:r w:rsidR="00266328" w:rsidRPr="00BB50AC">
              <w:rPr>
                <w:rStyle w:val="Hyperlink"/>
                <w:noProof/>
                <w:lang w:val="bs-Latn-BA"/>
              </w:rPr>
              <w:t>Mjera 1.1.3. Uspostavljanje održivog financijskog okvira koji će omogućitipodsticaj i kontinuirano financiranje obnove sektora zgradarstva</w:t>
            </w:r>
            <w:r w:rsidR="00266328">
              <w:rPr>
                <w:noProof/>
                <w:webHidden/>
              </w:rPr>
              <w:tab/>
            </w:r>
            <w:r w:rsidR="00266328">
              <w:rPr>
                <w:noProof/>
                <w:webHidden/>
              </w:rPr>
              <w:fldChar w:fldCharType="begin"/>
            </w:r>
            <w:r w:rsidR="00266328">
              <w:rPr>
                <w:noProof/>
                <w:webHidden/>
              </w:rPr>
              <w:instrText xml:space="preserve"> PAGEREF _Toc134011777 \h </w:instrText>
            </w:r>
            <w:r w:rsidR="00266328">
              <w:rPr>
                <w:noProof/>
                <w:webHidden/>
              </w:rPr>
            </w:r>
            <w:r w:rsidR="00266328">
              <w:rPr>
                <w:noProof/>
                <w:webHidden/>
              </w:rPr>
              <w:fldChar w:fldCharType="separate"/>
            </w:r>
            <w:r w:rsidR="00266328">
              <w:rPr>
                <w:noProof/>
                <w:webHidden/>
              </w:rPr>
              <w:t>66</w:t>
            </w:r>
            <w:r w:rsidR="00266328">
              <w:rPr>
                <w:noProof/>
                <w:webHidden/>
              </w:rPr>
              <w:fldChar w:fldCharType="end"/>
            </w:r>
          </w:hyperlink>
        </w:p>
        <w:p w14:paraId="5E9321A3" w14:textId="402621B9" w:rsidR="00266328" w:rsidRDefault="00000000">
          <w:pPr>
            <w:pStyle w:val="TOC2"/>
            <w:rPr>
              <w:rFonts w:asciiTheme="minorHAnsi" w:hAnsiTheme="minorHAnsi" w:cstheme="minorBidi"/>
              <w:noProof/>
              <w:kern w:val="2"/>
              <w:lang w:eastAsia="en-US"/>
              <w14:ligatures w14:val="standardContextual"/>
            </w:rPr>
          </w:pPr>
          <w:hyperlink w:anchor="_Toc134011778" w:history="1">
            <w:r w:rsidR="00266328" w:rsidRPr="00BB50AC">
              <w:rPr>
                <w:rStyle w:val="Hyperlink"/>
                <w:noProof/>
                <w:lang w:val="bs-Latn-BA"/>
              </w:rPr>
              <w:t>Mjera 1.1.4. Energijski obnoviti postojeći fond zgrada</w:t>
            </w:r>
            <w:r w:rsidR="00266328">
              <w:rPr>
                <w:noProof/>
                <w:webHidden/>
              </w:rPr>
              <w:tab/>
            </w:r>
            <w:r w:rsidR="00266328">
              <w:rPr>
                <w:noProof/>
                <w:webHidden/>
              </w:rPr>
              <w:fldChar w:fldCharType="begin"/>
            </w:r>
            <w:r w:rsidR="00266328">
              <w:rPr>
                <w:noProof/>
                <w:webHidden/>
              </w:rPr>
              <w:instrText xml:space="preserve"> PAGEREF _Toc134011778 \h </w:instrText>
            </w:r>
            <w:r w:rsidR="00266328">
              <w:rPr>
                <w:noProof/>
                <w:webHidden/>
              </w:rPr>
            </w:r>
            <w:r w:rsidR="00266328">
              <w:rPr>
                <w:noProof/>
                <w:webHidden/>
              </w:rPr>
              <w:fldChar w:fldCharType="separate"/>
            </w:r>
            <w:r w:rsidR="00266328">
              <w:rPr>
                <w:noProof/>
                <w:webHidden/>
              </w:rPr>
              <w:t>71</w:t>
            </w:r>
            <w:r w:rsidR="00266328">
              <w:rPr>
                <w:noProof/>
                <w:webHidden/>
              </w:rPr>
              <w:fldChar w:fldCharType="end"/>
            </w:r>
          </w:hyperlink>
        </w:p>
        <w:p w14:paraId="4D7E65C5" w14:textId="6A790252" w:rsidR="00266328" w:rsidRDefault="00000000">
          <w:pPr>
            <w:pStyle w:val="TOC2"/>
            <w:rPr>
              <w:rFonts w:asciiTheme="minorHAnsi" w:hAnsiTheme="minorHAnsi" w:cstheme="minorBidi"/>
              <w:noProof/>
              <w:kern w:val="2"/>
              <w:lang w:eastAsia="en-US"/>
              <w14:ligatures w14:val="standardContextual"/>
            </w:rPr>
          </w:pPr>
          <w:hyperlink w:anchor="_Toc134011779" w:history="1">
            <w:r w:rsidR="00266328" w:rsidRPr="00BB50AC">
              <w:rPr>
                <w:rStyle w:val="Hyperlink"/>
                <w:noProof/>
                <w:lang w:val="bs-Latn-BA"/>
              </w:rPr>
              <w:t>Mjera  1.1.5. Promoviranje izgradnje novih stambenih i nestambenih zgrada prema standardima propisanim za nZEB</w:t>
            </w:r>
            <w:r w:rsidR="00266328">
              <w:rPr>
                <w:noProof/>
                <w:webHidden/>
              </w:rPr>
              <w:tab/>
            </w:r>
            <w:r w:rsidR="00266328">
              <w:rPr>
                <w:noProof/>
                <w:webHidden/>
              </w:rPr>
              <w:fldChar w:fldCharType="begin"/>
            </w:r>
            <w:r w:rsidR="00266328">
              <w:rPr>
                <w:noProof/>
                <w:webHidden/>
              </w:rPr>
              <w:instrText xml:space="preserve"> PAGEREF _Toc134011779 \h </w:instrText>
            </w:r>
            <w:r w:rsidR="00266328">
              <w:rPr>
                <w:noProof/>
                <w:webHidden/>
              </w:rPr>
            </w:r>
            <w:r w:rsidR="00266328">
              <w:rPr>
                <w:noProof/>
                <w:webHidden/>
              </w:rPr>
              <w:fldChar w:fldCharType="separate"/>
            </w:r>
            <w:r w:rsidR="00266328">
              <w:rPr>
                <w:noProof/>
                <w:webHidden/>
              </w:rPr>
              <w:t>76</w:t>
            </w:r>
            <w:r w:rsidR="00266328">
              <w:rPr>
                <w:noProof/>
                <w:webHidden/>
              </w:rPr>
              <w:fldChar w:fldCharType="end"/>
            </w:r>
          </w:hyperlink>
        </w:p>
        <w:p w14:paraId="05132491" w14:textId="13A96069" w:rsidR="00266328" w:rsidRDefault="00000000">
          <w:pPr>
            <w:pStyle w:val="TOC2"/>
            <w:rPr>
              <w:rFonts w:asciiTheme="minorHAnsi" w:hAnsiTheme="minorHAnsi" w:cstheme="minorBidi"/>
              <w:noProof/>
              <w:kern w:val="2"/>
              <w:lang w:eastAsia="en-US"/>
              <w14:ligatures w14:val="standardContextual"/>
            </w:rPr>
          </w:pPr>
          <w:hyperlink w:anchor="_Toc134011780" w:history="1">
            <w:r w:rsidR="00266328" w:rsidRPr="00BB50AC">
              <w:rPr>
                <w:rStyle w:val="Hyperlink"/>
                <w:noProof/>
                <w:lang w:val="bs-Latn-BA"/>
              </w:rPr>
              <w:t>Mjera  1.1.6. Podsticati primjenu novih tehnologija i pametnih rješenja u sektoru zgradarstva</w:t>
            </w:r>
            <w:r w:rsidR="00266328">
              <w:rPr>
                <w:noProof/>
                <w:webHidden/>
              </w:rPr>
              <w:tab/>
            </w:r>
            <w:r w:rsidR="00266328">
              <w:rPr>
                <w:noProof/>
                <w:webHidden/>
              </w:rPr>
              <w:fldChar w:fldCharType="begin"/>
            </w:r>
            <w:r w:rsidR="00266328">
              <w:rPr>
                <w:noProof/>
                <w:webHidden/>
              </w:rPr>
              <w:instrText xml:space="preserve"> PAGEREF _Toc134011780 \h </w:instrText>
            </w:r>
            <w:r w:rsidR="00266328">
              <w:rPr>
                <w:noProof/>
                <w:webHidden/>
              </w:rPr>
            </w:r>
            <w:r w:rsidR="00266328">
              <w:rPr>
                <w:noProof/>
                <w:webHidden/>
              </w:rPr>
              <w:fldChar w:fldCharType="separate"/>
            </w:r>
            <w:r w:rsidR="00266328">
              <w:rPr>
                <w:noProof/>
                <w:webHidden/>
              </w:rPr>
              <w:t>77</w:t>
            </w:r>
            <w:r w:rsidR="00266328">
              <w:rPr>
                <w:noProof/>
                <w:webHidden/>
              </w:rPr>
              <w:fldChar w:fldCharType="end"/>
            </w:r>
          </w:hyperlink>
        </w:p>
        <w:p w14:paraId="4A6E74AA" w14:textId="7B18BE35" w:rsidR="00266328" w:rsidRDefault="00000000">
          <w:pPr>
            <w:pStyle w:val="TOC2"/>
            <w:rPr>
              <w:rFonts w:asciiTheme="minorHAnsi" w:hAnsiTheme="minorHAnsi" w:cstheme="minorBidi"/>
              <w:noProof/>
              <w:kern w:val="2"/>
              <w:lang w:eastAsia="en-US"/>
              <w14:ligatures w14:val="standardContextual"/>
            </w:rPr>
          </w:pPr>
          <w:hyperlink w:anchor="_Toc134011781" w:history="1">
            <w:r w:rsidR="00266328" w:rsidRPr="00BB50AC">
              <w:rPr>
                <w:rStyle w:val="Hyperlink"/>
                <w:noProof/>
                <w:lang w:val="bs-Latn-BA"/>
              </w:rPr>
              <w:t>Mjera  1.1.7. Smanjenje energijskog siromaštva koje uključuje povećanje energijske efikasnosti i korištenje obnovljivih izvora energije u stambenim zgradama</w:t>
            </w:r>
            <w:r w:rsidR="00266328">
              <w:rPr>
                <w:noProof/>
                <w:webHidden/>
              </w:rPr>
              <w:tab/>
            </w:r>
            <w:r w:rsidR="00266328">
              <w:rPr>
                <w:noProof/>
                <w:webHidden/>
              </w:rPr>
              <w:fldChar w:fldCharType="begin"/>
            </w:r>
            <w:r w:rsidR="00266328">
              <w:rPr>
                <w:noProof/>
                <w:webHidden/>
              </w:rPr>
              <w:instrText xml:space="preserve"> PAGEREF _Toc134011781 \h </w:instrText>
            </w:r>
            <w:r w:rsidR="00266328">
              <w:rPr>
                <w:noProof/>
                <w:webHidden/>
              </w:rPr>
            </w:r>
            <w:r w:rsidR="00266328">
              <w:rPr>
                <w:noProof/>
                <w:webHidden/>
              </w:rPr>
              <w:fldChar w:fldCharType="separate"/>
            </w:r>
            <w:r w:rsidR="00266328">
              <w:rPr>
                <w:noProof/>
                <w:webHidden/>
              </w:rPr>
              <w:t>81</w:t>
            </w:r>
            <w:r w:rsidR="00266328">
              <w:rPr>
                <w:noProof/>
                <w:webHidden/>
              </w:rPr>
              <w:fldChar w:fldCharType="end"/>
            </w:r>
          </w:hyperlink>
        </w:p>
        <w:p w14:paraId="0A7E7B1F" w14:textId="58EB5842" w:rsidR="00266328" w:rsidRDefault="00000000">
          <w:pPr>
            <w:pStyle w:val="TOC2"/>
            <w:rPr>
              <w:rFonts w:asciiTheme="minorHAnsi" w:hAnsiTheme="minorHAnsi" w:cstheme="minorBidi"/>
              <w:noProof/>
              <w:kern w:val="2"/>
              <w:lang w:eastAsia="en-US"/>
              <w14:ligatures w14:val="standardContextual"/>
            </w:rPr>
          </w:pPr>
          <w:hyperlink w:anchor="_Toc134011782" w:history="1">
            <w:r w:rsidR="00266328" w:rsidRPr="00BB50AC">
              <w:rPr>
                <w:rStyle w:val="Hyperlink"/>
                <w:noProof/>
                <w:lang w:val="bs-Latn-BA"/>
              </w:rPr>
              <w:t>Prioritet 1.2. Dekarbonizirati postojeći fond zgrada FBiH</w:t>
            </w:r>
            <w:r w:rsidR="00266328">
              <w:rPr>
                <w:noProof/>
                <w:webHidden/>
              </w:rPr>
              <w:tab/>
            </w:r>
            <w:r w:rsidR="00266328">
              <w:rPr>
                <w:noProof/>
                <w:webHidden/>
              </w:rPr>
              <w:fldChar w:fldCharType="begin"/>
            </w:r>
            <w:r w:rsidR="00266328">
              <w:rPr>
                <w:noProof/>
                <w:webHidden/>
              </w:rPr>
              <w:instrText xml:space="preserve"> PAGEREF _Toc134011782 \h </w:instrText>
            </w:r>
            <w:r w:rsidR="00266328">
              <w:rPr>
                <w:noProof/>
                <w:webHidden/>
              </w:rPr>
            </w:r>
            <w:r w:rsidR="00266328">
              <w:rPr>
                <w:noProof/>
                <w:webHidden/>
              </w:rPr>
              <w:fldChar w:fldCharType="separate"/>
            </w:r>
            <w:r w:rsidR="00266328">
              <w:rPr>
                <w:noProof/>
                <w:webHidden/>
              </w:rPr>
              <w:t>82</w:t>
            </w:r>
            <w:r w:rsidR="00266328">
              <w:rPr>
                <w:noProof/>
                <w:webHidden/>
              </w:rPr>
              <w:fldChar w:fldCharType="end"/>
            </w:r>
          </w:hyperlink>
        </w:p>
        <w:p w14:paraId="3146142D" w14:textId="338C2308" w:rsidR="00266328" w:rsidRDefault="00000000">
          <w:pPr>
            <w:pStyle w:val="TOC2"/>
            <w:rPr>
              <w:rFonts w:asciiTheme="minorHAnsi" w:hAnsiTheme="minorHAnsi" w:cstheme="minorBidi"/>
              <w:noProof/>
              <w:kern w:val="2"/>
              <w:lang w:eastAsia="en-US"/>
              <w14:ligatures w14:val="standardContextual"/>
            </w:rPr>
          </w:pPr>
          <w:hyperlink w:anchor="_Toc134011783" w:history="1">
            <w:r w:rsidR="00266328" w:rsidRPr="00BB50AC">
              <w:rPr>
                <w:rStyle w:val="Hyperlink"/>
                <w:noProof/>
                <w:lang w:val="bs-Latn-BA"/>
              </w:rPr>
              <w:t>Mjera  1.2.1. Povećati udio OIE i sigurnost snabdijevanja energentima u sektoru zgradarstva</w:t>
            </w:r>
            <w:r w:rsidR="00266328">
              <w:rPr>
                <w:noProof/>
                <w:webHidden/>
              </w:rPr>
              <w:tab/>
            </w:r>
            <w:r w:rsidR="00266328">
              <w:rPr>
                <w:noProof/>
                <w:webHidden/>
              </w:rPr>
              <w:fldChar w:fldCharType="begin"/>
            </w:r>
            <w:r w:rsidR="00266328">
              <w:rPr>
                <w:noProof/>
                <w:webHidden/>
              </w:rPr>
              <w:instrText xml:space="preserve"> PAGEREF _Toc134011783 \h </w:instrText>
            </w:r>
            <w:r w:rsidR="00266328">
              <w:rPr>
                <w:noProof/>
                <w:webHidden/>
              </w:rPr>
            </w:r>
            <w:r w:rsidR="00266328">
              <w:rPr>
                <w:noProof/>
                <w:webHidden/>
              </w:rPr>
              <w:fldChar w:fldCharType="separate"/>
            </w:r>
            <w:r w:rsidR="00266328">
              <w:rPr>
                <w:noProof/>
                <w:webHidden/>
              </w:rPr>
              <w:t>83</w:t>
            </w:r>
            <w:r w:rsidR="00266328">
              <w:rPr>
                <w:noProof/>
                <w:webHidden/>
              </w:rPr>
              <w:fldChar w:fldCharType="end"/>
            </w:r>
          </w:hyperlink>
        </w:p>
        <w:p w14:paraId="6880D9DD" w14:textId="7AF57406" w:rsidR="00266328" w:rsidRDefault="00000000">
          <w:pPr>
            <w:pStyle w:val="TOC2"/>
            <w:rPr>
              <w:rFonts w:asciiTheme="minorHAnsi" w:hAnsiTheme="minorHAnsi" w:cstheme="minorBidi"/>
              <w:noProof/>
              <w:kern w:val="2"/>
              <w:lang w:eastAsia="en-US"/>
              <w14:ligatures w14:val="standardContextual"/>
            </w:rPr>
          </w:pPr>
          <w:hyperlink w:anchor="_Toc134011784" w:history="1">
            <w:r w:rsidR="00266328" w:rsidRPr="00BB50AC">
              <w:rPr>
                <w:rStyle w:val="Hyperlink"/>
                <w:noProof/>
                <w:lang w:val="bs-Latn-BA"/>
              </w:rPr>
              <w:t>Mjera  1.2.2. Razvijati sisteme daljinskih grijanja (centralizacija i modernizacije sistema grijanja), hlađenja i ventilacije te pripreme PTV uz primjenu obnovljivih izvora energije na području FBiH</w:t>
            </w:r>
            <w:r w:rsidR="00266328">
              <w:rPr>
                <w:noProof/>
                <w:webHidden/>
              </w:rPr>
              <w:tab/>
            </w:r>
            <w:r w:rsidR="00266328">
              <w:rPr>
                <w:noProof/>
                <w:webHidden/>
              </w:rPr>
              <w:fldChar w:fldCharType="begin"/>
            </w:r>
            <w:r w:rsidR="00266328">
              <w:rPr>
                <w:noProof/>
                <w:webHidden/>
              </w:rPr>
              <w:instrText xml:space="preserve"> PAGEREF _Toc134011784 \h </w:instrText>
            </w:r>
            <w:r w:rsidR="00266328">
              <w:rPr>
                <w:noProof/>
                <w:webHidden/>
              </w:rPr>
            </w:r>
            <w:r w:rsidR="00266328">
              <w:rPr>
                <w:noProof/>
                <w:webHidden/>
              </w:rPr>
              <w:fldChar w:fldCharType="separate"/>
            </w:r>
            <w:r w:rsidR="00266328">
              <w:rPr>
                <w:noProof/>
                <w:webHidden/>
              </w:rPr>
              <w:t>86</w:t>
            </w:r>
            <w:r w:rsidR="00266328">
              <w:rPr>
                <w:noProof/>
                <w:webHidden/>
              </w:rPr>
              <w:fldChar w:fldCharType="end"/>
            </w:r>
          </w:hyperlink>
        </w:p>
        <w:p w14:paraId="3232D31F" w14:textId="693EF0B6" w:rsidR="00266328" w:rsidRDefault="00000000">
          <w:pPr>
            <w:pStyle w:val="TOC2"/>
            <w:rPr>
              <w:rFonts w:asciiTheme="minorHAnsi" w:hAnsiTheme="minorHAnsi" w:cstheme="minorBidi"/>
              <w:noProof/>
              <w:kern w:val="2"/>
              <w:lang w:eastAsia="en-US"/>
              <w14:ligatures w14:val="standardContextual"/>
            </w:rPr>
          </w:pPr>
          <w:hyperlink w:anchor="_Toc134011785" w:history="1">
            <w:r w:rsidR="00266328" w:rsidRPr="00BB50AC">
              <w:rPr>
                <w:rStyle w:val="Hyperlink"/>
                <w:noProof/>
                <w:lang w:val="bs-Latn-BA"/>
              </w:rPr>
              <w:t>Mjera 1.2.3. Unaprijediti održivost urbanih područja</w:t>
            </w:r>
            <w:r w:rsidR="00266328">
              <w:rPr>
                <w:noProof/>
                <w:webHidden/>
              </w:rPr>
              <w:tab/>
            </w:r>
            <w:r w:rsidR="00266328">
              <w:rPr>
                <w:noProof/>
                <w:webHidden/>
              </w:rPr>
              <w:fldChar w:fldCharType="begin"/>
            </w:r>
            <w:r w:rsidR="00266328">
              <w:rPr>
                <w:noProof/>
                <w:webHidden/>
              </w:rPr>
              <w:instrText xml:space="preserve"> PAGEREF _Toc134011785 \h </w:instrText>
            </w:r>
            <w:r w:rsidR="00266328">
              <w:rPr>
                <w:noProof/>
                <w:webHidden/>
              </w:rPr>
            </w:r>
            <w:r w:rsidR="00266328">
              <w:rPr>
                <w:noProof/>
                <w:webHidden/>
              </w:rPr>
              <w:fldChar w:fldCharType="separate"/>
            </w:r>
            <w:r w:rsidR="00266328">
              <w:rPr>
                <w:noProof/>
                <w:webHidden/>
              </w:rPr>
              <w:t>88</w:t>
            </w:r>
            <w:r w:rsidR="00266328">
              <w:rPr>
                <w:noProof/>
                <w:webHidden/>
              </w:rPr>
              <w:fldChar w:fldCharType="end"/>
            </w:r>
          </w:hyperlink>
        </w:p>
        <w:p w14:paraId="62DA0BF3" w14:textId="2D3586A7"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86" w:history="1">
            <w:r w:rsidR="00266328" w:rsidRPr="00BB50AC">
              <w:rPr>
                <w:rStyle w:val="Hyperlink"/>
                <w:noProof/>
                <w:lang w:val="bs-Latn-BA"/>
              </w:rPr>
              <w:t>8.</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Usklađenost sa drugim relevantnim strateškim dokumentima</w:t>
            </w:r>
            <w:r w:rsidR="00266328">
              <w:rPr>
                <w:noProof/>
                <w:webHidden/>
              </w:rPr>
              <w:tab/>
            </w:r>
            <w:r w:rsidR="00266328">
              <w:rPr>
                <w:noProof/>
                <w:webHidden/>
              </w:rPr>
              <w:fldChar w:fldCharType="begin"/>
            </w:r>
            <w:r w:rsidR="00266328">
              <w:rPr>
                <w:noProof/>
                <w:webHidden/>
              </w:rPr>
              <w:instrText xml:space="preserve"> PAGEREF _Toc134011786 \h </w:instrText>
            </w:r>
            <w:r w:rsidR="00266328">
              <w:rPr>
                <w:noProof/>
                <w:webHidden/>
              </w:rPr>
            </w:r>
            <w:r w:rsidR="00266328">
              <w:rPr>
                <w:noProof/>
                <w:webHidden/>
              </w:rPr>
              <w:fldChar w:fldCharType="separate"/>
            </w:r>
            <w:r w:rsidR="00266328">
              <w:rPr>
                <w:noProof/>
                <w:webHidden/>
              </w:rPr>
              <w:t>91</w:t>
            </w:r>
            <w:r w:rsidR="00266328">
              <w:rPr>
                <w:noProof/>
                <w:webHidden/>
              </w:rPr>
              <w:fldChar w:fldCharType="end"/>
            </w:r>
          </w:hyperlink>
        </w:p>
        <w:p w14:paraId="62095240" w14:textId="148D54FE" w:rsidR="00266328" w:rsidRDefault="00000000">
          <w:pPr>
            <w:pStyle w:val="TOC2"/>
            <w:rPr>
              <w:rFonts w:asciiTheme="minorHAnsi" w:hAnsiTheme="minorHAnsi" w:cstheme="minorBidi"/>
              <w:noProof/>
              <w:kern w:val="2"/>
              <w:lang w:eastAsia="en-US"/>
              <w14:ligatures w14:val="standardContextual"/>
            </w:rPr>
          </w:pPr>
          <w:hyperlink w:anchor="_Toc134011787" w:history="1">
            <w:r w:rsidR="00266328" w:rsidRPr="00BB50AC">
              <w:rPr>
                <w:rStyle w:val="Hyperlink"/>
                <w:noProof/>
                <w:lang w:val="bs-Latn-BA"/>
              </w:rPr>
              <w:t>8.1.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Općenito</w:t>
            </w:r>
            <w:r w:rsidR="00266328">
              <w:rPr>
                <w:noProof/>
                <w:webHidden/>
              </w:rPr>
              <w:tab/>
            </w:r>
            <w:r w:rsidR="00266328">
              <w:rPr>
                <w:noProof/>
                <w:webHidden/>
              </w:rPr>
              <w:fldChar w:fldCharType="begin"/>
            </w:r>
            <w:r w:rsidR="00266328">
              <w:rPr>
                <w:noProof/>
                <w:webHidden/>
              </w:rPr>
              <w:instrText xml:space="preserve"> PAGEREF _Toc134011787 \h </w:instrText>
            </w:r>
            <w:r w:rsidR="00266328">
              <w:rPr>
                <w:noProof/>
                <w:webHidden/>
              </w:rPr>
            </w:r>
            <w:r w:rsidR="00266328">
              <w:rPr>
                <w:noProof/>
                <w:webHidden/>
              </w:rPr>
              <w:fldChar w:fldCharType="separate"/>
            </w:r>
            <w:r w:rsidR="00266328">
              <w:rPr>
                <w:noProof/>
                <w:webHidden/>
              </w:rPr>
              <w:t>91</w:t>
            </w:r>
            <w:r w:rsidR="00266328">
              <w:rPr>
                <w:noProof/>
                <w:webHidden/>
              </w:rPr>
              <w:fldChar w:fldCharType="end"/>
            </w:r>
          </w:hyperlink>
        </w:p>
        <w:p w14:paraId="1AA54D73" w14:textId="67A2AF56" w:rsidR="00266328" w:rsidRDefault="00000000">
          <w:pPr>
            <w:pStyle w:val="TOC3"/>
            <w:rPr>
              <w:rFonts w:asciiTheme="minorHAnsi" w:hAnsiTheme="minorHAnsi" w:cstheme="minorBidi"/>
              <w:noProof/>
              <w:kern w:val="2"/>
              <w:lang w:eastAsia="en-US"/>
              <w14:ligatures w14:val="standardContextual"/>
            </w:rPr>
          </w:pPr>
          <w:hyperlink w:anchor="_Toc134011788" w:history="1">
            <w:r w:rsidR="00266328" w:rsidRPr="00BB50AC">
              <w:rPr>
                <w:rStyle w:val="Hyperlink"/>
                <w:noProof/>
              </w:rPr>
              <w:t>8.1.1.</w:t>
            </w:r>
            <w:r w:rsidR="00266328">
              <w:rPr>
                <w:rFonts w:asciiTheme="minorHAnsi" w:hAnsiTheme="minorHAnsi" w:cstheme="minorBidi"/>
                <w:noProof/>
                <w:kern w:val="2"/>
                <w:lang w:eastAsia="en-US"/>
                <w14:ligatures w14:val="standardContextual"/>
              </w:rPr>
              <w:tab/>
            </w:r>
            <w:r w:rsidR="00266328" w:rsidRPr="00BB50AC">
              <w:rPr>
                <w:rStyle w:val="Hyperlink"/>
                <w:noProof/>
              </w:rPr>
              <w:t>Integrirani energetski i klimatski plan za BiH do 2030. (National Energy and Climate Plan -NECP 2030) - nacrt 2020.</w:t>
            </w:r>
            <w:r w:rsidR="00266328">
              <w:rPr>
                <w:noProof/>
                <w:webHidden/>
              </w:rPr>
              <w:tab/>
            </w:r>
            <w:r w:rsidR="00266328">
              <w:rPr>
                <w:noProof/>
                <w:webHidden/>
              </w:rPr>
              <w:fldChar w:fldCharType="begin"/>
            </w:r>
            <w:r w:rsidR="00266328">
              <w:rPr>
                <w:noProof/>
                <w:webHidden/>
              </w:rPr>
              <w:instrText xml:space="preserve"> PAGEREF _Toc134011788 \h </w:instrText>
            </w:r>
            <w:r w:rsidR="00266328">
              <w:rPr>
                <w:noProof/>
                <w:webHidden/>
              </w:rPr>
            </w:r>
            <w:r w:rsidR="00266328">
              <w:rPr>
                <w:noProof/>
                <w:webHidden/>
              </w:rPr>
              <w:fldChar w:fldCharType="separate"/>
            </w:r>
            <w:r w:rsidR="00266328">
              <w:rPr>
                <w:noProof/>
                <w:webHidden/>
              </w:rPr>
              <w:t>92</w:t>
            </w:r>
            <w:r w:rsidR="00266328">
              <w:rPr>
                <w:noProof/>
                <w:webHidden/>
              </w:rPr>
              <w:fldChar w:fldCharType="end"/>
            </w:r>
          </w:hyperlink>
        </w:p>
        <w:p w14:paraId="5298F357" w14:textId="09E080DB" w:rsidR="00266328" w:rsidRDefault="00000000">
          <w:pPr>
            <w:pStyle w:val="TOC3"/>
            <w:rPr>
              <w:rFonts w:asciiTheme="minorHAnsi" w:hAnsiTheme="minorHAnsi" w:cstheme="minorBidi"/>
              <w:noProof/>
              <w:kern w:val="2"/>
              <w:lang w:eastAsia="en-US"/>
              <w14:ligatures w14:val="standardContextual"/>
            </w:rPr>
          </w:pPr>
          <w:hyperlink w:anchor="_Toc134011789" w:history="1">
            <w:r w:rsidR="00266328" w:rsidRPr="00BB50AC">
              <w:rPr>
                <w:rStyle w:val="Hyperlink"/>
                <w:noProof/>
              </w:rPr>
              <w:t>8.1.2.</w:t>
            </w:r>
            <w:r w:rsidR="00266328">
              <w:rPr>
                <w:rFonts w:asciiTheme="minorHAnsi" w:hAnsiTheme="minorHAnsi" w:cstheme="minorBidi"/>
                <w:noProof/>
                <w:kern w:val="2"/>
                <w:lang w:eastAsia="en-US"/>
                <w14:ligatures w14:val="standardContextual"/>
              </w:rPr>
              <w:tab/>
            </w:r>
            <w:r w:rsidR="00266328" w:rsidRPr="00BB50AC">
              <w:rPr>
                <w:rStyle w:val="Hyperlink"/>
                <w:noProof/>
              </w:rPr>
              <w:t>Okvirna energetska strategija Federacije Bosne i Hercegovine do 2035. godine</w:t>
            </w:r>
            <w:r w:rsidR="00266328">
              <w:rPr>
                <w:noProof/>
                <w:webHidden/>
              </w:rPr>
              <w:tab/>
            </w:r>
            <w:r w:rsidR="00266328">
              <w:rPr>
                <w:noProof/>
                <w:webHidden/>
              </w:rPr>
              <w:fldChar w:fldCharType="begin"/>
            </w:r>
            <w:r w:rsidR="00266328">
              <w:rPr>
                <w:noProof/>
                <w:webHidden/>
              </w:rPr>
              <w:instrText xml:space="preserve"> PAGEREF _Toc134011789 \h </w:instrText>
            </w:r>
            <w:r w:rsidR="00266328">
              <w:rPr>
                <w:noProof/>
                <w:webHidden/>
              </w:rPr>
            </w:r>
            <w:r w:rsidR="00266328">
              <w:rPr>
                <w:noProof/>
                <w:webHidden/>
              </w:rPr>
              <w:fldChar w:fldCharType="separate"/>
            </w:r>
            <w:r w:rsidR="00266328">
              <w:rPr>
                <w:noProof/>
                <w:webHidden/>
              </w:rPr>
              <w:t>92</w:t>
            </w:r>
            <w:r w:rsidR="00266328">
              <w:rPr>
                <w:noProof/>
                <w:webHidden/>
              </w:rPr>
              <w:fldChar w:fldCharType="end"/>
            </w:r>
          </w:hyperlink>
        </w:p>
        <w:p w14:paraId="50BC4425" w14:textId="2E81FD3C" w:rsidR="00266328" w:rsidRDefault="00000000">
          <w:pPr>
            <w:pStyle w:val="TOC3"/>
            <w:rPr>
              <w:rFonts w:asciiTheme="minorHAnsi" w:hAnsiTheme="minorHAnsi" w:cstheme="minorBidi"/>
              <w:noProof/>
              <w:kern w:val="2"/>
              <w:lang w:eastAsia="en-US"/>
              <w14:ligatures w14:val="standardContextual"/>
            </w:rPr>
          </w:pPr>
          <w:hyperlink w:anchor="_Toc134011790" w:history="1">
            <w:r w:rsidR="00266328" w:rsidRPr="00BB50AC">
              <w:rPr>
                <w:rStyle w:val="Hyperlink"/>
                <w:noProof/>
              </w:rPr>
              <w:t>8.1.3.</w:t>
            </w:r>
            <w:r w:rsidR="00266328">
              <w:rPr>
                <w:rFonts w:asciiTheme="minorHAnsi" w:hAnsiTheme="minorHAnsi" w:cstheme="minorBidi"/>
                <w:noProof/>
                <w:kern w:val="2"/>
                <w:lang w:eastAsia="en-US"/>
                <w14:ligatures w14:val="standardContextual"/>
              </w:rPr>
              <w:tab/>
            </w:r>
            <w:r w:rsidR="00266328" w:rsidRPr="00BB50AC">
              <w:rPr>
                <w:rStyle w:val="Hyperlink"/>
                <w:noProof/>
              </w:rPr>
              <w:t>Strategije razvoja Federacije Bosne i Hercegovine 2021.-2027.</w:t>
            </w:r>
            <w:r w:rsidR="00266328">
              <w:rPr>
                <w:noProof/>
                <w:webHidden/>
              </w:rPr>
              <w:tab/>
            </w:r>
            <w:r w:rsidR="00266328">
              <w:rPr>
                <w:noProof/>
                <w:webHidden/>
              </w:rPr>
              <w:fldChar w:fldCharType="begin"/>
            </w:r>
            <w:r w:rsidR="00266328">
              <w:rPr>
                <w:noProof/>
                <w:webHidden/>
              </w:rPr>
              <w:instrText xml:space="preserve"> PAGEREF _Toc134011790 \h </w:instrText>
            </w:r>
            <w:r w:rsidR="00266328">
              <w:rPr>
                <w:noProof/>
                <w:webHidden/>
              </w:rPr>
            </w:r>
            <w:r w:rsidR="00266328">
              <w:rPr>
                <w:noProof/>
                <w:webHidden/>
              </w:rPr>
              <w:fldChar w:fldCharType="separate"/>
            </w:r>
            <w:r w:rsidR="00266328">
              <w:rPr>
                <w:noProof/>
                <w:webHidden/>
              </w:rPr>
              <w:t>93</w:t>
            </w:r>
            <w:r w:rsidR="00266328">
              <w:rPr>
                <w:noProof/>
                <w:webHidden/>
              </w:rPr>
              <w:fldChar w:fldCharType="end"/>
            </w:r>
          </w:hyperlink>
        </w:p>
        <w:p w14:paraId="618F1CBA" w14:textId="7E490349" w:rsidR="00266328" w:rsidRDefault="00000000">
          <w:pPr>
            <w:pStyle w:val="TOC3"/>
            <w:rPr>
              <w:rFonts w:asciiTheme="minorHAnsi" w:hAnsiTheme="minorHAnsi" w:cstheme="minorBidi"/>
              <w:noProof/>
              <w:kern w:val="2"/>
              <w:lang w:eastAsia="en-US"/>
              <w14:ligatures w14:val="standardContextual"/>
            </w:rPr>
          </w:pPr>
          <w:hyperlink w:anchor="_Toc134011791" w:history="1">
            <w:r w:rsidR="00266328" w:rsidRPr="00BB50AC">
              <w:rPr>
                <w:rStyle w:val="Hyperlink"/>
                <w:noProof/>
              </w:rPr>
              <w:t>8.1.4.</w:t>
            </w:r>
            <w:r w:rsidR="00266328">
              <w:rPr>
                <w:rFonts w:asciiTheme="minorHAnsi" w:hAnsiTheme="minorHAnsi" w:cstheme="minorBidi"/>
                <w:noProof/>
                <w:kern w:val="2"/>
                <w:lang w:eastAsia="en-US"/>
                <w14:ligatures w14:val="standardContextual"/>
              </w:rPr>
              <w:tab/>
            </w:r>
            <w:r w:rsidR="00266328" w:rsidRPr="00BB50AC">
              <w:rPr>
                <w:rStyle w:val="Hyperlink"/>
                <w:noProof/>
              </w:rPr>
              <w:t>Okvir za realizaciju ciljeva održivog razvoja u BiH</w:t>
            </w:r>
            <w:r w:rsidR="00266328">
              <w:rPr>
                <w:noProof/>
                <w:webHidden/>
              </w:rPr>
              <w:tab/>
            </w:r>
            <w:r w:rsidR="00266328">
              <w:rPr>
                <w:noProof/>
                <w:webHidden/>
              </w:rPr>
              <w:fldChar w:fldCharType="begin"/>
            </w:r>
            <w:r w:rsidR="00266328">
              <w:rPr>
                <w:noProof/>
                <w:webHidden/>
              </w:rPr>
              <w:instrText xml:space="preserve"> PAGEREF _Toc134011791 \h </w:instrText>
            </w:r>
            <w:r w:rsidR="00266328">
              <w:rPr>
                <w:noProof/>
                <w:webHidden/>
              </w:rPr>
            </w:r>
            <w:r w:rsidR="00266328">
              <w:rPr>
                <w:noProof/>
                <w:webHidden/>
              </w:rPr>
              <w:fldChar w:fldCharType="separate"/>
            </w:r>
            <w:r w:rsidR="00266328">
              <w:rPr>
                <w:noProof/>
                <w:webHidden/>
              </w:rPr>
              <w:t>93</w:t>
            </w:r>
            <w:r w:rsidR="00266328">
              <w:rPr>
                <w:noProof/>
                <w:webHidden/>
              </w:rPr>
              <w:fldChar w:fldCharType="end"/>
            </w:r>
          </w:hyperlink>
        </w:p>
        <w:p w14:paraId="4A4DEAE1" w14:textId="3B1B8408" w:rsidR="00266328" w:rsidRDefault="00000000">
          <w:pPr>
            <w:pStyle w:val="TOC3"/>
            <w:rPr>
              <w:rFonts w:asciiTheme="minorHAnsi" w:hAnsiTheme="minorHAnsi" w:cstheme="minorBidi"/>
              <w:noProof/>
              <w:kern w:val="2"/>
              <w:lang w:eastAsia="en-US"/>
              <w14:ligatures w14:val="standardContextual"/>
            </w:rPr>
          </w:pPr>
          <w:hyperlink w:anchor="_Toc134011792" w:history="1">
            <w:r w:rsidR="00266328" w:rsidRPr="00BB50AC">
              <w:rPr>
                <w:rStyle w:val="Hyperlink"/>
                <w:noProof/>
              </w:rPr>
              <w:t>8.1.5.</w:t>
            </w:r>
            <w:r w:rsidR="00266328">
              <w:rPr>
                <w:rFonts w:asciiTheme="minorHAnsi" w:hAnsiTheme="minorHAnsi" w:cstheme="minorBidi"/>
                <w:noProof/>
                <w:kern w:val="2"/>
                <w:lang w:eastAsia="en-US"/>
                <w14:ligatures w14:val="standardContextual"/>
              </w:rPr>
              <w:tab/>
            </w:r>
            <w:r w:rsidR="00266328" w:rsidRPr="00BB50AC">
              <w:rPr>
                <w:rStyle w:val="Hyperlink"/>
                <w:noProof/>
              </w:rPr>
              <w:t>Zelena agenda za Zapadni Balkan 2030.</w:t>
            </w:r>
            <w:r w:rsidR="00266328">
              <w:rPr>
                <w:noProof/>
                <w:webHidden/>
              </w:rPr>
              <w:tab/>
            </w:r>
            <w:r w:rsidR="00266328">
              <w:rPr>
                <w:noProof/>
                <w:webHidden/>
              </w:rPr>
              <w:fldChar w:fldCharType="begin"/>
            </w:r>
            <w:r w:rsidR="00266328">
              <w:rPr>
                <w:noProof/>
                <w:webHidden/>
              </w:rPr>
              <w:instrText xml:space="preserve"> PAGEREF _Toc134011792 \h </w:instrText>
            </w:r>
            <w:r w:rsidR="00266328">
              <w:rPr>
                <w:noProof/>
                <w:webHidden/>
              </w:rPr>
            </w:r>
            <w:r w:rsidR="00266328">
              <w:rPr>
                <w:noProof/>
                <w:webHidden/>
              </w:rPr>
              <w:fldChar w:fldCharType="separate"/>
            </w:r>
            <w:r w:rsidR="00266328">
              <w:rPr>
                <w:noProof/>
                <w:webHidden/>
              </w:rPr>
              <w:t>94</w:t>
            </w:r>
            <w:r w:rsidR="00266328">
              <w:rPr>
                <w:noProof/>
                <w:webHidden/>
              </w:rPr>
              <w:fldChar w:fldCharType="end"/>
            </w:r>
          </w:hyperlink>
        </w:p>
        <w:p w14:paraId="2A389561" w14:textId="726E82F5" w:rsidR="00266328" w:rsidRDefault="00000000">
          <w:pPr>
            <w:pStyle w:val="TOC3"/>
            <w:rPr>
              <w:rFonts w:asciiTheme="minorHAnsi" w:hAnsiTheme="minorHAnsi" w:cstheme="minorBidi"/>
              <w:noProof/>
              <w:kern w:val="2"/>
              <w:lang w:eastAsia="en-US"/>
              <w14:ligatures w14:val="standardContextual"/>
            </w:rPr>
          </w:pPr>
          <w:hyperlink w:anchor="_Toc134011793" w:history="1">
            <w:r w:rsidR="00266328" w:rsidRPr="00BB50AC">
              <w:rPr>
                <w:rStyle w:val="Hyperlink"/>
                <w:noProof/>
              </w:rPr>
              <w:t>8.1.6.</w:t>
            </w:r>
            <w:r w:rsidR="00266328">
              <w:rPr>
                <w:rFonts w:asciiTheme="minorHAnsi" w:hAnsiTheme="minorHAnsi" w:cstheme="minorBidi"/>
                <w:noProof/>
                <w:kern w:val="2"/>
                <w:lang w:eastAsia="en-US"/>
                <w14:ligatures w14:val="standardContextual"/>
              </w:rPr>
              <w:tab/>
            </w:r>
            <w:r w:rsidR="00266328" w:rsidRPr="00BB50AC">
              <w:rPr>
                <w:rStyle w:val="Hyperlink"/>
                <w:noProof/>
              </w:rPr>
              <w:t>Akcijski plan za zajedničko regionalno tržište Zapadnog Balkana 2021–2024.</w:t>
            </w:r>
            <w:r w:rsidR="00266328">
              <w:rPr>
                <w:noProof/>
                <w:webHidden/>
              </w:rPr>
              <w:tab/>
            </w:r>
            <w:r w:rsidR="00266328">
              <w:rPr>
                <w:noProof/>
                <w:webHidden/>
              </w:rPr>
              <w:fldChar w:fldCharType="begin"/>
            </w:r>
            <w:r w:rsidR="00266328">
              <w:rPr>
                <w:noProof/>
                <w:webHidden/>
              </w:rPr>
              <w:instrText xml:space="preserve"> PAGEREF _Toc134011793 \h </w:instrText>
            </w:r>
            <w:r w:rsidR="00266328">
              <w:rPr>
                <w:noProof/>
                <w:webHidden/>
              </w:rPr>
            </w:r>
            <w:r w:rsidR="00266328">
              <w:rPr>
                <w:noProof/>
                <w:webHidden/>
              </w:rPr>
              <w:fldChar w:fldCharType="separate"/>
            </w:r>
            <w:r w:rsidR="00266328">
              <w:rPr>
                <w:noProof/>
                <w:webHidden/>
              </w:rPr>
              <w:t>94</w:t>
            </w:r>
            <w:r w:rsidR="00266328">
              <w:rPr>
                <w:noProof/>
                <w:webHidden/>
              </w:rPr>
              <w:fldChar w:fldCharType="end"/>
            </w:r>
          </w:hyperlink>
        </w:p>
        <w:p w14:paraId="57C76355" w14:textId="719D6578" w:rsidR="00266328" w:rsidRDefault="00000000">
          <w:pPr>
            <w:pStyle w:val="TOC3"/>
            <w:rPr>
              <w:rFonts w:asciiTheme="minorHAnsi" w:hAnsiTheme="minorHAnsi" w:cstheme="minorBidi"/>
              <w:noProof/>
              <w:kern w:val="2"/>
              <w:lang w:eastAsia="en-US"/>
              <w14:ligatures w14:val="standardContextual"/>
            </w:rPr>
          </w:pPr>
          <w:hyperlink w:anchor="_Toc134011794" w:history="1">
            <w:r w:rsidR="00266328" w:rsidRPr="00BB50AC">
              <w:rPr>
                <w:rStyle w:val="Hyperlink"/>
                <w:noProof/>
              </w:rPr>
              <w:t>8.1.7.</w:t>
            </w:r>
            <w:r w:rsidR="00266328">
              <w:rPr>
                <w:rFonts w:asciiTheme="minorHAnsi" w:hAnsiTheme="minorHAnsi" w:cstheme="minorBidi"/>
                <w:noProof/>
                <w:kern w:val="2"/>
                <w:lang w:eastAsia="en-US"/>
                <w14:ligatures w14:val="standardContextual"/>
              </w:rPr>
              <w:tab/>
            </w:r>
            <w:r w:rsidR="00266328" w:rsidRPr="00BB50AC">
              <w:rPr>
                <w:rStyle w:val="Hyperlink"/>
                <w:noProof/>
              </w:rPr>
              <w:t>Strategija prilagođavanja klimatskim promjenama i niskoemisijskog razvoja BiH 2020‒2030.</w:t>
            </w:r>
            <w:r w:rsidR="00266328">
              <w:rPr>
                <w:noProof/>
                <w:webHidden/>
              </w:rPr>
              <w:tab/>
              <w:t xml:space="preserve">                                                                                                                                                      </w:t>
            </w:r>
            <w:r w:rsidR="00266328">
              <w:rPr>
                <w:noProof/>
                <w:webHidden/>
              </w:rPr>
              <w:fldChar w:fldCharType="begin"/>
            </w:r>
            <w:r w:rsidR="00266328">
              <w:rPr>
                <w:noProof/>
                <w:webHidden/>
              </w:rPr>
              <w:instrText xml:space="preserve"> PAGEREF _Toc134011794 \h </w:instrText>
            </w:r>
            <w:r w:rsidR="00266328">
              <w:rPr>
                <w:noProof/>
                <w:webHidden/>
              </w:rPr>
            </w:r>
            <w:r w:rsidR="00266328">
              <w:rPr>
                <w:noProof/>
                <w:webHidden/>
              </w:rPr>
              <w:fldChar w:fldCharType="separate"/>
            </w:r>
            <w:r w:rsidR="00266328">
              <w:rPr>
                <w:noProof/>
                <w:webHidden/>
              </w:rPr>
              <w:t>95</w:t>
            </w:r>
            <w:r w:rsidR="00266328">
              <w:rPr>
                <w:noProof/>
                <w:webHidden/>
              </w:rPr>
              <w:fldChar w:fldCharType="end"/>
            </w:r>
          </w:hyperlink>
        </w:p>
        <w:p w14:paraId="173A9D75" w14:textId="4F4CACCE" w:rsidR="00266328" w:rsidRDefault="00000000">
          <w:pPr>
            <w:pStyle w:val="TOC3"/>
            <w:rPr>
              <w:rFonts w:asciiTheme="minorHAnsi" w:hAnsiTheme="minorHAnsi" w:cstheme="minorBidi"/>
              <w:noProof/>
              <w:kern w:val="2"/>
              <w:lang w:eastAsia="en-US"/>
              <w14:ligatures w14:val="standardContextual"/>
            </w:rPr>
          </w:pPr>
          <w:hyperlink w:anchor="_Toc134011795" w:history="1">
            <w:r w:rsidR="00266328" w:rsidRPr="00BB50AC">
              <w:rPr>
                <w:rStyle w:val="Hyperlink"/>
                <w:noProof/>
              </w:rPr>
              <w:t>8.1.8.</w:t>
            </w:r>
            <w:r w:rsidR="00266328">
              <w:rPr>
                <w:rFonts w:asciiTheme="minorHAnsi" w:hAnsiTheme="minorHAnsi" w:cstheme="minorBidi"/>
                <w:noProof/>
                <w:kern w:val="2"/>
                <w:lang w:eastAsia="en-US"/>
                <w14:ligatures w14:val="standardContextual"/>
              </w:rPr>
              <w:tab/>
            </w:r>
            <w:r w:rsidR="00266328" w:rsidRPr="00BB50AC">
              <w:rPr>
                <w:rStyle w:val="Hyperlink"/>
                <w:noProof/>
              </w:rPr>
              <w:t>Utvrđeni doprinos BiH 2020‒2030  (Nationally Determined Contribution - NDC)</w:t>
            </w:r>
            <w:r w:rsidR="00266328">
              <w:rPr>
                <w:noProof/>
                <w:webHidden/>
              </w:rPr>
              <w:tab/>
            </w:r>
            <w:r w:rsidR="00266328">
              <w:rPr>
                <w:noProof/>
                <w:webHidden/>
              </w:rPr>
              <w:fldChar w:fldCharType="begin"/>
            </w:r>
            <w:r w:rsidR="00266328">
              <w:rPr>
                <w:noProof/>
                <w:webHidden/>
              </w:rPr>
              <w:instrText xml:space="preserve"> PAGEREF _Toc134011795 \h </w:instrText>
            </w:r>
            <w:r w:rsidR="00266328">
              <w:rPr>
                <w:noProof/>
                <w:webHidden/>
              </w:rPr>
            </w:r>
            <w:r w:rsidR="00266328">
              <w:rPr>
                <w:noProof/>
                <w:webHidden/>
              </w:rPr>
              <w:fldChar w:fldCharType="separate"/>
            </w:r>
            <w:r w:rsidR="00266328">
              <w:rPr>
                <w:noProof/>
                <w:webHidden/>
              </w:rPr>
              <w:t>95</w:t>
            </w:r>
            <w:r w:rsidR="00266328">
              <w:rPr>
                <w:noProof/>
                <w:webHidden/>
              </w:rPr>
              <w:fldChar w:fldCharType="end"/>
            </w:r>
          </w:hyperlink>
        </w:p>
        <w:p w14:paraId="3EB7425C" w14:textId="788E77C6" w:rsidR="00266328" w:rsidRDefault="00000000">
          <w:pPr>
            <w:pStyle w:val="TOC3"/>
            <w:rPr>
              <w:rFonts w:asciiTheme="minorHAnsi" w:hAnsiTheme="minorHAnsi" w:cstheme="minorBidi"/>
              <w:noProof/>
              <w:kern w:val="2"/>
              <w:lang w:eastAsia="en-US"/>
              <w14:ligatures w14:val="standardContextual"/>
            </w:rPr>
          </w:pPr>
          <w:hyperlink w:anchor="_Toc134011796" w:history="1">
            <w:r w:rsidR="00266328" w:rsidRPr="00BB50AC">
              <w:rPr>
                <w:rStyle w:val="Hyperlink"/>
                <w:noProof/>
              </w:rPr>
              <w:t>8.1.9.</w:t>
            </w:r>
            <w:r w:rsidR="00266328">
              <w:rPr>
                <w:rFonts w:asciiTheme="minorHAnsi" w:hAnsiTheme="minorHAnsi" w:cstheme="minorBidi"/>
                <w:noProof/>
                <w:kern w:val="2"/>
                <w:lang w:eastAsia="en-US"/>
                <w14:ligatures w14:val="standardContextual"/>
              </w:rPr>
              <w:tab/>
            </w:r>
            <w:r w:rsidR="00266328" w:rsidRPr="00BB50AC">
              <w:rPr>
                <w:rStyle w:val="Hyperlink"/>
                <w:noProof/>
              </w:rPr>
              <w:t>Federalna strategija zaštite okoliša 2022.‒2032.</w:t>
            </w:r>
            <w:r w:rsidR="00266328">
              <w:rPr>
                <w:noProof/>
                <w:webHidden/>
              </w:rPr>
              <w:tab/>
            </w:r>
            <w:r w:rsidR="00266328">
              <w:rPr>
                <w:noProof/>
                <w:webHidden/>
              </w:rPr>
              <w:fldChar w:fldCharType="begin"/>
            </w:r>
            <w:r w:rsidR="00266328">
              <w:rPr>
                <w:noProof/>
                <w:webHidden/>
              </w:rPr>
              <w:instrText xml:space="preserve"> PAGEREF _Toc134011796 \h </w:instrText>
            </w:r>
            <w:r w:rsidR="00266328">
              <w:rPr>
                <w:noProof/>
                <w:webHidden/>
              </w:rPr>
            </w:r>
            <w:r w:rsidR="00266328">
              <w:rPr>
                <w:noProof/>
                <w:webHidden/>
              </w:rPr>
              <w:fldChar w:fldCharType="separate"/>
            </w:r>
            <w:r w:rsidR="00266328">
              <w:rPr>
                <w:noProof/>
                <w:webHidden/>
              </w:rPr>
              <w:t>95</w:t>
            </w:r>
            <w:r w:rsidR="00266328">
              <w:rPr>
                <w:noProof/>
                <w:webHidden/>
              </w:rPr>
              <w:fldChar w:fldCharType="end"/>
            </w:r>
          </w:hyperlink>
        </w:p>
        <w:p w14:paraId="17798762" w14:textId="5ACAA1D2"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797" w:history="1">
            <w:r w:rsidR="00266328" w:rsidRPr="00BB50AC">
              <w:rPr>
                <w:rStyle w:val="Hyperlink"/>
                <w:noProof/>
                <w:lang w:val="bs-Latn-BA"/>
              </w:rPr>
              <w:t>9.</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Indikativni financijski okvir</w:t>
            </w:r>
            <w:r w:rsidR="00266328">
              <w:rPr>
                <w:noProof/>
                <w:webHidden/>
              </w:rPr>
              <w:tab/>
            </w:r>
            <w:r w:rsidR="00266328">
              <w:rPr>
                <w:noProof/>
                <w:webHidden/>
              </w:rPr>
              <w:fldChar w:fldCharType="begin"/>
            </w:r>
            <w:r w:rsidR="00266328">
              <w:rPr>
                <w:noProof/>
                <w:webHidden/>
              </w:rPr>
              <w:instrText xml:space="preserve"> PAGEREF _Toc134011797 \h </w:instrText>
            </w:r>
            <w:r w:rsidR="00266328">
              <w:rPr>
                <w:noProof/>
                <w:webHidden/>
              </w:rPr>
            </w:r>
            <w:r w:rsidR="00266328">
              <w:rPr>
                <w:noProof/>
                <w:webHidden/>
              </w:rPr>
              <w:fldChar w:fldCharType="separate"/>
            </w:r>
            <w:r w:rsidR="00266328">
              <w:rPr>
                <w:noProof/>
                <w:webHidden/>
              </w:rPr>
              <w:t>97</w:t>
            </w:r>
            <w:r w:rsidR="00266328">
              <w:rPr>
                <w:noProof/>
                <w:webHidden/>
              </w:rPr>
              <w:fldChar w:fldCharType="end"/>
            </w:r>
          </w:hyperlink>
        </w:p>
        <w:p w14:paraId="2C4B8AC7" w14:textId="4D941412" w:rsidR="00266328" w:rsidRDefault="00000000">
          <w:pPr>
            <w:pStyle w:val="TOC1"/>
            <w:tabs>
              <w:tab w:val="left" w:pos="658"/>
              <w:tab w:val="right" w:leader="dot" w:pos="9017"/>
            </w:tabs>
            <w:rPr>
              <w:rFonts w:asciiTheme="minorHAnsi" w:hAnsiTheme="minorHAnsi" w:cstheme="minorBidi"/>
              <w:noProof/>
              <w:kern w:val="2"/>
              <w:lang w:eastAsia="en-US"/>
              <w14:ligatures w14:val="standardContextual"/>
            </w:rPr>
          </w:pPr>
          <w:hyperlink w:anchor="_Toc134011798" w:history="1">
            <w:r w:rsidR="00266328" w:rsidRPr="00BB50AC">
              <w:rPr>
                <w:rStyle w:val="Hyperlink"/>
                <w:noProof/>
                <w:lang w:val="bs-Latn-BA"/>
              </w:rPr>
              <w:t>10.</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Okvir za evaluaciju, implementaciju, monitoring i izvještavanje</w:t>
            </w:r>
            <w:r w:rsidR="00266328">
              <w:rPr>
                <w:noProof/>
                <w:webHidden/>
              </w:rPr>
              <w:tab/>
            </w:r>
            <w:r w:rsidR="00266328">
              <w:rPr>
                <w:noProof/>
                <w:webHidden/>
              </w:rPr>
              <w:fldChar w:fldCharType="begin"/>
            </w:r>
            <w:r w:rsidR="00266328">
              <w:rPr>
                <w:noProof/>
                <w:webHidden/>
              </w:rPr>
              <w:instrText xml:space="preserve"> PAGEREF _Toc134011798 \h </w:instrText>
            </w:r>
            <w:r w:rsidR="00266328">
              <w:rPr>
                <w:noProof/>
                <w:webHidden/>
              </w:rPr>
            </w:r>
            <w:r w:rsidR="00266328">
              <w:rPr>
                <w:noProof/>
                <w:webHidden/>
              </w:rPr>
              <w:fldChar w:fldCharType="separate"/>
            </w:r>
            <w:r w:rsidR="00266328">
              <w:rPr>
                <w:noProof/>
                <w:webHidden/>
              </w:rPr>
              <w:t>99</w:t>
            </w:r>
            <w:r w:rsidR="00266328">
              <w:rPr>
                <w:noProof/>
                <w:webHidden/>
              </w:rPr>
              <w:fldChar w:fldCharType="end"/>
            </w:r>
          </w:hyperlink>
        </w:p>
        <w:p w14:paraId="6917B567" w14:textId="21E18F64" w:rsidR="00266328" w:rsidRDefault="00000000">
          <w:pPr>
            <w:pStyle w:val="TOC2"/>
            <w:rPr>
              <w:rFonts w:asciiTheme="minorHAnsi" w:hAnsiTheme="minorHAnsi" w:cstheme="minorBidi"/>
              <w:noProof/>
              <w:kern w:val="2"/>
              <w:lang w:eastAsia="en-US"/>
              <w14:ligatures w14:val="standardContextual"/>
            </w:rPr>
          </w:pPr>
          <w:hyperlink w:anchor="_Toc134011799" w:history="1">
            <w:r w:rsidR="00266328" w:rsidRPr="00BB50AC">
              <w:rPr>
                <w:rStyle w:val="Hyperlink"/>
                <w:noProof/>
                <w:lang w:val="bs-Latn-BA"/>
              </w:rPr>
              <w:t>10.1.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Evaluacija strategije</w:t>
            </w:r>
            <w:r w:rsidR="00266328">
              <w:rPr>
                <w:noProof/>
                <w:webHidden/>
              </w:rPr>
              <w:tab/>
            </w:r>
            <w:r w:rsidR="00266328">
              <w:rPr>
                <w:noProof/>
                <w:webHidden/>
              </w:rPr>
              <w:fldChar w:fldCharType="begin"/>
            </w:r>
            <w:r w:rsidR="00266328">
              <w:rPr>
                <w:noProof/>
                <w:webHidden/>
              </w:rPr>
              <w:instrText xml:space="preserve"> PAGEREF _Toc134011799 \h </w:instrText>
            </w:r>
            <w:r w:rsidR="00266328">
              <w:rPr>
                <w:noProof/>
                <w:webHidden/>
              </w:rPr>
            </w:r>
            <w:r w:rsidR="00266328">
              <w:rPr>
                <w:noProof/>
                <w:webHidden/>
              </w:rPr>
              <w:fldChar w:fldCharType="separate"/>
            </w:r>
            <w:r w:rsidR="00266328">
              <w:rPr>
                <w:noProof/>
                <w:webHidden/>
              </w:rPr>
              <w:t>99</w:t>
            </w:r>
            <w:r w:rsidR="00266328">
              <w:rPr>
                <w:noProof/>
                <w:webHidden/>
              </w:rPr>
              <w:fldChar w:fldCharType="end"/>
            </w:r>
          </w:hyperlink>
        </w:p>
        <w:p w14:paraId="4D972AB3" w14:textId="19C7D85E" w:rsidR="00266328" w:rsidRDefault="00000000">
          <w:pPr>
            <w:pStyle w:val="TOC2"/>
            <w:rPr>
              <w:rFonts w:asciiTheme="minorHAnsi" w:hAnsiTheme="minorHAnsi" w:cstheme="minorBidi"/>
              <w:noProof/>
              <w:kern w:val="2"/>
              <w:lang w:eastAsia="en-US"/>
              <w14:ligatures w14:val="standardContextual"/>
            </w:rPr>
          </w:pPr>
          <w:hyperlink w:anchor="_Toc134011800" w:history="1">
            <w:r w:rsidR="00266328" w:rsidRPr="00BB50AC">
              <w:rPr>
                <w:rStyle w:val="Hyperlink"/>
                <w:noProof/>
                <w:lang w:val="bs-Latn-BA"/>
              </w:rPr>
              <w:t>10.2.</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Implementacija strategije</w:t>
            </w:r>
            <w:r w:rsidR="00266328">
              <w:rPr>
                <w:noProof/>
                <w:webHidden/>
              </w:rPr>
              <w:tab/>
            </w:r>
            <w:r w:rsidR="00266328">
              <w:rPr>
                <w:noProof/>
                <w:webHidden/>
              </w:rPr>
              <w:fldChar w:fldCharType="begin"/>
            </w:r>
            <w:r w:rsidR="00266328">
              <w:rPr>
                <w:noProof/>
                <w:webHidden/>
              </w:rPr>
              <w:instrText xml:space="preserve"> PAGEREF _Toc134011800 \h </w:instrText>
            </w:r>
            <w:r w:rsidR="00266328">
              <w:rPr>
                <w:noProof/>
                <w:webHidden/>
              </w:rPr>
            </w:r>
            <w:r w:rsidR="00266328">
              <w:rPr>
                <w:noProof/>
                <w:webHidden/>
              </w:rPr>
              <w:fldChar w:fldCharType="separate"/>
            </w:r>
            <w:r w:rsidR="00266328">
              <w:rPr>
                <w:noProof/>
                <w:webHidden/>
              </w:rPr>
              <w:t>99</w:t>
            </w:r>
            <w:r w:rsidR="00266328">
              <w:rPr>
                <w:noProof/>
                <w:webHidden/>
              </w:rPr>
              <w:fldChar w:fldCharType="end"/>
            </w:r>
          </w:hyperlink>
        </w:p>
        <w:p w14:paraId="3B4DFFA7" w14:textId="6EEFC736" w:rsidR="00266328" w:rsidRDefault="00000000">
          <w:pPr>
            <w:pStyle w:val="TOC2"/>
            <w:rPr>
              <w:rFonts w:asciiTheme="minorHAnsi" w:hAnsiTheme="minorHAnsi" w:cstheme="minorBidi"/>
              <w:noProof/>
              <w:kern w:val="2"/>
              <w:lang w:eastAsia="en-US"/>
              <w14:ligatures w14:val="standardContextual"/>
            </w:rPr>
          </w:pPr>
          <w:hyperlink w:anchor="_Toc134011801" w:history="1">
            <w:r w:rsidR="00266328" w:rsidRPr="00BB50AC">
              <w:rPr>
                <w:rStyle w:val="Hyperlink"/>
                <w:noProof/>
                <w:lang w:val="bs-Latn-BA"/>
              </w:rPr>
              <w:t>10.3.</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Monitoring i izvještavanje</w:t>
            </w:r>
            <w:r w:rsidR="00266328">
              <w:rPr>
                <w:noProof/>
                <w:webHidden/>
              </w:rPr>
              <w:tab/>
            </w:r>
            <w:r w:rsidR="00266328">
              <w:rPr>
                <w:noProof/>
                <w:webHidden/>
              </w:rPr>
              <w:fldChar w:fldCharType="begin"/>
            </w:r>
            <w:r w:rsidR="00266328">
              <w:rPr>
                <w:noProof/>
                <w:webHidden/>
              </w:rPr>
              <w:instrText xml:space="preserve"> PAGEREF _Toc134011801 \h </w:instrText>
            </w:r>
            <w:r w:rsidR="00266328">
              <w:rPr>
                <w:noProof/>
                <w:webHidden/>
              </w:rPr>
            </w:r>
            <w:r w:rsidR="00266328">
              <w:rPr>
                <w:noProof/>
                <w:webHidden/>
              </w:rPr>
              <w:fldChar w:fldCharType="separate"/>
            </w:r>
            <w:r w:rsidR="00266328">
              <w:rPr>
                <w:noProof/>
                <w:webHidden/>
              </w:rPr>
              <w:t>100</w:t>
            </w:r>
            <w:r w:rsidR="00266328">
              <w:rPr>
                <w:noProof/>
                <w:webHidden/>
              </w:rPr>
              <w:fldChar w:fldCharType="end"/>
            </w:r>
          </w:hyperlink>
        </w:p>
        <w:p w14:paraId="3A556F5A" w14:textId="3EA77B29" w:rsidR="00266328" w:rsidRDefault="00000000">
          <w:pPr>
            <w:pStyle w:val="TOC1"/>
            <w:tabs>
              <w:tab w:val="left" w:pos="658"/>
              <w:tab w:val="right" w:leader="dot" w:pos="9017"/>
            </w:tabs>
            <w:rPr>
              <w:rFonts w:asciiTheme="minorHAnsi" w:hAnsiTheme="minorHAnsi" w:cstheme="minorBidi"/>
              <w:noProof/>
              <w:kern w:val="2"/>
              <w:lang w:eastAsia="en-US"/>
              <w14:ligatures w14:val="standardContextual"/>
            </w:rPr>
          </w:pPr>
          <w:hyperlink w:anchor="_Toc134011802" w:history="1">
            <w:r w:rsidR="00266328" w:rsidRPr="00BB50AC">
              <w:rPr>
                <w:rStyle w:val="Hyperlink"/>
                <w:noProof/>
                <w:lang w:val="bs-Latn-BA"/>
              </w:rPr>
              <w:t>11.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ANEKSI</w:t>
            </w:r>
            <w:r w:rsidR="00266328">
              <w:rPr>
                <w:noProof/>
                <w:webHidden/>
              </w:rPr>
              <w:tab/>
            </w:r>
            <w:r w:rsidR="00266328">
              <w:rPr>
                <w:noProof/>
                <w:webHidden/>
              </w:rPr>
              <w:fldChar w:fldCharType="begin"/>
            </w:r>
            <w:r w:rsidR="00266328">
              <w:rPr>
                <w:noProof/>
                <w:webHidden/>
              </w:rPr>
              <w:instrText xml:space="preserve"> PAGEREF _Toc134011802 \h </w:instrText>
            </w:r>
            <w:r w:rsidR="00266328">
              <w:rPr>
                <w:noProof/>
                <w:webHidden/>
              </w:rPr>
            </w:r>
            <w:r w:rsidR="00266328">
              <w:rPr>
                <w:noProof/>
                <w:webHidden/>
              </w:rPr>
              <w:fldChar w:fldCharType="separate"/>
            </w:r>
            <w:r w:rsidR="00266328">
              <w:rPr>
                <w:noProof/>
                <w:webHidden/>
              </w:rPr>
              <w:t>101</w:t>
            </w:r>
            <w:r w:rsidR="00266328">
              <w:rPr>
                <w:noProof/>
                <w:webHidden/>
              </w:rPr>
              <w:fldChar w:fldCharType="end"/>
            </w:r>
          </w:hyperlink>
        </w:p>
        <w:p w14:paraId="7A9DA6AF" w14:textId="79E8D79E" w:rsidR="00266328" w:rsidRDefault="00000000">
          <w:pPr>
            <w:pStyle w:val="TOC1"/>
            <w:tabs>
              <w:tab w:val="right" w:leader="dot" w:pos="9017"/>
            </w:tabs>
            <w:rPr>
              <w:rFonts w:asciiTheme="minorHAnsi" w:hAnsiTheme="minorHAnsi" w:cstheme="minorBidi"/>
              <w:noProof/>
              <w:kern w:val="2"/>
              <w:lang w:eastAsia="en-US"/>
              <w14:ligatures w14:val="standardContextual"/>
            </w:rPr>
          </w:pPr>
          <w:hyperlink w:anchor="_Toc134011803" w:history="1">
            <w:r w:rsidR="00266328" w:rsidRPr="00BB50AC">
              <w:rPr>
                <w:rStyle w:val="Hyperlink"/>
                <w:noProof/>
                <w:lang w:val="bs-Latn-BA"/>
              </w:rPr>
              <w:t>ANEKS 11.1 Strateška platforma</w:t>
            </w:r>
            <w:r w:rsidR="00266328">
              <w:rPr>
                <w:noProof/>
                <w:webHidden/>
              </w:rPr>
              <w:tab/>
            </w:r>
            <w:r w:rsidR="00266328">
              <w:rPr>
                <w:noProof/>
                <w:webHidden/>
              </w:rPr>
              <w:fldChar w:fldCharType="begin"/>
            </w:r>
            <w:r w:rsidR="00266328">
              <w:rPr>
                <w:noProof/>
                <w:webHidden/>
              </w:rPr>
              <w:instrText xml:space="preserve"> PAGEREF _Toc134011803 \h </w:instrText>
            </w:r>
            <w:r w:rsidR="00266328">
              <w:rPr>
                <w:noProof/>
                <w:webHidden/>
              </w:rPr>
            </w:r>
            <w:r w:rsidR="00266328">
              <w:rPr>
                <w:noProof/>
                <w:webHidden/>
              </w:rPr>
              <w:fldChar w:fldCharType="separate"/>
            </w:r>
            <w:r w:rsidR="00266328">
              <w:rPr>
                <w:noProof/>
                <w:webHidden/>
              </w:rPr>
              <w:t>101</w:t>
            </w:r>
            <w:r w:rsidR="00266328">
              <w:rPr>
                <w:noProof/>
                <w:webHidden/>
              </w:rPr>
              <w:fldChar w:fldCharType="end"/>
            </w:r>
          </w:hyperlink>
        </w:p>
        <w:p w14:paraId="0D10835C" w14:textId="75C2B961"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804" w:history="1">
            <w:r w:rsidR="00266328" w:rsidRPr="00BB50AC">
              <w:rPr>
                <w:rStyle w:val="Hyperlink"/>
                <w:noProof/>
                <w:lang w:val="bs-Latn-BA"/>
              </w:rPr>
              <w:t>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Situaciona analiza</w:t>
            </w:r>
            <w:r w:rsidR="00266328">
              <w:rPr>
                <w:noProof/>
                <w:webHidden/>
              </w:rPr>
              <w:tab/>
            </w:r>
            <w:r w:rsidR="00266328">
              <w:rPr>
                <w:noProof/>
                <w:webHidden/>
              </w:rPr>
              <w:fldChar w:fldCharType="begin"/>
            </w:r>
            <w:r w:rsidR="00266328">
              <w:rPr>
                <w:noProof/>
                <w:webHidden/>
              </w:rPr>
              <w:instrText xml:space="preserve"> PAGEREF _Toc134011804 \h </w:instrText>
            </w:r>
            <w:r w:rsidR="00266328">
              <w:rPr>
                <w:noProof/>
                <w:webHidden/>
              </w:rPr>
            </w:r>
            <w:r w:rsidR="00266328">
              <w:rPr>
                <w:noProof/>
                <w:webHidden/>
              </w:rPr>
              <w:fldChar w:fldCharType="separate"/>
            </w:r>
            <w:r w:rsidR="00266328">
              <w:rPr>
                <w:noProof/>
                <w:webHidden/>
              </w:rPr>
              <w:t>101</w:t>
            </w:r>
            <w:r w:rsidR="00266328">
              <w:rPr>
                <w:noProof/>
                <w:webHidden/>
              </w:rPr>
              <w:fldChar w:fldCharType="end"/>
            </w:r>
          </w:hyperlink>
        </w:p>
        <w:p w14:paraId="4D8C1698" w14:textId="4905756F" w:rsidR="00266328" w:rsidRDefault="00000000">
          <w:pPr>
            <w:pStyle w:val="TOC2"/>
            <w:rPr>
              <w:rFonts w:asciiTheme="minorHAnsi" w:hAnsiTheme="minorHAnsi" w:cstheme="minorBidi"/>
              <w:noProof/>
              <w:kern w:val="2"/>
              <w:lang w:eastAsia="en-US"/>
              <w14:ligatures w14:val="standardContextual"/>
            </w:rPr>
          </w:pPr>
          <w:hyperlink w:anchor="_Toc134011805" w:history="1">
            <w:r w:rsidR="00266328" w:rsidRPr="00BB50AC">
              <w:rPr>
                <w:rStyle w:val="Hyperlink"/>
                <w:noProof/>
                <w:lang w:val="bs-Latn-BA"/>
              </w:rPr>
              <w:t>1.1.</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Kontekst i regulatorni okvir</w:t>
            </w:r>
            <w:r w:rsidR="00266328">
              <w:rPr>
                <w:noProof/>
                <w:webHidden/>
              </w:rPr>
              <w:tab/>
            </w:r>
            <w:r w:rsidR="00266328">
              <w:rPr>
                <w:noProof/>
                <w:webHidden/>
              </w:rPr>
              <w:fldChar w:fldCharType="begin"/>
            </w:r>
            <w:r w:rsidR="00266328">
              <w:rPr>
                <w:noProof/>
                <w:webHidden/>
              </w:rPr>
              <w:instrText xml:space="preserve"> PAGEREF _Toc134011805 \h </w:instrText>
            </w:r>
            <w:r w:rsidR="00266328">
              <w:rPr>
                <w:noProof/>
                <w:webHidden/>
              </w:rPr>
            </w:r>
            <w:r w:rsidR="00266328">
              <w:rPr>
                <w:noProof/>
                <w:webHidden/>
              </w:rPr>
              <w:fldChar w:fldCharType="separate"/>
            </w:r>
            <w:r w:rsidR="00266328">
              <w:rPr>
                <w:noProof/>
                <w:webHidden/>
              </w:rPr>
              <w:t>101</w:t>
            </w:r>
            <w:r w:rsidR="00266328">
              <w:rPr>
                <w:noProof/>
                <w:webHidden/>
              </w:rPr>
              <w:fldChar w:fldCharType="end"/>
            </w:r>
          </w:hyperlink>
        </w:p>
        <w:p w14:paraId="124BAB93" w14:textId="73CAA8CE" w:rsidR="00266328" w:rsidRDefault="00000000">
          <w:pPr>
            <w:pStyle w:val="TOC3"/>
            <w:rPr>
              <w:rFonts w:asciiTheme="minorHAnsi" w:hAnsiTheme="minorHAnsi" w:cstheme="minorBidi"/>
              <w:noProof/>
              <w:kern w:val="2"/>
              <w:lang w:eastAsia="en-US"/>
              <w14:ligatures w14:val="standardContextual"/>
            </w:rPr>
          </w:pPr>
          <w:hyperlink w:anchor="_Toc134011806" w:history="1">
            <w:r w:rsidR="00266328" w:rsidRPr="00BB50AC">
              <w:rPr>
                <w:rStyle w:val="Hyperlink"/>
                <w:noProof/>
              </w:rPr>
              <w:t>1.1.1.</w:t>
            </w:r>
            <w:r w:rsidR="00266328">
              <w:rPr>
                <w:rFonts w:asciiTheme="minorHAnsi" w:hAnsiTheme="minorHAnsi" w:cstheme="minorBidi"/>
                <w:noProof/>
                <w:kern w:val="2"/>
                <w:lang w:eastAsia="en-US"/>
                <w14:ligatures w14:val="standardContextual"/>
              </w:rPr>
              <w:tab/>
            </w:r>
            <w:r w:rsidR="00266328" w:rsidRPr="00BB50AC">
              <w:rPr>
                <w:rStyle w:val="Hyperlink"/>
                <w:noProof/>
              </w:rPr>
              <w:t>Međunarodni kontekst i politika EU</w:t>
            </w:r>
            <w:r w:rsidR="00266328">
              <w:rPr>
                <w:noProof/>
                <w:webHidden/>
              </w:rPr>
              <w:tab/>
            </w:r>
            <w:r w:rsidR="00266328">
              <w:rPr>
                <w:noProof/>
                <w:webHidden/>
              </w:rPr>
              <w:fldChar w:fldCharType="begin"/>
            </w:r>
            <w:r w:rsidR="00266328">
              <w:rPr>
                <w:noProof/>
                <w:webHidden/>
              </w:rPr>
              <w:instrText xml:space="preserve"> PAGEREF _Toc134011806 \h </w:instrText>
            </w:r>
            <w:r w:rsidR="00266328">
              <w:rPr>
                <w:noProof/>
                <w:webHidden/>
              </w:rPr>
            </w:r>
            <w:r w:rsidR="00266328">
              <w:rPr>
                <w:noProof/>
                <w:webHidden/>
              </w:rPr>
              <w:fldChar w:fldCharType="separate"/>
            </w:r>
            <w:r w:rsidR="00266328">
              <w:rPr>
                <w:noProof/>
                <w:webHidden/>
              </w:rPr>
              <w:t>101</w:t>
            </w:r>
            <w:r w:rsidR="00266328">
              <w:rPr>
                <w:noProof/>
                <w:webHidden/>
              </w:rPr>
              <w:fldChar w:fldCharType="end"/>
            </w:r>
          </w:hyperlink>
        </w:p>
        <w:p w14:paraId="7C01DE85" w14:textId="70B8DD28" w:rsidR="00266328" w:rsidRDefault="00000000">
          <w:pPr>
            <w:pStyle w:val="TOC3"/>
            <w:rPr>
              <w:rFonts w:asciiTheme="minorHAnsi" w:hAnsiTheme="minorHAnsi" w:cstheme="minorBidi"/>
              <w:noProof/>
              <w:kern w:val="2"/>
              <w:lang w:eastAsia="en-US"/>
              <w14:ligatures w14:val="standardContextual"/>
            </w:rPr>
          </w:pPr>
          <w:hyperlink w:anchor="_Toc134011807" w:history="1">
            <w:r w:rsidR="00266328" w:rsidRPr="00BB50AC">
              <w:rPr>
                <w:rStyle w:val="Hyperlink"/>
                <w:noProof/>
              </w:rPr>
              <w:t>1.1.2.</w:t>
            </w:r>
            <w:r w:rsidR="00266328">
              <w:rPr>
                <w:rFonts w:asciiTheme="minorHAnsi" w:hAnsiTheme="minorHAnsi" w:cstheme="minorBidi"/>
                <w:noProof/>
                <w:kern w:val="2"/>
                <w:lang w:eastAsia="en-US"/>
                <w14:ligatures w14:val="standardContextual"/>
              </w:rPr>
              <w:tab/>
            </w:r>
            <w:r w:rsidR="00266328" w:rsidRPr="00BB50AC">
              <w:rPr>
                <w:rStyle w:val="Hyperlink"/>
                <w:noProof/>
              </w:rPr>
              <w:t>Kontekst politike energijske efikasnosti u Bosni i Hercegovini</w:t>
            </w:r>
            <w:r w:rsidR="00266328">
              <w:rPr>
                <w:noProof/>
                <w:webHidden/>
              </w:rPr>
              <w:tab/>
            </w:r>
            <w:r w:rsidR="00266328">
              <w:rPr>
                <w:noProof/>
                <w:webHidden/>
              </w:rPr>
              <w:fldChar w:fldCharType="begin"/>
            </w:r>
            <w:r w:rsidR="00266328">
              <w:rPr>
                <w:noProof/>
                <w:webHidden/>
              </w:rPr>
              <w:instrText xml:space="preserve"> PAGEREF _Toc134011807 \h </w:instrText>
            </w:r>
            <w:r w:rsidR="00266328">
              <w:rPr>
                <w:noProof/>
                <w:webHidden/>
              </w:rPr>
            </w:r>
            <w:r w:rsidR="00266328">
              <w:rPr>
                <w:noProof/>
                <w:webHidden/>
              </w:rPr>
              <w:fldChar w:fldCharType="separate"/>
            </w:r>
            <w:r w:rsidR="00266328">
              <w:rPr>
                <w:noProof/>
                <w:webHidden/>
              </w:rPr>
              <w:t>103</w:t>
            </w:r>
            <w:r w:rsidR="00266328">
              <w:rPr>
                <w:noProof/>
                <w:webHidden/>
              </w:rPr>
              <w:fldChar w:fldCharType="end"/>
            </w:r>
          </w:hyperlink>
        </w:p>
        <w:p w14:paraId="6EC29664" w14:textId="4717F434" w:rsidR="00266328" w:rsidRDefault="00000000">
          <w:pPr>
            <w:pStyle w:val="TOC3"/>
            <w:rPr>
              <w:rFonts w:asciiTheme="minorHAnsi" w:hAnsiTheme="minorHAnsi" w:cstheme="minorBidi"/>
              <w:noProof/>
              <w:kern w:val="2"/>
              <w:lang w:eastAsia="en-US"/>
              <w14:ligatures w14:val="standardContextual"/>
            </w:rPr>
          </w:pPr>
          <w:hyperlink w:anchor="_Toc134011808" w:history="1">
            <w:r w:rsidR="00266328" w:rsidRPr="00BB50AC">
              <w:rPr>
                <w:rStyle w:val="Hyperlink"/>
                <w:noProof/>
              </w:rPr>
              <w:t>1.1.3.</w:t>
            </w:r>
            <w:r w:rsidR="00266328">
              <w:rPr>
                <w:rFonts w:asciiTheme="minorHAnsi" w:hAnsiTheme="minorHAnsi" w:cstheme="minorBidi"/>
                <w:noProof/>
                <w:kern w:val="2"/>
                <w:lang w:eastAsia="en-US"/>
                <w14:ligatures w14:val="standardContextual"/>
              </w:rPr>
              <w:tab/>
            </w:r>
            <w:r w:rsidR="00266328" w:rsidRPr="00BB50AC">
              <w:rPr>
                <w:rStyle w:val="Hyperlink"/>
                <w:noProof/>
              </w:rPr>
              <w:t>Kontekst politike energijske efikasnosti u Federaciji Bosne i Hercegovine</w:t>
            </w:r>
            <w:r w:rsidR="00266328">
              <w:rPr>
                <w:noProof/>
                <w:webHidden/>
              </w:rPr>
              <w:tab/>
            </w:r>
            <w:r w:rsidR="00266328">
              <w:rPr>
                <w:noProof/>
                <w:webHidden/>
              </w:rPr>
              <w:fldChar w:fldCharType="begin"/>
            </w:r>
            <w:r w:rsidR="00266328">
              <w:rPr>
                <w:noProof/>
                <w:webHidden/>
              </w:rPr>
              <w:instrText xml:space="preserve"> PAGEREF _Toc134011808 \h </w:instrText>
            </w:r>
            <w:r w:rsidR="00266328">
              <w:rPr>
                <w:noProof/>
                <w:webHidden/>
              </w:rPr>
            </w:r>
            <w:r w:rsidR="00266328">
              <w:rPr>
                <w:noProof/>
                <w:webHidden/>
              </w:rPr>
              <w:fldChar w:fldCharType="separate"/>
            </w:r>
            <w:r w:rsidR="00266328">
              <w:rPr>
                <w:noProof/>
                <w:webHidden/>
              </w:rPr>
              <w:t>107</w:t>
            </w:r>
            <w:r w:rsidR="00266328">
              <w:rPr>
                <w:noProof/>
                <w:webHidden/>
              </w:rPr>
              <w:fldChar w:fldCharType="end"/>
            </w:r>
          </w:hyperlink>
        </w:p>
        <w:p w14:paraId="3A1060C1" w14:textId="1570ED7A" w:rsidR="00266328" w:rsidRDefault="00000000">
          <w:pPr>
            <w:pStyle w:val="TOC3"/>
            <w:rPr>
              <w:rFonts w:asciiTheme="minorHAnsi" w:hAnsiTheme="minorHAnsi" w:cstheme="minorBidi"/>
              <w:noProof/>
              <w:kern w:val="2"/>
              <w:lang w:eastAsia="en-US"/>
              <w14:ligatures w14:val="standardContextual"/>
            </w:rPr>
          </w:pPr>
          <w:hyperlink w:anchor="_Toc134011809" w:history="1">
            <w:r w:rsidR="00266328" w:rsidRPr="00BB50AC">
              <w:rPr>
                <w:rStyle w:val="Hyperlink"/>
                <w:noProof/>
              </w:rPr>
              <w:t>1.1.4.</w:t>
            </w:r>
            <w:r w:rsidR="00266328">
              <w:rPr>
                <w:rFonts w:asciiTheme="minorHAnsi" w:hAnsiTheme="minorHAnsi" w:cstheme="minorBidi"/>
                <w:noProof/>
                <w:kern w:val="2"/>
                <w:lang w:eastAsia="en-US"/>
                <w14:ligatures w14:val="standardContextual"/>
              </w:rPr>
              <w:tab/>
            </w:r>
            <w:r w:rsidR="00266328" w:rsidRPr="00BB50AC">
              <w:rPr>
                <w:rStyle w:val="Hyperlink"/>
                <w:noProof/>
              </w:rPr>
              <w:t>Važeći strateški dokumenti</w:t>
            </w:r>
            <w:r w:rsidR="00266328">
              <w:rPr>
                <w:noProof/>
                <w:webHidden/>
              </w:rPr>
              <w:tab/>
            </w:r>
            <w:r w:rsidR="00266328">
              <w:rPr>
                <w:noProof/>
                <w:webHidden/>
              </w:rPr>
              <w:fldChar w:fldCharType="begin"/>
            </w:r>
            <w:r w:rsidR="00266328">
              <w:rPr>
                <w:noProof/>
                <w:webHidden/>
              </w:rPr>
              <w:instrText xml:space="preserve"> PAGEREF _Toc134011809 \h </w:instrText>
            </w:r>
            <w:r w:rsidR="00266328">
              <w:rPr>
                <w:noProof/>
                <w:webHidden/>
              </w:rPr>
            </w:r>
            <w:r w:rsidR="00266328">
              <w:rPr>
                <w:noProof/>
                <w:webHidden/>
              </w:rPr>
              <w:fldChar w:fldCharType="separate"/>
            </w:r>
            <w:r w:rsidR="00266328">
              <w:rPr>
                <w:noProof/>
                <w:webHidden/>
              </w:rPr>
              <w:t>114</w:t>
            </w:r>
            <w:r w:rsidR="00266328">
              <w:rPr>
                <w:noProof/>
                <w:webHidden/>
              </w:rPr>
              <w:fldChar w:fldCharType="end"/>
            </w:r>
          </w:hyperlink>
        </w:p>
        <w:p w14:paraId="215CB1A5" w14:textId="1041B15B" w:rsidR="00266328" w:rsidRDefault="00000000">
          <w:pPr>
            <w:pStyle w:val="TOC2"/>
            <w:rPr>
              <w:rFonts w:asciiTheme="minorHAnsi" w:hAnsiTheme="minorHAnsi" w:cstheme="minorBidi"/>
              <w:noProof/>
              <w:kern w:val="2"/>
              <w:lang w:eastAsia="en-US"/>
              <w14:ligatures w14:val="standardContextual"/>
            </w:rPr>
          </w:pPr>
          <w:hyperlink w:anchor="_Toc134011810" w:history="1">
            <w:r w:rsidR="00266328" w:rsidRPr="00BB50AC">
              <w:rPr>
                <w:rStyle w:val="Hyperlink"/>
                <w:noProof/>
                <w:lang w:val="bs-Latn-BA"/>
              </w:rPr>
              <w:t>1.2.</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Opis postojećeg stanja građevinskog fonda</w:t>
            </w:r>
            <w:r w:rsidR="00266328">
              <w:rPr>
                <w:noProof/>
                <w:webHidden/>
              </w:rPr>
              <w:tab/>
            </w:r>
            <w:r w:rsidR="00266328">
              <w:rPr>
                <w:noProof/>
                <w:webHidden/>
              </w:rPr>
              <w:fldChar w:fldCharType="begin"/>
            </w:r>
            <w:r w:rsidR="00266328">
              <w:rPr>
                <w:noProof/>
                <w:webHidden/>
              </w:rPr>
              <w:instrText xml:space="preserve"> PAGEREF _Toc134011810 \h </w:instrText>
            </w:r>
            <w:r w:rsidR="00266328">
              <w:rPr>
                <w:noProof/>
                <w:webHidden/>
              </w:rPr>
            </w:r>
            <w:r w:rsidR="00266328">
              <w:rPr>
                <w:noProof/>
                <w:webHidden/>
              </w:rPr>
              <w:fldChar w:fldCharType="separate"/>
            </w:r>
            <w:r w:rsidR="00266328">
              <w:rPr>
                <w:noProof/>
                <w:webHidden/>
              </w:rPr>
              <w:t>115</w:t>
            </w:r>
            <w:r w:rsidR="00266328">
              <w:rPr>
                <w:noProof/>
                <w:webHidden/>
              </w:rPr>
              <w:fldChar w:fldCharType="end"/>
            </w:r>
          </w:hyperlink>
        </w:p>
        <w:p w14:paraId="7C17BF22" w14:textId="1A1370E1" w:rsidR="00266328" w:rsidRDefault="00000000">
          <w:pPr>
            <w:pStyle w:val="TOC3"/>
            <w:rPr>
              <w:rFonts w:asciiTheme="minorHAnsi" w:hAnsiTheme="minorHAnsi" w:cstheme="minorBidi"/>
              <w:noProof/>
              <w:kern w:val="2"/>
              <w:lang w:eastAsia="en-US"/>
              <w14:ligatures w14:val="standardContextual"/>
            </w:rPr>
          </w:pPr>
          <w:hyperlink w:anchor="_Toc134011811" w:history="1">
            <w:r w:rsidR="00266328" w:rsidRPr="00BB50AC">
              <w:rPr>
                <w:rStyle w:val="Hyperlink"/>
                <w:noProof/>
              </w:rPr>
              <w:t>1.2.1.</w:t>
            </w:r>
            <w:r w:rsidR="00266328">
              <w:rPr>
                <w:rFonts w:asciiTheme="minorHAnsi" w:hAnsiTheme="minorHAnsi" w:cstheme="minorBidi"/>
                <w:noProof/>
                <w:kern w:val="2"/>
                <w:lang w:eastAsia="en-US"/>
                <w14:ligatures w14:val="standardContextual"/>
              </w:rPr>
              <w:tab/>
            </w:r>
            <w:r w:rsidR="00266328" w:rsidRPr="00BB50AC">
              <w:rPr>
                <w:rStyle w:val="Hyperlink"/>
                <w:noProof/>
              </w:rPr>
              <w:t>Pregled dosadašnjih aktivnosti na energetskoj obnovi zgrada u FBiH</w:t>
            </w:r>
            <w:r w:rsidR="00266328">
              <w:rPr>
                <w:noProof/>
                <w:webHidden/>
              </w:rPr>
              <w:tab/>
            </w:r>
            <w:r w:rsidR="00266328">
              <w:rPr>
                <w:noProof/>
                <w:webHidden/>
              </w:rPr>
              <w:fldChar w:fldCharType="begin"/>
            </w:r>
            <w:r w:rsidR="00266328">
              <w:rPr>
                <w:noProof/>
                <w:webHidden/>
              </w:rPr>
              <w:instrText xml:space="preserve"> PAGEREF _Toc134011811 \h </w:instrText>
            </w:r>
            <w:r w:rsidR="00266328">
              <w:rPr>
                <w:noProof/>
                <w:webHidden/>
              </w:rPr>
            </w:r>
            <w:r w:rsidR="00266328">
              <w:rPr>
                <w:noProof/>
                <w:webHidden/>
              </w:rPr>
              <w:fldChar w:fldCharType="separate"/>
            </w:r>
            <w:r w:rsidR="00266328">
              <w:rPr>
                <w:noProof/>
                <w:webHidden/>
              </w:rPr>
              <w:t>115</w:t>
            </w:r>
            <w:r w:rsidR="00266328">
              <w:rPr>
                <w:noProof/>
                <w:webHidden/>
              </w:rPr>
              <w:fldChar w:fldCharType="end"/>
            </w:r>
          </w:hyperlink>
        </w:p>
        <w:p w14:paraId="360C8465" w14:textId="3009EB4A" w:rsidR="00266328" w:rsidRDefault="00000000">
          <w:pPr>
            <w:pStyle w:val="TOC3"/>
            <w:rPr>
              <w:rFonts w:asciiTheme="minorHAnsi" w:hAnsiTheme="minorHAnsi" w:cstheme="minorBidi"/>
              <w:noProof/>
              <w:kern w:val="2"/>
              <w:lang w:eastAsia="en-US"/>
              <w14:ligatures w14:val="standardContextual"/>
            </w:rPr>
          </w:pPr>
          <w:hyperlink w:anchor="_Toc134011812" w:history="1">
            <w:r w:rsidR="00266328" w:rsidRPr="00BB50AC">
              <w:rPr>
                <w:rStyle w:val="Hyperlink"/>
                <w:noProof/>
              </w:rPr>
              <w:t>1.2.2.</w:t>
            </w:r>
            <w:r w:rsidR="00266328">
              <w:rPr>
                <w:rFonts w:asciiTheme="minorHAnsi" w:hAnsiTheme="minorHAnsi" w:cstheme="minorBidi"/>
                <w:noProof/>
                <w:kern w:val="2"/>
                <w:lang w:eastAsia="en-US"/>
                <w14:ligatures w14:val="standardContextual"/>
              </w:rPr>
              <w:tab/>
            </w:r>
            <w:r w:rsidR="00266328" w:rsidRPr="00BB50AC">
              <w:rPr>
                <w:rStyle w:val="Hyperlink"/>
                <w:noProof/>
              </w:rPr>
              <w:t>Zgrade organa uprave i javne zgrade</w:t>
            </w:r>
            <w:r w:rsidR="00266328">
              <w:rPr>
                <w:noProof/>
                <w:webHidden/>
              </w:rPr>
              <w:tab/>
            </w:r>
            <w:r w:rsidR="00266328">
              <w:rPr>
                <w:noProof/>
                <w:webHidden/>
              </w:rPr>
              <w:fldChar w:fldCharType="begin"/>
            </w:r>
            <w:r w:rsidR="00266328">
              <w:rPr>
                <w:noProof/>
                <w:webHidden/>
              </w:rPr>
              <w:instrText xml:space="preserve"> PAGEREF _Toc134011812 \h </w:instrText>
            </w:r>
            <w:r w:rsidR="00266328">
              <w:rPr>
                <w:noProof/>
                <w:webHidden/>
              </w:rPr>
            </w:r>
            <w:r w:rsidR="00266328">
              <w:rPr>
                <w:noProof/>
                <w:webHidden/>
              </w:rPr>
              <w:fldChar w:fldCharType="separate"/>
            </w:r>
            <w:r w:rsidR="00266328">
              <w:rPr>
                <w:noProof/>
                <w:webHidden/>
              </w:rPr>
              <w:t>121</w:t>
            </w:r>
            <w:r w:rsidR="00266328">
              <w:rPr>
                <w:noProof/>
                <w:webHidden/>
              </w:rPr>
              <w:fldChar w:fldCharType="end"/>
            </w:r>
          </w:hyperlink>
        </w:p>
        <w:p w14:paraId="193FF913" w14:textId="4D43EE98" w:rsidR="00266328" w:rsidRDefault="00000000">
          <w:pPr>
            <w:pStyle w:val="TOC3"/>
            <w:rPr>
              <w:rFonts w:asciiTheme="minorHAnsi" w:hAnsiTheme="minorHAnsi" w:cstheme="minorBidi"/>
              <w:noProof/>
              <w:kern w:val="2"/>
              <w:lang w:eastAsia="en-US"/>
              <w14:ligatures w14:val="standardContextual"/>
            </w:rPr>
          </w:pPr>
          <w:hyperlink w:anchor="_Toc134011813" w:history="1">
            <w:r w:rsidR="00266328" w:rsidRPr="00BB50AC">
              <w:rPr>
                <w:rStyle w:val="Hyperlink"/>
                <w:noProof/>
              </w:rPr>
              <w:t>1.2.3.</w:t>
            </w:r>
            <w:r w:rsidR="00266328">
              <w:rPr>
                <w:rFonts w:asciiTheme="minorHAnsi" w:hAnsiTheme="minorHAnsi" w:cstheme="minorBidi"/>
                <w:noProof/>
                <w:kern w:val="2"/>
                <w:lang w:eastAsia="en-US"/>
                <w14:ligatures w14:val="standardContextual"/>
              </w:rPr>
              <w:tab/>
            </w:r>
            <w:r w:rsidR="00266328" w:rsidRPr="00BB50AC">
              <w:rPr>
                <w:rStyle w:val="Hyperlink"/>
                <w:noProof/>
              </w:rPr>
              <w:t>Primjeri dobre prakse</w:t>
            </w:r>
            <w:r w:rsidR="00266328">
              <w:rPr>
                <w:noProof/>
                <w:webHidden/>
              </w:rPr>
              <w:tab/>
            </w:r>
            <w:r w:rsidR="00266328">
              <w:rPr>
                <w:noProof/>
                <w:webHidden/>
              </w:rPr>
              <w:fldChar w:fldCharType="begin"/>
            </w:r>
            <w:r w:rsidR="00266328">
              <w:rPr>
                <w:noProof/>
                <w:webHidden/>
              </w:rPr>
              <w:instrText xml:space="preserve"> PAGEREF _Toc134011813 \h </w:instrText>
            </w:r>
            <w:r w:rsidR="00266328">
              <w:rPr>
                <w:noProof/>
                <w:webHidden/>
              </w:rPr>
            </w:r>
            <w:r w:rsidR="00266328">
              <w:rPr>
                <w:noProof/>
                <w:webHidden/>
              </w:rPr>
              <w:fldChar w:fldCharType="separate"/>
            </w:r>
            <w:r w:rsidR="00266328">
              <w:rPr>
                <w:noProof/>
                <w:webHidden/>
              </w:rPr>
              <w:t>123</w:t>
            </w:r>
            <w:r w:rsidR="00266328">
              <w:rPr>
                <w:noProof/>
                <w:webHidden/>
              </w:rPr>
              <w:fldChar w:fldCharType="end"/>
            </w:r>
          </w:hyperlink>
        </w:p>
        <w:p w14:paraId="46431456" w14:textId="432E8C09" w:rsidR="00266328" w:rsidRDefault="00000000">
          <w:pPr>
            <w:pStyle w:val="TOC3"/>
            <w:rPr>
              <w:rFonts w:asciiTheme="minorHAnsi" w:hAnsiTheme="minorHAnsi" w:cstheme="minorBidi"/>
              <w:noProof/>
              <w:kern w:val="2"/>
              <w:lang w:eastAsia="en-US"/>
              <w14:ligatures w14:val="standardContextual"/>
            </w:rPr>
          </w:pPr>
          <w:hyperlink w:anchor="_Toc134011814" w:history="1">
            <w:r w:rsidR="00266328" w:rsidRPr="00BB50AC">
              <w:rPr>
                <w:rStyle w:val="Hyperlink"/>
                <w:noProof/>
              </w:rPr>
              <w:t>1.2.4.</w:t>
            </w:r>
            <w:r w:rsidR="00266328">
              <w:rPr>
                <w:rFonts w:asciiTheme="minorHAnsi" w:hAnsiTheme="minorHAnsi" w:cstheme="minorBidi"/>
                <w:noProof/>
                <w:kern w:val="2"/>
                <w:lang w:eastAsia="en-US"/>
                <w14:ligatures w14:val="standardContextual"/>
              </w:rPr>
              <w:tab/>
            </w:r>
            <w:r w:rsidR="00266328" w:rsidRPr="00BB50AC">
              <w:rPr>
                <w:rStyle w:val="Hyperlink"/>
                <w:noProof/>
              </w:rPr>
              <w:t>Pregled fonda zgrada u FBiH</w:t>
            </w:r>
            <w:r w:rsidR="00266328">
              <w:rPr>
                <w:noProof/>
                <w:webHidden/>
              </w:rPr>
              <w:tab/>
            </w:r>
            <w:r w:rsidR="00266328">
              <w:rPr>
                <w:noProof/>
                <w:webHidden/>
              </w:rPr>
              <w:fldChar w:fldCharType="begin"/>
            </w:r>
            <w:r w:rsidR="00266328">
              <w:rPr>
                <w:noProof/>
                <w:webHidden/>
              </w:rPr>
              <w:instrText xml:space="preserve"> PAGEREF _Toc134011814 \h </w:instrText>
            </w:r>
            <w:r w:rsidR="00266328">
              <w:rPr>
                <w:noProof/>
                <w:webHidden/>
              </w:rPr>
            </w:r>
            <w:r w:rsidR="00266328">
              <w:rPr>
                <w:noProof/>
                <w:webHidden/>
              </w:rPr>
              <w:fldChar w:fldCharType="separate"/>
            </w:r>
            <w:r w:rsidR="00266328">
              <w:rPr>
                <w:noProof/>
                <w:webHidden/>
              </w:rPr>
              <w:t>124</w:t>
            </w:r>
            <w:r w:rsidR="00266328">
              <w:rPr>
                <w:noProof/>
                <w:webHidden/>
              </w:rPr>
              <w:fldChar w:fldCharType="end"/>
            </w:r>
          </w:hyperlink>
        </w:p>
        <w:p w14:paraId="166FF732" w14:textId="01AC7FC6"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15" w:history="1">
            <w:r w:rsidR="00266328" w:rsidRPr="00BB50AC">
              <w:rPr>
                <w:rStyle w:val="Hyperlink"/>
                <w:noProof/>
                <w:lang w:val="bs-Latn-BA"/>
              </w:rPr>
              <w:t>1.2.4.1.</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Kategorizacija fonda zgrada prema namjeni</w:t>
            </w:r>
            <w:r w:rsidR="00266328">
              <w:rPr>
                <w:noProof/>
                <w:webHidden/>
              </w:rPr>
              <w:tab/>
            </w:r>
            <w:r w:rsidR="00266328">
              <w:rPr>
                <w:noProof/>
                <w:webHidden/>
              </w:rPr>
              <w:fldChar w:fldCharType="begin"/>
            </w:r>
            <w:r w:rsidR="00266328">
              <w:rPr>
                <w:noProof/>
                <w:webHidden/>
              </w:rPr>
              <w:instrText xml:space="preserve"> PAGEREF _Toc134011815 \h </w:instrText>
            </w:r>
            <w:r w:rsidR="00266328">
              <w:rPr>
                <w:noProof/>
                <w:webHidden/>
              </w:rPr>
            </w:r>
            <w:r w:rsidR="00266328">
              <w:rPr>
                <w:noProof/>
                <w:webHidden/>
              </w:rPr>
              <w:fldChar w:fldCharType="separate"/>
            </w:r>
            <w:r w:rsidR="00266328">
              <w:rPr>
                <w:noProof/>
                <w:webHidden/>
              </w:rPr>
              <w:t>125</w:t>
            </w:r>
            <w:r w:rsidR="00266328">
              <w:rPr>
                <w:noProof/>
                <w:webHidden/>
              </w:rPr>
              <w:fldChar w:fldCharType="end"/>
            </w:r>
          </w:hyperlink>
        </w:p>
        <w:p w14:paraId="606AE55F" w14:textId="50F1AB74"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16" w:history="1">
            <w:r w:rsidR="00266328" w:rsidRPr="00BB50AC">
              <w:rPr>
                <w:rStyle w:val="Hyperlink"/>
                <w:noProof/>
                <w:lang w:val="bs-Latn-BA"/>
              </w:rPr>
              <w:t>1.2.4.2.</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Kategorizacija fonda zgrada prema periodu gradnje</w:t>
            </w:r>
            <w:r w:rsidR="00266328">
              <w:rPr>
                <w:noProof/>
                <w:webHidden/>
              </w:rPr>
              <w:tab/>
            </w:r>
            <w:r w:rsidR="00266328">
              <w:rPr>
                <w:noProof/>
                <w:webHidden/>
              </w:rPr>
              <w:fldChar w:fldCharType="begin"/>
            </w:r>
            <w:r w:rsidR="00266328">
              <w:rPr>
                <w:noProof/>
                <w:webHidden/>
              </w:rPr>
              <w:instrText xml:space="preserve"> PAGEREF _Toc134011816 \h </w:instrText>
            </w:r>
            <w:r w:rsidR="00266328">
              <w:rPr>
                <w:noProof/>
                <w:webHidden/>
              </w:rPr>
            </w:r>
            <w:r w:rsidR="00266328">
              <w:rPr>
                <w:noProof/>
                <w:webHidden/>
              </w:rPr>
              <w:fldChar w:fldCharType="separate"/>
            </w:r>
            <w:r w:rsidR="00266328">
              <w:rPr>
                <w:noProof/>
                <w:webHidden/>
              </w:rPr>
              <w:t>126</w:t>
            </w:r>
            <w:r w:rsidR="00266328">
              <w:rPr>
                <w:noProof/>
                <w:webHidden/>
              </w:rPr>
              <w:fldChar w:fldCharType="end"/>
            </w:r>
          </w:hyperlink>
        </w:p>
        <w:p w14:paraId="7FEE4DCA" w14:textId="027A34C3"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17" w:history="1">
            <w:r w:rsidR="00266328" w:rsidRPr="00BB50AC">
              <w:rPr>
                <w:rStyle w:val="Hyperlink"/>
                <w:noProof/>
                <w:lang w:val="bs-Latn-BA"/>
              </w:rPr>
              <w:t>1.2.4.3.</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Projekcija kretanja fonda zgrada do 2050. godine</w:t>
            </w:r>
            <w:r w:rsidR="00266328">
              <w:rPr>
                <w:noProof/>
                <w:webHidden/>
              </w:rPr>
              <w:tab/>
            </w:r>
            <w:r w:rsidR="00266328">
              <w:rPr>
                <w:noProof/>
                <w:webHidden/>
              </w:rPr>
              <w:fldChar w:fldCharType="begin"/>
            </w:r>
            <w:r w:rsidR="00266328">
              <w:rPr>
                <w:noProof/>
                <w:webHidden/>
              </w:rPr>
              <w:instrText xml:space="preserve"> PAGEREF _Toc134011817 \h </w:instrText>
            </w:r>
            <w:r w:rsidR="00266328">
              <w:rPr>
                <w:noProof/>
                <w:webHidden/>
              </w:rPr>
            </w:r>
            <w:r w:rsidR="00266328">
              <w:rPr>
                <w:noProof/>
                <w:webHidden/>
              </w:rPr>
              <w:fldChar w:fldCharType="separate"/>
            </w:r>
            <w:r w:rsidR="00266328">
              <w:rPr>
                <w:noProof/>
                <w:webHidden/>
              </w:rPr>
              <w:t>127</w:t>
            </w:r>
            <w:r w:rsidR="00266328">
              <w:rPr>
                <w:noProof/>
                <w:webHidden/>
              </w:rPr>
              <w:fldChar w:fldCharType="end"/>
            </w:r>
          </w:hyperlink>
        </w:p>
        <w:p w14:paraId="742B4E3E" w14:textId="61C21C69"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18" w:history="1">
            <w:r w:rsidR="00266328" w:rsidRPr="00BB50AC">
              <w:rPr>
                <w:rStyle w:val="Hyperlink"/>
                <w:noProof/>
                <w:lang w:val="bs-Latn-BA"/>
              </w:rPr>
              <w:t>1.2.4.4.</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Pregled fonda zgrada prema klimatskim regijama</w:t>
            </w:r>
            <w:r w:rsidR="00266328">
              <w:rPr>
                <w:noProof/>
                <w:webHidden/>
              </w:rPr>
              <w:tab/>
            </w:r>
            <w:r w:rsidR="00266328">
              <w:rPr>
                <w:noProof/>
                <w:webHidden/>
              </w:rPr>
              <w:fldChar w:fldCharType="begin"/>
            </w:r>
            <w:r w:rsidR="00266328">
              <w:rPr>
                <w:noProof/>
                <w:webHidden/>
              </w:rPr>
              <w:instrText xml:space="preserve"> PAGEREF _Toc134011818 \h </w:instrText>
            </w:r>
            <w:r w:rsidR="00266328">
              <w:rPr>
                <w:noProof/>
                <w:webHidden/>
              </w:rPr>
            </w:r>
            <w:r w:rsidR="00266328">
              <w:rPr>
                <w:noProof/>
                <w:webHidden/>
              </w:rPr>
              <w:fldChar w:fldCharType="separate"/>
            </w:r>
            <w:r w:rsidR="00266328">
              <w:rPr>
                <w:noProof/>
                <w:webHidden/>
              </w:rPr>
              <w:t>131</w:t>
            </w:r>
            <w:r w:rsidR="00266328">
              <w:rPr>
                <w:noProof/>
                <w:webHidden/>
              </w:rPr>
              <w:fldChar w:fldCharType="end"/>
            </w:r>
          </w:hyperlink>
        </w:p>
        <w:p w14:paraId="3C659723" w14:textId="4F1711C2"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19" w:history="1">
            <w:r w:rsidR="00266328" w:rsidRPr="00BB50AC">
              <w:rPr>
                <w:rStyle w:val="Hyperlink"/>
                <w:noProof/>
                <w:lang w:val="bs-Latn-BA"/>
              </w:rPr>
              <w:t>1.2.4.5.</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Pregled fonda zgrada prema području (urbano/ruralno)</w:t>
            </w:r>
            <w:r w:rsidR="00266328">
              <w:rPr>
                <w:noProof/>
                <w:webHidden/>
              </w:rPr>
              <w:tab/>
            </w:r>
            <w:r w:rsidR="00266328">
              <w:rPr>
                <w:noProof/>
                <w:webHidden/>
              </w:rPr>
              <w:fldChar w:fldCharType="begin"/>
            </w:r>
            <w:r w:rsidR="00266328">
              <w:rPr>
                <w:noProof/>
                <w:webHidden/>
              </w:rPr>
              <w:instrText xml:space="preserve"> PAGEREF _Toc134011819 \h </w:instrText>
            </w:r>
            <w:r w:rsidR="00266328">
              <w:rPr>
                <w:noProof/>
                <w:webHidden/>
              </w:rPr>
            </w:r>
            <w:r w:rsidR="00266328">
              <w:rPr>
                <w:noProof/>
                <w:webHidden/>
              </w:rPr>
              <w:fldChar w:fldCharType="separate"/>
            </w:r>
            <w:r w:rsidR="00266328">
              <w:rPr>
                <w:noProof/>
                <w:webHidden/>
              </w:rPr>
              <w:t>133</w:t>
            </w:r>
            <w:r w:rsidR="00266328">
              <w:rPr>
                <w:noProof/>
                <w:webHidden/>
              </w:rPr>
              <w:fldChar w:fldCharType="end"/>
            </w:r>
          </w:hyperlink>
        </w:p>
        <w:p w14:paraId="2063E1DF" w14:textId="0DEBDE79"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20" w:history="1">
            <w:r w:rsidR="00266328" w:rsidRPr="00BB50AC">
              <w:rPr>
                <w:rStyle w:val="Hyperlink"/>
                <w:noProof/>
                <w:lang w:val="bs-Latn-BA"/>
              </w:rPr>
              <w:t>1.2.4.6.</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Energijske karakteristike zgrada</w:t>
            </w:r>
            <w:r w:rsidR="00266328">
              <w:rPr>
                <w:noProof/>
                <w:webHidden/>
              </w:rPr>
              <w:tab/>
            </w:r>
            <w:r w:rsidR="00266328">
              <w:rPr>
                <w:noProof/>
                <w:webHidden/>
              </w:rPr>
              <w:fldChar w:fldCharType="begin"/>
            </w:r>
            <w:r w:rsidR="00266328">
              <w:rPr>
                <w:noProof/>
                <w:webHidden/>
              </w:rPr>
              <w:instrText xml:space="preserve"> PAGEREF _Toc134011820 \h </w:instrText>
            </w:r>
            <w:r w:rsidR="00266328">
              <w:rPr>
                <w:noProof/>
                <w:webHidden/>
              </w:rPr>
            </w:r>
            <w:r w:rsidR="00266328">
              <w:rPr>
                <w:noProof/>
                <w:webHidden/>
              </w:rPr>
              <w:fldChar w:fldCharType="separate"/>
            </w:r>
            <w:r w:rsidR="00266328">
              <w:rPr>
                <w:noProof/>
                <w:webHidden/>
              </w:rPr>
              <w:t>133</w:t>
            </w:r>
            <w:r w:rsidR="00266328">
              <w:rPr>
                <w:noProof/>
                <w:webHidden/>
              </w:rPr>
              <w:fldChar w:fldCharType="end"/>
            </w:r>
          </w:hyperlink>
        </w:p>
        <w:p w14:paraId="32DCFEC8" w14:textId="3D1128E6"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21" w:history="1">
            <w:r w:rsidR="00266328" w:rsidRPr="00BB50AC">
              <w:rPr>
                <w:rStyle w:val="Hyperlink"/>
                <w:noProof/>
                <w:lang w:val="bs-Latn-BA"/>
              </w:rPr>
              <w:t>1.2.4.7.</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Zgrade sa statusom nacionalnih spomenika</w:t>
            </w:r>
            <w:r w:rsidR="00266328">
              <w:rPr>
                <w:noProof/>
                <w:webHidden/>
              </w:rPr>
              <w:tab/>
            </w:r>
            <w:r w:rsidR="00266328">
              <w:rPr>
                <w:noProof/>
                <w:webHidden/>
              </w:rPr>
              <w:fldChar w:fldCharType="begin"/>
            </w:r>
            <w:r w:rsidR="00266328">
              <w:rPr>
                <w:noProof/>
                <w:webHidden/>
              </w:rPr>
              <w:instrText xml:space="preserve"> PAGEREF _Toc134011821 \h </w:instrText>
            </w:r>
            <w:r w:rsidR="00266328">
              <w:rPr>
                <w:noProof/>
                <w:webHidden/>
              </w:rPr>
            </w:r>
            <w:r w:rsidR="00266328">
              <w:rPr>
                <w:noProof/>
                <w:webHidden/>
              </w:rPr>
              <w:fldChar w:fldCharType="separate"/>
            </w:r>
            <w:r w:rsidR="00266328">
              <w:rPr>
                <w:noProof/>
                <w:webHidden/>
              </w:rPr>
              <w:t>141</w:t>
            </w:r>
            <w:r w:rsidR="00266328">
              <w:rPr>
                <w:noProof/>
                <w:webHidden/>
              </w:rPr>
              <w:fldChar w:fldCharType="end"/>
            </w:r>
          </w:hyperlink>
        </w:p>
        <w:p w14:paraId="6326FF2B" w14:textId="3E2C337E"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22" w:history="1">
            <w:r w:rsidR="00266328" w:rsidRPr="00BB50AC">
              <w:rPr>
                <w:rStyle w:val="Hyperlink"/>
                <w:noProof/>
                <w:lang w:val="bs-Latn-BA"/>
              </w:rPr>
              <w:t>1.2.4.8.</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Zgrade u vlasništvu i korištenju oružanih snaga BiH</w:t>
            </w:r>
            <w:r w:rsidR="00266328">
              <w:rPr>
                <w:noProof/>
                <w:webHidden/>
              </w:rPr>
              <w:tab/>
            </w:r>
            <w:r w:rsidR="00266328">
              <w:rPr>
                <w:noProof/>
                <w:webHidden/>
              </w:rPr>
              <w:fldChar w:fldCharType="begin"/>
            </w:r>
            <w:r w:rsidR="00266328">
              <w:rPr>
                <w:noProof/>
                <w:webHidden/>
              </w:rPr>
              <w:instrText xml:space="preserve"> PAGEREF _Toc134011822 \h </w:instrText>
            </w:r>
            <w:r w:rsidR="00266328">
              <w:rPr>
                <w:noProof/>
                <w:webHidden/>
              </w:rPr>
            </w:r>
            <w:r w:rsidR="00266328">
              <w:rPr>
                <w:noProof/>
                <w:webHidden/>
              </w:rPr>
              <w:fldChar w:fldCharType="separate"/>
            </w:r>
            <w:r w:rsidR="00266328">
              <w:rPr>
                <w:noProof/>
                <w:webHidden/>
              </w:rPr>
              <w:t>143</w:t>
            </w:r>
            <w:r w:rsidR="00266328">
              <w:rPr>
                <w:noProof/>
                <w:webHidden/>
              </w:rPr>
              <w:fldChar w:fldCharType="end"/>
            </w:r>
          </w:hyperlink>
        </w:p>
        <w:p w14:paraId="6A17FD85" w14:textId="7249CC82" w:rsidR="00266328" w:rsidRDefault="00000000">
          <w:pPr>
            <w:pStyle w:val="TOC4"/>
            <w:tabs>
              <w:tab w:val="left" w:pos="1540"/>
              <w:tab w:val="right" w:leader="dot" w:pos="9017"/>
            </w:tabs>
            <w:rPr>
              <w:rFonts w:asciiTheme="minorHAnsi" w:eastAsiaTheme="minorEastAsia" w:hAnsiTheme="minorHAnsi" w:cstheme="minorBidi"/>
              <w:noProof/>
              <w:kern w:val="2"/>
              <w:sz w:val="22"/>
              <w:szCs w:val="22"/>
              <w:lang w:val="en-US"/>
              <w14:ligatures w14:val="standardContextual"/>
            </w:rPr>
          </w:pPr>
          <w:hyperlink w:anchor="_Toc134011823" w:history="1">
            <w:r w:rsidR="00266328" w:rsidRPr="00BB50AC">
              <w:rPr>
                <w:rStyle w:val="Hyperlink"/>
                <w:noProof/>
                <w:lang w:val="bs-Latn-BA"/>
              </w:rPr>
              <w:t>1.2.4.9.</w:t>
            </w:r>
            <w:r w:rsidR="00266328">
              <w:rPr>
                <w:rFonts w:asciiTheme="minorHAnsi" w:eastAsiaTheme="minorEastAsia" w:hAnsiTheme="minorHAnsi" w:cstheme="minorBidi"/>
                <w:noProof/>
                <w:kern w:val="2"/>
                <w:sz w:val="22"/>
                <w:szCs w:val="22"/>
                <w:lang w:val="en-US"/>
                <w14:ligatures w14:val="standardContextual"/>
              </w:rPr>
              <w:tab/>
            </w:r>
            <w:r w:rsidR="00266328" w:rsidRPr="00BB50AC">
              <w:rPr>
                <w:rStyle w:val="Hyperlink"/>
                <w:noProof/>
                <w:lang w:val="bs-Latn-BA"/>
              </w:rPr>
              <w:t>Relevantna pravno-statusna i tehnička pitanja za stambene zgrade</w:t>
            </w:r>
            <w:r w:rsidR="00266328">
              <w:rPr>
                <w:noProof/>
                <w:webHidden/>
              </w:rPr>
              <w:tab/>
            </w:r>
            <w:r w:rsidR="00266328">
              <w:rPr>
                <w:noProof/>
                <w:webHidden/>
              </w:rPr>
              <w:fldChar w:fldCharType="begin"/>
            </w:r>
            <w:r w:rsidR="00266328">
              <w:rPr>
                <w:noProof/>
                <w:webHidden/>
              </w:rPr>
              <w:instrText xml:space="preserve"> PAGEREF _Toc134011823 \h </w:instrText>
            </w:r>
            <w:r w:rsidR="00266328">
              <w:rPr>
                <w:noProof/>
                <w:webHidden/>
              </w:rPr>
            </w:r>
            <w:r w:rsidR="00266328">
              <w:rPr>
                <w:noProof/>
                <w:webHidden/>
              </w:rPr>
              <w:fldChar w:fldCharType="separate"/>
            </w:r>
            <w:r w:rsidR="00266328">
              <w:rPr>
                <w:noProof/>
                <w:webHidden/>
              </w:rPr>
              <w:t>143</w:t>
            </w:r>
            <w:r w:rsidR="00266328">
              <w:rPr>
                <w:noProof/>
                <w:webHidden/>
              </w:rPr>
              <w:fldChar w:fldCharType="end"/>
            </w:r>
          </w:hyperlink>
        </w:p>
        <w:p w14:paraId="3565BC8C" w14:textId="074E4A10"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824" w:history="1">
            <w:r w:rsidR="00266328" w:rsidRPr="00BB50AC">
              <w:rPr>
                <w:rStyle w:val="Hyperlink"/>
                <w:noProof/>
                <w:lang w:val="bs-Latn-BA"/>
              </w:rPr>
              <w:t>2.</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SWOT analiza</w:t>
            </w:r>
            <w:r w:rsidR="00266328">
              <w:rPr>
                <w:noProof/>
                <w:webHidden/>
              </w:rPr>
              <w:tab/>
            </w:r>
            <w:r w:rsidR="00266328">
              <w:rPr>
                <w:noProof/>
                <w:webHidden/>
              </w:rPr>
              <w:fldChar w:fldCharType="begin"/>
            </w:r>
            <w:r w:rsidR="00266328">
              <w:rPr>
                <w:noProof/>
                <w:webHidden/>
              </w:rPr>
              <w:instrText xml:space="preserve"> PAGEREF _Toc134011824 \h </w:instrText>
            </w:r>
            <w:r w:rsidR="00266328">
              <w:rPr>
                <w:noProof/>
                <w:webHidden/>
              </w:rPr>
            </w:r>
            <w:r w:rsidR="00266328">
              <w:rPr>
                <w:noProof/>
                <w:webHidden/>
              </w:rPr>
              <w:fldChar w:fldCharType="separate"/>
            </w:r>
            <w:r w:rsidR="00266328">
              <w:rPr>
                <w:noProof/>
                <w:webHidden/>
              </w:rPr>
              <w:t>145</w:t>
            </w:r>
            <w:r w:rsidR="00266328">
              <w:rPr>
                <w:noProof/>
                <w:webHidden/>
              </w:rPr>
              <w:fldChar w:fldCharType="end"/>
            </w:r>
          </w:hyperlink>
        </w:p>
        <w:p w14:paraId="1AFF098C" w14:textId="768DE010"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825" w:history="1">
            <w:r w:rsidR="00266328" w:rsidRPr="00BB50AC">
              <w:rPr>
                <w:rStyle w:val="Hyperlink"/>
                <w:noProof/>
                <w:lang w:val="bs-Latn-BA"/>
              </w:rPr>
              <w:t>3.</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Razvojni strateški pravci</w:t>
            </w:r>
            <w:r w:rsidR="00266328">
              <w:rPr>
                <w:noProof/>
                <w:webHidden/>
              </w:rPr>
              <w:tab/>
            </w:r>
            <w:r w:rsidR="00266328">
              <w:rPr>
                <w:noProof/>
                <w:webHidden/>
              </w:rPr>
              <w:fldChar w:fldCharType="begin"/>
            </w:r>
            <w:r w:rsidR="00266328">
              <w:rPr>
                <w:noProof/>
                <w:webHidden/>
              </w:rPr>
              <w:instrText xml:space="preserve"> PAGEREF _Toc134011825 \h </w:instrText>
            </w:r>
            <w:r w:rsidR="00266328">
              <w:rPr>
                <w:noProof/>
                <w:webHidden/>
              </w:rPr>
            </w:r>
            <w:r w:rsidR="00266328">
              <w:rPr>
                <w:noProof/>
                <w:webHidden/>
              </w:rPr>
              <w:fldChar w:fldCharType="separate"/>
            </w:r>
            <w:r w:rsidR="00266328">
              <w:rPr>
                <w:noProof/>
                <w:webHidden/>
              </w:rPr>
              <w:t>149</w:t>
            </w:r>
            <w:r w:rsidR="00266328">
              <w:rPr>
                <w:noProof/>
                <w:webHidden/>
              </w:rPr>
              <w:fldChar w:fldCharType="end"/>
            </w:r>
          </w:hyperlink>
        </w:p>
        <w:p w14:paraId="451E0CA9" w14:textId="40B3E333"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826" w:history="1">
            <w:r w:rsidR="00266328" w:rsidRPr="00BB50AC">
              <w:rPr>
                <w:rStyle w:val="Hyperlink"/>
                <w:noProof/>
                <w:lang w:val="bs-Latn-BA"/>
              </w:rPr>
              <w:t>4.</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Vizija</w:t>
            </w:r>
            <w:r w:rsidR="00266328">
              <w:rPr>
                <w:noProof/>
                <w:webHidden/>
              </w:rPr>
              <w:tab/>
            </w:r>
            <w:r w:rsidR="00266328">
              <w:rPr>
                <w:noProof/>
                <w:webHidden/>
              </w:rPr>
              <w:fldChar w:fldCharType="begin"/>
            </w:r>
            <w:r w:rsidR="00266328">
              <w:rPr>
                <w:noProof/>
                <w:webHidden/>
              </w:rPr>
              <w:instrText xml:space="preserve"> PAGEREF _Toc134011826 \h </w:instrText>
            </w:r>
            <w:r w:rsidR="00266328">
              <w:rPr>
                <w:noProof/>
                <w:webHidden/>
              </w:rPr>
            </w:r>
            <w:r w:rsidR="00266328">
              <w:rPr>
                <w:noProof/>
                <w:webHidden/>
              </w:rPr>
              <w:fldChar w:fldCharType="separate"/>
            </w:r>
            <w:r w:rsidR="00266328">
              <w:rPr>
                <w:noProof/>
                <w:webHidden/>
              </w:rPr>
              <w:t>150</w:t>
            </w:r>
            <w:r w:rsidR="00266328">
              <w:rPr>
                <w:noProof/>
                <w:webHidden/>
              </w:rPr>
              <w:fldChar w:fldCharType="end"/>
            </w:r>
          </w:hyperlink>
        </w:p>
        <w:p w14:paraId="2CD89034" w14:textId="6FF0EB32" w:rsidR="00266328" w:rsidRDefault="00000000">
          <w:pPr>
            <w:pStyle w:val="TOC1"/>
            <w:tabs>
              <w:tab w:val="left" w:pos="440"/>
              <w:tab w:val="right" w:leader="dot" w:pos="9017"/>
            </w:tabs>
            <w:rPr>
              <w:rFonts w:asciiTheme="minorHAnsi" w:hAnsiTheme="minorHAnsi" w:cstheme="minorBidi"/>
              <w:noProof/>
              <w:kern w:val="2"/>
              <w:lang w:eastAsia="en-US"/>
              <w14:ligatures w14:val="standardContextual"/>
            </w:rPr>
          </w:pPr>
          <w:hyperlink w:anchor="_Toc134011827" w:history="1">
            <w:r w:rsidR="00266328" w:rsidRPr="00BB50AC">
              <w:rPr>
                <w:rStyle w:val="Hyperlink"/>
                <w:noProof/>
                <w:lang w:val="bs-Latn-BA"/>
              </w:rPr>
              <w:t>5.</w:t>
            </w:r>
            <w:r w:rsidR="00266328">
              <w:rPr>
                <w:rFonts w:asciiTheme="minorHAnsi" w:hAnsiTheme="minorHAnsi" w:cstheme="minorBidi"/>
                <w:noProof/>
                <w:kern w:val="2"/>
                <w:lang w:eastAsia="en-US"/>
                <w14:ligatures w14:val="standardContextual"/>
              </w:rPr>
              <w:tab/>
            </w:r>
            <w:r w:rsidR="00266328" w:rsidRPr="00BB50AC">
              <w:rPr>
                <w:rStyle w:val="Hyperlink"/>
                <w:noProof/>
                <w:lang w:val="bs-Latn-BA"/>
              </w:rPr>
              <w:t>Strateški cilje sa indikatorima</w:t>
            </w:r>
            <w:r w:rsidR="00266328">
              <w:rPr>
                <w:noProof/>
                <w:webHidden/>
              </w:rPr>
              <w:tab/>
            </w:r>
            <w:r w:rsidR="00266328">
              <w:rPr>
                <w:noProof/>
                <w:webHidden/>
              </w:rPr>
              <w:fldChar w:fldCharType="begin"/>
            </w:r>
            <w:r w:rsidR="00266328">
              <w:rPr>
                <w:noProof/>
                <w:webHidden/>
              </w:rPr>
              <w:instrText xml:space="preserve"> PAGEREF _Toc134011827 \h </w:instrText>
            </w:r>
            <w:r w:rsidR="00266328">
              <w:rPr>
                <w:noProof/>
                <w:webHidden/>
              </w:rPr>
            </w:r>
            <w:r w:rsidR="00266328">
              <w:rPr>
                <w:noProof/>
                <w:webHidden/>
              </w:rPr>
              <w:fldChar w:fldCharType="separate"/>
            </w:r>
            <w:r w:rsidR="00266328">
              <w:rPr>
                <w:noProof/>
                <w:webHidden/>
              </w:rPr>
              <w:t>151</w:t>
            </w:r>
            <w:r w:rsidR="00266328">
              <w:rPr>
                <w:noProof/>
                <w:webHidden/>
              </w:rPr>
              <w:fldChar w:fldCharType="end"/>
            </w:r>
          </w:hyperlink>
        </w:p>
        <w:p w14:paraId="0B20E872" w14:textId="3975DE0D" w:rsidR="00266328" w:rsidRDefault="00000000">
          <w:pPr>
            <w:pStyle w:val="TOC1"/>
            <w:tabs>
              <w:tab w:val="right" w:leader="dot" w:pos="9017"/>
            </w:tabs>
            <w:rPr>
              <w:rFonts w:asciiTheme="minorHAnsi" w:hAnsiTheme="minorHAnsi" w:cstheme="minorBidi"/>
              <w:noProof/>
              <w:kern w:val="2"/>
              <w:lang w:eastAsia="en-US"/>
              <w14:ligatures w14:val="standardContextual"/>
            </w:rPr>
          </w:pPr>
          <w:hyperlink w:anchor="_Toc134011828" w:history="1">
            <w:r w:rsidR="00266328" w:rsidRPr="00BB50AC">
              <w:rPr>
                <w:rStyle w:val="Hyperlink"/>
                <w:noProof/>
                <w:lang w:val="bs-Latn-BA"/>
              </w:rPr>
              <w:t>Aneks 11.2.</w:t>
            </w:r>
            <w:r w:rsidR="00266328">
              <w:rPr>
                <w:noProof/>
                <w:webHidden/>
              </w:rPr>
              <w:tab/>
            </w:r>
            <w:r w:rsidR="00266328">
              <w:rPr>
                <w:noProof/>
                <w:webHidden/>
              </w:rPr>
              <w:fldChar w:fldCharType="begin"/>
            </w:r>
            <w:r w:rsidR="00266328">
              <w:rPr>
                <w:noProof/>
                <w:webHidden/>
              </w:rPr>
              <w:instrText xml:space="preserve"> PAGEREF _Toc134011828 \h </w:instrText>
            </w:r>
            <w:r w:rsidR="00266328">
              <w:rPr>
                <w:noProof/>
                <w:webHidden/>
              </w:rPr>
            </w:r>
            <w:r w:rsidR="00266328">
              <w:rPr>
                <w:noProof/>
                <w:webHidden/>
              </w:rPr>
              <w:fldChar w:fldCharType="separate"/>
            </w:r>
            <w:r w:rsidR="00266328">
              <w:rPr>
                <w:noProof/>
                <w:webHidden/>
              </w:rPr>
              <w:t>154</w:t>
            </w:r>
            <w:r w:rsidR="00266328">
              <w:rPr>
                <w:noProof/>
                <w:webHidden/>
              </w:rPr>
              <w:fldChar w:fldCharType="end"/>
            </w:r>
          </w:hyperlink>
        </w:p>
        <w:p w14:paraId="088210D2" w14:textId="15E62168" w:rsidR="00266328" w:rsidRDefault="00000000">
          <w:pPr>
            <w:pStyle w:val="TOC2"/>
            <w:rPr>
              <w:rFonts w:asciiTheme="minorHAnsi" w:hAnsiTheme="minorHAnsi" w:cstheme="minorBidi"/>
              <w:noProof/>
              <w:kern w:val="2"/>
              <w:lang w:eastAsia="en-US"/>
              <w14:ligatures w14:val="standardContextual"/>
            </w:rPr>
          </w:pPr>
          <w:hyperlink w:anchor="_Toc134011829" w:history="1">
            <w:r w:rsidR="00266328" w:rsidRPr="00BB50AC">
              <w:rPr>
                <w:rStyle w:val="Hyperlink"/>
                <w:noProof/>
                <w:lang w:val="bs-Latn-BA"/>
              </w:rPr>
              <w:t>Scenariji dugoročnog plana energijske obnove stambenog fonda i fonda javnih zgrada u FBiH do 2050. godine</w:t>
            </w:r>
            <w:r w:rsidR="00266328">
              <w:rPr>
                <w:noProof/>
                <w:webHidden/>
              </w:rPr>
              <w:tab/>
            </w:r>
            <w:r w:rsidR="00266328">
              <w:rPr>
                <w:noProof/>
                <w:webHidden/>
              </w:rPr>
              <w:fldChar w:fldCharType="begin"/>
            </w:r>
            <w:r w:rsidR="00266328">
              <w:rPr>
                <w:noProof/>
                <w:webHidden/>
              </w:rPr>
              <w:instrText xml:space="preserve"> PAGEREF _Toc134011829 \h </w:instrText>
            </w:r>
            <w:r w:rsidR="00266328">
              <w:rPr>
                <w:noProof/>
                <w:webHidden/>
              </w:rPr>
            </w:r>
            <w:r w:rsidR="00266328">
              <w:rPr>
                <w:noProof/>
                <w:webHidden/>
              </w:rPr>
              <w:fldChar w:fldCharType="separate"/>
            </w:r>
            <w:r w:rsidR="00266328">
              <w:rPr>
                <w:noProof/>
                <w:webHidden/>
              </w:rPr>
              <w:t>154</w:t>
            </w:r>
            <w:r w:rsidR="00266328">
              <w:rPr>
                <w:noProof/>
                <w:webHidden/>
              </w:rPr>
              <w:fldChar w:fldCharType="end"/>
            </w:r>
          </w:hyperlink>
        </w:p>
        <w:p w14:paraId="00CBECA2" w14:textId="7512B2FE" w:rsidR="00266328" w:rsidRDefault="00000000">
          <w:pPr>
            <w:pStyle w:val="TOC2"/>
            <w:rPr>
              <w:rFonts w:asciiTheme="minorHAnsi" w:hAnsiTheme="minorHAnsi" w:cstheme="minorBidi"/>
              <w:noProof/>
              <w:kern w:val="2"/>
              <w:lang w:eastAsia="en-US"/>
              <w14:ligatures w14:val="standardContextual"/>
            </w:rPr>
          </w:pPr>
          <w:hyperlink w:anchor="_Toc134011830" w:history="1">
            <w:r w:rsidR="00266328" w:rsidRPr="00BB50AC">
              <w:rPr>
                <w:rStyle w:val="Hyperlink"/>
                <w:noProof/>
                <w:lang w:val="bs-Latn-BA"/>
              </w:rPr>
              <w:t>Scenariji energijske obnove stambenog fonda</w:t>
            </w:r>
            <w:r w:rsidR="00266328">
              <w:rPr>
                <w:noProof/>
                <w:webHidden/>
              </w:rPr>
              <w:tab/>
            </w:r>
            <w:r w:rsidR="00266328">
              <w:rPr>
                <w:noProof/>
                <w:webHidden/>
              </w:rPr>
              <w:fldChar w:fldCharType="begin"/>
            </w:r>
            <w:r w:rsidR="00266328">
              <w:rPr>
                <w:noProof/>
                <w:webHidden/>
              </w:rPr>
              <w:instrText xml:space="preserve"> PAGEREF _Toc134011830 \h </w:instrText>
            </w:r>
            <w:r w:rsidR="00266328">
              <w:rPr>
                <w:noProof/>
                <w:webHidden/>
              </w:rPr>
            </w:r>
            <w:r w:rsidR="00266328">
              <w:rPr>
                <w:noProof/>
                <w:webHidden/>
              </w:rPr>
              <w:fldChar w:fldCharType="separate"/>
            </w:r>
            <w:r w:rsidR="00266328">
              <w:rPr>
                <w:noProof/>
                <w:webHidden/>
              </w:rPr>
              <w:t>154</w:t>
            </w:r>
            <w:r w:rsidR="00266328">
              <w:rPr>
                <w:noProof/>
                <w:webHidden/>
              </w:rPr>
              <w:fldChar w:fldCharType="end"/>
            </w:r>
          </w:hyperlink>
        </w:p>
        <w:p w14:paraId="2A41BA00" w14:textId="4F3E4EF7" w:rsidR="00266328" w:rsidRDefault="00000000">
          <w:pPr>
            <w:pStyle w:val="TOC2"/>
            <w:rPr>
              <w:rFonts w:asciiTheme="minorHAnsi" w:hAnsiTheme="minorHAnsi" w:cstheme="minorBidi"/>
              <w:noProof/>
              <w:kern w:val="2"/>
              <w:lang w:eastAsia="en-US"/>
              <w14:ligatures w14:val="standardContextual"/>
            </w:rPr>
          </w:pPr>
          <w:hyperlink w:anchor="_Toc134011831" w:history="1">
            <w:r w:rsidR="00266328" w:rsidRPr="00BB50AC">
              <w:rPr>
                <w:rStyle w:val="Hyperlink"/>
                <w:noProof/>
                <w:lang w:val="bs-Latn-BA"/>
              </w:rPr>
              <w:t>Scenariji energijske obnove fonda javnih zgrada</w:t>
            </w:r>
            <w:r w:rsidR="00266328">
              <w:rPr>
                <w:noProof/>
                <w:webHidden/>
              </w:rPr>
              <w:tab/>
            </w:r>
            <w:r w:rsidR="00266328">
              <w:rPr>
                <w:noProof/>
                <w:webHidden/>
              </w:rPr>
              <w:fldChar w:fldCharType="begin"/>
            </w:r>
            <w:r w:rsidR="00266328">
              <w:rPr>
                <w:noProof/>
                <w:webHidden/>
              </w:rPr>
              <w:instrText xml:space="preserve"> PAGEREF _Toc134011831 \h </w:instrText>
            </w:r>
            <w:r w:rsidR="00266328">
              <w:rPr>
                <w:noProof/>
                <w:webHidden/>
              </w:rPr>
            </w:r>
            <w:r w:rsidR="00266328">
              <w:rPr>
                <w:noProof/>
                <w:webHidden/>
              </w:rPr>
              <w:fldChar w:fldCharType="separate"/>
            </w:r>
            <w:r w:rsidR="00266328">
              <w:rPr>
                <w:noProof/>
                <w:webHidden/>
              </w:rPr>
              <w:t>156</w:t>
            </w:r>
            <w:r w:rsidR="00266328">
              <w:rPr>
                <w:noProof/>
                <w:webHidden/>
              </w:rPr>
              <w:fldChar w:fldCharType="end"/>
            </w:r>
          </w:hyperlink>
        </w:p>
        <w:p w14:paraId="36895FDA" w14:textId="040187AC" w:rsidR="00266328" w:rsidRDefault="00000000">
          <w:pPr>
            <w:pStyle w:val="TOC1"/>
            <w:tabs>
              <w:tab w:val="right" w:leader="dot" w:pos="9017"/>
            </w:tabs>
            <w:rPr>
              <w:rFonts w:asciiTheme="minorHAnsi" w:hAnsiTheme="minorHAnsi" w:cstheme="minorBidi"/>
              <w:noProof/>
              <w:kern w:val="2"/>
              <w:lang w:eastAsia="en-US"/>
              <w14:ligatures w14:val="standardContextual"/>
            </w:rPr>
          </w:pPr>
          <w:hyperlink w:anchor="_Toc134011832" w:history="1">
            <w:r w:rsidR="00266328" w:rsidRPr="00BB50AC">
              <w:rPr>
                <w:rStyle w:val="Hyperlink"/>
                <w:noProof/>
                <w:lang w:val="bs-Latn-BA"/>
              </w:rPr>
              <w:t>Aneks 11.3.</w:t>
            </w:r>
            <w:r w:rsidR="00266328">
              <w:rPr>
                <w:noProof/>
                <w:webHidden/>
              </w:rPr>
              <w:tab/>
            </w:r>
            <w:r w:rsidR="00266328">
              <w:rPr>
                <w:noProof/>
                <w:webHidden/>
              </w:rPr>
              <w:fldChar w:fldCharType="begin"/>
            </w:r>
            <w:r w:rsidR="00266328">
              <w:rPr>
                <w:noProof/>
                <w:webHidden/>
              </w:rPr>
              <w:instrText xml:space="preserve"> PAGEREF _Toc134011832 \h </w:instrText>
            </w:r>
            <w:r w:rsidR="00266328">
              <w:rPr>
                <w:noProof/>
                <w:webHidden/>
              </w:rPr>
            </w:r>
            <w:r w:rsidR="00266328">
              <w:rPr>
                <w:noProof/>
                <w:webHidden/>
              </w:rPr>
              <w:fldChar w:fldCharType="separate"/>
            </w:r>
            <w:r w:rsidR="00266328">
              <w:rPr>
                <w:noProof/>
                <w:webHidden/>
              </w:rPr>
              <w:t>159</w:t>
            </w:r>
            <w:r w:rsidR="00266328">
              <w:rPr>
                <w:noProof/>
                <w:webHidden/>
              </w:rPr>
              <w:fldChar w:fldCharType="end"/>
            </w:r>
          </w:hyperlink>
        </w:p>
        <w:p w14:paraId="4F2F08F8" w14:textId="44732AC3" w:rsidR="00266328" w:rsidRDefault="00000000">
          <w:pPr>
            <w:pStyle w:val="TOC2"/>
            <w:rPr>
              <w:rFonts w:asciiTheme="minorHAnsi" w:hAnsiTheme="minorHAnsi" w:cstheme="minorBidi"/>
              <w:noProof/>
              <w:kern w:val="2"/>
              <w:lang w:eastAsia="en-US"/>
              <w14:ligatures w14:val="standardContextual"/>
            </w:rPr>
          </w:pPr>
          <w:hyperlink w:anchor="_Toc134011833" w:history="1">
            <w:r w:rsidR="00266328" w:rsidRPr="00BB50AC">
              <w:rPr>
                <w:rStyle w:val="Hyperlink"/>
                <w:noProof/>
                <w:lang w:val="bs-Latn-BA"/>
              </w:rPr>
              <w:t>Tehničke mogućnosti proširenja daljinskog grijanja u urbanim zonama uz mogućnost primjene obnovljivih izvora energije</w:t>
            </w:r>
            <w:r w:rsidR="00266328">
              <w:rPr>
                <w:noProof/>
                <w:webHidden/>
              </w:rPr>
              <w:tab/>
            </w:r>
            <w:r w:rsidR="00266328">
              <w:rPr>
                <w:noProof/>
                <w:webHidden/>
              </w:rPr>
              <w:fldChar w:fldCharType="begin"/>
            </w:r>
            <w:r w:rsidR="00266328">
              <w:rPr>
                <w:noProof/>
                <w:webHidden/>
              </w:rPr>
              <w:instrText xml:space="preserve"> PAGEREF _Toc134011833 \h </w:instrText>
            </w:r>
            <w:r w:rsidR="00266328">
              <w:rPr>
                <w:noProof/>
                <w:webHidden/>
              </w:rPr>
            </w:r>
            <w:r w:rsidR="00266328">
              <w:rPr>
                <w:noProof/>
                <w:webHidden/>
              </w:rPr>
              <w:fldChar w:fldCharType="separate"/>
            </w:r>
            <w:r w:rsidR="00266328">
              <w:rPr>
                <w:noProof/>
                <w:webHidden/>
              </w:rPr>
              <w:t>159</w:t>
            </w:r>
            <w:r w:rsidR="00266328">
              <w:rPr>
                <w:noProof/>
                <w:webHidden/>
              </w:rPr>
              <w:fldChar w:fldCharType="end"/>
            </w:r>
          </w:hyperlink>
        </w:p>
        <w:p w14:paraId="5A780149" w14:textId="02BAA01D" w:rsidR="00266328" w:rsidRDefault="00000000">
          <w:pPr>
            <w:pStyle w:val="TOC1"/>
            <w:tabs>
              <w:tab w:val="right" w:leader="dot" w:pos="9017"/>
            </w:tabs>
            <w:rPr>
              <w:rFonts w:asciiTheme="minorHAnsi" w:hAnsiTheme="minorHAnsi" w:cstheme="minorBidi"/>
              <w:noProof/>
              <w:kern w:val="2"/>
              <w:lang w:eastAsia="en-US"/>
              <w14:ligatures w14:val="standardContextual"/>
            </w:rPr>
          </w:pPr>
          <w:hyperlink w:anchor="_Toc134011834" w:history="1">
            <w:r w:rsidR="00266328" w:rsidRPr="00BB50AC">
              <w:rPr>
                <w:rStyle w:val="Hyperlink"/>
                <w:noProof/>
                <w:lang w:val="bs-Latn-BA"/>
              </w:rPr>
              <w:t>Aneks 11.4.</w:t>
            </w:r>
            <w:r w:rsidR="00266328">
              <w:rPr>
                <w:noProof/>
                <w:webHidden/>
              </w:rPr>
              <w:tab/>
            </w:r>
            <w:r w:rsidR="00266328">
              <w:rPr>
                <w:noProof/>
                <w:webHidden/>
              </w:rPr>
              <w:fldChar w:fldCharType="begin"/>
            </w:r>
            <w:r w:rsidR="00266328">
              <w:rPr>
                <w:noProof/>
                <w:webHidden/>
              </w:rPr>
              <w:instrText xml:space="preserve"> PAGEREF _Toc134011834 \h </w:instrText>
            </w:r>
            <w:r w:rsidR="00266328">
              <w:rPr>
                <w:noProof/>
                <w:webHidden/>
              </w:rPr>
            </w:r>
            <w:r w:rsidR="00266328">
              <w:rPr>
                <w:noProof/>
                <w:webHidden/>
              </w:rPr>
              <w:fldChar w:fldCharType="separate"/>
            </w:r>
            <w:r w:rsidR="00266328">
              <w:rPr>
                <w:noProof/>
                <w:webHidden/>
              </w:rPr>
              <w:t>162</w:t>
            </w:r>
            <w:r w:rsidR="00266328">
              <w:rPr>
                <w:noProof/>
                <w:webHidden/>
              </w:rPr>
              <w:fldChar w:fldCharType="end"/>
            </w:r>
          </w:hyperlink>
        </w:p>
        <w:p w14:paraId="48D63CA3" w14:textId="5FF27F50" w:rsidR="00266328" w:rsidRDefault="00000000">
          <w:pPr>
            <w:pStyle w:val="TOC2"/>
            <w:rPr>
              <w:rFonts w:asciiTheme="minorHAnsi" w:hAnsiTheme="minorHAnsi" w:cstheme="minorBidi"/>
              <w:noProof/>
              <w:kern w:val="2"/>
              <w:lang w:eastAsia="en-US"/>
              <w14:ligatures w14:val="standardContextual"/>
            </w:rPr>
          </w:pPr>
          <w:hyperlink w:anchor="_Toc134011835" w:history="1">
            <w:r w:rsidR="00266328" w:rsidRPr="00BB50AC">
              <w:rPr>
                <w:rStyle w:val="Hyperlink"/>
                <w:noProof/>
                <w:lang w:val="bs-Latn-BA"/>
              </w:rPr>
              <w:t>Energijsko siromaštvo</w:t>
            </w:r>
            <w:r w:rsidR="00266328">
              <w:rPr>
                <w:noProof/>
                <w:webHidden/>
              </w:rPr>
              <w:tab/>
            </w:r>
            <w:r w:rsidR="00266328">
              <w:rPr>
                <w:noProof/>
                <w:webHidden/>
              </w:rPr>
              <w:fldChar w:fldCharType="begin"/>
            </w:r>
            <w:r w:rsidR="00266328">
              <w:rPr>
                <w:noProof/>
                <w:webHidden/>
              </w:rPr>
              <w:instrText xml:space="preserve"> PAGEREF _Toc134011835 \h </w:instrText>
            </w:r>
            <w:r w:rsidR="00266328">
              <w:rPr>
                <w:noProof/>
                <w:webHidden/>
              </w:rPr>
            </w:r>
            <w:r w:rsidR="00266328">
              <w:rPr>
                <w:noProof/>
                <w:webHidden/>
              </w:rPr>
              <w:fldChar w:fldCharType="separate"/>
            </w:r>
            <w:r w:rsidR="00266328">
              <w:rPr>
                <w:noProof/>
                <w:webHidden/>
              </w:rPr>
              <w:t>162</w:t>
            </w:r>
            <w:r w:rsidR="00266328">
              <w:rPr>
                <w:noProof/>
                <w:webHidden/>
              </w:rPr>
              <w:fldChar w:fldCharType="end"/>
            </w:r>
          </w:hyperlink>
        </w:p>
        <w:p w14:paraId="5DE1215D" w14:textId="2C4892E9" w:rsidR="00266328" w:rsidRDefault="00000000">
          <w:pPr>
            <w:pStyle w:val="TOC1"/>
            <w:tabs>
              <w:tab w:val="right" w:leader="dot" w:pos="9017"/>
            </w:tabs>
            <w:rPr>
              <w:rFonts w:asciiTheme="minorHAnsi" w:hAnsiTheme="minorHAnsi" w:cstheme="minorBidi"/>
              <w:noProof/>
              <w:kern w:val="2"/>
              <w:lang w:eastAsia="en-US"/>
              <w14:ligatures w14:val="standardContextual"/>
            </w:rPr>
          </w:pPr>
          <w:hyperlink w:anchor="_Toc134011836" w:history="1">
            <w:r w:rsidR="00266328" w:rsidRPr="00BB50AC">
              <w:rPr>
                <w:rStyle w:val="Hyperlink"/>
                <w:noProof/>
                <w:lang w:val="bs-Latn-BA"/>
              </w:rPr>
              <w:t>ANEKS 11.5.</w:t>
            </w:r>
            <w:r w:rsidR="00266328">
              <w:rPr>
                <w:noProof/>
                <w:webHidden/>
              </w:rPr>
              <w:tab/>
            </w:r>
            <w:r w:rsidR="00266328">
              <w:rPr>
                <w:noProof/>
                <w:webHidden/>
              </w:rPr>
              <w:fldChar w:fldCharType="begin"/>
            </w:r>
            <w:r w:rsidR="00266328">
              <w:rPr>
                <w:noProof/>
                <w:webHidden/>
              </w:rPr>
              <w:instrText xml:space="preserve"> PAGEREF _Toc134011836 \h </w:instrText>
            </w:r>
            <w:r w:rsidR="00266328">
              <w:rPr>
                <w:noProof/>
                <w:webHidden/>
              </w:rPr>
            </w:r>
            <w:r w:rsidR="00266328">
              <w:rPr>
                <w:noProof/>
                <w:webHidden/>
              </w:rPr>
              <w:fldChar w:fldCharType="separate"/>
            </w:r>
            <w:r w:rsidR="00266328">
              <w:rPr>
                <w:noProof/>
                <w:webHidden/>
              </w:rPr>
              <w:t>168</w:t>
            </w:r>
            <w:r w:rsidR="00266328">
              <w:rPr>
                <w:noProof/>
                <w:webHidden/>
              </w:rPr>
              <w:fldChar w:fldCharType="end"/>
            </w:r>
          </w:hyperlink>
        </w:p>
        <w:p w14:paraId="20C9D90F" w14:textId="60CD91F8" w:rsidR="00266328" w:rsidRDefault="00000000">
          <w:pPr>
            <w:pStyle w:val="TOC2"/>
            <w:rPr>
              <w:rFonts w:asciiTheme="minorHAnsi" w:hAnsiTheme="minorHAnsi" w:cstheme="minorBidi"/>
              <w:noProof/>
              <w:kern w:val="2"/>
              <w:lang w:eastAsia="en-US"/>
              <w14:ligatures w14:val="standardContextual"/>
            </w:rPr>
          </w:pPr>
          <w:hyperlink w:anchor="_Toc134011837" w:history="1">
            <w:r w:rsidR="00266328" w:rsidRPr="00BB50AC">
              <w:rPr>
                <w:rStyle w:val="Hyperlink"/>
                <w:noProof/>
                <w:lang w:val="bs-Latn-BA"/>
              </w:rPr>
              <w:t>Sažet pregled mjera</w:t>
            </w:r>
            <w:r w:rsidR="00266328">
              <w:rPr>
                <w:noProof/>
                <w:webHidden/>
              </w:rPr>
              <w:tab/>
            </w:r>
            <w:r w:rsidR="00266328">
              <w:rPr>
                <w:noProof/>
                <w:webHidden/>
              </w:rPr>
              <w:fldChar w:fldCharType="begin"/>
            </w:r>
            <w:r w:rsidR="00266328">
              <w:rPr>
                <w:noProof/>
                <w:webHidden/>
              </w:rPr>
              <w:instrText xml:space="preserve"> PAGEREF _Toc134011837 \h </w:instrText>
            </w:r>
            <w:r w:rsidR="00266328">
              <w:rPr>
                <w:noProof/>
                <w:webHidden/>
              </w:rPr>
            </w:r>
            <w:r w:rsidR="00266328">
              <w:rPr>
                <w:noProof/>
                <w:webHidden/>
              </w:rPr>
              <w:fldChar w:fldCharType="separate"/>
            </w:r>
            <w:r w:rsidR="00266328">
              <w:rPr>
                <w:noProof/>
                <w:webHidden/>
              </w:rPr>
              <w:t>168</w:t>
            </w:r>
            <w:r w:rsidR="00266328">
              <w:rPr>
                <w:noProof/>
                <w:webHidden/>
              </w:rPr>
              <w:fldChar w:fldCharType="end"/>
            </w:r>
          </w:hyperlink>
        </w:p>
        <w:p w14:paraId="7A98D9FB" w14:textId="3F1A5EAD" w:rsidR="00266328" w:rsidRDefault="00000000">
          <w:pPr>
            <w:pStyle w:val="TOC1"/>
            <w:tabs>
              <w:tab w:val="right" w:leader="dot" w:pos="9017"/>
            </w:tabs>
            <w:rPr>
              <w:rFonts w:asciiTheme="minorHAnsi" w:hAnsiTheme="minorHAnsi" w:cstheme="minorBidi"/>
              <w:noProof/>
              <w:kern w:val="2"/>
              <w:lang w:eastAsia="en-US"/>
              <w14:ligatures w14:val="standardContextual"/>
            </w:rPr>
          </w:pPr>
          <w:hyperlink w:anchor="_Toc134011838" w:history="1">
            <w:r w:rsidR="00266328" w:rsidRPr="00BB50AC">
              <w:rPr>
                <w:rStyle w:val="Hyperlink"/>
                <w:noProof/>
                <w:lang w:val="bs-Latn-BA"/>
              </w:rPr>
              <w:t>ANEKS 11.6.</w:t>
            </w:r>
            <w:r w:rsidR="00266328">
              <w:rPr>
                <w:noProof/>
                <w:webHidden/>
              </w:rPr>
              <w:tab/>
            </w:r>
            <w:r w:rsidR="00266328">
              <w:rPr>
                <w:noProof/>
                <w:webHidden/>
              </w:rPr>
              <w:fldChar w:fldCharType="begin"/>
            </w:r>
            <w:r w:rsidR="00266328">
              <w:rPr>
                <w:noProof/>
                <w:webHidden/>
              </w:rPr>
              <w:instrText xml:space="preserve"> PAGEREF _Toc134011838 \h </w:instrText>
            </w:r>
            <w:r w:rsidR="00266328">
              <w:rPr>
                <w:noProof/>
                <w:webHidden/>
              </w:rPr>
            </w:r>
            <w:r w:rsidR="00266328">
              <w:rPr>
                <w:noProof/>
                <w:webHidden/>
              </w:rPr>
              <w:fldChar w:fldCharType="separate"/>
            </w:r>
            <w:r w:rsidR="00266328">
              <w:rPr>
                <w:noProof/>
                <w:webHidden/>
              </w:rPr>
              <w:t>195</w:t>
            </w:r>
            <w:r w:rsidR="00266328">
              <w:rPr>
                <w:noProof/>
                <w:webHidden/>
              </w:rPr>
              <w:fldChar w:fldCharType="end"/>
            </w:r>
          </w:hyperlink>
        </w:p>
        <w:p w14:paraId="54EF619A" w14:textId="0B5EE5B7" w:rsidR="00266328" w:rsidRDefault="00000000">
          <w:pPr>
            <w:pStyle w:val="TOC2"/>
            <w:rPr>
              <w:rFonts w:asciiTheme="minorHAnsi" w:hAnsiTheme="minorHAnsi" w:cstheme="minorBidi"/>
              <w:noProof/>
              <w:kern w:val="2"/>
              <w:lang w:eastAsia="en-US"/>
              <w14:ligatures w14:val="standardContextual"/>
            </w:rPr>
          </w:pPr>
          <w:hyperlink w:anchor="_Toc134011839" w:history="1">
            <w:r w:rsidR="00266328" w:rsidRPr="00BB50AC">
              <w:rPr>
                <w:rStyle w:val="Hyperlink"/>
                <w:noProof/>
                <w:lang w:val="bs-Latn-BA"/>
              </w:rPr>
              <w:t>Indikativni financijski okvir 2020.-2030.</w:t>
            </w:r>
            <w:r w:rsidR="00266328">
              <w:rPr>
                <w:noProof/>
                <w:webHidden/>
              </w:rPr>
              <w:tab/>
            </w:r>
            <w:r w:rsidR="00266328">
              <w:rPr>
                <w:noProof/>
                <w:webHidden/>
              </w:rPr>
              <w:fldChar w:fldCharType="begin"/>
            </w:r>
            <w:r w:rsidR="00266328">
              <w:rPr>
                <w:noProof/>
                <w:webHidden/>
              </w:rPr>
              <w:instrText xml:space="preserve"> PAGEREF _Toc134011839 \h </w:instrText>
            </w:r>
            <w:r w:rsidR="00266328">
              <w:rPr>
                <w:noProof/>
                <w:webHidden/>
              </w:rPr>
            </w:r>
            <w:r w:rsidR="00266328">
              <w:rPr>
                <w:noProof/>
                <w:webHidden/>
              </w:rPr>
              <w:fldChar w:fldCharType="separate"/>
            </w:r>
            <w:r w:rsidR="00266328">
              <w:rPr>
                <w:noProof/>
                <w:webHidden/>
              </w:rPr>
              <w:t>195</w:t>
            </w:r>
            <w:r w:rsidR="00266328">
              <w:rPr>
                <w:noProof/>
                <w:webHidden/>
              </w:rPr>
              <w:fldChar w:fldCharType="end"/>
            </w:r>
          </w:hyperlink>
        </w:p>
        <w:p w14:paraId="7E802EAD" w14:textId="3C374E7B" w:rsidR="00266328" w:rsidRDefault="00000000">
          <w:pPr>
            <w:pStyle w:val="TOC2"/>
            <w:rPr>
              <w:rFonts w:asciiTheme="minorHAnsi" w:hAnsiTheme="minorHAnsi" w:cstheme="minorBidi"/>
              <w:noProof/>
              <w:kern w:val="2"/>
              <w:lang w:eastAsia="en-US"/>
              <w14:ligatures w14:val="standardContextual"/>
            </w:rPr>
          </w:pPr>
          <w:hyperlink w:anchor="_Toc134011840" w:history="1">
            <w:r w:rsidR="00266328" w:rsidRPr="00BB50AC">
              <w:rPr>
                <w:rStyle w:val="Hyperlink"/>
                <w:noProof/>
                <w:lang w:val="bs-Latn-BA"/>
              </w:rPr>
              <w:t>Indikativni financijski okvir 2030.-2040.</w:t>
            </w:r>
            <w:r w:rsidR="00266328">
              <w:rPr>
                <w:noProof/>
                <w:webHidden/>
              </w:rPr>
              <w:tab/>
            </w:r>
            <w:r w:rsidR="00266328">
              <w:rPr>
                <w:noProof/>
                <w:webHidden/>
              </w:rPr>
              <w:fldChar w:fldCharType="begin"/>
            </w:r>
            <w:r w:rsidR="00266328">
              <w:rPr>
                <w:noProof/>
                <w:webHidden/>
              </w:rPr>
              <w:instrText xml:space="preserve"> PAGEREF _Toc134011840 \h </w:instrText>
            </w:r>
            <w:r w:rsidR="00266328">
              <w:rPr>
                <w:noProof/>
                <w:webHidden/>
              </w:rPr>
            </w:r>
            <w:r w:rsidR="00266328">
              <w:rPr>
                <w:noProof/>
                <w:webHidden/>
              </w:rPr>
              <w:fldChar w:fldCharType="separate"/>
            </w:r>
            <w:r w:rsidR="00266328">
              <w:rPr>
                <w:noProof/>
                <w:webHidden/>
              </w:rPr>
              <w:t>197</w:t>
            </w:r>
            <w:r w:rsidR="00266328">
              <w:rPr>
                <w:noProof/>
                <w:webHidden/>
              </w:rPr>
              <w:fldChar w:fldCharType="end"/>
            </w:r>
          </w:hyperlink>
        </w:p>
        <w:p w14:paraId="168BABF8" w14:textId="5D51D634" w:rsidR="00266328" w:rsidRDefault="00000000">
          <w:pPr>
            <w:pStyle w:val="TOC2"/>
            <w:rPr>
              <w:rFonts w:asciiTheme="minorHAnsi" w:hAnsiTheme="minorHAnsi" w:cstheme="minorBidi"/>
              <w:noProof/>
              <w:kern w:val="2"/>
              <w:lang w:eastAsia="en-US"/>
              <w14:ligatures w14:val="standardContextual"/>
            </w:rPr>
          </w:pPr>
          <w:hyperlink w:anchor="_Toc134011841" w:history="1">
            <w:r w:rsidR="00266328" w:rsidRPr="00BB50AC">
              <w:rPr>
                <w:rStyle w:val="Hyperlink"/>
                <w:noProof/>
                <w:lang w:val="bs-Latn-BA"/>
              </w:rPr>
              <w:t>Indikativni financijski okvir 2040.-2050.</w:t>
            </w:r>
            <w:r w:rsidR="00266328">
              <w:rPr>
                <w:noProof/>
                <w:webHidden/>
              </w:rPr>
              <w:tab/>
            </w:r>
            <w:r w:rsidR="00266328">
              <w:rPr>
                <w:noProof/>
                <w:webHidden/>
              </w:rPr>
              <w:fldChar w:fldCharType="begin"/>
            </w:r>
            <w:r w:rsidR="00266328">
              <w:rPr>
                <w:noProof/>
                <w:webHidden/>
              </w:rPr>
              <w:instrText xml:space="preserve"> PAGEREF _Toc134011841 \h </w:instrText>
            </w:r>
            <w:r w:rsidR="00266328">
              <w:rPr>
                <w:noProof/>
                <w:webHidden/>
              </w:rPr>
            </w:r>
            <w:r w:rsidR="00266328">
              <w:rPr>
                <w:noProof/>
                <w:webHidden/>
              </w:rPr>
              <w:fldChar w:fldCharType="separate"/>
            </w:r>
            <w:r w:rsidR="00266328">
              <w:rPr>
                <w:noProof/>
                <w:webHidden/>
              </w:rPr>
              <w:t>199</w:t>
            </w:r>
            <w:r w:rsidR="00266328">
              <w:rPr>
                <w:noProof/>
                <w:webHidden/>
              </w:rPr>
              <w:fldChar w:fldCharType="end"/>
            </w:r>
          </w:hyperlink>
        </w:p>
        <w:p w14:paraId="07510C29" w14:textId="10EF0847" w:rsidR="00266328" w:rsidRDefault="00000000">
          <w:pPr>
            <w:pStyle w:val="TOC1"/>
            <w:tabs>
              <w:tab w:val="right" w:leader="dot" w:pos="9017"/>
            </w:tabs>
            <w:rPr>
              <w:rFonts w:asciiTheme="minorHAnsi" w:hAnsiTheme="minorHAnsi" w:cstheme="minorBidi"/>
              <w:noProof/>
              <w:kern w:val="2"/>
              <w:lang w:eastAsia="en-US"/>
              <w14:ligatures w14:val="standardContextual"/>
            </w:rPr>
          </w:pPr>
          <w:hyperlink w:anchor="_Toc134011842" w:history="1">
            <w:r w:rsidR="00266328" w:rsidRPr="00BB50AC">
              <w:rPr>
                <w:rStyle w:val="Hyperlink"/>
                <w:noProof/>
                <w:lang w:val="bs-Latn-BA"/>
              </w:rPr>
              <w:t>ANEKS 11.7.</w:t>
            </w:r>
            <w:r w:rsidR="00266328">
              <w:rPr>
                <w:noProof/>
                <w:webHidden/>
              </w:rPr>
              <w:tab/>
            </w:r>
            <w:r w:rsidR="00266328">
              <w:rPr>
                <w:noProof/>
                <w:webHidden/>
              </w:rPr>
              <w:fldChar w:fldCharType="begin"/>
            </w:r>
            <w:r w:rsidR="00266328">
              <w:rPr>
                <w:noProof/>
                <w:webHidden/>
              </w:rPr>
              <w:instrText xml:space="preserve"> PAGEREF _Toc134011842 \h </w:instrText>
            </w:r>
            <w:r w:rsidR="00266328">
              <w:rPr>
                <w:noProof/>
                <w:webHidden/>
              </w:rPr>
            </w:r>
            <w:r w:rsidR="00266328">
              <w:rPr>
                <w:noProof/>
                <w:webHidden/>
              </w:rPr>
              <w:fldChar w:fldCharType="separate"/>
            </w:r>
            <w:r w:rsidR="00266328">
              <w:rPr>
                <w:noProof/>
                <w:webHidden/>
              </w:rPr>
              <w:t>201</w:t>
            </w:r>
            <w:r w:rsidR="00266328">
              <w:rPr>
                <w:noProof/>
                <w:webHidden/>
              </w:rPr>
              <w:fldChar w:fldCharType="end"/>
            </w:r>
          </w:hyperlink>
        </w:p>
        <w:p w14:paraId="4B4C23D0" w14:textId="670A5BE5" w:rsidR="00266328" w:rsidRDefault="00000000">
          <w:pPr>
            <w:pStyle w:val="TOC2"/>
            <w:rPr>
              <w:rFonts w:asciiTheme="minorHAnsi" w:hAnsiTheme="minorHAnsi" w:cstheme="minorBidi"/>
              <w:noProof/>
              <w:kern w:val="2"/>
              <w:lang w:eastAsia="en-US"/>
              <w14:ligatures w14:val="standardContextual"/>
            </w:rPr>
          </w:pPr>
          <w:hyperlink w:anchor="_Toc134011843" w:history="1">
            <w:r w:rsidR="00266328" w:rsidRPr="00BB50AC">
              <w:rPr>
                <w:rStyle w:val="Hyperlink"/>
                <w:noProof/>
                <w:lang w:val="bs-Latn-BA"/>
              </w:rPr>
              <w:t>Sažet pregled dugoročnog plana za energijski visokoefikasan i dekarboniziran fond zgrada u Federaciji Bosne i Hercegovine do 2050. godine</w:t>
            </w:r>
            <w:r w:rsidR="00266328">
              <w:rPr>
                <w:noProof/>
                <w:webHidden/>
              </w:rPr>
              <w:tab/>
            </w:r>
            <w:r w:rsidR="00266328">
              <w:rPr>
                <w:noProof/>
                <w:webHidden/>
              </w:rPr>
              <w:fldChar w:fldCharType="begin"/>
            </w:r>
            <w:r w:rsidR="00266328">
              <w:rPr>
                <w:noProof/>
                <w:webHidden/>
              </w:rPr>
              <w:instrText xml:space="preserve"> PAGEREF _Toc134011843 \h </w:instrText>
            </w:r>
            <w:r w:rsidR="00266328">
              <w:rPr>
                <w:noProof/>
                <w:webHidden/>
              </w:rPr>
            </w:r>
            <w:r w:rsidR="00266328">
              <w:rPr>
                <w:noProof/>
                <w:webHidden/>
              </w:rPr>
              <w:fldChar w:fldCharType="separate"/>
            </w:r>
            <w:r w:rsidR="00266328">
              <w:rPr>
                <w:noProof/>
                <w:webHidden/>
              </w:rPr>
              <w:t>201</w:t>
            </w:r>
            <w:r w:rsidR="00266328">
              <w:rPr>
                <w:noProof/>
                <w:webHidden/>
              </w:rPr>
              <w:fldChar w:fldCharType="end"/>
            </w:r>
          </w:hyperlink>
        </w:p>
        <w:p w14:paraId="3DA3A9B8" w14:textId="4306AEC4" w:rsidR="00055321" w:rsidRPr="008924E0" w:rsidRDefault="008A246A" w:rsidP="008A246A">
          <w:pPr>
            <w:pStyle w:val="TOC1"/>
            <w:tabs>
              <w:tab w:val="left" w:pos="440"/>
              <w:tab w:val="right" w:leader="dot" w:pos="9017"/>
            </w:tabs>
            <w:rPr>
              <w:lang w:val="bs-Latn-BA"/>
            </w:rPr>
          </w:pPr>
          <w:r w:rsidRPr="008924E0">
            <w:rPr>
              <w:lang w:val="bs-Latn-BA"/>
            </w:rPr>
            <w:fldChar w:fldCharType="end"/>
          </w:r>
        </w:p>
      </w:sdtContent>
    </w:sdt>
    <w:p w14:paraId="4AB2CBEA" w14:textId="57FA4F54" w:rsidR="00055321" w:rsidRPr="008924E0" w:rsidRDefault="00740D4F">
      <w:pPr>
        <w:keepNext/>
        <w:keepLines/>
        <w:pBdr>
          <w:top w:val="nil"/>
          <w:left w:val="nil"/>
          <w:bottom w:val="nil"/>
          <w:right w:val="nil"/>
          <w:between w:val="nil"/>
        </w:pBdr>
        <w:spacing w:before="360" w:after="360" w:line="276" w:lineRule="auto"/>
        <w:ind w:left="360" w:hanging="360"/>
        <w:jc w:val="left"/>
        <w:rPr>
          <w:rFonts w:ascii="Arial" w:eastAsia="Arial" w:hAnsi="Arial" w:cs="Arial"/>
          <w:b/>
          <w:color w:val="005837"/>
          <w:sz w:val="28"/>
          <w:szCs w:val="28"/>
          <w:lang w:val="bs-Latn-BA"/>
        </w:rPr>
      </w:pPr>
      <w:r w:rsidRPr="008924E0">
        <w:rPr>
          <w:lang w:val="bs-Latn-BA"/>
        </w:rPr>
        <w:br w:type="page"/>
      </w:r>
      <w:r w:rsidRPr="008924E0">
        <w:rPr>
          <w:rFonts w:ascii="Arial" w:eastAsia="Arial" w:hAnsi="Arial" w:cs="Arial"/>
          <w:b/>
          <w:color w:val="005837"/>
          <w:sz w:val="28"/>
          <w:szCs w:val="28"/>
          <w:lang w:val="bs-Latn-BA"/>
        </w:rPr>
        <w:lastRenderedPageBreak/>
        <w:t>POPIS SLIKA</w:t>
      </w:r>
    </w:p>
    <w:p w14:paraId="2B2AD6B0" w14:textId="23C6DAAA" w:rsidR="00A63F44" w:rsidRPr="002D62B3" w:rsidRDefault="00A63F44">
      <w:pPr>
        <w:pStyle w:val="TableofFigures"/>
        <w:tabs>
          <w:tab w:val="right" w:leader="dot" w:pos="9017"/>
        </w:tabs>
        <w:rPr>
          <w:rFonts w:asciiTheme="minorHAnsi" w:hAnsiTheme="minorHAnsi" w:cstheme="minorBidi"/>
          <w:noProof/>
          <w:lang w:eastAsia="en-US"/>
        </w:rPr>
      </w:pPr>
      <w:r w:rsidRPr="002D62B3">
        <w:rPr>
          <w:rFonts w:ascii="Arial" w:eastAsia="Arial" w:hAnsi="Arial"/>
          <w:b/>
          <w:color w:val="005837"/>
          <w:sz w:val="32"/>
          <w:szCs w:val="32"/>
          <w:lang w:val="bs-Latn-BA"/>
        </w:rPr>
        <w:fldChar w:fldCharType="begin"/>
      </w:r>
      <w:r w:rsidRPr="002D62B3">
        <w:rPr>
          <w:rFonts w:ascii="Arial" w:eastAsia="Arial" w:hAnsi="Arial"/>
          <w:b/>
          <w:color w:val="005837"/>
          <w:sz w:val="32"/>
          <w:szCs w:val="32"/>
          <w:lang w:val="bs-Latn-BA"/>
        </w:rPr>
        <w:instrText xml:space="preserve"> TOC \h \z \c "Slika" </w:instrText>
      </w:r>
      <w:r w:rsidRPr="002D62B3">
        <w:rPr>
          <w:rFonts w:ascii="Arial" w:eastAsia="Arial" w:hAnsi="Arial"/>
          <w:b/>
          <w:color w:val="005837"/>
          <w:sz w:val="32"/>
          <w:szCs w:val="32"/>
          <w:lang w:val="bs-Latn-BA"/>
        </w:rPr>
        <w:fldChar w:fldCharType="separate"/>
      </w:r>
      <w:hyperlink r:id="rId15" w:anchor="_Toc133499362" w:history="1">
        <w:r w:rsidRPr="002D62B3">
          <w:rPr>
            <w:rStyle w:val="Hyperlink"/>
            <w:noProof/>
          </w:rPr>
          <w:t xml:space="preserve">Slika 0.1.1 </w:t>
        </w:r>
        <w:r w:rsidRPr="002D62B3">
          <w:rPr>
            <w:rStyle w:val="Hyperlink"/>
            <w:noProof/>
            <w:lang w:val="hr-BA"/>
          </w:rPr>
          <w:t>Elementi strateške platforme</w:t>
        </w:r>
        <w:r w:rsidRPr="002D62B3">
          <w:rPr>
            <w:noProof/>
            <w:webHidden/>
          </w:rPr>
          <w:tab/>
        </w:r>
        <w:r w:rsidRPr="002D62B3">
          <w:rPr>
            <w:noProof/>
            <w:webHidden/>
          </w:rPr>
          <w:fldChar w:fldCharType="begin"/>
        </w:r>
        <w:r w:rsidRPr="002D62B3">
          <w:rPr>
            <w:noProof/>
            <w:webHidden/>
          </w:rPr>
          <w:instrText xml:space="preserve"> PAGEREF _Toc133499362 \h </w:instrText>
        </w:r>
        <w:r w:rsidRPr="002D62B3">
          <w:rPr>
            <w:noProof/>
            <w:webHidden/>
          </w:rPr>
        </w:r>
        <w:r w:rsidRPr="002D62B3">
          <w:rPr>
            <w:noProof/>
            <w:webHidden/>
          </w:rPr>
          <w:fldChar w:fldCharType="separate"/>
        </w:r>
        <w:r w:rsidR="00CD40A2">
          <w:rPr>
            <w:noProof/>
            <w:webHidden/>
          </w:rPr>
          <w:t>15</w:t>
        </w:r>
        <w:r w:rsidRPr="002D62B3">
          <w:rPr>
            <w:noProof/>
            <w:webHidden/>
          </w:rPr>
          <w:fldChar w:fldCharType="end"/>
        </w:r>
      </w:hyperlink>
    </w:p>
    <w:p w14:paraId="257ADE87" w14:textId="45267F21" w:rsidR="00A63F44" w:rsidRPr="002D62B3" w:rsidRDefault="00000000">
      <w:pPr>
        <w:pStyle w:val="TableofFigures"/>
        <w:tabs>
          <w:tab w:val="right" w:leader="dot" w:pos="9017"/>
        </w:tabs>
        <w:rPr>
          <w:rFonts w:asciiTheme="minorHAnsi" w:hAnsiTheme="minorHAnsi" w:cstheme="minorBidi"/>
          <w:noProof/>
          <w:lang w:eastAsia="en-US"/>
        </w:rPr>
      </w:pPr>
      <w:hyperlink r:id="rId16" w:anchor="_Toc133499363" w:history="1">
        <w:r w:rsidR="00A63F44" w:rsidRPr="002D62B3">
          <w:rPr>
            <w:rStyle w:val="Hyperlink"/>
            <w:noProof/>
          </w:rPr>
          <w:t xml:space="preserve">Slika 2.1 </w:t>
        </w:r>
        <w:r w:rsidR="00A63F44" w:rsidRPr="002D62B3">
          <w:rPr>
            <w:rStyle w:val="Hyperlink"/>
            <w:noProof/>
            <w:lang w:val="hr-BA"/>
          </w:rPr>
          <w:t>Pregled Direktiva EU relevantnih za oblast EE u FBiH</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_Toc133499363 \h </w:instrText>
        </w:r>
        <w:r w:rsidR="00A63F44" w:rsidRPr="002D62B3">
          <w:rPr>
            <w:noProof/>
            <w:webHidden/>
          </w:rPr>
        </w:r>
        <w:r w:rsidR="00A63F44" w:rsidRPr="002D62B3">
          <w:rPr>
            <w:noProof/>
            <w:webHidden/>
          </w:rPr>
          <w:fldChar w:fldCharType="separate"/>
        </w:r>
        <w:r w:rsidR="00CD40A2">
          <w:rPr>
            <w:noProof/>
            <w:webHidden/>
          </w:rPr>
          <w:t>21</w:t>
        </w:r>
        <w:r w:rsidR="00A63F44" w:rsidRPr="002D62B3">
          <w:rPr>
            <w:noProof/>
            <w:webHidden/>
          </w:rPr>
          <w:fldChar w:fldCharType="end"/>
        </w:r>
      </w:hyperlink>
    </w:p>
    <w:p w14:paraId="75B7AA8B" w14:textId="33C0C935" w:rsidR="00A63F44" w:rsidRPr="002D62B3" w:rsidRDefault="00000000">
      <w:pPr>
        <w:pStyle w:val="TableofFigures"/>
        <w:tabs>
          <w:tab w:val="right" w:leader="dot" w:pos="9017"/>
        </w:tabs>
        <w:rPr>
          <w:rFonts w:asciiTheme="minorHAnsi" w:hAnsiTheme="minorHAnsi" w:cstheme="minorBidi"/>
          <w:noProof/>
          <w:lang w:eastAsia="en-US"/>
        </w:rPr>
      </w:pPr>
      <w:hyperlink w:anchor="_Toc133499364" w:history="1">
        <w:r w:rsidR="00A63F44" w:rsidRPr="002D62B3">
          <w:rPr>
            <w:rStyle w:val="Hyperlink"/>
            <w:noProof/>
            <w:lang w:val="bs-Latn-BA"/>
          </w:rPr>
          <w:t>Slika 2.2 Korisna grijana površina stambenog fonda u FBiH za period do 2021.</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_Toc133499364 \h </w:instrText>
        </w:r>
        <w:r w:rsidR="00A63F44" w:rsidRPr="002D62B3">
          <w:rPr>
            <w:noProof/>
            <w:webHidden/>
          </w:rPr>
        </w:r>
        <w:r w:rsidR="00A63F44" w:rsidRPr="002D62B3">
          <w:rPr>
            <w:noProof/>
            <w:webHidden/>
          </w:rPr>
          <w:fldChar w:fldCharType="separate"/>
        </w:r>
        <w:r w:rsidR="00CD40A2">
          <w:rPr>
            <w:noProof/>
            <w:webHidden/>
          </w:rPr>
          <w:t>24</w:t>
        </w:r>
        <w:r w:rsidR="00A63F44" w:rsidRPr="002D62B3">
          <w:rPr>
            <w:noProof/>
            <w:webHidden/>
          </w:rPr>
          <w:fldChar w:fldCharType="end"/>
        </w:r>
      </w:hyperlink>
    </w:p>
    <w:p w14:paraId="22169DF8" w14:textId="1FA7859F" w:rsidR="00A63F44" w:rsidRPr="002D62B3" w:rsidRDefault="00000000">
      <w:pPr>
        <w:pStyle w:val="TableofFigures"/>
        <w:tabs>
          <w:tab w:val="right" w:leader="dot" w:pos="9017"/>
        </w:tabs>
        <w:rPr>
          <w:rFonts w:asciiTheme="minorHAnsi" w:hAnsiTheme="minorHAnsi" w:cstheme="minorBidi"/>
          <w:noProof/>
          <w:lang w:eastAsia="en-US"/>
        </w:rPr>
      </w:pPr>
      <w:hyperlink w:anchor="_Toc133499365" w:history="1">
        <w:r w:rsidR="00A63F44" w:rsidRPr="002D62B3">
          <w:rPr>
            <w:rStyle w:val="Hyperlink"/>
            <w:noProof/>
          </w:rPr>
          <w:t>Slika 2.3 Modeli za predviđanje rasta broja zgrada u FBiH do 2050.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_Toc133499365 \h </w:instrText>
        </w:r>
        <w:r w:rsidR="00A63F44" w:rsidRPr="002D62B3">
          <w:rPr>
            <w:noProof/>
            <w:webHidden/>
          </w:rPr>
        </w:r>
        <w:r w:rsidR="00A63F44" w:rsidRPr="002D62B3">
          <w:rPr>
            <w:noProof/>
            <w:webHidden/>
          </w:rPr>
          <w:fldChar w:fldCharType="separate"/>
        </w:r>
        <w:r w:rsidR="00CD40A2">
          <w:rPr>
            <w:noProof/>
            <w:webHidden/>
          </w:rPr>
          <w:t>25</w:t>
        </w:r>
        <w:r w:rsidR="00A63F44" w:rsidRPr="002D62B3">
          <w:rPr>
            <w:noProof/>
            <w:webHidden/>
          </w:rPr>
          <w:fldChar w:fldCharType="end"/>
        </w:r>
      </w:hyperlink>
    </w:p>
    <w:p w14:paraId="58B6F627" w14:textId="49290739" w:rsidR="00A63F44" w:rsidRPr="002D62B3" w:rsidRDefault="00000000">
      <w:pPr>
        <w:pStyle w:val="TableofFigures"/>
        <w:tabs>
          <w:tab w:val="right" w:leader="dot" w:pos="9017"/>
        </w:tabs>
        <w:rPr>
          <w:rFonts w:asciiTheme="minorHAnsi" w:hAnsiTheme="minorHAnsi" w:cstheme="minorBidi"/>
          <w:noProof/>
          <w:lang w:eastAsia="en-US"/>
        </w:rPr>
      </w:pPr>
      <w:hyperlink w:anchor="_Toc133499366" w:history="1">
        <w:r w:rsidR="00A63F44" w:rsidRPr="002D62B3">
          <w:rPr>
            <w:rStyle w:val="Hyperlink"/>
            <w:noProof/>
          </w:rPr>
          <w:t>Slika 2.4 Broj javnih zgrada u FBiH za period do 2021.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_Toc133499366 \h </w:instrText>
        </w:r>
        <w:r w:rsidR="00A63F44" w:rsidRPr="002D62B3">
          <w:rPr>
            <w:noProof/>
            <w:webHidden/>
          </w:rPr>
        </w:r>
        <w:r w:rsidR="00A63F44" w:rsidRPr="002D62B3">
          <w:rPr>
            <w:noProof/>
            <w:webHidden/>
          </w:rPr>
          <w:fldChar w:fldCharType="separate"/>
        </w:r>
        <w:r w:rsidR="00CD40A2">
          <w:rPr>
            <w:noProof/>
            <w:webHidden/>
          </w:rPr>
          <w:t>26</w:t>
        </w:r>
        <w:r w:rsidR="00A63F44" w:rsidRPr="002D62B3">
          <w:rPr>
            <w:noProof/>
            <w:webHidden/>
          </w:rPr>
          <w:fldChar w:fldCharType="end"/>
        </w:r>
      </w:hyperlink>
    </w:p>
    <w:p w14:paraId="7E0E25CF" w14:textId="6C297D3E" w:rsidR="00A63F44" w:rsidRPr="002D62B3" w:rsidRDefault="00000000">
      <w:pPr>
        <w:pStyle w:val="TableofFigures"/>
        <w:tabs>
          <w:tab w:val="right" w:leader="dot" w:pos="9017"/>
        </w:tabs>
        <w:rPr>
          <w:rFonts w:asciiTheme="minorHAnsi" w:hAnsiTheme="minorHAnsi" w:cstheme="minorBidi"/>
          <w:noProof/>
          <w:lang w:eastAsia="en-US"/>
        </w:rPr>
      </w:pPr>
      <w:hyperlink w:anchor="_Toc133499367" w:history="1">
        <w:r w:rsidR="00A63F44" w:rsidRPr="002D62B3">
          <w:rPr>
            <w:rStyle w:val="Hyperlink"/>
            <w:noProof/>
            <w:lang w:val="bs-Latn-BA"/>
          </w:rPr>
          <w:t>Slika 2.5 Porast broja javnih zgrada u FBiH za period do 2050.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_Toc133499367 \h </w:instrText>
        </w:r>
        <w:r w:rsidR="00A63F44" w:rsidRPr="002D62B3">
          <w:rPr>
            <w:noProof/>
            <w:webHidden/>
          </w:rPr>
        </w:r>
        <w:r w:rsidR="00A63F44" w:rsidRPr="002D62B3">
          <w:rPr>
            <w:noProof/>
            <w:webHidden/>
          </w:rPr>
          <w:fldChar w:fldCharType="separate"/>
        </w:r>
        <w:r w:rsidR="00CD40A2">
          <w:rPr>
            <w:noProof/>
            <w:webHidden/>
          </w:rPr>
          <w:t>27</w:t>
        </w:r>
        <w:r w:rsidR="00A63F44" w:rsidRPr="002D62B3">
          <w:rPr>
            <w:noProof/>
            <w:webHidden/>
          </w:rPr>
          <w:fldChar w:fldCharType="end"/>
        </w:r>
      </w:hyperlink>
    </w:p>
    <w:p w14:paraId="7FCD68C3" w14:textId="6C615E18" w:rsidR="00A63F44" w:rsidRPr="002D62B3" w:rsidRDefault="00000000">
      <w:pPr>
        <w:pStyle w:val="TableofFigures"/>
        <w:tabs>
          <w:tab w:val="right" w:leader="dot" w:pos="9017"/>
        </w:tabs>
        <w:rPr>
          <w:rFonts w:asciiTheme="minorHAnsi" w:hAnsiTheme="minorHAnsi" w:cstheme="minorBidi"/>
          <w:noProof/>
          <w:lang w:eastAsia="en-US"/>
        </w:rPr>
      </w:pPr>
      <w:hyperlink w:anchor="_Toc133499368" w:history="1">
        <w:r w:rsidR="00A63F44" w:rsidRPr="002D62B3">
          <w:rPr>
            <w:rStyle w:val="Hyperlink"/>
            <w:noProof/>
          </w:rPr>
          <w:t xml:space="preserve">Slika 6.1 </w:t>
        </w:r>
        <w:r w:rsidR="00A63F44" w:rsidRPr="002D62B3">
          <w:rPr>
            <w:rStyle w:val="Hyperlink"/>
            <w:rFonts w:eastAsia="Calibri"/>
            <w:noProof/>
          </w:rPr>
          <w:t>Specifični trošak energijske obnove za sve tipove zgrada i nivoe obnove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_Toc133499368 \h </w:instrText>
        </w:r>
        <w:r w:rsidR="00A63F44" w:rsidRPr="002D62B3">
          <w:rPr>
            <w:noProof/>
            <w:webHidden/>
          </w:rPr>
        </w:r>
        <w:r w:rsidR="00A63F44" w:rsidRPr="002D62B3">
          <w:rPr>
            <w:noProof/>
            <w:webHidden/>
          </w:rPr>
          <w:fldChar w:fldCharType="separate"/>
        </w:r>
        <w:r w:rsidR="00CD40A2">
          <w:rPr>
            <w:noProof/>
            <w:webHidden/>
          </w:rPr>
          <w:t>42</w:t>
        </w:r>
        <w:r w:rsidR="00A63F44" w:rsidRPr="002D62B3">
          <w:rPr>
            <w:noProof/>
            <w:webHidden/>
          </w:rPr>
          <w:fldChar w:fldCharType="end"/>
        </w:r>
      </w:hyperlink>
    </w:p>
    <w:p w14:paraId="0638F6B5" w14:textId="634B07D5" w:rsidR="00A63F44" w:rsidRPr="002D62B3" w:rsidRDefault="00000000">
      <w:pPr>
        <w:pStyle w:val="TableofFigures"/>
        <w:tabs>
          <w:tab w:val="right" w:leader="dot" w:pos="9017"/>
        </w:tabs>
        <w:rPr>
          <w:rFonts w:asciiTheme="minorHAnsi" w:hAnsiTheme="minorHAnsi" w:cstheme="minorBidi"/>
          <w:noProof/>
          <w:lang w:eastAsia="en-US"/>
        </w:rPr>
      </w:pPr>
      <w:hyperlink w:anchor="_Toc133499369" w:history="1">
        <w:r w:rsidR="00A63F44" w:rsidRPr="002D62B3">
          <w:rPr>
            <w:rStyle w:val="Hyperlink"/>
            <w:noProof/>
          </w:rPr>
          <w:t>Slika 6.2 Specifični trošak energijske obnove po članu domaćinstva</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_Toc133499369 \h </w:instrText>
        </w:r>
        <w:r w:rsidR="00A63F44" w:rsidRPr="002D62B3">
          <w:rPr>
            <w:noProof/>
            <w:webHidden/>
          </w:rPr>
        </w:r>
        <w:r w:rsidR="00A63F44" w:rsidRPr="002D62B3">
          <w:rPr>
            <w:noProof/>
            <w:webHidden/>
          </w:rPr>
          <w:fldChar w:fldCharType="separate"/>
        </w:r>
        <w:r w:rsidR="00CD40A2">
          <w:rPr>
            <w:noProof/>
            <w:webHidden/>
          </w:rPr>
          <w:t>42</w:t>
        </w:r>
        <w:r w:rsidR="00A63F44" w:rsidRPr="002D62B3">
          <w:rPr>
            <w:noProof/>
            <w:webHidden/>
          </w:rPr>
          <w:fldChar w:fldCharType="end"/>
        </w:r>
      </w:hyperlink>
    </w:p>
    <w:p w14:paraId="525D2697" w14:textId="2FDFB536" w:rsidR="00A63F44" w:rsidRPr="002D62B3" w:rsidRDefault="00000000">
      <w:pPr>
        <w:pStyle w:val="TableofFigures"/>
        <w:tabs>
          <w:tab w:val="right" w:leader="dot" w:pos="9017"/>
        </w:tabs>
        <w:rPr>
          <w:rFonts w:asciiTheme="minorHAnsi" w:hAnsiTheme="minorHAnsi" w:cstheme="minorBidi"/>
          <w:noProof/>
          <w:lang w:eastAsia="en-US"/>
        </w:rPr>
      </w:pPr>
      <w:hyperlink w:anchor="_Toc133499370" w:history="1">
        <w:r w:rsidR="00A63F44" w:rsidRPr="002D62B3">
          <w:rPr>
            <w:rStyle w:val="Hyperlink"/>
            <w:noProof/>
            <w:lang w:val="bs-Latn-BA"/>
          </w:rPr>
          <w:t>Slika 6.3 Predviđanje potrošnje energije zgrada za razmatrani scenarij obnove u FBiH do 2050.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_Toc133499370 \h </w:instrText>
        </w:r>
        <w:r w:rsidR="00A63F44" w:rsidRPr="002D62B3">
          <w:rPr>
            <w:noProof/>
            <w:webHidden/>
          </w:rPr>
        </w:r>
        <w:r w:rsidR="00A63F44" w:rsidRPr="002D62B3">
          <w:rPr>
            <w:noProof/>
            <w:webHidden/>
          </w:rPr>
          <w:fldChar w:fldCharType="separate"/>
        </w:r>
        <w:r w:rsidR="00CD40A2">
          <w:rPr>
            <w:noProof/>
            <w:webHidden/>
          </w:rPr>
          <w:t>43</w:t>
        </w:r>
        <w:r w:rsidR="00A63F44" w:rsidRPr="002D62B3">
          <w:rPr>
            <w:noProof/>
            <w:webHidden/>
          </w:rPr>
          <w:fldChar w:fldCharType="end"/>
        </w:r>
      </w:hyperlink>
    </w:p>
    <w:p w14:paraId="5A9E4878" w14:textId="792268C4" w:rsidR="00A63F44" w:rsidRPr="002D62B3" w:rsidRDefault="00000000">
      <w:pPr>
        <w:pStyle w:val="TableofFigures"/>
        <w:tabs>
          <w:tab w:val="right" w:leader="dot" w:pos="9017"/>
        </w:tabs>
        <w:rPr>
          <w:rFonts w:asciiTheme="minorHAnsi" w:hAnsiTheme="minorHAnsi" w:cstheme="minorBidi"/>
          <w:noProof/>
          <w:lang w:eastAsia="en-US"/>
        </w:rPr>
      </w:pPr>
      <w:hyperlink w:anchor="_Toc133499371" w:history="1">
        <w:r w:rsidR="00A63F44" w:rsidRPr="002D62B3">
          <w:rPr>
            <w:rStyle w:val="Hyperlink"/>
            <w:noProof/>
          </w:rPr>
          <w:t>Slika 6.4 Predviđanje rasta potrošnje energije zgrada u FBiH do 2050. godine (obnova 1,5 % korisne grijane površine)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_Toc133499371 \h </w:instrText>
        </w:r>
        <w:r w:rsidR="00A63F44" w:rsidRPr="002D62B3">
          <w:rPr>
            <w:noProof/>
            <w:webHidden/>
          </w:rPr>
        </w:r>
        <w:r w:rsidR="00A63F44" w:rsidRPr="002D62B3">
          <w:rPr>
            <w:noProof/>
            <w:webHidden/>
          </w:rPr>
          <w:fldChar w:fldCharType="separate"/>
        </w:r>
        <w:r w:rsidR="00CD40A2">
          <w:rPr>
            <w:noProof/>
            <w:webHidden/>
          </w:rPr>
          <w:t>44</w:t>
        </w:r>
        <w:r w:rsidR="00A63F44" w:rsidRPr="002D62B3">
          <w:rPr>
            <w:noProof/>
            <w:webHidden/>
          </w:rPr>
          <w:fldChar w:fldCharType="end"/>
        </w:r>
      </w:hyperlink>
    </w:p>
    <w:p w14:paraId="054F06BA" w14:textId="4B5F54A9" w:rsidR="00A63F44" w:rsidRPr="002D62B3" w:rsidRDefault="00000000">
      <w:pPr>
        <w:pStyle w:val="TableofFigures"/>
        <w:tabs>
          <w:tab w:val="right" w:leader="dot" w:pos="9017"/>
        </w:tabs>
        <w:rPr>
          <w:rFonts w:asciiTheme="minorHAnsi" w:hAnsiTheme="minorHAnsi" w:cstheme="minorBidi"/>
          <w:noProof/>
          <w:lang w:eastAsia="en-US"/>
        </w:rPr>
      </w:pPr>
      <w:hyperlink w:anchor="_Toc133499372" w:history="1">
        <w:r w:rsidR="00A63F44" w:rsidRPr="002D62B3">
          <w:rPr>
            <w:rStyle w:val="Hyperlink"/>
            <w:noProof/>
            <w:lang w:val="bs-Latn-BA"/>
          </w:rPr>
          <w:t>Slika 6.5 Predviđanje potrošnje energije javnih zgrada za razmatrani scenarij obnove u FBiH do 2050.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_Toc133499372 \h </w:instrText>
        </w:r>
        <w:r w:rsidR="00A63F44" w:rsidRPr="002D62B3">
          <w:rPr>
            <w:noProof/>
            <w:webHidden/>
          </w:rPr>
        </w:r>
        <w:r w:rsidR="00A63F44" w:rsidRPr="002D62B3">
          <w:rPr>
            <w:noProof/>
            <w:webHidden/>
          </w:rPr>
          <w:fldChar w:fldCharType="separate"/>
        </w:r>
        <w:r w:rsidR="00CD40A2">
          <w:rPr>
            <w:noProof/>
            <w:webHidden/>
          </w:rPr>
          <w:t>51</w:t>
        </w:r>
        <w:r w:rsidR="00A63F44" w:rsidRPr="002D62B3">
          <w:rPr>
            <w:noProof/>
            <w:webHidden/>
          </w:rPr>
          <w:fldChar w:fldCharType="end"/>
        </w:r>
      </w:hyperlink>
    </w:p>
    <w:p w14:paraId="37388CF4" w14:textId="06630740" w:rsidR="00A63F44" w:rsidRPr="002D62B3" w:rsidRDefault="00000000" w:rsidP="002D62B3">
      <w:pPr>
        <w:pStyle w:val="TableofFigures"/>
        <w:tabs>
          <w:tab w:val="right" w:leader="dot" w:pos="9017"/>
        </w:tabs>
        <w:rPr>
          <w:noProof/>
        </w:rPr>
      </w:pPr>
      <w:hyperlink w:anchor="_Toc133499373" w:history="1">
        <w:r w:rsidR="00A63F44" w:rsidRPr="002D62B3">
          <w:rPr>
            <w:rStyle w:val="Hyperlink"/>
            <w:noProof/>
          </w:rPr>
          <w:t>Slika 6.6 Predviđanje rasta potrošnje energije javnih zgrada u FBiH do 2050. godine (obnova 2,5 % korisne grijane površine)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_Toc133499373 \h </w:instrText>
        </w:r>
        <w:r w:rsidR="00A63F44" w:rsidRPr="002D62B3">
          <w:rPr>
            <w:noProof/>
            <w:webHidden/>
          </w:rPr>
        </w:r>
        <w:r w:rsidR="00A63F44" w:rsidRPr="002D62B3">
          <w:rPr>
            <w:noProof/>
            <w:webHidden/>
          </w:rPr>
          <w:fldChar w:fldCharType="separate"/>
        </w:r>
        <w:r w:rsidR="00CD40A2">
          <w:rPr>
            <w:noProof/>
            <w:webHidden/>
          </w:rPr>
          <w:t>52</w:t>
        </w:r>
        <w:r w:rsidR="00A63F44" w:rsidRPr="002D62B3">
          <w:rPr>
            <w:noProof/>
            <w:webHidden/>
          </w:rPr>
          <w:fldChar w:fldCharType="end"/>
        </w:r>
      </w:hyperlink>
      <w:r w:rsidR="00A63F44" w:rsidRPr="002D62B3">
        <w:rPr>
          <w:rFonts w:ascii="Arial" w:eastAsia="Arial" w:hAnsi="Arial"/>
          <w:b/>
          <w:color w:val="005837"/>
          <w:sz w:val="32"/>
          <w:szCs w:val="32"/>
          <w:lang w:val="bs-Latn-BA"/>
        </w:rPr>
        <w:fldChar w:fldCharType="end"/>
      </w:r>
      <w:r w:rsidR="00A63F44" w:rsidRPr="002D62B3">
        <w:rPr>
          <w:rFonts w:ascii="Arial" w:eastAsia="Arial" w:hAnsi="Arial"/>
          <w:b/>
          <w:color w:val="005837"/>
          <w:sz w:val="32"/>
          <w:szCs w:val="32"/>
          <w:lang w:val="bs-Latn-BA"/>
        </w:rPr>
        <w:fldChar w:fldCharType="begin"/>
      </w:r>
      <w:r w:rsidR="00A63F44" w:rsidRPr="002D62B3">
        <w:rPr>
          <w:rFonts w:ascii="Arial" w:eastAsia="Arial" w:hAnsi="Arial"/>
          <w:b/>
          <w:color w:val="005837"/>
          <w:sz w:val="32"/>
          <w:szCs w:val="32"/>
          <w:lang w:val="bs-Latn-BA"/>
        </w:rPr>
        <w:instrText xml:space="preserve"> TOC \h \z \c "Slika 11.1." </w:instrText>
      </w:r>
      <w:r w:rsidR="00A63F44" w:rsidRPr="002D62B3">
        <w:rPr>
          <w:rFonts w:ascii="Arial" w:eastAsia="Arial" w:hAnsi="Arial"/>
          <w:b/>
          <w:color w:val="005837"/>
          <w:sz w:val="32"/>
          <w:szCs w:val="32"/>
          <w:lang w:val="bs-Latn-BA"/>
        </w:rPr>
        <w:fldChar w:fldCharType="separate"/>
      </w:r>
    </w:p>
    <w:p w14:paraId="0F842DD5" w14:textId="0A827841" w:rsidR="00A63F44" w:rsidRPr="002D62B3" w:rsidRDefault="00000000">
      <w:pPr>
        <w:pStyle w:val="TableofFigures"/>
        <w:tabs>
          <w:tab w:val="right" w:leader="dot" w:pos="9017"/>
        </w:tabs>
        <w:rPr>
          <w:rFonts w:asciiTheme="minorHAnsi" w:hAnsiTheme="minorHAnsi" w:cstheme="minorBidi"/>
          <w:noProof/>
          <w:lang w:eastAsia="en-US"/>
        </w:rPr>
      </w:pPr>
      <w:hyperlink r:id="rId17" w:anchor="_Toc133499374" w:history="1">
        <w:r w:rsidR="00A63F44" w:rsidRPr="002D62B3">
          <w:rPr>
            <w:rStyle w:val="Hyperlink"/>
            <w:noProof/>
          </w:rPr>
          <w:t xml:space="preserve">Slika 11.1.1 </w:t>
        </w:r>
        <w:r w:rsidR="00A63F44" w:rsidRPr="002D62B3">
          <w:rPr>
            <w:rStyle w:val="Hyperlink"/>
            <w:noProof/>
            <w:lang w:val="hr-BA"/>
          </w:rPr>
          <w:t>Pregled Direktiva EU relevantnih za oblast EE u FBiH</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_Toc133499374 \h </w:instrText>
        </w:r>
        <w:r w:rsidR="00A63F44" w:rsidRPr="002D62B3">
          <w:rPr>
            <w:noProof/>
            <w:webHidden/>
          </w:rPr>
        </w:r>
        <w:r w:rsidR="00A63F44" w:rsidRPr="002D62B3">
          <w:rPr>
            <w:noProof/>
            <w:webHidden/>
          </w:rPr>
          <w:fldChar w:fldCharType="separate"/>
        </w:r>
        <w:r w:rsidR="00CD40A2">
          <w:rPr>
            <w:noProof/>
            <w:webHidden/>
          </w:rPr>
          <w:t>108</w:t>
        </w:r>
        <w:r w:rsidR="00A63F44" w:rsidRPr="002D62B3">
          <w:rPr>
            <w:noProof/>
            <w:webHidden/>
          </w:rPr>
          <w:fldChar w:fldCharType="end"/>
        </w:r>
      </w:hyperlink>
    </w:p>
    <w:p w14:paraId="5CDEF8E7" w14:textId="45D97897" w:rsidR="00A63F44" w:rsidRPr="002D62B3" w:rsidRDefault="00000000">
      <w:pPr>
        <w:pStyle w:val="TableofFigures"/>
        <w:tabs>
          <w:tab w:val="right" w:leader="dot" w:pos="9017"/>
        </w:tabs>
        <w:rPr>
          <w:rFonts w:asciiTheme="minorHAnsi" w:hAnsiTheme="minorHAnsi" w:cstheme="minorBidi"/>
          <w:noProof/>
          <w:lang w:eastAsia="en-US"/>
        </w:rPr>
      </w:pPr>
      <w:hyperlink w:anchor="_Toc133499375" w:history="1">
        <w:r w:rsidR="00A63F44" w:rsidRPr="002D62B3">
          <w:rPr>
            <w:rStyle w:val="Hyperlink"/>
            <w:noProof/>
          </w:rPr>
          <w:t>Slika 11.1.2 Korisna grijana površina stambenog fonda u FBiH za period do 2021.</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_Toc133499375 \h </w:instrText>
        </w:r>
        <w:r w:rsidR="00A63F44" w:rsidRPr="002D62B3">
          <w:rPr>
            <w:noProof/>
            <w:webHidden/>
          </w:rPr>
        </w:r>
        <w:r w:rsidR="00A63F44" w:rsidRPr="002D62B3">
          <w:rPr>
            <w:noProof/>
            <w:webHidden/>
          </w:rPr>
          <w:fldChar w:fldCharType="separate"/>
        </w:r>
        <w:r w:rsidR="00CD40A2">
          <w:rPr>
            <w:noProof/>
            <w:webHidden/>
          </w:rPr>
          <w:t>129</w:t>
        </w:r>
        <w:r w:rsidR="00A63F44" w:rsidRPr="002D62B3">
          <w:rPr>
            <w:noProof/>
            <w:webHidden/>
          </w:rPr>
          <w:fldChar w:fldCharType="end"/>
        </w:r>
      </w:hyperlink>
    </w:p>
    <w:p w14:paraId="70FF9C6B" w14:textId="506BBD4C" w:rsidR="00A63F44" w:rsidRPr="002D62B3" w:rsidRDefault="00000000">
      <w:pPr>
        <w:pStyle w:val="TableofFigures"/>
        <w:tabs>
          <w:tab w:val="right" w:leader="dot" w:pos="9017"/>
        </w:tabs>
        <w:rPr>
          <w:rFonts w:asciiTheme="minorHAnsi" w:hAnsiTheme="minorHAnsi" w:cstheme="minorBidi"/>
          <w:noProof/>
          <w:lang w:eastAsia="en-US"/>
        </w:rPr>
      </w:pPr>
      <w:hyperlink w:anchor="_Toc133499376" w:history="1">
        <w:r w:rsidR="00A63F44" w:rsidRPr="002D62B3">
          <w:rPr>
            <w:rStyle w:val="Hyperlink"/>
            <w:noProof/>
          </w:rPr>
          <w:t>Slika 11.1.3 Modeli za predviđanje rasta broja zgrada u FBiH do 2050.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_Toc133499376 \h </w:instrText>
        </w:r>
        <w:r w:rsidR="00A63F44" w:rsidRPr="002D62B3">
          <w:rPr>
            <w:noProof/>
            <w:webHidden/>
          </w:rPr>
        </w:r>
        <w:r w:rsidR="00A63F44" w:rsidRPr="002D62B3">
          <w:rPr>
            <w:noProof/>
            <w:webHidden/>
          </w:rPr>
          <w:fldChar w:fldCharType="separate"/>
        </w:r>
        <w:r w:rsidR="00CD40A2">
          <w:rPr>
            <w:noProof/>
            <w:webHidden/>
          </w:rPr>
          <w:t>129</w:t>
        </w:r>
        <w:r w:rsidR="00A63F44" w:rsidRPr="002D62B3">
          <w:rPr>
            <w:noProof/>
            <w:webHidden/>
          </w:rPr>
          <w:fldChar w:fldCharType="end"/>
        </w:r>
      </w:hyperlink>
    </w:p>
    <w:p w14:paraId="1920A14C" w14:textId="17C815FB" w:rsidR="00A63F44" w:rsidRPr="002D62B3" w:rsidRDefault="00000000">
      <w:pPr>
        <w:pStyle w:val="TableofFigures"/>
        <w:tabs>
          <w:tab w:val="right" w:leader="dot" w:pos="9017"/>
        </w:tabs>
        <w:rPr>
          <w:rFonts w:asciiTheme="minorHAnsi" w:hAnsiTheme="minorHAnsi" w:cstheme="minorBidi"/>
          <w:noProof/>
          <w:lang w:eastAsia="en-US"/>
        </w:rPr>
      </w:pPr>
      <w:hyperlink w:anchor="_Toc133499377" w:history="1">
        <w:r w:rsidR="00A63F44" w:rsidRPr="002D62B3">
          <w:rPr>
            <w:rStyle w:val="Hyperlink"/>
            <w:noProof/>
          </w:rPr>
          <w:t>Slika 11.1.4 Broj javnih zgrada u FBiH za period do 2021.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_Toc133499377 \h </w:instrText>
        </w:r>
        <w:r w:rsidR="00A63F44" w:rsidRPr="002D62B3">
          <w:rPr>
            <w:noProof/>
            <w:webHidden/>
          </w:rPr>
        </w:r>
        <w:r w:rsidR="00A63F44" w:rsidRPr="002D62B3">
          <w:rPr>
            <w:noProof/>
            <w:webHidden/>
          </w:rPr>
          <w:fldChar w:fldCharType="separate"/>
        </w:r>
        <w:r w:rsidR="00CD40A2">
          <w:rPr>
            <w:noProof/>
            <w:webHidden/>
          </w:rPr>
          <w:t>131</w:t>
        </w:r>
        <w:r w:rsidR="00A63F44" w:rsidRPr="002D62B3">
          <w:rPr>
            <w:noProof/>
            <w:webHidden/>
          </w:rPr>
          <w:fldChar w:fldCharType="end"/>
        </w:r>
      </w:hyperlink>
    </w:p>
    <w:p w14:paraId="13D88DCB" w14:textId="5C0D4808" w:rsidR="00A63F44" w:rsidRPr="002D62B3" w:rsidRDefault="00000000">
      <w:pPr>
        <w:pStyle w:val="TableofFigures"/>
        <w:tabs>
          <w:tab w:val="right" w:leader="dot" w:pos="9017"/>
        </w:tabs>
        <w:rPr>
          <w:rFonts w:asciiTheme="minorHAnsi" w:hAnsiTheme="minorHAnsi" w:cstheme="minorBidi"/>
          <w:noProof/>
          <w:lang w:eastAsia="en-US"/>
        </w:rPr>
      </w:pPr>
      <w:hyperlink w:anchor="_Toc133499378" w:history="1">
        <w:r w:rsidR="00A63F44" w:rsidRPr="002D62B3">
          <w:rPr>
            <w:rStyle w:val="Hyperlink"/>
            <w:noProof/>
          </w:rPr>
          <w:t>Slika 11.1.5 Porast broja javnih zgrada u FBiH za period do 2050.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_Toc133499378 \h </w:instrText>
        </w:r>
        <w:r w:rsidR="00A63F44" w:rsidRPr="002D62B3">
          <w:rPr>
            <w:noProof/>
            <w:webHidden/>
          </w:rPr>
        </w:r>
        <w:r w:rsidR="00A63F44" w:rsidRPr="002D62B3">
          <w:rPr>
            <w:noProof/>
            <w:webHidden/>
          </w:rPr>
          <w:fldChar w:fldCharType="separate"/>
        </w:r>
        <w:r w:rsidR="00CD40A2">
          <w:rPr>
            <w:noProof/>
            <w:webHidden/>
          </w:rPr>
          <w:t>131</w:t>
        </w:r>
        <w:r w:rsidR="00A63F44" w:rsidRPr="002D62B3">
          <w:rPr>
            <w:noProof/>
            <w:webHidden/>
          </w:rPr>
          <w:fldChar w:fldCharType="end"/>
        </w:r>
      </w:hyperlink>
    </w:p>
    <w:p w14:paraId="75C46C86" w14:textId="4D86230E" w:rsidR="00A63F44" w:rsidRPr="002D62B3" w:rsidRDefault="00000000">
      <w:pPr>
        <w:pStyle w:val="TableofFigures"/>
        <w:tabs>
          <w:tab w:val="right" w:leader="dot" w:pos="9017"/>
        </w:tabs>
        <w:rPr>
          <w:rFonts w:asciiTheme="minorHAnsi" w:hAnsiTheme="minorHAnsi" w:cstheme="minorBidi"/>
          <w:noProof/>
          <w:lang w:eastAsia="en-US"/>
        </w:rPr>
      </w:pPr>
      <w:hyperlink w:anchor="_Toc133499379" w:history="1">
        <w:r w:rsidR="00A63F44" w:rsidRPr="002D62B3">
          <w:rPr>
            <w:rStyle w:val="Hyperlink"/>
            <w:noProof/>
          </w:rPr>
          <w:t>Slika 11.1.6 Broj stambenih zgrada individualnog i kolektivnog stanovanja prema klimatskoj regiji (period do 2021.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_Toc133499379 \h </w:instrText>
        </w:r>
        <w:r w:rsidR="00A63F44" w:rsidRPr="002D62B3">
          <w:rPr>
            <w:noProof/>
            <w:webHidden/>
          </w:rPr>
        </w:r>
        <w:r w:rsidR="00A63F44" w:rsidRPr="002D62B3">
          <w:rPr>
            <w:noProof/>
            <w:webHidden/>
          </w:rPr>
          <w:fldChar w:fldCharType="separate"/>
        </w:r>
        <w:r w:rsidR="00CD40A2">
          <w:rPr>
            <w:noProof/>
            <w:webHidden/>
          </w:rPr>
          <w:t>132</w:t>
        </w:r>
        <w:r w:rsidR="00A63F44" w:rsidRPr="002D62B3">
          <w:rPr>
            <w:noProof/>
            <w:webHidden/>
          </w:rPr>
          <w:fldChar w:fldCharType="end"/>
        </w:r>
      </w:hyperlink>
    </w:p>
    <w:p w14:paraId="0B845156" w14:textId="4DCA7A14" w:rsidR="00A63F44" w:rsidRPr="002D62B3" w:rsidRDefault="00000000">
      <w:pPr>
        <w:pStyle w:val="TableofFigures"/>
        <w:tabs>
          <w:tab w:val="right" w:leader="dot" w:pos="9017"/>
        </w:tabs>
        <w:rPr>
          <w:rFonts w:asciiTheme="minorHAnsi" w:hAnsiTheme="minorHAnsi" w:cstheme="minorBidi"/>
          <w:noProof/>
          <w:lang w:eastAsia="en-US"/>
        </w:rPr>
      </w:pPr>
      <w:hyperlink w:anchor="_Toc133499380" w:history="1">
        <w:r w:rsidR="00A63F44" w:rsidRPr="002D62B3">
          <w:rPr>
            <w:rStyle w:val="Hyperlink"/>
            <w:noProof/>
          </w:rPr>
          <w:t>Slika 11.1.7 Broj javnih zgrada prema namjeni i klimatskoj regiji (period do 2021. godine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_Toc133499380 \h </w:instrText>
        </w:r>
        <w:r w:rsidR="00A63F44" w:rsidRPr="002D62B3">
          <w:rPr>
            <w:noProof/>
            <w:webHidden/>
          </w:rPr>
        </w:r>
        <w:r w:rsidR="00A63F44" w:rsidRPr="002D62B3">
          <w:rPr>
            <w:noProof/>
            <w:webHidden/>
          </w:rPr>
          <w:fldChar w:fldCharType="separate"/>
        </w:r>
        <w:r w:rsidR="00CD40A2">
          <w:rPr>
            <w:noProof/>
            <w:webHidden/>
          </w:rPr>
          <w:t>133</w:t>
        </w:r>
        <w:r w:rsidR="00A63F44" w:rsidRPr="002D62B3">
          <w:rPr>
            <w:noProof/>
            <w:webHidden/>
          </w:rPr>
          <w:fldChar w:fldCharType="end"/>
        </w:r>
      </w:hyperlink>
    </w:p>
    <w:p w14:paraId="6E30FF12" w14:textId="17736A48" w:rsidR="00A63F44" w:rsidRPr="002D62B3" w:rsidRDefault="00000000">
      <w:pPr>
        <w:pStyle w:val="TableofFigures"/>
        <w:tabs>
          <w:tab w:val="right" w:leader="dot" w:pos="9017"/>
        </w:tabs>
        <w:rPr>
          <w:rFonts w:asciiTheme="minorHAnsi" w:hAnsiTheme="minorHAnsi" w:cstheme="minorBidi"/>
          <w:noProof/>
          <w:lang w:eastAsia="en-US"/>
        </w:rPr>
      </w:pPr>
      <w:hyperlink w:anchor="_Toc133499381" w:history="1">
        <w:r w:rsidR="00A63F44" w:rsidRPr="002D62B3">
          <w:rPr>
            <w:rStyle w:val="Hyperlink"/>
            <w:noProof/>
          </w:rPr>
          <w:t>Slika 11.1.8 Raspodjela broja stambenih zgrada na urbana i ruralna naselja</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_Toc133499381 \h </w:instrText>
        </w:r>
        <w:r w:rsidR="00A63F44" w:rsidRPr="002D62B3">
          <w:rPr>
            <w:noProof/>
            <w:webHidden/>
          </w:rPr>
        </w:r>
        <w:r w:rsidR="00A63F44" w:rsidRPr="002D62B3">
          <w:rPr>
            <w:noProof/>
            <w:webHidden/>
          </w:rPr>
          <w:fldChar w:fldCharType="separate"/>
        </w:r>
        <w:r w:rsidR="00CD40A2">
          <w:rPr>
            <w:noProof/>
            <w:webHidden/>
          </w:rPr>
          <w:t>133</w:t>
        </w:r>
        <w:r w:rsidR="00A63F44" w:rsidRPr="002D62B3">
          <w:rPr>
            <w:noProof/>
            <w:webHidden/>
          </w:rPr>
          <w:fldChar w:fldCharType="end"/>
        </w:r>
      </w:hyperlink>
    </w:p>
    <w:p w14:paraId="68B64388" w14:textId="04179E15" w:rsidR="00A63F44" w:rsidRPr="002D62B3" w:rsidRDefault="00000000">
      <w:pPr>
        <w:pStyle w:val="TableofFigures"/>
        <w:tabs>
          <w:tab w:val="right" w:leader="dot" w:pos="9017"/>
        </w:tabs>
        <w:rPr>
          <w:rFonts w:asciiTheme="minorHAnsi" w:hAnsiTheme="minorHAnsi" w:cstheme="minorBidi"/>
          <w:noProof/>
          <w:lang w:eastAsia="en-US"/>
        </w:rPr>
      </w:pPr>
      <w:hyperlink w:anchor="_Toc133499382" w:history="1">
        <w:r w:rsidR="00A63F44" w:rsidRPr="002D62B3">
          <w:rPr>
            <w:rStyle w:val="Hyperlink"/>
            <w:noProof/>
          </w:rPr>
          <w:t xml:space="preserve">Slika 11.1.9 </w:t>
        </w:r>
        <w:r w:rsidR="00A63F44" w:rsidRPr="002D62B3">
          <w:rPr>
            <w:rStyle w:val="Hyperlink"/>
            <w:noProof/>
            <w:lang w:val="bs-Latn-BA"/>
          </w:rPr>
          <w:t>Koeficijent prolaza toplote vanjskih zidova stambenih zgrada u FBiH</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_Toc133499382 \h </w:instrText>
        </w:r>
        <w:r w:rsidR="00A63F44" w:rsidRPr="002D62B3">
          <w:rPr>
            <w:noProof/>
            <w:webHidden/>
          </w:rPr>
        </w:r>
        <w:r w:rsidR="00A63F44" w:rsidRPr="002D62B3">
          <w:rPr>
            <w:noProof/>
            <w:webHidden/>
          </w:rPr>
          <w:fldChar w:fldCharType="separate"/>
        </w:r>
        <w:r w:rsidR="00CD40A2">
          <w:rPr>
            <w:noProof/>
            <w:webHidden/>
          </w:rPr>
          <w:t>137</w:t>
        </w:r>
        <w:r w:rsidR="00A63F44" w:rsidRPr="002D62B3">
          <w:rPr>
            <w:noProof/>
            <w:webHidden/>
          </w:rPr>
          <w:fldChar w:fldCharType="end"/>
        </w:r>
      </w:hyperlink>
    </w:p>
    <w:p w14:paraId="3349AB1F" w14:textId="3D0D0A43" w:rsidR="00A63F44" w:rsidRPr="002D62B3" w:rsidRDefault="00000000">
      <w:pPr>
        <w:pStyle w:val="TableofFigures"/>
        <w:tabs>
          <w:tab w:val="right" w:leader="dot" w:pos="9017"/>
        </w:tabs>
        <w:rPr>
          <w:rFonts w:asciiTheme="minorHAnsi" w:hAnsiTheme="minorHAnsi" w:cstheme="minorBidi"/>
          <w:noProof/>
          <w:lang w:eastAsia="en-US"/>
        </w:rPr>
      </w:pPr>
      <w:hyperlink w:anchor="_Toc133499383" w:history="1">
        <w:r w:rsidR="00A63F44" w:rsidRPr="002D62B3">
          <w:rPr>
            <w:rStyle w:val="Hyperlink"/>
            <w:noProof/>
          </w:rPr>
          <w:t>Slika 11.1.10 Koeficijent prolaza toplote fasadnih otvora stambenih zgrada u FBiH</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_Toc133499383 \h </w:instrText>
        </w:r>
        <w:r w:rsidR="00A63F44" w:rsidRPr="002D62B3">
          <w:rPr>
            <w:noProof/>
            <w:webHidden/>
          </w:rPr>
        </w:r>
        <w:r w:rsidR="00A63F44" w:rsidRPr="002D62B3">
          <w:rPr>
            <w:noProof/>
            <w:webHidden/>
          </w:rPr>
          <w:fldChar w:fldCharType="separate"/>
        </w:r>
        <w:r w:rsidR="00CD40A2">
          <w:rPr>
            <w:noProof/>
            <w:webHidden/>
          </w:rPr>
          <w:t>138</w:t>
        </w:r>
        <w:r w:rsidR="00A63F44" w:rsidRPr="002D62B3">
          <w:rPr>
            <w:noProof/>
            <w:webHidden/>
          </w:rPr>
          <w:fldChar w:fldCharType="end"/>
        </w:r>
      </w:hyperlink>
    </w:p>
    <w:p w14:paraId="2C36A1A0" w14:textId="3B6E7978" w:rsidR="00A63F44" w:rsidRPr="002D62B3" w:rsidRDefault="00000000">
      <w:pPr>
        <w:pStyle w:val="TableofFigures"/>
        <w:tabs>
          <w:tab w:val="right" w:leader="dot" w:pos="9017"/>
        </w:tabs>
        <w:rPr>
          <w:rFonts w:asciiTheme="minorHAnsi" w:hAnsiTheme="minorHAnsi" w:cstheme="minorBidi"/>
          <w:noProof/>
          <w:lang w:eastAsia="en-US"/>
        </w:rPr>
      </w:pPr>
      <w:hyperlink w:anchor="_Toc133499384" w:history="1">
        <w:r w:rsidR="00A63F44" w:rsidRPr="002D62B3">
          <w:rPr>
            <w:rStyle w:val="Hyperlink"/>
            <w:noProof/>
          </w:rPr>
          <w:t>Slika 11.1.11 Koeficijent prolaza toplote krovova i stropova prema negrijanom tavanu stambenih zgrada u FBiH</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_Toc133499384 \h </w:instrText>
        </w:r>
        <w:r w:rsidR="00A63F44" w:rsidRPr="002D62B3">
          <w:rPr>
            <w:noProof/>
            <w:webHidden/>
          </w:rPr>
        </w:r>
        <w:r w:rsidR="00A63F44" w:rsidRPr="002D62B3">
          <w:rPr>
            <w:noProof/>
            <w:webHidden/>
          </w:rPr>
          <w:fldChar w:fldCharType="separate"/>
        </w:r>
        <w:r w:rsidR="00CD40A2">
          <w:rPr>
            <w:noProof/>
            <w:webHidden/>
          </w:rPr>
          <w:t>138</w:t>
        </w:r>
        <w:r w:rsidR="00A63F44" w:rsidRPr="002D62B3">
          <w:rPr>
            <w:noProof/>
            <w:webHidden/>
          </w:rPr>
          <w:fldChar w:fldCharType="end"/>
        </w:r>
      </w:hyperlink>
    </w:p>
    <w:p w14:paraId="46E3370A" w14:textId="56B9A3A3" w:rsidR="00A63F44" w:rsidRPr="002D62B3" w:rsidRDefault="00000000">
      <w:pPr>
        <w:pStyle w:val="TableofFigures"/>
        <w:tabs>
          <w:tab w:val="right" w:leader="dot" w:pos="9017"/>
        </w:tabs>
        <w:rPr>
          <w:rFonts w:asciiTheme="minorHAnsi" w:hAnsiTheme="minorHAnsi" w:cstheme="minorBidi"/>
          <w:noProof/>
          <w:lang w:eastAsia="en-US"/>
        </w:rPr>
      </w:pPr>
      <w:hyperlink w:anchor="_Toc133499385" w:history="1">
        <w:r w:rsidR="00A63F44" w:rsidRPr="002D62B3">
          <w:rPr>
            <w:rStyle w:val="Hyperlink"/>
            <w:noProof/>
          </w:rPr>
          <w:t>Slika 11.1.12 Prosječne vrijednosti koeficijenta prolaza toplote elemenata omotača javnih zgrada u FBiH prema namjeni zgrade i periodu izgradnje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_Toc133499385 \h </w:instrText>
        </w:r>
        <w:r w:rsidR="00A63F44" w:rsidRPr="002D62B3">
          <w:rPr>
            <w:noProof/>
            <w:webHidden/>
          </w:rPr>
        </w:r>
        <w:r w:rsidR="00A63F44" w:rsidRPr="002D62B3">
          <w:rPr>
            <w:noProof/>
            <w:webHidden/>
          </w:rPr>
          <w:fldChar w:fldCharType="separate"/>
        </w:r>
        <w:r w:rsidR="00CD40A2">
          <w:rPr>
            <w:noProof/>
            <w:webHidden/>
          </w:rPr>
          <w:t>139</w:t>
        </w:r>
        <w:r w:rsidR="00A63F44" w:rsidRPr="002D62B3">
          <w:rPr>
            <w:noProof/>
            <w:webHidden/>
          </w:rPr>
          <w:fldChar w:fldCharType="end"/>
        </w:r>
      </w:hyperlink>
    </w:p>
    <w:p w14:paraId="2603C1E3" w14:textId="38D41359" w:rsidR="002D62B3" w:rsidRPr="002D62B3" w:rsidRDefault="00000000" w:rsidP="002D62B3">
      <w:pPr>
        <w:pStyle w:val="TableofFigures"/>
        <w:tabs>
          <w:tab w:val="right" w:leader="dot" w:pos="9017"/>
        </w:tabs>
        <w:rPr>
          <w:noProof/>
        </w:rPr>
      </w:pPr>
      <w:hyperlink w:anchor="_Toc133499386" w:history="1">
        <w:r w:rsidR="00A63F44" w:rsidRPr="002D62B3">
          <w:rPr>
            <w:rStyle w:val="Hyperlink"/>
            <w:noProof/>
          </w:rPr>
          <w:t>Slika 11.1.13 Vrijednosti koeficijenta prolaza toplote elemenata omotača javnih zgrada u FBiH po periodu izgradnje</w:t>
        </w:r>
        <w:r w:rsidR="00A63F44" w:rsidRPr="002D62B3">
          <w:rPr>
            <w:noProof/>
            <w:webHidden/>
          </w:rPr>
          <w:tab/>
        </w:r>
        <w:r w:rsidR="00A63F44" w:rsidRPr="002D62B3">
          <w:rPr>
            <w:noProof/>
            <w:webHidden/>
          </w:rPr>
          <w:fldChar w:fldCharType="begin"/>
        </w:r>
        <w:r w:rsidR="00A63F44" w:rsidRPr="002D62B3">
          <w:rPr>
            <w:noProof/>
            <w:webHidden/>
          </w:rPr>
          <w:instrText xml:space="preserve"> PAGEREF _Toc133499386 \h </w:instrText>
        </w:r>
        <w:r w:rsidR="00A63F44" w:rsidRPr="002D62B3">
          <w:rPr>
            <w:noProof/>
            <w:webHidden/>
          </w:rPr>
        </w:r>
        <w:r w:rsidR="00A63F44" w:rsidRPr="002D62B3">
          <w:rPr>
            <w:noProof/>
            <w:webHidden/>
          </w:rPr>
          <w:fldChar w:fldCharType="separate"/>
        </w:r>
        <w:r w:rsidR="00CD40A2">
          <w:rPr>
            <w:noProof/>
            <w:webHidden/>
          </w:rPr>
          <w:t>140</w:t>
        </w:r>
        <w:r w:rsidR="00A63F44" w:rsidRPr="002D62B3">
          <w:rPr>
            <w:noProof/>
            <w:webHidden/>
          </w:rPr>
          <w:fldChar w:fldCharType="end"/>
        </w:r>
      </w:hyperlink>
      <w:r w:rsidR="00A63F44" w:rsidRPr="002D62B3">
        <w:rPr>
          <w:rFonts w:ascii="Arial" w:eastAsia="Arial" w:hAnsi="Arial"/>
          <w:b/>
          <w:color w:val="005837"/>
          <w:sz w:val="32"/>
          <w:szCs w:val="32"/>
          <w:lang w:val="bs-Latn-BA"/>
        </w:rPr>
        <w:fldChar w:fldCharType="end"/>
      </w:r>
      <w:r w:rsidR="002D62B3" w:rsidRPr="002D62B3">
        <w:rPr>
          <w:rFonts w:ascii="Arial" w:eastAsia="Arial" w:hAnsi="Arial"/>
          <w:b/>
          <w:color w:val="005837"/>
          <w:sz w:val="32"/>
          <w:szCs w:val="32"/>
          <w:lang w:val="bs-Latn-BA"/>
        </w:rPr>
        <w:fldChar w:fldCharType="begin"/>
      </w:r>
      <w:r w:rsidR="002D62B3" w:rsidRPr="002D62B3">
        <w:rPr>
          <w:rFonts w:ascii="Arial" w:eastAsia="Arial" w:hAnsi="Arial"/>
          <w:b/>
          <w:color w:val="005837"/>
          <w:sz w:val="32"/>
          <w:szCs w:val="32"/>
          <w:lang w:val="bs-Latn-BA"/>
        </w:rPr>
        <w:instrText xml:space="preserve"> TOC \h \z \c "Slika 11.2." </w:instrText>
      </w:r>
      <w:r w:rsidR="002D62B3" w:rsidRPr="002D62B3">
        <w:rPr>
          <w:rFonts w:ascii="Arial" w:eastAsia="Arial" w:hAnsi="Arial"/>
          <w:b/>
          <w:color w:val="005837"/>
          <w:sz w:val="32"/>
          <w:szCs w:val="32"/>
          <w:lang w:val="bs-Latn-BA"/>
        </w:rPr>
        <w:fldChar w:fldCharType="separate"/>
      </w:r>
    </w:p>
    <w:p w14:paraId="7931EDD0" w14:textId="3C24A7CB" w:rsidR="002D62B3" w:rsidRPr="002D62B3" w:rsidRDefault="00000000">
      <w:pPr>
        <w:pStyle w:val="TableofFigures"/>
        <w:tabs>
          <w:tab w:val="right" w:leader="dot" w:pos="9017"/>
        </w:tabs>
        <w:rPr>
          <w:rFonts w:asciiTheme="minorHAnsi" w:hAnsiTheme="minorHAnsi" w:cstheme="minorBidi"/>
          <w:noProof/>
          <w:lang w:eastAsia="en-US"/>
        </w:rPr>
      </w:pPr>
      <w:hyperlink w:anchor="_Toc133499411" w:history="1">
        <w:r w:rsidR="002D62B3" w:rsidRPr="002D62B3">
          <w:rPr>
            <w:rStyle w:val="Hyperlink"/>
            <w:noProof/>
          </w:rPr>
          <w:t xml:space="preserve">Slika 11.2.1 </w:t>
        </w:r>
        <w:r w:rsidR="002D62B3" w:rsidRPr="002D62B3">
          <w:rPr>
            <w:rStyle w:val="Hyperlink"/>
            <w:rFonts w:eastAsia="Calibri"/>
            <w:noProof/>
          </w:rPr>
          <w:t>Predviđanje potrošnje energije stambenih zgrada za različite nivoe obnova u FBiH do 2050. godine</w:t>
        </w:r>
        <w:r w:rsidR="002D62B3" w:rsidRPr="002D62B3">
          <w:rPr>
            <w:noProof/>
            <w:webHidden/>
          </w:rPr>
          <w:tab/>
        </w:r>
        <w:r w:rsidR="002D62B3" w:rsidRPr="002D62B3">
          <w:rPr>
            <w:noProof/>
            <w:webHidden/>
          </w:rPr>
          <w:fldChar w:fldCharType="begin"/>
        </w:r>
        <w:r w:rsidR="002D62B3" w:rsidRPr="002D62B3">
          <w:rPr>
            <w:noProof/>
            <w:webHidden/>
          </w:rPr>
          <w:instrText xml:space="preserve"> PAGEREF _Toc133499411 \h </w:instrText>
        </w:r>
        <w:r w:rsidR="002D62B3" w:rsidRPr="002D62B3">
          <w:rPr>
            <w:noProof/>
            <w:webHidden/>
          </w:rPr>
        </w:r>
        <w:r w:rsidR="002D62B3" w:rsidRPr="002D62B3">
          <w:rPr>
            <w:noProof/>
            <w:webHidden/>
          </w:rPr>
          <w:fldChar w:fldCharType="separate"/>
        </w:r>
        <w:r w:rsidR="00CD40A2">
          <w:rPr>
            <w:noProof/>
            <w:webHidden/>
          </w:rPr>
          <w:t>153</w:t>
        </w:r>
        <w:r w:rsidR="002D62B3" w:rsidRPr="002D62B3">
          <w:rPr>
            <w:noProof/>
            <w:webHidden/>
          </w:rPr>
          <w:fldChar w:fldCharType="end"/>
        </w:r>
      </w:hyperlink>
    </w:p>
    <w:p w14:paraId="1910B1B3" w14:textId="41B4B6CA" w:rsidR="002D62B3" w:rsidRPr="002D62B3" w:rsidRDefault="00000000" w:rsidP="002D62B3">
      <w:pPr>
        <w:pStyle w:val="TableofFigures"/>
        <w:tabs>
          <w:tab w:val="right" w:leader="dot" w:pos="9017"/>
        </w:tabs>
        <w:rPr>
          <w:noProof/>
        </w:rPr>
      </w:pPr>
      <w:hyperlink w:anchor="_Toc133499412" w:history="1">
        <w:r w:rsidR="002D62B3" w:rsidRPr="002D62B3">
          <w:rPr>
            <w:rStyle w:val="Hyperlink"/>
            <w:noProof/>
          </w:rPr>
          <w:t xml:space="preserve">Slika 11.2.2 </w:t>
        </w:r>
        <w:r w:rsidR="002D62B3" w:rsidRPr="002D62B3">
          <w:rPr>
            <w:rStyle w:val="Hyperlink"/>
            <w:rFonts w:eastAsia="Calibri"/>
            <w:noProof/>
          </w:rPr>
          <w:t>Predviđanje potrošnje energije javnih zgrada za različite nivoe obnova u FBiH do 2050. godine</w:t>
        </w:r>
        <w:r w:rsidR="002D62B3" w:rsidRPr="002D62B3">
          <w:rPr>
            <w:noProof/>
            <w:webHidden/>
          </w:rPr>
          <w:tab/>
        </w:r>
        <w:r w:rsidR="002D62B3" w:rsidRPr="002D62B3">
          <w:rPr>
            <w:noProof/>
            <w:webHidden/>
          </w:rPr>
          <w:fldChar w:fldCharType="begin"/>
        </w:r>
        <w:r w:rsidR="002D62B3" w:rsidRPr="002D62B3">
          <w:rPr>
            <w:noProof/>
            <w:webHidden/>
          </w:rPr>
          <w:instrText xml:space="preserve"> PAGEREF _Toc133499412 \h </w:instrText>
        </w:r>
        <w:r w:rsidR="002D62B3" w:rsidRPr="002D62B3">
          <w:rPr>
            <w:noProof/>
            <w:webHidden/>
          </w:rPr>
        </w:r>
        <w:r w:rsidR="002D62B3" w:rsidRPr="002D62B3">
          <w:rPr>
            <w:noProof/>
            <w:webHidden/>
          </w:rPr>
          <w:fldChar w:fldCharType="separate"/>
        </w:r>
        <w:r w:rsidR="00CD40A2">
          <w:rPr>
            <w:noProof/>
            <w:webHidden/>
          </w:rPr>
          <w:t>155</w:t>
        </w:r>
        <w:r w:rsidR="002D62B3" w:rsidRPr="002D62B3">
          <w:rPr>
            <w:noProof/>
            <w:webHidden/>
          </w:rPr>
          <w:fldChar w:fldCharType="end"/>
        </w:r>
      </w:hyperlink>
      <w:r w:rsidR="002D62B3" w:rsidRPr="002D62B3">
        <w:rPr>
          <w:rFonts w:ascii="Arial" w:eastAsia="Arial" w:hAnsi="Arial"/>
          <w:b/>
          <w:color w:val="005837"/>
          <w:sz w:val="32"/>
          <w:szCs w:val="32"/>
          <w:lang w:val="bs-Latn-BA"/>
        </w:rPr>
        <w:fldChar w:fldCharType="end"/>
      </w:r>
      <w:r w:rsidR="002D62B3" w:rsidRPr="002D62B3">
        <w:rPr>
          <w:rFonts w:ascii="Arial" w:eastAsia="Arial" w:hAnsi="Arial"/>
          <w:b/>
          <w:color w:val="005837"/>
          <w:sz w:val="32"/>
          <w:szCs w:val="32"/>
          <w:lang w:val="bs-Latn-BA"/>
        </w:rPr>
        <w:fldChar w:fldCharType="begin"/>
      </w:r>
      <w:r w:rsidR="002D62B3" w:rsidRPr="002D62B3">
        <w:rPr>
          <w:rFonts w:ascii="Arial" w:eastAsia="Arial" w:hAnsi="Arial"/>
          <w:b/>
          <w:color w:val="005837"/>
          <w:sz w:val="32"/>
          <w:szCs w:val="32"/>
          <w:lang w:val="bs-Latn-BA"/>
        </w:rPr>
        <w:instrText xml:space="preserve"> TOC \h \z \c "Slika 11.4." </w:instrText>
      </w:r>
      <w:r w:rsidR="002D62B3" w:rsidRPr="002D62B3">
        <w:rPr>
          <w:rFonts w:ascii="Arial" w:eastAsia="Arial" w:hAnsi="Arial"/>
          <w:b/>
          <w:color w:val="005837"/>
          <w:sz w:val="32"/>
          <w:szCs w:val="32"/>
          <w:lang w:val="bs-Latn-BA"/>
        </w:rPr>
        <w:fldChar w:fldCharType="separate"/>
      </w:r>
    </w:p>
    <w:p w14:paraId="307DE75D" w14:textId="16EACEC9" w:rsidR="002D62B3" w:rsidRPr="002D62B3" w:rsidRDefault="00000000">
      <w:pPr>
        <w:pStyle w:val="TableofFigures"/>
        <w:tabs>
          <w:tab w:val="right" w:leader="dot" w:pos="9017"/>
        </w:tabs>
        <w:rPr>
          <w:rFonts w:asciiTheme="minorHAnsi" w:hAnsiTheme="minorHAnsi" w:cstheme="minorBidi"/>
          <w:noProof/>
          <w:lang w:eastAsia="en-US"/>
        </w:rPr>
      </w:pPr>
      <w:hyperlink w:anchor="_Toc133499426" w:history="1">
        <w:r w:rsidR="002D62B3" w:rsidRPr="002D62B3">
          <w:rPr>
            <w:rStyle w:val="Hyperlink"/>
            <w:noProof/>
          </w:rPr>
          <w:t>Slika 11.4.1 Specifični troškovi energijske obnove po jedničnoj površini elemenata ovojnice (podaci 2020. godina)</w:t>
        </w:r>
        <w:r w:rsidR="002D62B3" w:rsidRPr="002D62B3">
          <w:rPr>
            <w:rStyle w:val="Hyperlink"/>
            <w:noProof/>
            <w:vertAlign w:val="superscript"/>
          </w:rPr>
          <w:t xml:space="preserve"> </w:t>
        </w:r>
        <w:r w:rsidR="002D62B3" w:rsidRPr="002D62B3">
          <w:rPr>
            <w:noProof/>
            <w:webHidden/>
          </w:rPr>
          <w:tab/>
        </w:r>
        <w:r w:rsidR="002D62B3" w:rsidRPr="002D62B3">
          <w:rPr>
            <w:noProof/>
            <w:webHidden/>
          </w:rPr>
          <w:fldChar w:fldCharType="begin"/>
        </w:r>
        <w:r w:rsidR="002D62B3" w:rsidRPr="002D62B3">
          <w:rPr>
            <w:noProof/>
            <w:webHidden/>
          </w:rPr>
          <w:instrText xml:space="preserve"> PAGEREF _Toc133499426 \h </w:instrText>
        </w:r>
        <w:r w:rsidR="002D62B3" w:rsidRPr="002D62B3">
          <w:rPr>
            <w:noProof/>
            <w:webHidden/>
          </w:rPr>
        </w:r>
        <w:r w:rsidR="002D62B3" w:rsidRPr="002D62B3">
          <w:rPr>
            <w:noProof/>
            <w:webHidden/>
          </w:rPr>
          <w:fldChar w:fldCharType="separate"/>
        </w:r>
        <w:r w:rsidR="00CD40A2">
          <w:rPr>
            <w:noProof/>
            <w:webHidden/>
          </w:rPr>
          <w:t>163</w:t>
        </w:r>
        <w:r w:rsidR="002D62B3" w:rsidRPr="002D62B3">
          <w:rPr>
            <w:noProof/>
            <w:webHidden/>
          </w:rPr>
          <w:fldChar w:fldCharType="end"/>
        </w:r>
      </w:hyperlink>
    </w:p>
    <w:p w14:paraId="6921A244" w14:textId="671118D8" w:rsidR="002D62B3" w:rsidRPr="002D62B3" w:rsidRDefault="00000000">
      <w:pPr>
        <w:pStyle w:val="TableofFigures"/>
        <w:tabs>
          <w:tab w:val="right" w:leader="dot" w:pos="9017"/>
        </w:tabs>
        <w:rPr>
          <w:rFonts w:asciiTheme="minorHAnsi" w:hAnsiTheme="minorHAnsi" w:cstheme="minorBidi"/>
          <w:noProof/>
          <w:lang w:eastAsia="en-US"/>
        </w:rPr>
      </w:pPr>
      <w:hyperlink w:anchor="_Toc133499427" w:history="1">
        <w:r w:rsidR="002D62B3" w:rsidRPr="002D62B3">
          <w:rPr>
            <w:rStyle w:val="Hyperlink"/>
            <w:noProof/>
          </w:rPr>
          <w:t xml:space="preserve">Slika 11.4.2 </w:t>
        </w:r>
        <w:r w:rsidR="002D62B3" w:rsidRPr="002D62B3">
          <w:rPr>
            <w:rStyle w:val="Hyperlink"/>
            <w:noProof/>
            <w:lang w:val="bs-Latn-BA"/>
          </w:rPr>
          <w:t>Odnos BDP i specifičnih troškova investicije u mjere energijske efikasnosti (podaci 2020. godina)</w:t>
        </w:r>
        <w:r w:rsidR="002D62B3" w:rsidRPr="002D62B3">
          <w:rPr>
            <w:noProof/>
            <w:webHidden/>
          </w:rPr>
          <w:tab/>
        </w:r>
        <w:r w:rsidR="002D62B3" w:rsidRPr="002D62B3">
          <w:rPr>
            <w:noProof/>
            <w:webHidden/>
          </w:rPr>
          <w:fldChar w:fldCharType="begin"/>
        </w:r>
        <w:r w:rsidR="002D62B3" w:rsidRPr="002D62B3">
          <w:rPr>
            <w:noProof/>
            <w:webHidden/>
          </w:rPr>
          <w:instrText xml:space="preserve"> PAGEREF _Toc133499427 \h </w:instrText>
        </w:r>
        <w:r w:rsidR="002D62B3" w:rsidRPr="002D62B3">
          <w:rPr>
            <w:noProof/>
            <w:webHidden/>
          </w:rPr>
        </w:r>
        <w:r w:rsidR="002D62B3" w:rsidRPr="002D62B3">
          <w:rPr>
            <w:noProof/>
            <w:webHidden/>
          </w:rPr>
          <w:fldChar w:fldCharType="separate"/>
        </w:r>
        <w:r w:rsidR="00CD40A2">
          <w:rPr>
            <w:noProof/>
            <w:webHidden/>
          </w:rPr>
          <w:t>164</w:t>
        </w:r>
        <w:r w:rsidR="002D62B3" w:rsidRPr="002D62B3">
          <w:rPr>
            <w:noProof/>
            <w:webHidden/>
          </w:rPr>
          <w:fldChar w:fldCharType="end"/>
        </w:r>
      </w:hyperlink>
    </w:p>
    <w:p w14:paraId="38C2303E" w14:textId="02C6A0BA" w:rsidR="00973648" w:rsidRPr="008924E0" w:rsidRDefault="002D62B3" w:rsidP="00973648">
      <w:pPr>
        <w:pStyle w:val="0Tekst"/>
        <w:rPr>
          <w:rFonts w:eastAsia="Arial"/>
          <w:lang w:val="bs-Latn-BA"/>
        </w:rPr>
      </w:pPr>
      <w:r w:rsidRPr="002D62B3">
        <w:rPr>
          <w:rFonts w:ascii="Arial" w:eastAsia="Arial" w:hAnsi="Arial" w:cs="Calibri"/>
          <w:b/>
          <w:color w:val="005837"/>
          <w:sz w:val="32"/>
          <w:szCs w:val="32"/>
          <w:lang w:val="bs-Latn-BA" w:eastAsia="ja-JP"/>
        </w:rPr>
        <w:fldChar w:fldCharType="end"/>
      </w:r>
    </w:p>
    <w:p w14:paraId="6D555F35" w14:textId="77777777" w:rsidR="00973648" w:rsidRPr="008924E0" w:rsidRDefault="00973648" w:rsidP="00973648">
      <w:pPr>
        <w:pStyle w:val="0Tekst"/>
        <w:rPr>
          <w:rFonts w:eastAsia="Arial"/>
          <w:lang w:val="bs-Latn-BA"/>
        </w:rPr>
      </w:pPr>
    </w:p>
    <w:p w14:paraId="2C45A2F7" w14:textId="77777777" w:rsidR="00973648" w:rsidRPr="008924E0" w:rsidRDefault="00973648" w:rsidP="00973648">
      <w:pPr>
        <w:pStyle w:val="0Tekst"/>
        <w:rPr>
          <w:rFonts w:eastAsia="Arial"/>
          <w:lang w:val="bs-Latn-BA"/>
        </w:rPr>
      </w:pPr>
      <w:bookmarkStart w:id="0" w:name="_heading=h.gjdgxs" w:colFirst="0" w:colLast="0"/>
      <w:bookmarkEnd w:id="0"/>
    </w:p>
    <w:p w14:paraId="3C514D09" w14:textId="2FF76F44" w:rsidR="00055321" w:rsidRPr="008924E0" w:rsidRDefault="00740D4F">
      <w:pPr>
        <w:keepNext/>
        <w:keepLines/>
        <w:pBdr>
          <w:top w:val="nil"/>
          <w:left w:val="nil"/>
          <w:bottom w:val="nil"/>
          <w:right w:val="nil"/>
          <w:between w:val="nil"/>
        </w:pBdr>
        <w:spacing w:before="360" w:after="360" w:line="276" w:lineRule="auto"/>
        <w:ind w:left="360" w:hanging="360"/>
        <w:jc w:val="left"/>
        <w:rPr>
          <w:rFonts w:ascii="Arial" w:eastAsia="Arial" w:hAnsi="Arial" w:cs="Arial"/>
          <w:b/>
          <w:color w:val="005837"/>
          <w:sz w:val="28"/>
          <w:szCs w:val="28"/>
          <w:lang w:val="bs-Latn-BA"/>
        </w:rPr>
      </w:pPr>
      <w:r w:rsidRPr="008924E0">
        <w:rPr>
          <w:rFonts w:ascii="Arial" w:eastAsia="Arial" w:hAnsi="Arial" w:cs="Arial"/>
          <w:b/>
          <w:color w:val="005837"/>
          <w:sz w:val="28"/>
          <w:szCs w:val="28"/>
          <w:lang w:val="bs-Latn-BA"/>
        </w:rPr>
        <w:lastRenderedPageBreak/>
        <w:t>POPIS TABELA</w:t>
      </w:r>
    </w:p>
    <w:p w14:paraId="6DB23EF7" w14:textId="3B795AAD" w:rsidR="002D62B3" w:rsidRDefault="00973648">
      <w:pPr>
        <w:pStyle w:val="TableofFigures"/>
        <w:tabs>
          <w:tab w:val="right" w:leader="dot" w:pos="9017"/>
        </w:tabs>
        <w:rPr>
          <w:rFonts w:asciiTheme="minorHAnsi" w:hAnsiTheme="minorHAnsi" w:cstheme="minorBidi"/>
          <w:noProof/>
          <w:lang w:eastAsia="en-US"/>
        </w:rPr>
      </w:pPr>
      <w:r w:rsidRPr="0087301F">
        <w:rPr>
          <w:sz w:val="20"/>
          <w:lang w:val="bs-Latn-BA"/>
        </w:rPr>
        <w:fldChar w:fldCharType="begin"/>
      </w:r>
      <w:r w:rsidRPr="0087301F">
        <w:rPr>
          <w:lang w:val="bs-Latn-BA"/>
        </w:rPr>
        <w:instrText xml:space="preserve"> TOC \h \z \c "Tabela" </w:instrText>
      </w:r>
      <w:r w:rsidRPr="0087301F">
        <w:rPr>
          <w:sz w:val="20"/>
          <w:lang w:val="bs-Latn-BA"/>
        </w:rPr>
        <w:fldChar w:fldCharType="separate"/>
      </w:r>
      <w:hyperlink w:anchor="_Toc133499535" w:history="1">
        <w:r w:rsidR="002D62B3" w:rsidRPr="00404F7F">
          <w:rPr>
            <w:rStyle w:val="Hyperlink"/>
            <w:noProof/>
          </w:rPr>
          <w:t>Tabela 0.1.1 Pregled raspoloživosti podataka koji su traženi od različitih institucija i organizacija, i njihova primjenljivost u izradi Strategije</w:t>
        </w:r>
        <w:r w:rsidR="002D62B3">
          <w:rPr>
            <w:noProof/>
            <w:webHidden/>
          </w:rPr>
          <w:tab/>
        </w:r>
        <w:r w:rsidR="002D62B3">
          <w:rPr>
            <w:noProof/>
            <w:webHidden/>
          </w:rPr>
          <w:fldChar w:fldCharType="begin"/>
        </w:r>
        <w:r w:rsidR="002D62B3">
          <w:rPr>
            <w:noProof/>
            <w:webHidden/>
          </w:rPr>
          <w:instrText xml:space="preserve"> PAGEREF _Toc133499535 \h </w:instrText>
        </w:r>
        <w:r w:rsidR="002D62B3">
          <w:rPr>
            <w:noProof/>
            <w:webHidden/>
          </w:rPr>
        </w:r>
        <w:r w:rsidR="002D62B3">
          <w:rPr>
            <w:noProof/>
            <w:webHidden/>
          </w:rPr>
          <w:fldChar w:fldCharType="separate"/>
        </w:r>
        <w:r w:rsidR="00CD40A2">
          <w:rPr>
            <w:noProof/>
            <w:webHidden/>
          </w:rPr>
          <w:t>16</w:t>
        </w:r>
        <w:r w:rsidR="002D62B3">
          <w:rPr>
            <w:noProof/>
            <w:webHidden/>
          </w:rPr>
          <w:fldChar w:fldCharType="end"/>
        </w:r>
      </w:hyperlink>
    </w:p>
    <w:p w14:paraId="6A268715" w14:textId="55B09896" w:rsidR="002D62B3" w:rsidRDefault="00000000">
      <w:pPr>
        <w:pStyle w:val="TableofFigures"/>
        <w:tabs>
          <w:tab w:val="right" w:leader="dot" w:pos="9017"/>
        </w:tabs>
        <w:rPr>
          <w:rFonts w:asciiTheme="minorHAnsi" w:hAnsiTheme="minorHAnsi" w:cstheme="minorBidi"/>
          <w:noProof/>
          <w:lang w:eastAsia="en-US"/>
        </w:rPr>
      </w:pPr>
      <w:hyperlink w:anchor="_Toc133499536" w:history="1">
        <w:r w:rsidR="002D62B3" w:rsidRPr="00404F7F">
          <w:rPr>
            <w:rStyle w:val="Hyperlink"/>
            <w:noProof/>
          </w:rPr>
          <w:t>Tabela 2.1 Ukupna korisna površina fonda zgrada FBiH</w:t>
        </w:r>
        <w:r w:rsidR="002D62B3">
          <w:rPr>
            <w:noProof/>
            <w:webHidden/>
          </w:rPr>
          <w:tab/>
        </w:r>
        <w:r w:rsidR="002D62B3">
          <w:rPr>
            <w:noProof/>
            <w:webHidden/>
          </w:rPr>
          <w:fldChar w:fldCharType="begin"/>
        </w:r>
        <w:r w:rsidR="002D62B3">
          <w:rPr>
            <w:noProof/>
            <w:webHidden/>
          </w:rPr>
          <w:instrText xml:space="preserve"> PAGEREF _Toc133499536 \h </w:instrText>
        </w:r>
        <w:r w:rsidR="002D62B3">
          <w:rPr>
            <w:noProof/>
            <w:webHidden/>
          </w:rPr>
        </w:r>
        <w:r w:rsidR="002D62B3">
          <w:rPr>
            <w:noProof/>
            <w:webHidden/>
          </w:rPr>
          <w:fldChar w:fldCharType="separate"/>
        </w:r>
        <w:r w:rsidR="00CD40A2">
          <w:rPr>
            <w:noProof/>
            <w:webHidden/>
          </w:rPr>
          <w:t>23</w:t>
        </w:r>
        <w:r w:rsidR="002D62B3">
          <w:rPr>
            <w:noProof/>
            <w:webHidden/>
          </w:rPr>
          <w:fldChar w:fldCharType="end"/>
        </w:r>
      </w:hyperlink>
    </w:p>
    <w:p w14:paraId="63192C7C" w14:textId="59DA1745" w:rsidR="002D62B3" w:rsidRDefault="00000000">
      <w:pPr>
        <w:pStyle w:val="TableofFigures"/>
        <w:tabs>
          <w:tab w:val="right" w:leader="dot" w:pos="9017"/>
        </w:tabs>
        <w:rPr>
          <w:rFonts w:asciiTheme="minorHAnsi" w:hAnsiTheme="minorHAnsi" w:cstheme="minorBidi"/>
          <w:noProof/>
          <w:lang w:eastAsia="en-US"/>
        </w:rPr>
      </w:pPr>
      <w:hyperlink w:anchor="_Toc133499537" w:history="1">
        <w:r w:rsidR="002D62B3" w:rsidRPr="00404F7F">
          <w:rPr>
            <w:rStyle w:val="Hyperlink"/>
            <w:noProof/>
          </w:rPr>
          <w:t>Tabela 2.2 Procjena broja zgrada po Kantonima prema modelu linearnog rasta 2 za period do 2021. godine</w:t>
        </w:r>
        <w:r w:rsidR="002D62B3">
          <w:rPr>
            <w:noProof/>
            <w:webHidden/>
          </w:rPr>
          <w:tab/>
        </w:r>
        <w:r w:rsidR="002D62B3">
          <w:rPr>
            <w:noProof/>
            <w:webHidden/>
          </w:rPr>
          <w:fldChar w:fldCharType="begin"/>
        </w:r>
        <w:r w:rsidR="002D62B3">
          <w:rPr>
            <w:noProof/>
            <w:webHidden/>
          </w:rPr>
          <w:instrText xml:space="preserve"> PAGEREF _Toc133499537 \h </w:instrText>
        </w:r>
        <w:r w:rsidR="002D62B3">
          <w:rPr>
            <w:noProof/>
            <w:webHidden/>
          </w:rPr>
        </w:r>
        <w:r w:rsidR="002D62B3">
          <w:rPr>
            <w:noProof/>
            <w:webHidden/>
          </w:rPr>
          <w:fldChar w:fldCharType="separate"/>
        </w:r>
        <w:r w:rsidR="00CD40A2">
          <w:rPr>
            <w:noProof/>
            <w:webHidden/>
          </w:rPr>
          <w:t>25</w:t>
        </w:r>
        <w:r w:rsidR="002D62B3">
          <w:rPr>
            <w:noProof/>
            <w:webHidden/>
          </w:rPr>
          <w:fldChar w:fldCharType="end"/>
        </w:r>
      </w:hyperlink>
    </w:p>
    <w:p w14:paraId="57CC748D" w14:textId="7C8804E1" w:rsidR="002D62B3" w:rsidRDefault="00000000">
      <w:pPr>
        <w:pStyle w:val="TableofFigures"/>
        <w:tabs>
          <w:tab w:val="right" w:leader="dot" w:pos="9017"/>
        </w:tabs>
        <w:rPr>
          <w:rFonts w:asciiTheme="minorHAnsi" w:hAnsiTheme="minorHAnsi" w:cstheme="minorBidi"/>
          <w:noProof/>
          <w:lang w:eastAsia="en-US"/>
        </w:rPr>
      </w:pPr>
      <w:hyperlink w:anchor="_Toc133499538" w:history="1">
        <w:r w:rsidR="002D62B3" w:rsidRPr="00404F7F">
          <w:rPr>
            <w:rStyle w:val="Hyperlink"/>
            <w:noProof/>
          </w:rPr>
          <w:t>Tabela 2.3 Finalna potrošnja energija za grijanje stambenih zgrada u FBiH, MWh/god.</w:t>
        </w:r>
        <w:r w:rsidR="002D62B3">
          <w:rPr>
            <w:noProof/>
            <w:webHidden/>
          </w:rPr>
          <w:tab/>
        </w:r>
        <w:r w:rsidR="002D62B3">
          <w:rPr>
            <w:noProof/>
            <w:webHidden/>
          </w:rPr>
          <w:fldChar w:fldCharType="begin"/>
        </w:r>
        <w:r w:rsidR="002D62B3">
          <w:rPr>
            <w:noProof/>
            <w:webHidden/>
          </w:rPr>
          <w:instrText xml:space="preserve"> PAGEREF _Toc133499538 \h </w:instrText>
        </w:r>
        <w:r w:rsidR="002D62B3">
          <w:rPr>
            <w:noProof/>
            <w:webHidden/>
          </w:rPr>
        </w:r>
        <w:r w:rsidR="002D62B3">
          <w:rPr>
            <w:noProof/>
            <w:webHidden/>
          </w:rPr>
          <w:fldChar w:fldCharType="separate"/>
        </w:r>
        <w:r w:rsidR="00CD40A2">
          <w:rPr>
            <w:noProof/>
            <w:webHidden/>
          </w:rPr>
          <w:t>27</w:t>
        </w:r>
        <w:r w:rsidR="002D62B3">
          <w:rPr>
            <w:noProof/>
            <w:webHidden/>
          </w:rPr>
          <w:fldChar w:fldCharType="end"/>
        </w:r>
      </w:hyperlink>
    </w:p>
    <w:p w14:paraId="59A02774" w14:textId="6642DE3F" w:rsidR="002D62B3" w:rsidRDefault="00000000">
      <w:pPr>
        <w:pStyle w:val="TableofFigures"/>
        <w:tabs>
          <w:tab w:val="right" w:leader="dot" w:pos="9017"/>
        </w:tabs>
        <w:rPr>
          <w:rFonts w:asciiTheme="minorHAnsi" w:hAnsiTheme="minorHAnsi" w:cstheme="minorBidi"/>
          <w:noProof/>
          <w:lang w:eastAsia="en-US"/>
        </w:rPr>
      </w:pPr>
      <w:hyperlink w:anchor="_Toc133499539" w:history="1">
        <w:r w:rsidR="002D62B3" w:rsidRPr="00404F7F">
          <w:rPr>
            <w:rStyle w:val="Hyperlink"/>
            <w:noProof/>
          </w:rPr>
          <w:t>Tabela 2.4 Specifična finalna energija za grijanje stambenih zgrada u FBiH, kWh/m</w:t>
        </w:r>
        <w:r w:rsidR="002D62B3" w:rsidRPr="00404F7F">
          <w:rPr>
            <w:rStyle w:val="Hyperlink"/>
            <w:noProof/>
            <w:vertAlign w:val="superscript"/>
          </w:rPr>
          <w:t>2</w:t>
        </w:r>
        <w:r w:rsidR="002D62B3" w:rsidRPr="00404F7F">
          <w:rPr>
            <w:rStyle w:val="Hyperlink"/>
            <w:noProof/>
          </w:rPr>
          <w:t>god.</w:t>
        </w:r>
        <w:r w:rsidR="002D62B3">
          <w:rPr>
            <w:noProof/>
            <w:webHidden/>
          </w:rPr>
          <w:tab/>
        </w:r>
        <w:r w:rsidR="002D62B3">
          <w:rPr>
            <w:noProof/>
            <w:webHidden/>
          </w:rPr>
          <w:fldChar w:fldCharType="begin"/>
        </w:r>
        <w:r w:rsidR="002D62B3">
          <w:rPr>
            <w:noProof/>
            <w:webHidden/>
          </w:rPr>
          <w:instrText xml:space="preserve"> PAGEREF _Toc133499539 \h </w:instrText>
        </w:r>
        <w:r w:rsidR="002D62B3">
          <w:rPr>
            <w:noProof/>
            <w:webHidden/>
          </w:rPr>
        </w:r>
        <w:r w:rsidR="002D62B3">
          <w:rPr>
            <w:noProof/>
            <w:webHidden/>
          </w:rPr>
          <w:fldChar w:fldCharType="separate"/>
        </w:r>
        <w:r w:rsidR="00CD40A2">
          <w:rPr>
            <w:noProof/>
            <w:webHidden/>
          </w:rPr>
          <w:t>28</w:t>
        </w:r>
        <w:r w:rsidR="002D62B3">
          <w:rPr>
            <w:noProof/>
            <w:webHidden/>
          </w:rPr>
          <w:fldChar w:fldCharType="end"/>
        </w:r>
      </w:hyperlink>
    </w:p>
    <w:p w14:paraId="70166BFF" w14:textId="2FB96D7C" w:rsidR="002D62B3" w:rsidRDefault="00000000">
      <w:pPr>
        <w:pStyle w:val="TableofFigures"/>
        <w:tabs>
          <w:tab w:val="right" w:leader="dot" w:pos="9017"/>
        </w:tabs>
        <w:rPr>
          <w:rFonts w:asciiTheme="minorHAnsi" w:hAnsiTheme="minorHAnsi" w:cstheme="minorBidi"/>
          <w:noProof/>
          <w:lang w:eastAsia="en-US"/>
        </w:rPr>
      </w:pPr>
      <w:hyperlink w:anchor="_Toc133499540" w:history="1">
        <w:r w:rsidR="002D62B3" w:rsidRPr="00404F7F">
          <w:rPr>
            <w:rStyle w:val="Hyperlink"/>
            <w:noProof/>
          </w:rPr>
          <w:t>Tabela 2.5 Specifična potrebna energije kategorija zgrada u stambenom sektoru/indikativni energijski razred, kWh/m</w:t>
        </w:r>
        <w:r w:rsidR="002D62B3" w:rsidRPr="00404F7F">
          <w:rPr>
            <w:rStyle w:val="Hyperlink"/>
            <w:noProof/>
            <w:vertAlign w:val="superscript"/>
          </w:rPr>
          <w:t>2</w:t>
        </w:r>
        <w:r w:rsidR="002D62B3" w:rsidRPr="00404F7F">
          <w:rPr>
            <w:rStyle w:val="Hyperlink"/>
            <w:noProof/>
          </w:rPr>
          <w:t>god.</w:t>
        </w:r>
        <w:r w:rsidR="002D62B3">
          <w:rPr>
            <w:noProof/>
            <w:webHidden/>
          </w:rPr>
          <w:tab/>
        </w:r>
        <w:r w:rsidR="002D62B3">
          <w:rPr>
            <w:noProof/>
            <w:webHidden/>
          </w:rPr>
          <w:fldChar w:fldCharType="begin"/>
        </w:r>
        <w:r w:rsidR="002D62B3">
          <w:rPr>
            <w:noProof/>
            <w:webHidden/>
          </w:rPr>
          <w:instrText xml:space="preserve"> PAGEREF _Toc133499540 \h </w:instrText>
        </w:r>
        <w:r w:rsidR="002D62B3">
          <w:rPr>
            <w:noProof/>
            <w:webHidden/>
          </w:rPr>
        </w:r>
        <w:r w:rsidR="002D62B3">
          <w:rPr>
            <w:noProof/>
            <w:webHidden/>
          </w:rPr>
          <w:fldChar w:fldCharType="separate"/>
        </w:r>
        <w:r w:rsidR="00CD40A2">
          <w:rPr>
            <w:noProof/>
            <w:webHidden/>
          </w:rPr>
          <w:t>28</w:t>
        </w:r>
        <w:r w:rsidR="002D62B3">
          <w:rPr>
            <w:noProof/>
            <w:webHidden/>
          </w:rPr>
          <w:fldChar w:fldCharType="end"/>
        </w:r>
      </w:hyperlink>
    </w:p>
    <w:p w14:paraId="273A1431" w14:textId="080091EE" w:rsidR="002D62B3" w:rsidRDefault="00000000">
      <w:pPr>
        <w:pStyle w:val="TableofFigures"/>
        <w:tabs>
          <w:tab w:val="right" w:leader="dot" w:pos="9017"/>
        </w:tabs>
        <w:rPr>
          <w:rFonts w:asciiTheme="minorHAnsi" w:hAnsiTheme="minorHAnsi" w:cstheme="minorBidi"/>
          <w:noProof/>
          <w:lang w:eastAsia="en-US"/>
        </w:rPr>
      </w:pPr>
      <w:hyperlink w:anchor="_Toc133499541" w:history="1">
        <w:r w:rsidR="002D62B3" w:rsidRPr="00404F7F">
          <w:rPr>
            <w:rStyle w:val="Hyperlink"/>
            <w:noProof/>
          </w:rPr>
          <w:t>Tabela 2.6 Finalna energija  za grijanje kategorija javnih zgrada u FBiH, MWh/god.</w:t>
        </w:r>
        <w:r w:rsidR="002D62B3">
          <w:rPr>
            <w:noProof/>
            <w:webHidden/>
          </w:rPr>
          <w:tab/>
        </w:r>
        <w:r w:rsidR="002D62B3">
          <w:rPr>
            <w:noProof/>
            <w:webHidden/>
          </w:rPr>
          <w:fldChar w:fldCharType="begin"/>
        </w:r>
        <w:r w:rsidR="002D62B3">
          <w:rPr>
            <w:noProof/>
            <w:webHidden/>
          </w:rPr>
          <w:instrText xml:space="preserve"> PAGEREF _Toc133499541 \h </w:instrText>
        </w:r>
        <w:r w:rsidR="002D62B3">
          <w:rPr>
            <w:noProof/>
            <w:webHidden/>
          </w:rPr>
        </w:r>
        <w:r w:rsidR="002D62B3">
          <w:rPr>
            <w:noProof/>
            <w:webHidden/>
          </w:rPr>
          <w:fldChar w:fldCharType="separate"/>
        </w:r>
        <w:r w:rsidR="00CD40A2">
          <w:rPr>
            <w:noProof/>
            <w:webHidden/>
          </w:rPr>
          <w:t>29</w:t>
        </w:r>
        <w:r w:rsidR="002D62B3">
          <w:rPr>
            <w:noProof/>
            <w:webHidden/>
          </w:rPr>
          <w:fldChar w:fldCharType="end"/>
        </w:r>
      </w:hyperlink>
    </w:p>
    <w:p w14:paraId="7A256DB2" w14:textId="5403538A" w:rsidR="002D62B3" w:rsidRDefault="00000000">
      <w:pPr>
        <w:pStyle w:val="TableofFigures"/>
        <w:tabs>
          <w:tab w:val="right" w:leader="dot" w:pos="9017"/>
        </w:tabs>
        <w:rPr>
          <w:rFonts w:asciiTheme="minorHAnsi" w:hAnsiTheme="minorHAnsi" w:cstheme="minorBidi"/>
          <w:noProof/>
          <w:lang w:eastAsia="en-US"/>
        </w:rPr>
      </w:pPr>
      <w:hyperlink w:anchor="_Toc133499542" w:history="1">
        <w:r w:rsidR="002D62B3" w:rsidRPr="00404F7F">
          <w:rPr>
            <w:rStyle w:val="Hyperlink"/>
            <w:noProof/>
          </w:rPr>
          <w:t>Tabela</w:t>
        </w:r>
        <w:r w:rsidR="002D62B3">
          <w:rPr>
            <w:rStyle w:val="Hyperlink"/>
            <w:noProof/>
          </w:rPr>
          <w:t xml:space="preserve"> </w:t>
        </w:r>
        <w:r w:rsidR="002D62B3" w:rsidRPr="00404F7F">
          <w:rPr>
            <w:rStyle w:val="Hyperlink"/>
            <w:noProof/>
          </w:rPr>
          <w:t>2.7 Specifična potrebna energije kategorija zgrada u javnom sektoru/indikativni energijski razred, kWh/m</w:t>
        </w:r>
        <w:r w:rsidR="002D62B3" w:rsidRPr="00404F7F">
          <w:rPr>
            <w:rStyle w:val="Hyperlink"/>
            <w:noProof/>
            <w:vertAlign w:val="superscript"/>
          </w:rPr>
          <w:t>2</w:t>
        </w:r>
        <w:r w:rsidR="002D62B3" w:rsidRPr="00404F7F">
          <w:rPr>
            <w:rStyle w:val="Hyperlink"/>
            <w:noProof/>
          </w:rPr>
          <w:t>god.</w:t>
        </w:r>
        <w:r w:rsidR="002D62B3">
          <w:rPr>
            <w:noProof/>
            <w:webHidden/>
          </w:rPr>
          <w:tab/>
        </w:r>
        <w:r w:rsidR="002D62B3">
          <w:rPr>
            <w:noProof/>
            <w:webHidden/>
          </w:rPr>
          <w:fldChar w:fldCharType="begin"/>
        </w:r>
        <w:r w:rsidR="002D62B3">
          <w:rPr>
            <w:noProof/>
            <w:webHidden/>
          </w:rPr>
          <w:instrText xml:space="preserve"> PAGEREF _Toc133499542 \h </w:instrText>
        </w:r>
        <w:r w:rsidR="002D62B3">
          <w:rPr>
            <w:noProof/>
            <w:webHidden/>
          </w:rPr>
        </w:r>
        <w:r w:rsidR="002D62B3">
          <w:rPr>
            <w:noProof/>
            <w:webHidden/>
          </w:rPr>
          <w:fldChar w:fldCharType="separate"/>
        </w:r>
        <w:r w:rsidR="00CD40A2">
          <w:rPr>
            <w:noProof/>
            <w:webHidden/>
          </w:rPr>
          <w:t>30</w:t>
        </w:r>
        <w:r w:rsidR="002D62B3">
          <w:rPr>
            <w:noProof/>
            <w:webHidden/>
          </w:rPr>
          <w:fldChar w:fldCharType="end"/>
        </w:r>
      </w:hyperlink>
    </w:p>
    <w:p w14:paraId="08EE33F6" w14:textId="6BA2EA7B" w:rsidR="002D62B3" w:rsidRDefault="00000000">
      <w:pPr>
        <w:pStyle w:val="TableofFigures"/>
        <w:tabs>
          <w:tab w:val="right" w:leader="dot" w:pos="9017"/>
        </w:tabs>
        <w:rPr>
          <w:rFonts w:asciiTheme="minorHAnsi" w:hAnsiTheme="minorHAnsi" w:cstheme="minorBidi"/>
          <w:noProof/>
          <w:lang w:eastAsia="en-US"/>
        </w:rPr>
      </w:pPr>
      <w:hyperlink w:anchor="_Toc133499543" w:history="1">
        <w:r w:rsidR="002D62B3" w:rsidRPr="00404F7F">
          <w:rPr>
            <w:rStyle w:val="Hyperlink"/>
            <w:noProof/>
          </w:rPr>
          <w:t>Tabela 3.1 Strateški pravci u svrhu obnove zgrada u FBiH</w:t>
        </w:r>
        <w:r w:rsidR="002D62B3">
          <w:rPr>
            <w:noProof/>
            <w:webHidden/>
          </w:rPr>
          <w:tab/>
        </w:r>
        <w:r w:rsidR="002D62B3">
          <w:rPr>
            <w:noProof/>
            <w:webHidden/>
          </w:rPr>
          <w:fldChar w:fldCharType="begin"/>
        </w:r>
        <w:r w:rsidR="002D62B3">
          <w:rPr>
            <w:noProof/>
            <w:webHidden/>
          </w:rPr>
          <w:instrText xml:space="preserve"> PAGEREF _Toc133499543 \h </w:instrText>
        </w:r>
        <w:r w:rsidR="002D62B3">
          <w:rPr>
            <w:noProof/>
            <w:webHidden/>
          </w:rPr>
        </w:r>
        <w:r w:rsidR="002D62B3">
          <w:rPr>
            <w:noProof/>
            <w:webHidden/>
          </w:rPr>
          <w:fldChar w:fldCharType="separate"/>
        </w:r>
        <w:r w:rsidR="00CD40A2">
          <w:rPr>
            <w:noProof/>
            <w:webHidden/>
          </w:rPr>
          <w:t>31</w:t>
        </w:r>
        <w:r w:rsidR="002D62B3">
          <w:rPr>
            <w:noProof/>
            <w:webHidden/>
          </w:rPr>
          <w:fldChar w:fldCharType="end"/>
        </w:r>
      </w:hyperlink>
    </w:p>
    <w:p w14:paraId="354C263B" w14:textId="01ABBA1D" w:rsidR="002D62B3" w:rsidRDefault="00000000">
      <w:pPr>
        <w:pStyle w:val="TableofFigures"/>
        <w:tabs>
          <w:tab w:val="right" w:leader="dot" w:pos="9017"/>
        </w:tabs>
        <w:rPr>
          <w:rFonts w:asciiTheme="minorHAnsi" w:hAnsiTheme="minorHAnsi" w:cstheme="minorBidi"/>
          <w:noProof/>
          <w:lang w:eastAsia="en-US"/>
        </w:rPr>
      </w:pPr>
      <w:hyperlink w:anchor="_Toc133499544" w:history="1">
        <w:r w:rsidR="002D62B3" w:rsidRPr="00404F7F">
          <w:rPr>
            <w:rStyle w:val="Hyperlink"/>
            <w:noProof/>
          </w:rPr>
          <w:t>Tabela 5.1 Strateški cilj za postizanje energijski visokoefikasanog, dekarboniziranog i održivog sektora zgradarstva u FBiH, s ciljem zaštite zdravlja i poboljšanja kvalitete života svih građana, te njihovog ekonomskog prosperiteta</w:t>
        </w:r>
        <w:r w:rsidR="002D62B3">
          <w:rPr>
            <w:noProof/>
            <w:webHidden/>
          </w:rPr>
          <w:tab/>
        </w:r>
        <w:r w:rsidR="002D62B3">
          <w:rPr>
            <w:noProof/>
            <w:webHidden/>
          </w:rPr>
          <w:fldChar w:fldCharType="begin"/>
        </w:r>
        <w:r w:rsidR="002D62B3">
          <w:rPr>
            <w:noProof/>
            <w:webHidden/>
          </w:rPr>
          <w:instrText xml:space="preserve"> PAGEREF _Toc133499544 \h </w:instrText>
        </w:r>
        <w:r w:rsidR="002D62B3">
          <w:rPr>
            <w:noProof/>
            <w:webHidden/>
          </w:rPr>
        </w:r>
        <w:r w:rsidR="002D62B3">
          <w:rPr>
            <w:noProof/>
            <w:webHidden/>
          </w:rPr>
          <w:fldChar w:fldCharType="separate"/>
        </w:r>
        <w:r w:rsidR="00CD40A2">
          <w:rPr>
            <w:noProof/>
            <w:webHidden/>
          </w:rPr>
          <w:t>33</w:t>
        </w:r>
        <w:r w:rsidR="002D62B3">
          <w:rPr>
            <w:noProof/>
            <w:webHidden/>
          </w:rPr>
          <w:fldChar w:fldCharType="end"/>
        </w:r>
      </w:hyperlink>
    </w:p>
    <w:p w14:paraId="4563724F" w14:textId="3303F571" w:rsidR="002D62B3" w:rsidRDefault="00000000">
      <w:pPr>
        <w:pStyle w:val="TableofFigures"/>
        <w:tabs>
          <w:tab w:val="right" w:leader="dot" w:pos="9017"/>
        </w:tabs>
        <w:rPr>
          <w:rFonts w:asciiTheme="minorHAnsi" w:hAnsiTheme="minorHAnsi" w:cstheme="minorBidi"/>
          <w:noProof/>
          <w:lang w:eastAsia="en-US"/>
        </w:rPr>
      </w:pPr>
      <w:hyperlink w:anchor="_Toc133499545" w:history="1">
        <w:r w:rsidR="002D62B3" w:rsidRPr="00404F7F">
          <w:rPr>
            <w:rStyle w:val="Hyperlink"/>
            <w:noProof/>
          </w:rPr>
          <w:t>Tabela 5.2 Strateški cilj i indikatori uticaja</w:t>
        </w:r>
        <w:r w:rsidR="002D62B3">
          <w:rPr>
            <w:noProof/>
            <w:webHidden/>
          </w:rPr>
          <w:tab/>
        </w:r>
        <w:r w:rsidR="002D62B3">
          <w:rPr>
            <w:noProof/>
            <w:webHidden/>
          </w:rPr>
          <w:fldChar w:fldCharType="begin"/>
        </w:r>
        <w:r w:rsidR="002D62B3">
          <w:rPr>
            <w:noProof/>
            <w:webHidden/>
          </w:rPr>
          <w:instrText xml:space="preserve"> PAGEREF _Toc133499545 \h </w:instrText>
        </w:r>
        <w:r w:rsidR="002D62B3">
          <w:rPr>
            <w:noProof/>
            <w:webHidden/>
          </w:rPr>
        </w:r>
        <w:r w:rsidR="002D62B3">
          <w:rPr>
            <w:noProof/>
            <w:webHidden/>
          </w:rPr>
          <w:fldChar w:fldCharType="separate"/>
        </w:r>
        <w:r w:rsidR="00CD40A2">
          <w:rPr>
            <w:noProof/>
            <w:webHidden/>
          </w:rPr>
          <w:t>35</w:t>
        </w:r>
        <w:r w:rsidR="002D62B3">
          <w:rPr>
            <w:noProof/>
            <w:webHidden/>
          </w:rPr>
          <w:fldChar w:fldCharType="end"/>
        </w:r>
      </w:hyperlink>
    </w:p>
    <w:p w14:paraId="1325287A" w14:textId="0FD4827A" w:rsidR="002D62B3" w:rsidRDefault="00000000">
      <w:pPr>
        <w:pStyle w:val="TableofFigures"/>
        <w:tabs>
          <w:tab w:val="right" w:leader="dot" w:pos="9017"/>
        </w:tabs>
        <w:rPr>
          <w:rFonts w:asciiTheme="minorHAnsi" w:hAnsiTheme="minorHAnsi" w:cstheme="minorBidi"/>
          <w:noProof/>
          <w:lang w:eastAsia="en-US"/>
        </w:rPr>
      </w:pPr>
      <w:hyperlink w:anchor="_Toc133499546" w:history="1">
        <w:r w:rsidR="002D62B3" w:rsidRPr="00404F7F">
          <w:rPr>
            <w:rStyle w:val="Hyperlink"/>
            <w:noProof/>
          </w:rPr>
          <w:t>Tabela 6.1 Mjere obnove koje ulaze u nivoe obnove za kategorije SFH i TH</w:t>
        </w:r>
        <w:r w:rsidR="002D62B3">
          <w:rPr>
            <w:noProof/>
            <w:webHidden/>
          </w:rPr>
          <w:tab/>
        </w:r>
        <w:r w:rsidR="002D62B3">
          <w:rPr>
            <w:noProof/>
            <w:webHidden/>
          </w:rPr>
          <w:fldChar w:fldCharType="begin"/>
        </w:r>
        <w:r w:rsidR="002D62B3">
          <w:rPr>
            <w:noProof/>
            <w:webHidden/>
          </w:rPr>
          <w:instrText xml:space="preserve"> PAGEREF _Toc133499546 \h </w:instrText>
        </w:r>
        <w:r w:rsidR="002D62B3">
          <w:rPr>
            <w:noProof/>
            <w:webHidden/>
          </w:rPr>
        </w:r>
        <w:r w:rsidR="002D62B3">
          <w:rPr>
            <w:noProof/>
            <w:webHidden/>
          </w:rPr>
          <w:fldChar w:fldCharType="separate"/>
        </w:r>
        <w:r w:rsidR="00CD40A2">
          <w:rPr>
            <w:noProof/>
            <w:webHidden/>
          </w:rPr>
          <w:t>40</w:t>
        </w:r>
        <w:r w:rsidR="002D62B3">
          <w:rPr>
            <w:noProof/>
            <w:webHidden/>
          </w:rPr>
          <w:fldChar w:fldCharType="end"/>
        </w:r>
      </w:hyperlink>
    </w:p>
    <w:p w14:paraId="138E99C1" w14:textId="40B93F42" w:rsidR="002D62B3" w:rsidRDefault="00000000">
      <w:pPr>
        <w:pStyle w:val="TableofFigures"/>
        <w:tabs>
          <w:tab w:val="right" w:leader="dot" w:pos="9017"/>
        </w:tabs>
        <w:rPr>
          <w:rFonts w:asciiTheme="minorHAnsi" w:hAnsiTheme="minorHAnsi" w:cstheme="minorBidi"/>
          <w:noProof/>
          <w:lang w:eastAsia="en-US"/>
        </w:rPr>
      </w:pPr>
      <w:hyperlink w:anchor="_Toc133499547" w:history="1">
        <w:r w:rsidR="002D62B3" w:rsidRPr="00404F7F">
          <w:rPr>
            <w:rStyle w:val="Hyperlink"/>
            <w:noProof/>
          </w:rPr>
          <w:t>Tabela 6.2 Mjere obnove koje ulaze u nivoe obnove za kategoriju MH</w:t>
        </w:r>
        <w:r w:rsidR="002D62B3">
          <w:rPr>
            <w:noProof/>
            <w:webHidden/>
          </w:rPr>
          <w:tab/>
        </w:r>
        <w:r w:rsidR="002D62B3">
          <w:rPr>
            <w:noProof/>
            <w:webHidden/>
          </w:rPr>
          <w:fldChar w:fldCharType="begin"/>
        </w:r>
        <w:r w:rsidR="002D62B3">
          <w:rPr>
            <w:noProof/>
            <w:webHidden/>
          </w:rPr>
          <w:instrText xml:space="preserve"> PAGEREF _Toc133499547 \h </w:instrText>
        </w:r>
        <w:r w:rsidR="002D62B3">
          <w:rPr>
            <w:noProof/>
            <w:webHidden/>
          </w:rPr>
        </w:r>
        <w:r w:rsidR="002D62B3">
          <w:rPr>
            <w:noProof/>
            <w:webHidden/>
          </w:rPr>
          <w:fldChar w:fldCharType="separate"/>
        </w:r>
        <w:r w:rsidR="00CD40A2">
          <w:rPr>
            <w:noProof/>
            <w:webHidden/>
          </w:rPr>
          <w:t>40</w:t>
        </w:r>
        <w:r w:rsidR="002D62B3">
          <w:rPr>
            <w:noProof/>
            <w:webHidden/>
          </w:rPr>
          <w:fldChar w:fldCharType="end"/>
        </w:r>
      </w:hyperlink>
    </w:p>
    <w:p w14:paraId="60AD34E3" w14:textId="2CB378AE" w:rsidR="002D62B3" w:rsidRDefault="00000000">
      <w:pPr>
        <w:pStyle w:val="TableofFigures"/>
        <w:tabs>
          <w:tab w:val="right" w:leader="dot" w:pos="9017"/>
        </w:tabs>
        <w:rPr>
          <w:rFonts w:asciiTheme="minorHAnsi" w:hAnsiTheme="minorHAnsi" w:cstheme="minorBidi"/>
          <w:noProof/>
          <w:lang w:eastAsia="en-US"/>
        </w:rPr>
      </w:pPr>
      <w:hyperlink w:anchor="_Toc133499548" w:history="1">
        <w:r w:rsidR="002D62B3" w:rsidRPr="00404F7F">
          <w:rPr>
            <w:rStyle w:val="Hyperlink"/>
            <w:noProof/>
          </w:rPr>
          <w:t>Tabela 6.3 Mjere obnove koje ulaze u nivoe obnove za kategoriju AB</w:t>
        </w:r>
        <w:r w:rsidR="002D62B3">
          <w:rPr>
            <w:noProof/>
            <w:webHidden/>
          </w:rPr>
          <w:tab/>
        </w:r>
        <w:r w:rsidR="002D62B3">
          <w:rPr>
            <w:noProof/>
            <w:webHidden/>
          </w:rPr>
          <w:fldChar w:fldCharType="begin"/>
        </w:r>
        <w:r w:rsidR="002D62B3">
          <w:rPr>
            <w:noProof/>
            <w:webHidden/>
          </w:rPr>
          <w:instrText xml:space="preserve"> PAGEREF _Toc133499548 \h </w:instrText>
        </w:r>
        <w:r w:rsidR="002D62B3">
          <w:rPr>
            <w:noProof/>
            <w:webHidden/>
          </w:rPr>
        </w:r>
        <w:r w:rsidR="002D62B3">
          <w:rPr>
            <w:noProof/>
            <w:webHidden/>
          </w:rPr>
          <w:fldChar w:fldCharType="separate"/>
        </w:r>
        <w:r w:rsidR="00CD40A2">
          <w:rPr>
            <w:noProof/>
            <w:webHidden/>
          </w:rPr>
          <w:t>40</w:t>
        </w:r>
        <w:r w:rsidR="002D62B3">
          <w:rPr>
            <w:noProof/>
            <w:webHidden/>
          </w:rPr>
          <w:fldChar w:fldCharType="end"/>
        </w:r>
      </w:hyperlink>
    </w:p>
    <w:p w14:paraId="6FD2D602" w14:textId="2F01E13E" w:rsidR="002D62B3" w:rsidRDefault="00000000">
      <w:pPr>
        <w:pStyle w:val="TableofFigures"/>
        <w:tabs>
          <w:tab w:val="right" w:leader="dot" w:pos="9017"/>
        </w:tabs>
        <w:rPr>
          <w:rFonts w:asciiTheme="minorHAnsi" w:hAnsiTheme="minorHAnsi" w:cstheme="minorBidi"/>
          <w:noProof/>
          <w:lang w:eastAsia="en-US"/>
        </w:rPr>
      </w:pPr>
      <w:hyperlink w:anchor="_Toc133499549" w:history="1">
        <w:r w:rsidR="002D62B3" w:rsidRPr="00404F7F">
          <w:rPr>
            <w:rStyle w:val="Hyperlink"/>
            <w:noProof/>
          </w:rPr>
          <w:t>Tabela 6.4 Mjere obnove koje ulaze u nivoe obnove za kategoriju H</w:t>
        </w:r>
        <w:r w:rsidR="002D62B3">
          <w:rPr>
            <w:noProof/>
            <w:webHidden/>
          </w:rPr>
          <w:tab/>
        </w:r>
        <w:r w:rsidR="002D62B3">
          <w:rPr>
            <w:noProof/>
            <w:webHidden/>
          </w:rPr>
          <w:fldChar w:fldCharType="begin"/>
        </w:r>
        <w:r w:rsidR="002D62B3">
          <w:rPr>
            <w:noProof/>
            <w:webHidden/>
          </w:rPr>
          <w:instrText xml:space="preserve"> PAGEREF _Toc133499549 \h </w:instrText>
        </w:r>
        <w:r w:rsidR="002D62B3">
          <w:rPr>
            <w:noProof/>
            <w:webHidden/>
          </w:rPr>
        </w:r>
        <w:r w:rsidR="002D62B3">
          <w:rPr>
            <w:noProof/>
            <w:webHidden/>
          </w:rPr>
          <w:fldChar w:fldCharType="separate"/>
        </w:r>
        <w:r w:rsidR="00CD40A2">
          <w:rPr>
            <w:noProof/>
            <w:webHidden/>
          </w:rPr>
          <w:t>41</w:t>
        </w:r>
        <w:r w:rsidR="002D62B3">
          <w:rPr>
            <w:noProof/>
            <w:webHidden/>
          </w:rPr>
          <w:fldChar w:fldCharType="end"/>
        </w:r>
      </w:hyperlink>
    </w:p>
    <w:p w14:paraId="0668FA00" w14:textId="40E68315" w:rsidR="002D62B3" w:rsidRDefault="00000000">
      <w:pPr>
        <w:pStyle w:val="TableofFigures"/>
        <w:tabs>
          <w:tab w:val="right" w:leader="dot" w:pos="9017"/>
        </w:tabs>
        <w:rPr>
          <w:rFonts w:asciiTheme="minorHAnsi" w:hAnsiTheme="minorHAnsi" w:cstheme="minorBidi"/>
          <w:noProof/>
          <w:lang w:eastAsia="en-US"/>
        </w:rPr>
      </w:pPr>
      <w:hyperlink w:anchor="_Toc133499550" w:history="1">
        <w:r w:rsidR="002D62B3" w:rsidRPr="00404F7F">
          <w:rPr>
            <w:rStyle w:val="Hyperlink"/>
            <w:noProof/>
          </w:rPr>
          <w:t>Tabela 6.5 Nivo energijske obnove stambenih zgrada u FBiH</w:t>
        </w:r>
        <w:r w:rsidR="002D62B3">
          <w:rPr>
            <w:noProof/>
            <w:webHidden/>
          </w:rPr>
          <w:tab/>
        </w:r>
        <w:r w:rsidR="002D62B3">
          <w:rPr>
            <w:noProof/>
            <w:webHidden/>
          </w:rPr>
          <w:fldChar w:fldCharType="begin"/>
        </w:r>
        <w:r w:rsidR="002D62B3">
          <w:rPr>
            <w:noProof/>
            <w:webHidden/>
          </w:rPr>
          <w:instrText xml:space="preserve"> PAGEREF _Toc133499550 \h </w:instrText>
        </w:r>
        <w:r w:rsidR="002D62B3">
          <w:rPr>
            <w:noProof/>
            <w:webHidden/>
          </w:rPr>
        </w:r>
        <w:r w:rsidR="002D62B3">
          <w:rPr>
            <w:noProof/>
            <w:webHidden/>
          </w:rPr>
          <w:fldChar w:fldCharType="separate"/>
        </w:r>
        <w:r w:rsidR="00CD40A2">
          <w:rPr>
            <w:noProof/>
            <w:webHidden/>
          </w:rPr>
          <w:t>41</w:t>
        </w:r>
        <w:r w:rsidR="002D62B3">
          <w:rPr>
            <w:noProof/>
            <w:webHidden/>
          </w:rPr>
          <w:fldChar w:fldCharType="end"/>
        </w:r>
      </w:hyperlink>
    </w:p>
    <w:p w14:paraId="044B7B70" w14:textId="789F51F3" w:rsidR="002D62B3" w:rsidRDefault="00000000">
      <w:pPr>
        <w:pStyle w:val="TableofFigures"/>
        <w:tabs>
          <w:tab w:val="right" w:leader="dot" w:pos="9017"/>
        </w:tabs>
        <w:rPr>
          <w:rFonts w:asciiTheme="minorHAnsi" w:hAnsiTheme="minorHAnsi" w:cstheme="minorBidi"/>
          <w:noProof/>
          <w:lang w:eastAsia="en-US"/>
        </w:rPr>
      </w:pPr>
      <w:hyperlink w:anchor="_Toc133499551" w:history="1">
        <w:r w:rsidR="002D62B3" w:rsidRPr="00404F7F">
          <w:rPr>
            <w:rStyle w:val="Hyperlink"/>
            <w:noProof/>
          </w:rPr>
          <w:t>Tabela 6.6 Postojeće i ciljne karakteristike stambenog fonda zgrada FBiH (godišnja obnova 1,5 % korisne grijane površine)</w:t>
        </w:r>
        <w:r w:rsidR="002D62B3">
          <w:rPr>
            <w:noProof/>
            <w:webHidden/>
          </w:rPr>
          <w:tab/>
        </w:r>
        <w:r w:rsidR="002D62B3">
          <w:rPr>
            <w:noProof/>
            <w:webHidden/>
          </w:rPr>
          <w:fldChar w:fldCharType="begin"/>
        </w:r>
        <w:r w:rsidR="002D62B3">
          <w:rPr>
            <w:noProof/>
            <w:webHidden/>
          </w:rPr>
          <w:instrText xml:space="preserve"> PAGEREF _Toc133499551 \h </w:instrText>
        </w:r>
        <w:r w:rsidR="002D62B3">
          <w:rPr>
            <w:noProof/>
            <w:webHidden/>
          </w:rPr>
        </w:r>
        <w:r w:rsidR="002D62B3">
          <w:rPr>
            <w:noProof/>
            <w:webHidden/>
          </w:rPr>
          <w:fldChar w:fldCharType="separate"/>
        </w:r>
        <w:r w:rsidR="00CD40A2">
          <w:rPr>
            <w:noProof/>
            <w:webHidden/>
          </w:rPr>
          <w:t>44</w:t>
        </w:r>
        <w:r w:rsidR="002D62B3">
          <w:rPr>
            <w:noProof/>
            <w:webHidden/>
          </w:rPr>
          <w:fldChar w:fldCharType="end"/>
        </w:r>
      </w:hyperlink>
    </w:p>
    <w:p w14:paraId="5ECB3C52" w14:textId="69F26789" w:rsidR="002D62B3" w:rsidRDefault="00000000">
      <w:pPr>
        <w:pStyle w:val="TableofFigures"/>
        <w:tabs>
          <w:tab w:val="right" w:leader="dot" w:pos="9017"/>
        </w:tabs>
        <w:rPr>
          <w:rFonts w:asciiTheme="minorHAnsi" w:hAnsiTheme="minorHAnsi" w:cstheme="minorBidi"/>
          <w:noProof/>
          <w:lang w:eastAsia="en-US"/>
        </w:rPr>
      </w:pPr>
      <w:hyperlink w:anchor="_Toc133499552" w:history="1">
        <w:r w:rsidR="002D62B3" w:rsidRPr="00404F7F">
          <w:rPr>
            <w:rStyle w:val="Hyperlink"/>
            <w:noProof/>
          </w:rPr>
          <w:t>Tabela 6.7 Troškovi energijske obnove stambenog fonda zgrada FBiH</w:t>
        </w:r>
        <w:r w:rsidR="002D62B3">
          <w:rPr>
            <w:noProof/>
            <w:webHidden/>
          </w:rPr>
          <w:tab/>
        </w:r>
        <w:r w:rsidR="002D62B3">
          <w:rPr>
            <w:noProof/>
            <w:webHidden/>
          </w:rPr>
          <w:fldChar w:fldCharType="begin"/>
        </w:r>
        <w:r w:rsidR="002D62B3">
          <w:rPr>
            <w:noProof/>
            <w:webHidden/>
          </w:rPr>
          <w:instrText xml:space="preserve"> PAGEREF _Toc133499552 \h </w:instrText>
        </w:r>
        <w:r w:rsidR="002D62B3">
          <w:rPr>
            <w:noProof/>
            <w:webHidden/>
          </w:rPr>
        </w:r>
        <w:r w:rsidR="002D62B3">
          <w:rPr>
            <w:noProof/>
            <w:webHidden/>
          </w:rPr>
          <w:fldChar w:fldCharType="separate"/>
        </w:r>
        <w:r w:rsidR="00CD40A2">
          <w:rPr>
            <w:noProof/>
            <w:webHidden/>
          </w:rPr>
          <w:t>45</w:t>
        </w:r>
        <w:r w:rsidR="002D62B3">
          <w:rPr>
            <w:noProof/>
            <w:webHidden/>
          </w:rPr>
          <w:fldChar w:fldCharType="end"/>
        </w:r>
      </w:hyperlink>
    </w:p>
    <w:p w14:paraId="35D5FE51" w14:textId="49D70C3C" w:rsidR="002D62B3" w:rsidRDefault="00000000">
      <w:pPr>
        <w:pStyle w:val="TableofFigures"/>
        <w:tabs>
          <w:tab w:val="right" w:leader="dot" w:pos="9017"/>
        </w:tabs>
        <w:rPr>
          <w:rFonts w:asciiTheme="minorHAnsi" w:hAnsiTheme="minorHAnsi" w:cstheme="minorBidi"/>
          <w:noProof/>
          <w:lang w:eastAsia="en-US"/>
        </w:rPr>
      </w:pPr>
      <w:hyperlink w:anchor="_Toc133499553" w:history="1">
        <w:r w:rsidR="002D62B3" w:rsidRPr="00404F7F">
          <w:rPr>
            <w:rStyle w:val="Hyperlink"/>
            <w:noProof/>
          </w:rPr>
          <w:t>Tabela 6.8 Postojeće i ciljne karakteristike stambenog fonda zgrada FBiH prema tipu zgrade (godišnja obnova 1,5 % korisne grijane površine)</w:t>
        </w:r>
        <w:r w:rsidR="002D62B3">
          <w:rPr>
            <w:noProof/>
            <w:webHidden/>
          </w:rPr>
          <w:tab/>
        </w:r>
        <w:r w:rsidR="002D62B3">
          <w:rPr>
            <w:noProof/>
            <w:webHidden/>
          </w:rPr>
          <w:fldChar w:fldCharType="begin"/>
        </w:r>
        <w:r w:rsidR="002D62B3">
          <w:rPr>
            <w:noProof/>
            <w:webHidden/>
          </w:rPr>
          <w:instrText xml:space="preserve"> PAGEREF _Toc133499553 \h </w:instrText>
        </w:r>
        <w:r w:rsidR="002D62B3">
          <w:rPr>
            <w:noProof/>
            <w:webHidden/>
          </w:rPr>
        </w:r>
        <w:r w:rsidR="002D62B3">
          <w:rPr>
            <w:noProof/>
            <w:webHidden/>
          </w:rPr>
          <w:fldChar w:fldCharType="separate"/>
        </w:r>
        <w:r w:rsidR="00CD40A2">
          <w:rPr>
            <w:noProof/>
            <w:webHidden/>
          </w:rPr>
          <w:t>45</w:t>
        </w:r>
        <w:r w:rsidR="002D62B3">
          <w:rPr>
            <w:noProof/>
            <w:webHidden/>
          </w:rPr>
          <w:fldChar w:fldCharType="end"/>
        </w:r>
      </w:hyperlink>
    </w:p>
    <w:p w14:paraId="6D8A2BCF" w14:textId="07657CAA" w:rsidR="002D62B3" w:rsidRDefault="00000000">
      <w:pPr>
        <w:pStyle w:val="TableofFigures"/>
        <w:tabs>
          <w:tab w:val="right" w:leader="dot" w:pos="9017"/>
        </w:tabs>
        <w:rPr>
          <w:rFonts w:asciiTheme="minorHAnsi" w:hAnsiTheme="minorHAnsi" w:cstheme="minorBidi"/>
          <w:noProof/>
          <w:lang w:eastAsia="en-US"/>
        </w:rPr>
      </w:pPr>
      <w:hyperlink w:anchor="_Toc133499554" w:history="1">
        <w:r w:rsidR="002D62B3" w:rsidRPr="00404F7F">
          <w:rPr>
            <w:rStyle w:val="Hyperlink"/>
            <w:noProof/>
          </w:rPr>
          <w:t xml:space="preserve">Tabela 6.9 Broj čovjek dana za pojedine nivoe energijske obnove </w:t>
        </w:r>
        <w:r w:rsidR="002D62B3" w:rsidRPr="00404F7F">
          <w:rPr>
            <w:rStyle w:val="Hyperlink"/>
            <w:rFonts w:eastAsia="Calibri"/>
            <w:noProof/>
          </w:rPr>
          <w:t>stambenih zgrada u FBiH</w:t>
        </w:r>
        <w:r w:rsidR="002D62B3">
          <w:rPr>
            <w:noProof/>
            <w:webHidden/>
          </w:rPr>
          <w:tab/>
        </w:r>
        <w:r w:rsidR="002D62B3">
          <w:rPr>
            <w:noProof/>
            <w:webHidden/>
          </w:rPr>
          <w:fldChar w:fldCharType="begin"/>
        </w:r>
        <w:r w:rsidR="002D62B3">
          <w:rPr>
            <w:noProof/>
            <w:webHidden/>
          </w:rPr>
          <w:instrText xml:space="preserve"> PAGEREF _Toc133499554 \h </w:instrText>
        </w:r>
        <w:r w:rsidR="002D62B3">
          <w:rPr>
            <w:noProof/>
            <w:webHidden/>
          </w:rPr>
        </w:r>
        <w:r w:rsidR="002D62B3">
          <w:rPr>
            <w:noProof/>
            <w:webHidden/>
          </w:rPr>
          <w:fldChar w:fldCharType="separate"/>
        </w:r>
        <w:r w:rsidR="00CD40A2">
          <w:rPr>
            <w:noProof/>
            <w:webHidden/>
          </w:rPr>
          <w:t>46</w:t>
        </w:r>
        <w:r w:rsidR="002D62B3">
          <w:rPr>
            <w:noProof/>
            <w:webHidden/>
          </w:rPr>
          <w:fldChar w:fldCharType="end"/>
        </w:r>
      </w:hyperlink>
    </w:p>
    <w:p w14:paraId="68BFA1DA" w14:textId="1963513D" w:rsidR="002D62B3" w:rsidRDefault="00000000">
      <w:pPr>
        <w:pStyle w:val="TableofFigures"/>
        <w:tabs>
          <w:tab w:val="right" w:leader="dot" w:pos="9017"/>
        </w:tabs>
        <w:rPr>
          <w:rFonts w:asciiTheme="minorHAnsi" w:hAnsiTheme="minorHAnsi" w:cstheme="minorBidi"/>
          <w:noProof/>
          <w:lang w:eastAsia="en-US"/>
        </w:rPr>
      </w:pPr>
      <w:hyperlink w:anchor="_Toc133499555" w:history="1">
        <w:r w:rsidR="002D62B3" w:rsidRPr="00404F7F">
          <w:rPr>
            <w:rStyle w:val="Hyperlink"/>
            <w:noProof/>
          </w:rPr>
          <w:t xml:space="preserve">Tabela 6.10 </w:t>
        </w:r>
        <w:r w:rsidR="008352D9">
          <w:rPr>
            <w:rStyle w:val="Hyperlink"/>
            <w:noProof/>
          </w:rPr>
          <w:t>Angažirana</w:t>
        </w:r>
        <w:r w:rsidR="002D62B3" w:rsidRPr="00404F7F">
          <w:rPr>
            <w:rStyle w:val="Hyperlink"/>
            <w:noProof/>
          </w:rPr>
          <w:t xml:space="preserve"> radna snaga za </w:t>
        </w:r>
        <w:r w:rsidR="002D62B3" w:rsidRPr="00404F7F">
          <w:rPr>
            <w:rStyle w:val="Hyperlink"/>
            <w:rFonts w:eastAsia="Calibri"/>
            <w:noProof/>
          </w:rPr>
          <w:t>obnovu stambenog fonda zgrada FBiH</w:t>
        </w:r>
        <w:r w:rsidR="002D62B3">
          <w:rPr>
            <w:noProof/>
            <w:webHidden/>
          </w:rPr>
          <w:tab/>
        </w:r>
        <w:r w:rsidR="002D62B3">
          <w:rPr>
            <w:noProof/>
            <w:webHidden/>
          </w:rPr>
          <w:fldChar w:fldCharType="begin"/>
        </w:r>
        <w:r w:rsidR="002D62B3">
          <w:rPr>
            <w:noProof/>
            <w:webHidden/>
          </w:rPr>
          <w:instrText xml:space="preserve"> PAGEREF _Toc133499555 \h </w:instrText>
        </w:r>
        <w:r w:rsidR="002D62B3">
          <w:rPr>
            <w:noProof/>
            <w:webHidden/>
          </w:rPr>
        </w:r>
        <w:r w:rsidR="002D62B3">
          <w:rPr>
            <w:noProof/>
            <w:webHidden/>
          </w:rPr>
          <w:fldChar w:fldCharType="separate"/>
        </w:r>
        <w:r w:rsidR="00CD40A2">
          <w:rPr>
            <w:noProof/>
            <w:webHidden/>
          </w:rPr>
          <w:t>46</w:t>
        </w:r>
        <w:r w:rsidR="002D62B3">
          <w:rPr>
            <w:noProof/>
            <w:webHidden/>
          </w:rPr>
          <w:fldChar w:fldCharType="end"/>
        </w:r>
      </w:hyperlink>
    </w:p>
    <w:p w14:paraId="1AB11990" w14:textId="7F11A7A1" w:rsidR="002D62B3" w:rsidRDefault="00000000">
      <w:pPr>
        <w:pStyle w:val="TableofFigures"/>
        <w:tabs>
          <w:tab w:val="right" w:leader="dot" w:pos="9017"/>
        </w:tabs>
        <w:rPr>
          <w:rFonts w:asciiTheme="minorHAnsi" w:hAnsiTheme="minorHAnsi" w:cstheme="minorBidi"/>
          <w:noProof/>
          <w:lang w:eastAsia="en-US"/>
        </w:rPr>
      </w:pPr>
      <w:hyperlink w:anchor="_Toc133499556" w:history="1">
        <w:r w:rsidR="002D62B3" w:rsidRPr="00404F7F">
          <w:rPr>
            <w:rStyle w:val="Hyperlink"/>
            <w:noProof/>
          </w:rPr>
          <w:t>Tabela 6.11</w:t>
        </w:r>
        <w:r w:rsidR="002D62B3" w:rsidRPr="00404F7F">
          <w:rPr>
            <w:rStyle w:val="Hyperlink"/>
            <w:rFonts w:eastAsia="Calibri"/>
            <w:noProof/>
          </w:rPr>
          <w:t xml:space="preserve"> Procjena broja individualnih zgrada obnovljenih po kantonima za period do 2050. godine</w:t>
        </w:r>
        <w:r w:rsidR="002D62B3">
          <w:rPr>
            <w:noProof/>
            <w:webHidden/>
          </w:rPr>
          <w:tab/>
        </w:r>
        <w:r w:rsidR="002D62B3">
          <w:rPr>
            <w:noProof/>
            <w:webHidden/>
          </w:rPr>
          <w:fldChar w:fldCharType="begin"/>
        </w:r>
        <w:r w:rsidR="002D62B3">
          <w:rPr>
            <w:noProof/>
            <w:webHidden/>
          </w:rPr>
          <w:instrText xml:space="preserve"> PAGEREF _Toc133499556 \h </w:instrText>
        </w:r>
        <w:r w:rsidR="002D62B3">
          <w:rPr>
            <w:noProof/>
            <w:webHidden/>
          </w:rPr>
        </w:r>
        <w:r w:rsidR="002D62B3">
          <w:rPr>
            <w:noProof/>
            <w:webHidden/>
          </w:rPr>
          <w:fldChar w:fldCharType="separate"/>
        </w:r>
        <w:r w:rsidR="00CD40A2">
          <w:rPr>
            <w:noProof/>
            <w:webHidden/>
          </w:rPr>
          <w:t>47</w:t>
        </w:r>
        <w:r w:rsidR="002D62B3">
          <w:rPr>
            <w:noProof/>
            <w:webHidden/>
          </w:rPr>
          <w:fldChar w:fldCharType="end"/>
        </w:r>
      </w:hyperlink>
    </w:p>
    <w:p w14:paraId="172E7C56" w14:textId="2655F16B" w:rsidR="002D62B3" w:rsidRDefault="00000000">
      <w:pPr>
        <w:pStyle w:val="TableofFigures"/>
        <w:tabs>
          <w:tab w:val="right" w:leader="dot" w:pos="9017"/>
        </w:tabs>
        <w:rPr>
          <w:rFonts w:asciiTheme="minorHAnsi" w:hAnsiTheme="minorHAnsi" w:cstheme="minorBidi"/>
          <w:noProof/>
          <w:lang w:eastAsia="en-US"/>
        </w:rPr>
      </w:pPr>
      <w:hyperlink w:anchor="_Toc133499557" w:history="1">
        <w:r w:rsidR="002D62B3" w:rsidRPr="00404F7F">
          <w:rPr>
            <w:rStyle w:val="Hyperlink"/>
            <w:noProof/>
          </w:rPr>
          <w:t>Tabela 6.12</w:t>
        </w:r>
        <w:r w:rsidR="002D62B3" w:rsidRPr="00404F7F">
          <w:rPr>
            <w:rStyle w:val="Hyperlink"/>
            <w:rFonts w:eastAsia="Calibri"/>
            <w:noProof/>
          </w:rPr>
          <w:t xml:space="preserve"> Procjena korisne grijane površine individualnih zgrada obnovljenih po kantonima za period do 2050. godine</w:t>
        </w:r>
        <w:r w:rsidR="002D62B3">
          <w:rPr>
            <w:noProof/>
            <w:webHidden/>
          </w:rPr>
          <w:tab/>
        </w:r>
        <w:r w:rsidR="002D62B3">
          <w:rPr>
            <w:noProof/>
            <w:webHidden/>
          </w:rPr>
          <w:fldChar w:fldCharType="begin"/>
        </w:r>
        <w:r w:rsidR="002D62B3">
          <w:rPr>
            <w:noProof/>
            <w:webHidden/>
          </w:rPr>
          <w:instrText xml:space="preserve"> PAGEREF _Toc133499557 \h </w:instrText>
        </w:r>
        <w:r w:rsidR="002D62B3">
          <w:rPr>
            <w:noProof/>
            <w:webHidden/>
          </w:rPr>
        </w:r>
        <w:r w:rsidR="002D62B3">
          <w:rPr>
            <w:noProof/>
            <w:webHidden/>
          </w:rPr>
          <w:fldChar w:fldCharType="separate"/>
        </w:r>
        <w:r w:rsidR="00CD40A2">
          <w:rPr>
            <w:noProof/>
            <w:webHidden/>
          </w:rPr>
          <w:t>47</w:t>
        </w:r>
        <w:r w:rsidR="002D62B3">
          <w:rPr>
            <w:noProof/>
            <w:webHidden/>
          </w:rPr>
          <w:fldChar w:fldCharType="end"/>
        </w:r>
      </w:hyperlink>
    </w:p>
    <w:p w14:paraId="6D64AC9B" w14:textId="52149BAA" w:rsidR="002D62B3" w:rsidRDefault="00000000">
      <w:pPr>
        <w:pStyle w:val="TableofFigures"/>
        <w:tabs>
          <w:tab w:val="right" w:leader="dot" w:pos="9017"/>
        </w:tabs>
        <w:rPr>
          <w:rFonts w:asciiTheme="minorHAnsi" w:hAnsiTheme="minorHAnsi" w:cstheme="minorBidi"/>
          <w:noProof/>
          <w:lang w:eastAsia="en-US"/>
        </w:rPr>
      </w:pPr>
      <w:hyperlink w:anchor="_Toc133499558" w:history="1">
        <w:r w:rsidR="002D62B3" w:rsidRPr="00404F7F">
          <w:rPr>
            <w:rStyle w:val="Hyperlink"/>
            <w:noProof/>
          </w:rPr>
          <w:t>Tabela 6.13</w:t>
        </w:r>
        <w:r w:rsidR="002D62B3" w:rsidRPr="00404F7F">
          <w:rPr>
            <w:rStyle w:val="Hyperlink"/>
            <w:rFonts w:eastAsia="Calibri"/>
            <w:noProof/>
          </w:rPr>
          <w:t xml:space="preserve"> Troškovi energijske obnove individualnih zgrada po kantonima za period do 2050. godine</w:t>
        </w:r>
        <w:r w:rsidR="002D62B3">
          <w:rPr>
            <w:noProof/>
            <w:webHidden/>
          </w:rPr>
          <w:tab/>
        </w:r>
        <w:r w:rsidR="002D62B3">
          <w:rPr>
            <w:noProof/>
            <w:webHidden/>
          </w:rPr>
          <w:fldChar w:fldCharType="begin"/>
        </w:r>
        <w:r w:rsidR="002D62B3">
          <w:rPr>
            <w:noProof/>
            <w:webHidden/>
          </w:rPr>
          <w:instrText xml:space="preserve"> PAGEREF _Toc133499558 \h </w:instrText>
        </w:r>
        <w:r w:rsidR="002D62B3">
          <w:rPr>
            <w:noProof/>
            <w:webHidden/>
          </w:rPr>
        </w:r>
        <w:r w:rsidR="002D62B3">
          <w:rPr>
            <w:noProof/>
            <w:webHidden/>
          </w:rPr>
          <w:fldChar w:fldCharType="separate"/>
        </w:r>
        <w:r w:rsidR="00CD40A2">
          <w:rPr>
            <w:noProof/>
            <w:webHidden/>
          </w:rPr>
          <w:t>48</w:t>
        </w:r>
        <w:r w:rsidR="002D62B3">
          <w:rPr>
            <w:noProof/>
            <w:webHidden/>
          </w:rPr>
          <w:fldChar w:fldCharType="end"/>
        </w:r>
      </w:hyperlink>
    </w:p>
    <w:p w14:paraId="4A3EAD72" w14:textId="4ABF1B64" w:rsidR="002D62B3" w:rsidRDefault="00000000">
      <w:pPr>
        <w:pStyle w:val="TableofFigures"/>
        <w:tabs>
          <w:tab w:val="right" w:leader="dot" w:pos="9017"/>
        </w:tabs>
        <w:rPr>
          <w:rFonts w:asciiTheme="minorHAnsi" w:hAnsiTheme="minorHAnsi" w:cstheme="minorBidi"/>
          <w:noProof/>
          <w:lang w:eastAsia="en-US"/>
        </w:rPr>
      </w:pPr>
      <w:hyperlink w:anchor="_Toc133499559" w:history="1">
        <w:r w:rsidR="002D62B3" w:rsidRPr="00404F7F">
          <w:rPr>
            <w:rStyle w:val="Hyperlink"/>
            <w:noProof/>
          </w:rPr>
          <w:t>Tabela 6.14</w:t>
        </w:r>
        <w:r w:rsidR="002D62B3" w:rsidRPr="00404F7F">
          <w:rPr>
            <w:rStyle w:val="Hyperlink"/>
            <w:rFonts w:eastAsia="Calibri"/>
            <w:noProof/>
          </w:rPr>
          <w:t xml:space="preserve"> Procjena broja zgrada kolektivnog stanovanja obnovljenih po kantonima za period do 2050. godine</w:t>
        </w:r>
        <w:r w:rsidR="002D62B3">
          <w:rPr>
            <w:noProof/>
            <w:webHidden/>
          </w:rPr>
          <w:tab/>
        </w:r>
        <w:r w:rsidR="002D62B3">
          <w:rPr>
            <w:noProof/>
            <w:webHidden/>
          </w:rPr>
          <w:fldChar w:fldCharType="begin"/>
        </w:r>
        <w:r w:rsidR="002D62B3">
          <w:rPr>
            <w:noProof/>
            <w:webHidden/>
          </w:rPr>
          <w:instrText xml:space="preserve"> PAGEREF _Toc133499559 \h </w:instrText>
        </w:r>
        <w:r w:rsidR="002D62B3">
          <w:rPr>
            <w:noProof/>
            <w:webHidden/>
          </w:rPr>
        </w:r>
        <w:r w:rsidR="002D62B3">
          <w:rPr>
            <w:noProof/>
            <w:webHidden/>
          </w:rPr>
          <w:fldChar w:fldCharType="separate"/>
        </w:r>
        <w:r w:rsidR="00CD40A2">
          <w:rPr>
            <w:noProof/>
            <w:webHidden/>
          </w:rPr>
          <w:t>48</w:t>
        </w:r>
        <w:r w:rsidR="002D62B3">
          <w:rPr>
            <w:noProof/>
            <w:webHidden/>
          </w:rPr>
          <w:fldChar w:fldCharType="end"/>
        </w:r>
      </w:hyperlink>
    </w:p>
    <w:p w14:paraId="6190C10F" w14:textId="5A874BD6" w:rsidR="002D62B3" w:rsidRDefault="00000000">
      <w:pPr>
        <w:pStyle w:val="TableofFigures"/>
        <w:tabs>
          <w:tab w:val="right" w:leader="dot" w:pos="9017"/>
        </w:tabs>
        <w:rPr>
          <w:rFonts w:asciiTheme="minorHAnsi" w:hAnsiTheme="minorHAnsi" w:cstheme="minorBidi"/>
          <w:noProof/>
          <w:lang w:eastAsia="en-US"/>
        </w:rPr>
      </w:pPr>
      <w:hyperlink w:anchor="_Toc133499560" w:history="1">
        <w:r w:rsidR="002D62B3" w:rsidRPr="00404F7F">
          <w:rPr>
            <w:rStyle w:val="Hyperlink"/>
            <w:noProof/>
          </w:rPr>
          <w:t>Tabela 6.15</w:t>
        </w:r>
        <w:r w:rsidR="002D62B3" w:rsidRPr="00404F7F">
          <w:rPr>
            <w:rStyle w:val="Hyperlink"/>
            <w:rFonts w:eastAsia="Calibri"/>
            <w:noProof/>
          </w:rPr>
          <w:t xml:space="preserve"> Procjena korisne grijane površine zgrada kolektivnog stanovanja obnovljenih po kantonima za period do 2050. godine</w:t>
        </w:r>
        <w:r w:rsidR="002D62B3">
          <w:rPr>
            <w:noProof/>
            <w:webHidden/>
          </w:rPr>
          <w:tab/>
        </w:r>
        <w:r w:rsidR="002D62B3">
          <w:rPr>
            <w:noProof/>
            <w:webHidden/>
          </w:rPr>
          <w:fldChar w:fldCharType="begin"/>
        </w:r>
        <w:r w:rsidR="002D62B3">
          <w:rPr>
            <w:noProof/>
            <w:webHidden/>
          </w:rPr>
          <w:instrText xml:space="preserve"> PAGEREF _Toc133499560 \h </w:instrText>
        </w:r>
        <w:r w:rsidR="002D62B3">
          <w:rPr>
            <w:noProof/>
            <w:webHidden/>
          </w:rPr>
        </w:r>
        <w:r w:rsidR="002D62B3">
          <w:rPr>
            <w:noProof/>
            <w:webHidden/>
          </w:rPr>
          <w:fldChar w:fldCharType="separate"/>
        </w:r>
        <w:r w:rsidR="00CD40A2">
          <w:rPr>
            <w:noProof/>
            <w:webHidden/>
          </w:rPr>
          <w:t>48</w:t>
        </w:r>
        <w:r w:rsidR="002D62B3">
          <w:rPr>
            <w:noProof/>
            <w:webHidden/>
          </w:rPr>
          <w:fldChar w:fldCharType="end"/>
        </w:r>
      </w:hyperlink>
    </w:p>
    <w:p w14:paraId="094B43B4" w14:textId="0CA522BA" w:rsidR="002D62B3" w:rsidRDefault="00000000">
      <w:pPr>
        <w:pStyle w:val="TableofFigures"/>
        <w:tabs>
          <w:tab w:val="right" w:leader="dot" w:pos="9017"/>
        </w:tabs>
        <w:rPr>
          <w:rFonts w:asciiTheme="minorHAnsi" w:hAnsiTheme="minorHAnsi" w:cstheme="minorBidi"/>
          <w:noProof/>
          <w:lang w:eastAsia="en-US"/>
        </w:rPr>
      </w:pPr>
      <w:hyperlink w:anchor="_Toc133499561" w:history="1">
        <w:r w:rsidR="002D62B3" w:rsidRPr="00404F7F">
          <w:rPr>
            <w:rStyle w:val="Hyperlink"/>
            <w:noProof/>
          </w:rPr>
          <w:t>Tabela 6.16</w:t>
        </w:r>
        <w:r w:rsidR="002D62B3" w:rsidRPr="00404F7F">
          <w:rPr>
            <w:rStyle w:val="Hyperlink"/>
            <w:rFonts w:eastAsia="Calibri"/>
            <w:noProof/>
          </w:rPr>
          <w:t xml:space="preserve"> Troškovi energijske obnove zgrada kolektivnog stanovanja po Kantonima za period do 2050. godine</w:t>
        </w:r>
        <w:r w:rsidR="002D62B3">
          <w:rPr>
            <w:noProof/>
            <w:webHidden/>
          </w:rPr>
          <w:tab/>
        </w:r>
        <w:r w:rsidR="002D62B3">
          <w:rPr>
            <w:noProof/>
            <w:webHidden/>
          </w:rPr>
          <w:fldChar w:fldCharType="begin"/>
        </w:r>
        <w:r w:rsidR="002D62B3">
          <w:rPr>
            <w:noProof/>
            <w:webHidden/>
          </w:rPr>
          <w:instrText xml:space="preserve"> PAGEREF _Toc133499561 \h </w:instrText>
        </w:r>
        <w:r w:rsidR="002D62B3">
          <w:rPr>
            <w:noProof/>
            <w:webHidden/>
          </w:rPr>
        </w:r>
        <w:r w:rsidR="002D62B3">
          <w:rPr>
            <w:noProof/>
            <w:webHidden/>
          </w:rPr>
          <w:fldChar w:fldCharType="separate"/>
        </w:r>
        <w:r w:rsidR="00CD40A2">
          <w:rPr>
            <w:noProof/>
            <w:webHidden/>
          </w:rPr>
          <w:t>49</w:t>
        </w:r>
        <w:r w:rsidR="002D62B3">
          <w:rPr>
            <w:noProof/>
            <w:webHidden/>
          </w:rPr>
          <w:fldChar w:fldCharType="end"/>
        </w:r>
      </w:hyperlink>
    </w:p>
    <w:p w14:paraId="27710F68" w14:textId="193280E4" w:rsidR="002D62B3" w:rsidRDefault="00000000">
      <w:pPr>
        <w:pStyle w:val="TableofFigures"/>
        <w:tabs>
          <w:tab w:val="right" w:leader="dot" w:pos="9017"/>
        </w:tabs>
        <w:rPr>
          <w:rFonts w:asciiTheme="minorHAnsi" w:hAnsiTheme="minorHAnsi" w:cstheme="minorBidi"/>
          <w:noProof/>
          <w:lang w:eastAsia="en-US"/>
        </w:rPr>
      </w:pPr>
      <w:hyperlink w:anchor="_Toc133499562" w:history="1">
        <w:r w:rsidR="002D62B3" w:rsidRPr="00404F7F">
          <w:rPr>
            <w:rStyle w:val="Hyperlink"/>
            <w:noProof/>
            <w:lang w:val="bs-Latn-BA"/>
          </w:rPr>
          <w:t xml:space="preserve">Tabela 6.17 </w:t>
        </w:r>
        <w:r w:rsidR="002D62B3" w:rsidRPr="003739D4">
          <w:rPr>
            <w:rStyle w:val="Hyperlink"/>
            <w:iCs/>
            <w:noProof/>
            <w:lang w:val="bs-Latn-BA"/>
          </w:rPr>
          <w:t>Dozvoljena specifična  potrebna i finalna energija za grijanje tipičnih javnih zgrada u FBiH prema Pravilniku</w:t>
        </w:r>
        <w:r w:rsidR="002D62B3">
          <w:rPr>
            <w:noProof/>
            <w:webHidden/>
          </w:rPr>
          <w:tab/>
        </w:r>
        <w:r w:rsidR="002D62B3">
          <w:rPr>
            <w:noProof/>
            <w:webHidden/>
          </w:rPr>
          <w:fldChar w:fldCharType="begin"/>
        </w:r>
        <w:r w:rsidR="002D62B3">
          <w:rPr>
            <w:noProof/>
            <w:webHidden/>
          </w:rPr>
          <w:instrText xml:space="preserve"> PAGEREF _Toc133499562 \h </w:instrText>
        </w:r>
        <w:r w:rsidR="002D62B3">
          <w:rPr>
            <w:noProof/>
            <w:webHidden/>
          </w:rPr>
        </w:r>
        <w:r w:rsidR="002D62B3">
          <w:rPr>
            <w:noProof/>
            <w:webHidden/>
          </w:rPr>
          <w:fldChar w:fldCharType="separate"/>
        </w:r>
        <w:r w:rsidR="00CD40A2">
          <w:rPr>
            <w:noProof/>
            <w:webHidden/>
          </w:rPr>
          <w:t>50</w:t>
        </w:r>
        <w:r w:rsidR="002D62B3">
          <w:rPr>
            <w:noProof/>
            <w:webHidden/>
          </w:rPr>
          <w:fldChar w:fldCharType="end"/>
        </w:r>
      </w:hyperlink>
    </w:p>
    <w:p w14:paraId="3768D968" w14:textId="0368D5DB" w:rsidR="002D62B3" w:rsidRDefault="00000000">
      <w:pPr>
        <w:pStyle w:val="TableofFigures"/>
        <w:tabs>
          <w:tab w:val="right" w:leader="dot" w:pos="9017"/>
        </w:tabs>
        <w:rPr>
          <w:rFonts w:asciiTheme="minorHAnsi" w:hAnsiTheme="minorHAnsi" w:cstheme="minorBidi"/>
          <w:noProof/>
          <w:lang w:eastAsia="en-US"/>
        </w:rPr>
      </w:pPr>
      <w:hyperlink w:anchor="_Toc133499563" w:history="1">
        <w:r w:rsidR="002D62B3" w:rsidRPr="00404F7F">
          <w:rPr>
            <w:rStyle w:val="Hyperlink"/>
            <w:noProof/>
          </w:rPr>
          <w:t>Tabela 6.18</w:t>
        </w:r>
        <w:r w:rsidR="002D62B3" w:rsidRPr="00404F7F">
          <w:rPr>
            <w:rStyle w:val="Hyperlink"/>
            <w:rFonts w:eastAsia="Calibri"/>
            <w:noProof/>
          </w:rPr>
          <w:t xml:space="preserve"> Postojeće i ciljne karakteristike fonda javnih zgrada FBiH (godišnja obnova 2,5 % korisne grijane površine)</w:t>
        </w:r>
        <w:r w:rsidR="002D62B3">
          <w:rPr>
            <w:noProof/>
            <w:webHidden/>
          </w:rPr>
          <w:tab/>
        </w:r>
        <w:r w:rsidR="002D62B3">
          <w:rPr>
            <w:noProof/>
            <w:webHidden/>
          </w:rPr>
          <w:fldChar w:fldCharType="begin"/>
        </w:r>
        <w:r w:rsidR="002D62B3">
          <w:rPr>
            <w:noProof/>
            <w:webHidden/>
          </w:rPr>
          <w:instrText xml:space="preserve"> PAGEREF _Toc133499563 \h </w:instrText>
        </w:r>
        <w:r w:rsidR="002D62B3">
          <w:rPr>
            <w:noProof/>
            <w:webHidden/>
          </w:rPr>
        </w:r>
        <w:r w:rsidR="002D62B3">
          <w:rPr>
            <w:noProof/>
            <w:webHidden/>
          </w:rPr>
          <w:fldChar w:fldCharType="separate"/>
        </w:r>
        <w:r w:rsidR="00CD40A2">
          <w:rPr>
            <w:noProof/>
            <w:webHidden/>
          </w:rPr>
          <w:t>52</w:t>
        </w:r>
        <w:r w:rsidR="002D62B3">
          <w:rPr>
            <w:noProof/>
            <w:webHidden/>
          </w:rPr>
          <w:fldChar w:fldCharType="end"/>
        </w:r>
      </w:hyperlink>
    </w:p>
    <w:p w14:paraId="4C692F57" w14:textId="4620946E" w:rsidR="002D62B3" w:rsidRDefault="00000000">
      <w:pPr>
        <w:pStyle w:val="TableofFigures"/>
        <w:tabs>
          <w:tab w:val="right" w:leader="dot" w:pos="9017"/>
        </w:tabs>
        <w:rPr>
          <w:rFonts w:asciiTheme="minorHAnsi" w:hAnsiTheme="minorHAnsi" w:cstheme="minorBidi"/>
          <w:noProof/>
          <w:lang w:eastAsia="en-US"/>
        </w:rPr>
      </w:pPr>
      <w:hyperlink w:anchor="_Toc133499564" w:history="1">
        <w:r w:rsidR="002D62B3" w:rsidRPr="00404F7F">
          <w:rPr>
            <w:rStyle w:val="Hyperlink"/>
            <w:noProof/>
          </w:rPr>
          <w:t xml:space="preserve">Tabela 6.19 </w:t>
        </w:r>
        <w:r w:rsidR="002D62B3" w:rsidRPr="00404F7F">
          <w:rPr>
            <w:rStyle w:val="Hyperlink"/>
            <w:rFonts w:eastAsia="Calibri"/>
            <w:noProof/>
          </w:rPr>
          <w:t>Troškovi energijske obnove fonda javnih zgrada FBiH</w:t>
        </w:r>
        <w:r w:rsidR="002D62B3">
          <w:rPr>
            <w:noProof/>
            <w:webHidden/>
          </w:rPr>
          <w:tab/>
        </w:r>
        <w:r w:rsidR="002D62B3">
          <w:rPr>
            <w:noProof/>
            <w:webHidden/>
          </w:rPr>
          <w:fldChar w:fldCharType="begin"/>
        </w:r>
        <w:r w:rsidR="002D62B3">
          <w:rPr>
            <w:noProof/>
            <w:webHidden/>
          </w:rPr>
          <w:instrText xml:space="preserve"> PAGEREF _Toc133499564 \h </w:instrText>
        </w:r>
        <w:r w:rsidR="002D62B3">
          <w:rPr>
            <w:noProof/>
            <w:webHidden/>
          </w:rPr>
        </w:r>
        <w:r w:rsidR="002D62B3">
          <w:rPr>
            <w:noProof/>
            <w:webHidden/>
          </w:rPr>
          <w:fldChar w:fldCharType="separate"/>
        </w:r>
        <w:r w:rsidR="00CD40A2">
          <w:rPr>
            <w:noProof/>
            <w:webHidden/>
          </w:rPr>
          <w:t>53</w:t>
        </w:r>
        <w:r w:rsidR="002D62B3">
          <w:rPr>
            <w:noProof/>
            <w:webHidden/>
          </w:rPr>
          <w:fldChar w:fldCharType="end"/>
        </w:r>
      </w:hyperlink>
    </w:p>
    <w:p w14:paraId="7A49FE29" w14:textId="3587B7D0" w:rsidR="002D62B3" w:rsidRDefault="00000000">
      <w:pPr>
        <w:pStyle w:val="TableofFigures"/>
        <w:tabs>
          <w:tab w:val="right" w:leader="dot" w:pos="9017"/>
        </w:tabs>
        <w:rPr>
          <w:rFonts w:asciiTheme="minorHAnsi" w:hAnsiTheme="minorHAnsi" w:cstheme="minorBidi"/>
          <w:noProof/>
          <w:lang w:eastAsia="en-US"/>
        </w:rPr>
      </w:pPr>
      <w:hyperlink w:anchor="_Toc133499565" w:history="1">
        <w:r w:rsidR="002D62B3" w:rsidRPr="00404F7F">
          <w:rPr>
            <w:rStyle w:val="Hyperlink"/>
            <w:noProof/>
          </w:rPr>
          <w:t xml:space="preserve">Tabela 6.20 </w:t>
        </w:r>
        <w:r w:rsidR="008352D9">
          <w:rPr>
            <w:rStyle w:val="Hyperlink"/>
            <w:noProof/>
          </w:rPr>
          <w:t>Angažirana</w:t>
        </w:r>
        <w:r w:rsidR="002D62B3" w:rsidRPr="00404F7F">
          <w:rPr>
            <w:rStyle w:val="Hyperlink"/>
            <w:noProof/>
          </w:rPr>
          <w:t xml:space="preserve"> radna snaga za </w:t>
        </w:r>
        <w:r w:rsidR="002D62B3" w:rsidRPr="00404F7F">
          <w:rPr>
            <w:rStyle w:val="Hyperlink"/>
            <w:rFonts w:eastAsia="Calibri"/>
            <w:noProof/>
          </w:rPr>
          <w:t>obnovu fonda javnih zgrada FBiH</w:t>
        </w:r>
        <w:r w:rsidR="002D62B3">
          <w:rPr>
            <w:noProof/>
            <w:webHidden/>
          </w:rPr>
          <w:tab/>
        </w:r>
        <w:r w:rsidR="002D62B3">
          <w:rPr>
            <w:noProof/>
            <w:webHidden/>
          </w:rPr>
          <w:fldChar w:fldCharType="begin"/>
        </w:r>
        <w:r w:rsidR="002D62B3">
          <w:rPr>
            <w:noProof/>
            <w:webHidden/>
          </w:rPr>
          <w:instrText xml:space="preserve"> PAGEREF _Toc133499565 \h </w:instrText>
        </w:r>
        <w:r w:rsidR="002D62B3">
          <w:rPr>
            <w:noProof/>
            <w:webHidden/>
          </w:rPr>
        </w:r>
        <w:r w:rsidR="002D62B3">
          <w:rPr>
            <w:noProof/>
            <w:webHidden/>
          </w:rPr>
          <w:fldChar w:fldCharType="separate"/>
        </w:r>
        <w:r w:rsidR="00CD40A2">
          <w:rPr>
            <w:noProof/>
            <w:webHidden/>
          </w:rPr>
          <w:t>53</w:t>
        </w:r>
        <w:r w:rsidR="002D62B3">
          <w:rPr>
            <w:noProof/>
            <w:webHidden/>
          </w:rPr>
          <w:fldChar w:fldCharType="end"/>
        </w:r>
      </w:hyperlink>
    </w:p>
    <w:p w14:paraId="03A857C5" w14:textId="24F58D10" w:rsidR="002D62B3" w:rsidRDefault="00000000">
      <w:pPr>
        <w:pStyle w:val="TableofFigures"/>
        <w:tabs>
          <w:tab w:val="right" w:leader="dot" w:pos="9017"/>
        </w:tabs>
        <w:rPr>
          <w:rFonts w:asciiTheme="minorHAnsi" w:hAnsiTheme="minorHAnsi" w:cstheme="minorBidi"/>
          <w:noProof/>
          <w:lang w:eastAsia="en-US"/>
        </w:rPr>
      </w:pPr>
      <w:hyperlink w:anchor="_Toc133499566" w:history="1">
        <w:r w:rsidR="002D62B3" w:rsidRPr="00404F7F">
          <w:rPr>
            <w:rStyle w:val="Hyperlink"/>
            <w:noProof/>
          </w:rPr>
          <w:t>Tabela 6.21</w:t>
        </w:r>
        <w:r w:rsidR="002D62B3" w:rsidRPr="00404F7F">
          <w:rPr>
            <w:rStyle w:val="Hyperlink"/>
            <w:rFonts w:eastAsia="Calibri"/>
            <w:noProof/>
          </w:rPr>
          <w:t xml:space="preserve"> Procjena broja javnih zgrada obnovljenih po kantonima za period do 2050. godine</w:t>
        </w:r>
        <w:r w:rsidR="002D62B3">
          <w:rPr>
            <w:noProof/>
            <w:webHidden/>
          </w:rPr>
          <w:tab/>
        </w:r>
        <w:r w:rsidR="002D62B3">
          <w:rPr>
            <w:noProof/>
            <w:webHidden/>
          </w:rPr>
          <w:fldChar w:fldCharType="begin"/>
        </w:r>
        <w:r w:rsidR="002D62B3">
          <w:rPr>
            <w:noProof/>
            <w:webHidden/>
          </w:rPr>
          <w:instrText xml:space="preserve"> PAGEREF _Toc133499566 \h </w:instrText>
        </w:r>
        <w:r w:rsidR="002D62B3">
          <w:rPr>
            <w:noProof/>
            <w:webHidden/>
          </w:rPr>
        </w:r>
        <w:r w:rsidR="002D62B3">
          <w:rPr>
            <w:noProof/>
            <w:webHidden/>
          </w:rPr>
          <w:fldChar w:fldCharType="separate"/>
        </w:r>
        <w:r w:rsidR="00CD40A2">
          <w:rPr>
            <w:noProof/>
            <w:webHidden/>
          </w:rPr>
          <w:t>54</w:t>
        </w:r>
        <w:r w:rsidR="002D62B3">
          <w:rPr>
            <w:noProof/>
            <w:webHidden/>
          </w:rPr>
          <w:fldChar w:fldCharType="end"/>
        </w:r>
      </w:hyperlink>
    </w:p>
    <w:p w14:paraId="6C3BD131" w14:textId="044025FB" w:rsidR="002D62B3" w:rsidRDefault="00000000">
      <w:pPr>
        <w:pStyle w:val="TableofFigures"/>
        <w:tabs>
          <w:tab w:val="right" w:leader="dot" w:pos="9017"/>
        </w:tabs>
        <w:rPr>
          <w:rFonts w:asciiTheme="minorHAnsi" w:hAnsiTheme="minorHAnsi" w:cstheme="minorBidi"/>
          <w:noProof/>
          <w:lang w:eastAsia="en-US"/>
        </w:rPr>
      </w:pPr>
      <w:hyperlink w:anchor="_Toc133499567" w:history="1">
        <w:r w:rsidR="002D62B3" w:rsidRPr="00404F7F">
          <w:rPr>
            <w:rStyle w:val="Hyperlink"/>
            <w:noProof/>
          </w:rPr>
          <w:t>Tabela 6.22</w:t>
        </w:r>
        <w:r w:rsidR="002D62B3" w:rsidRPr="00404F7F">
          <w:rPr>
            <w:rStyle w:val="Hyperlink"/>
            <w:rFonts w:eastAsia="Calibri"/>
            <w:noProof/>
          </w:rPr>
          <w:t xml:space="preserve"> Procjena korisne grijane površine javnih zgrada obnovljenih po kantonima za period do 2050. godine</w:t>
        </w:r>
        <w:r w:rsidR="002D62B3">
          <w:rPr>
            <w:noProof/>
            <w:webHidden/>
          </w:rPr>
          <w:tab/>
        </w:r>
        <w:r w:rsidR="002D62B3">
          <w:rPr>
            <w:noProof/>
            <w:webHidden/>
          </w:rPr>
          <w:fldChar w:fldCharType="begin"/>
        </w:r>
        <w:r w:rsidR="002D62B3">
          <w:rPr>
            <w:noProof/>
            <w:webHidden/>
          </w:rPr>
          <w:instrText xml:space="preserve"> PAGEREF _Toc133499567 \h </w:instrText>
        </w:r>
        <w:r w:rsidR="002D62B3">
          <w:rPr>
            <w:noProof/>
            <w:webHidden/>
          </w:rPr>
        </w:r>
        <w:r w:rsidR="002D62B3">
          <w:rPr>
            <w:noProof/>
            <w:webHidden/>
          </w:rPr>
          <w:fldChar w:fldCharType="separate"/>
        </w:r>
        <w:r w:rsidR="00CD40A2">
          <w:rPr>
            <w:noProof/>
            <w:webHidden/>
          </w:rPr>
          <w:t>54</w:t>
        </w:r>
        <w:r w:rsidR="002D62B3">
          <w:rPr>
            <w:noProof/>
            <w:webHidden/>
          </w:rPr>
          <w:fldChar w:fldCharType="end"/>
        </w:r>
      </w:hyperlink>
    </w:p>
    <w:p w14:paraId="4DD54095" w14:textId="10EE959A" w:rsidR="002D62B3" w:rsidRDefault="00000000">
      <w:pPr>
        <w:pStyle w:val="TableofFigures"/>
        <w:tabs>
          <w:tab w:val="right" w:leader="dot" w:pos="9017"/>
        </w:tabs>
        <w:rPr>
          <w:rFonts w:asciiTheme="minorHAnsi" w:hAnsiTheme="minorHAnsi" w:cstheme="minorBidi"/>
          <w:noProof/>
          <w:lang w:eastAsia="en-US"/>
        </w:rPr>
      </w:pPr>
      <w:hyperlink w:anchor="_Toc133499568" w:history="1">
        <w:r w:rsidR="002D62B3" w:rsidRPr="00404F7F">
          <w:rPr>
            <w:rStyle w:val="Hyperlink"/>
            <w:noProof/>
          </w:rPr>
          <w:t>Tabela 6.23</w:t>
        </w:r>
        <w:r w:rsidR="002D62B3" w:rsidRPr="00404F7F">
          <w:rPr>
            <w:rStyle w:val="Hyperlink"/>
            <w:rFonts w:eastAsia="Calibri"/>
            <w:noProof/>
          </w:rPr>
          <w:t xml:space="preserve"> Troškovi energijske obnove fonda javnih zgrada po kantonima za period do 2050. godine</w:t>
        </w:r>
        <w:r w:rsidR="002D62B3">
          <w:rPr>
            <w:noProof/>
            <w:webHidden/>
          </w:rPr>
          <w:tab/>
        </w:r>
        <w:r w:rsidR="002D62B3">
          <w:rPr>
            <w:noProof/>
            <w:webHidden/>
          </w:rPr>
          <w:fldChar w:fldCharType="begin"/>
        </w:r>
        <w:r w:rsidR="002D62B3">
          <w:rPr>
            <w:noProof/>
            <w:webHidden/>
          </w:rPr>
          <w:instrText xml:space="preserve"> PAGEREF _Toc133499568 \h </w:instrText>
        </w:r>
        <w:r w:rsidR="002D62B3">
          <w:rPr>
            <w:noProof/>
            <w:webHidden/>
          </w:rPr>
        </w:r>
        <w:r w:rsidR="002D62B3">
          <w:rPr>
            <w:noProof/>
            <w:webHidden/>
          </w:rPr>
          <w:fldChar w:fldCharType="separate"/>
        </w:r>
        <w:r w:rsidR="00CD40A2">
          <w:rPr>
            <w:noProof/>
            <w:webHidden/>
          </w:rPr>
          <w:t>55</w:t>
        </w:r>
        <w:r w:rsidR="002D62B3">
          <w:rPr>
            <w:noProof/>
            <w:webHidden/>
          </w:rPr>
          <w:fldChar w:fldCharType="end"/>
        </w:r>
      </w:hyperlink>
    </w:p>
    <w:p w14:paraId="091B70AB" w14:textId="6947E9BA" w:rsidR="002D62B3" w:rsidRDefault="00000000">
      <w:pPr>
        <w:pStyle w:val="TableofFigures"/>
        <w:tabs>
          <w:tab w:val="right" w:leader="dot" w:pos="9017"/>
        </w:tabs>
        <w:rPr>
          <w:rFonts w:asciiTheme="minorHAnsi" w:hAnsiTheme="minorHAnsi" w:cstheme="minorBidi"/>
          <w:noProof/>
          <w:lang w:eastAsia="en-US"/>
        </w:rPr>
      </w:pPr>
      <w:hyperlink w:anchor="_Toc133499569" w:history="1">
        <w:r w:rsidR="002D62B3" w:rsidRPr="00404F7F">
          <w:rPr>
            <w:rStyle w:val="Hyperlink"/>
            <w:noProof/>
          </w:rPr>
          <w:t>Tabela 6.24</w:t>
        </w:r>
        <w:r w:rsidR="002D62B3" w:rsidRPr="00404F7F">
          <w:rPr>
            <w:rStyle w:val="Hyperlink"/>
            <w:rFonts w:eastAsia="Calibri"/>
            <w:noProof/>
          </w:rPr>
          <w:t xml:space="preserve"> Postojeće i ciljne karakteristike fonda komercijalnih zgrada FBiH (godišnja obnova 2,5 % korisne grijane površine) – indikativne vrijednosti</w:t>
        </w:r>
        <w:r w:rsidR="002D62B3">
          <w:rPr>
            <w:noProof/>
            <w:webHidden/>
          </w:rPr>
          <w:tab/>
        </w:r>
        <w:r w:rsidR="002D62B3">
          <w:rPr>
            <w:noProof/>
            <w:webHidden/>
          </w:rPr>
          <w:fldChar w:fldCharType="begin"/>
        </w:r>
        <w:r w:rsidR="002D62B3">
          <w:rPr>
            <w:noProof/>
            <w:webHidden/>
          </w:rPr>
          <w:instrText xml:space="preserve"> PAGEREF _Toc133499569 \h </w:instrText>
        </w:r>
        <w:r w:rsidR="002D62B3">
          <w:rPr>
            <w:noProof/>
            <w:webHidden/>
          </w:rPr>
        </w:r>
        <w:r w:rsidR="002D62B3">
          <w:rPr>
            <w:noProof/>
            <w:webHidden/>
          </w:rPr>
          <w:fldChar w:fldCharType="separate"/>
        </w:r>
        <w:r w:rsidR="00CD40A2">
          <w:rPr>
            <w:noProof/>
            <w:webHidden/>
          </w:rPr>
          <w:t>56</w:t>
        </w:r>
        <w:r w:rsidR="002D62B3">
          <w:rPr>
            <w:noProof/>
            <w:webHidden/>
          </w:rPr>
          <w:fldChar w:fldCharType="end"/>
        </w:r>
      </w:hyperlink>
    </w:p>
    <w:p w14:paraId="7CBE101B" w14:textId="6ABA5AE0" w:rsidR="002D62B3" w:rsidRDefault="00000000">
      <w:pPr>
        <w:pStyle w:val="TableofFigures"/>
        <w:tabs>
          <w:tab w:val="right" w:leader="dot" w:pos="9017"/>
        </w:tabs>
        <w:rPr>
          <w:rFonts w:asciiTheme="minorHAnsi" w:hAnsiTheme="minorHAnsi" w:cstheme="minorBidi"/>
          <w:noProof/>
          <w:lang w:eastAsia="en-US"/>
        </w:rPr>
      </w:pPr>
      <w:hyperlink w:anchor="_Toc133499570" w:history="1">
        <w:r w:rsidR="002D62B3" w:rsidRPr="00404F7F">
          <w:rPr>
            <w:rStyle w:val="Hyperlink"/>
            <w:noProof/>
          </w:rPr>
          <w:t>Tabela 6.25 Troškovi energijske obnove fonda komercijalnih zgrada po kantonima za period do 2050. godine</w:t>
        </w:r>
        <w:r w:rsidR="002D62B3">
          <w:rPr>
            <w:noProof/>
            <w:webHidden/>
          </w:rPr>
          <w:tab/>
        </w:r>
        <w:r w:rsidR="002D62B3">
          <w:rPr>
            <w:noProof/>
            <w:webHidden/>
          </w:rPr>
          <w:fldChar w:fldCharType="begin"/>
        </w:r>
        <w:r w:rsidR="002D62B3">
          <w:rPr>
            <w:noProof/>
            <w:webHidden/>
          </w:rPr>
          <w:instrText xml:space="preserve"> PAGEREF _Toc133499570 \h </w:instrText>
        </w:r>
        <w:r w:rsidR="002D62B3">
          <w:rPr>
            <w:noProof/>
            <w:webHidden/>
          </w:rPr>
        </w:r>
        <w:r w:rsidR="002D62B3">
          <w:rPr>
            <w:noProof/>
            <w:webHidden/>
          </w:rPr>
          <w:fldChar w:fldCharType="separate"/>
        </w:r>
        <w:r w:rsidR="00CD40A2">
          <w:rPr>
            <w:noProof/>
            <w:webHidden/>
          </w:rPr>
          <w:t>56</w:t>
        </w:r>
        <w:r w:rsidR="002D62B3">
          <w:rPr>
            <w:noProof/>
            <w:webHidden/>
          </w:rPr>
          <w:fldChar w:fldCharType="end"/>
        </w:r>
      </w:hyperlink>
    </w:p>
    <w:p w14:paraId="227CE0A9" w14:textId="363E592E" w:rsidR="002D62B3" w:rsidRDefault="00000000">
      <w:pPr>
        <w:pStyle w:val="TableofFigures"/>
        <w:tabs>
          <w:tab w:val="right" w:leader="dot" w:pos="9017"/>
        </w:tabs>
        <w:rPr>
          <w:rFonts w:asciiTheme="minorHAnsi" w:hAnsiTheme="minorHAnsi" w:cstheme="minorBidi"/>
          <w:noProof/>
          <w:lang w:eastAsia="en-US"/>
        </w:rPr>
      </w:pPr>
      <w:hyperlink w:anchor="_Toc133499571" w:history="1">
        <w:r w:rsidR="002D62B3" w:rsidRPr="00404F7F">
          <w:rPr>
            <w:rStyle w:val="Hyperlink"/>
            <w:noProof/>
          </w:rPr>
          <w:t xml:space="preserve">Tabela 6.26 </w:t>
        </w:r>
        <w:r w:rsidR="002D62B3" w:rsidRPr="00404F7F">
          <w:rPr>
            <w:rStyle w:val="Hyperlink"/>
            <w:rFonts w:eastAsia="Calibri"/>
            <w:noProof/>
          </w:rPr>
          <w:t>Postojeće i ciljne karakteristike kategorije nZEB zgrada u FBiH (godišnja obnova 2,5 % korisne grijane površine javnih zgrada)</w:t>
        </w:r>
        <w:r w:rsidR="002D62B3">
          <w:rPr>
            <w:noProof/>
            <w:webHidden/>
          </w:rPr>
          <w:tab/>
        </w:r>
        <w:r w:rsidR="002D62B3">
          <w:rPr>
            <w:noProof/>
            <w:webHidden/>
          </w:rPr>
          <w:fldChar w:fldCharType="begin"/>
        </w:r>
        <w:r w:rsidR="002D62B3">
          <w:rPr>
            <w:noProof/>
            <w:webHidden/>
          </w:rPr>
          <w:instrText xml:space="preserve"> PAGEREF _Toc133499571 \h </w:instrText>
        </w:r>
        <w:r w:rsidR="002D62B3">
          <w:rPr>
            <w:noProof/>
            <w:webHidden/>
          </w:rPr>
        </w:r>
        <w:r w:rsidR="002D62B3">
          <w:rPr>
            <w:noProof/>
            <w:webHidden/>
          </w:rPr>
          <w:fldChar w:fldCharType="separate"/>
        </w:r>
        <w:r w:rsidR="00CD40A2">
          <w:rPr>
            <w:noProof/>
            <w:webHidden/>
          </w:rPr>
          <w:t>58</w:t>
        </w:r>
        <w:r w:rsidR="002D62B3">
          <w:rPr>
            <w:noProof/>
            <w:webHidden/>
          </w:rPr>
          <w:fldChar w:fldCharType="end"/>
        </w:r>
      </w:hyperlink>
    </w:p>
    <w:p w14:paraId="2BC368D2" w14:textId="71051E62" w:rsidR="002D62B3" w:rsidRDefault="00000000">
      <w:pPr>
        <w:pStyle w:val="TableofFigures"/>
        <w:tabs>
          <w:tab w:val="right" w:leader="dot" w:pos="9017"/>
        </w:tabs>
        <w:rPr>
          <w:rFonts w:asciiTheme="minorHAnsi" w:hAnsiTheme="minorHAnsi" w:cstheme="minorBidi"/>
          <w:noProof/>
          <w:lang w:eastAsia="en-US"/>
        </w:rPr>
      </w:pPr>
      <w:hyperlink w:anchor="_Toc133499572" w:history="1">
        <w:r w:rsidR="002D62B3" w:rsidRPr="00404F7F">
          <w:rPr>
            <w:rStyle w:val="Hyperlink"/>
            <w:noProof/>
          </w:rPr>
          <w:t>Tabela 8.1 Pregled usklađenosti prioriteta Strategije sa relevantnim strateškim, planskim i razvojnim dokumentima</w:t>
        </w:r>
        <w:r w:rsidR="002D62B3">
          <w:rPr>
            <w:noProof/>
            <w:webHidden/>
          </w:rPr>
          <w:tab/>
        </w:r>
        <w:r w:rsidR="002D62B3">
          <w:rPr>
            <w:noProof/>
            <w:webHidden/>
          </w:rPr>
          <w:fldChar w:fldCharType="begin"/>
        </w:r>
        <w:r w:rsidR="002D62B3">
          <w:rPr>
            <w:noProof/>
            <w:webHidden/>
          </w:rPr>
          <w:instrText xml:space="preserve"> PAGEREF _Toc133499572 \h </w:instrText>
        </w:r>
        <w:r w:rsidR="002D62B3">
          <w:rPr>
            <w:noProof/>
            <w:webHidden/>
          </w:rPr>
        </w:r>
        <w:r w:rsidR="002D62B3">
          <w:rPr>
            <w:noProof/>
            <w:webHidden/>
          </w:rPr>
          <w:fldChar w:fldCharType="separate"/>
        </w:r>
        <w:r w:rsidR="00CD40A2">
          <w:rPr>
            <w:noProof/>
            <w:webHidden/>
          </w:rPr>
          <w:t>96</w:t>
        </w:r>
        <w:r w:rsidR="002D62B3">
          <w:rPr>
            <w:noProof/>
            <w:webHidden/>
          </w:rPr>
          <w:fldChar w:fldCharType="end"/>
        </w:r>
      </w:hyperlink>
    </w:p>
    <w:p w14:paraId="063F7055" w14:textId="049DCA22" w:rsidR="002D62B3" w:rsidRDefault="00000000" w:rsidP="002D62B3">
      <w:pPr>
        <w:pStyle w:val="TableofFigures"/>
        <w:tabs>
          <w:tab w:val="right" w:leader="dot" w:pos="9017"/>
        </w:tabs>
        <w:rPr>
          <w:noProof/>
        </w:rPr>
      </w:pPr>
      <w:hyperlink w:anchor="_Toc133499573" w:history="1">
        <w:r w:rsidR="002D62B3" w:rsidRPr="00404F7F">
          <w:rPr>
            <w:rStyle w:val="Hyperlink"/>
            <w:noProof/>
          </w:rPr>
          <w:t>Tabela 9.1 indikativni financijski okvir do 2050. godine</w:t>
        </w:r>
        <w:r w:rsidR="002D62B3">
          <w:rPr>
            <w:noProof/>
            <w:webHidden/>
          </w:rPr>
          <w:tab/>
        </w:r>
        <w:r w:rsidR="002D62B3">
          <w:rPr>
            <w:noProof/>
            <w:webHidden/>
          </w:rPr>
          <w:fldChar w:fldCharType="begin"/>
        </w:r>
        <w:r w:rsidR="002D62B3">
          <w:rPr>
            <w:noProof/>
            <w:webHidden/>
          </w:rPr>
          <w:instrText xml:space="preserve"> PAGEREF _Toc133499573 \h </w:instrText>
        </w:r>
        <w:r w:rsidR="002D62B3">
          <w:rPr>
            <w:noProof/>
            <w:webHidden/>
          </w:rPr>
        </w:r>
        <w:r w:rsidR="002D62B3">
          <w:rPr>
            <w:noProof/>
            <w:webHidden/>
          </w:rPr>
          <w:fldChar w:fldCharType="separate"/>
        </w:r>
        <w:r w:rsidR="00CD40A2">
          <w:rPr>
            <w:noProof/>
            <w:webHidden/>
          </w:rPr>
          <w:t>97</w:t>
        </w:r>
        <w:r w:rsidR="002D62B3">
          <w:rPr>
            <w:noProof/>
            <w:webHidden/>
          </w:rPr>
          <w:fldChar w:fldCharType="end"/>
        </w:r>
      </w:hyperlink>
      <w:r w:rsidR="00973648" w:rsidRPr="0087301F">
        <w:rPr>
          <w:lang w:val="bs-Latn-BA"/>
        </w:rPr>
        <w:fldChar w:fldCharType="end"/>
      </w:r>
      <w:r w:rsidR="002D62B3">
        <w:rPr>
          <w:lang w:val="bs-Latn-BA"/>
        </w:rPr>
        <w:fldChar w:fldCharType="begin"/>
      </w:r>
      <w:r w:rsidR="002D62B3">
        <w:rPr>
          <w:lang w:val="bs-Latn-BA"/>
        </w:rPr>
        <w:instrText xml:space="preserve"> TOC \h \z \c "Tabela 11.1." </w:instrText>
      </w:r>
      <w:r w:rsidR="002D62B3">
        <w:rPr>
          <w:lang w:val="bs-Latn-BA"/>
        </w:rPr>
        <w:fldChar w:fldCharType="separate"/>
      </w:r>
    </w:p>
    <w:p w14:paraId="4AC5132B" w14:textId="750D2529" w:rsidR="002D62B3" w:rsidRDefault="00000000">
      <w:pPr>
        <w:pStyle w:val="TableofFigures"/>
        <w:tabs>
          <w:tab w:val="right" w:leader="dot" w:pos="9017"/>
        </w:tabs>
        <w:rPr>
          <w:rFonts w:asciiTheme="minorHAnsi" w:hAnsiTheme="minorHAnsi" w:cstheme="minorBidi"/>
          <w:noProof/>
          <w:lang w:eastAsia="en-US"/>
        </w:rPr>
      </w:pPr>
      <w:hyperlink w:anchor="_Toc133499620" w:history="1">
        <w:r w:rsidR="002D62B3" w:rsidRPr="009D3DC7">
          <w:rPr>
            <w:rStyle w:val="Hyperlink"/>
            <w:noProof/>
          </w:rPr>
          <w:t>Tabela 11.1.1 Pregled važećih strateških dokumenata po oblastima</w:t>
        </w:r>
        <w:r w:rsidR="002D62B3">
          <w:rPr>
            <w:noProof/>
            <w:webHidden/>
          </w:rPr>
          <w:tab/>
        </w:r>
        <w:r w:rsidR="002D62B3">
          <w:rPr>
            <w:noProof/>
            <w:webHidden/>
          </w:rPr>
          <w:fldChar w:fldCharType="begin"/>
        </w:r>
        <w:r w:rsidR="002D62B3">
          <w:rPr>
            <w:noProof/>
            <w:webHidden/>
          </w:rPr>
          <w:instrText xml:space="preserve"> PAGEREF _Toc133499620 \h </w:instrText>
        </w:r>
        <w:r w:rsidR="002D62B3">
          <w:rPr>
            <w:noProof/>
            <w:webHidden/>
          </w:rPr>
        </w:r>
        <w:r w:rsidR="002D62B3">
          <w:rPr>
            <w:noProof/>
            <w:webHidden/>
          </w:rPr>
          <w:fldChar w:fldCharType="separate"/>
        </w:r>
        <w:r w:rsidR="00CD40A2">
          <w:rPr>
            <w:noProof/>
            <w:webHidden/>
          </w:rPr>
          <w:t>114</w:t>
        </w:r>
        <w:r w:rsidR="002D62B3">
          <w:rPr>
            <w:noProof/>
            <w:webHidden/>
          </w:rPr>
          <w:fldChar w:fldCharType="end"/>
        </w:r>
      </w:hyperlink>
    </w:p>
    <w:p w14:paraId="057D2B7F" w14:textId="3FEAE84C" w:rsidR="002D62B3" w:rsidRDefault="00000000">
      <w:pPr>
        <w:pStyle w:val="TableofFigures"/>
        <w:tabs>
          <w:tab w:val="right" w:leader="dot" w:pos="9017"/>
        </w:tabs>
        <w:rPr>
          <w:rFonts w:asciiTheme="minorHAnsi" w:hAnsiTheme="minorHAnsi" w:cstheme="minorBidi"/>
          <w:noProof/>
          <w:lang w:eastAsia="en-US"/>
        </w:rPr>
      </w:pPr>
      <w:hyperlink w:anchor="_Toc133499621" w:history="1">
        <w:r w:rsidR="002D62B3" w:rsidRPr="009D3DC7">
          <w:rPr>
            <w:rStyle w:val="Hyperlink"/>
            <w:noProof/>
          </w:rPr>
          <w:t>Tabela 11.1.2 Ukupna korisna površina fonda zgrada FBiH</w:t>
        </w:r>
        <w:r w:rsidR="002D62B3">
          <w:rPr>
            <w:noProof/>
            <w:webHidden/>
          </w:rPr>
          <w:tab/>
        </w:r>
        <w:r w:rsidR="002D62B3">
          <w:rPr>
            <w:noProof/>
            <w:webHidden/>
          </w:rPr>
          <w:fldChar w:fldCharType="begin"/>
        </w:r>
        <w:r w:rsidR="002D62B3">
          <w:rPr>
            <w:noProof/>
            <w:webHidden/>
          </w:rPr>
          <w:instrText xml:space="preserve"> PAGEREF _Toc133499621 \h </w:instrText>
        </w:r>
        <w:r w:rsidR="002D62B3">
          <w:rPr>
            <w:noProof/>
            <w:webHidden/>
          </w:rPr>
        </w:r>
        <w:r w:rsidR="002D62B3">
          <w:rPr>
            <w:noProof/>
            <w:webHidden/>
          </w:rPr>
          <w:fldChar w:fldCharType="separate"/>
        </w:r>
        <w:r w:rsidR="00CD40A2">
          <w:rPr>
            <w:noProof/>
            <w:webHidden/>
          </w:rPr>
          <w:t>126</w:t>
        </w:r>
        <w:r w:rsidR="002D62B3">
          <w:rPr>
            <w:noProof/>
            <w:webHidden/>
          </w:rPr>
          <w:fldChar w:fldCharType="end"/>
        </w:r>
      </w:hyperlink>
    </w:p>
    <w:p w14:paraId="2DFA5691" w14:textId="39F42ABC" w:rsidR="002D62B3" w:rsidRDefault="00000000">
      <w:pPr>
        <w:pStyle w:val="TableofFigures"/>
        <w:tabs>
          <w:tab w:val="right" w:leader="dot" w:pos="9017"/>
        </w:tabs>
        <w:rPr>
          <w:rFonts w:asciiTheme="minorHAnsi" w:hAnsiTheme="minorHAnsi" w:cstheme="minorBidi"/>
          <w:noProof/>
          <w:lang w:eastAsia="en-US"/>
        </w:rPr>
      </w:pPr>
      <w:hyperlink w:anchor="_Toc133499622" w:history="1">
        <w:r w:rsidR="002D62B3" w:rsidRPr="009D3DC7">
          <w:rPr>
            <w:rStyle w:val="Hyperlink"/>
            <w:noProof/>
          </w:rPr>
          <w:t>Tabela 11.1.3 Bruto grijana površina zgrada u FBiH po tipovima i godini izgradnje</w:t>
        </w:r>
        <w:r w:rsidR="002D62B3">
          <w:rPr>
            <w:noProof/>
            <w:webHidden/>
          </w:rPr>
          <w:tab/>
        </w:r>
        <w:r w:rsidR="002D62B3">
          <w:rPr>
            <w:noProof/>
            <w:webHidden/>
          </w:rPr>
          <w:fldChar w:fldCharType="begin"/>
        </w:r>
        <w:r w:rsidR="002D62B3">
          <w:rPr>
            <w:noProof/>
            <w:webHidden/>
          </w:rPr>
          <w:instrText xml:space="preserve"> PAGEREF _Toc133499622 \h </w:instrText>
        </w:r>
        <w:r w:rsidR="002D62B3">
          <w:rPr>
            <w:noProof/>
            <w:webHidden/>
          </w:rPr>
        </w:r>
        <w:r w:rsidR="002D62B3">
          <w:rPr>
            <w:noProof/>
            <w:webHidden/>
          </w:rPr>
          <w:fldChar w:fldCharType="separate"/>
        </w:r>
        <w:r w:rsidR="00CD40A2">
          <w:rPr>
            <w:noProof/>
            <w:webHidden/>
          </w:rPr>
          <w:t>127</w:t>
        </w:r>
        <w:r w:rsidR="002D62B3">
          <w:rPr>
            <w:noProof/>
            <w:webHidden/>
          </w:rPr>
          <w:fldChar w:fldCharType="end"/>
        </w:r>
      </w:hyperlink>
    </w:p>
    <w:p w14:paraId="77D7D1B0" w14:textId="6623039A" w:rsidR="002D62B3" w:rsidRDefault="00000000">
      <w:pPr>
        <w:pStyle w:val="TableofFigures"/>
        <w:tabs>
          <w:tab w:val="right" w:leader="dot" w:pos="9017"/>
        </w:tabs>
        <w:rPr>
          <w:rFonts w:asciiTheme="minorHAnsi" w:hAnsiTheme="minorHAnsi" w:cstheme="minorBidi"/>
          <w:noProof/>
          <w:lang w:eastAsia="en-US"/>
        </w:rPr>
      </w:pPr>
      <w:hyperlink w:anchor="_Toc133499623" w:history="1">
        <w:r w:rsidR="002D62B3" w:rsidRPr="009D3DC7">
          <w:rPr>
            <w:rStyle w:val="Hyperlink"/>
            <w:noProof/>
          </w:rPr>
          <w:t>Tabela 11.1.4 Procjena broja zgrada po Kantonima prema modelu linearnog rasta 2 za period do 2021. godine</w:t>
        </w:r>
        <w:r w:rsidR="002D62B3">
          <w:rPr>
            <w:noProof/>
            <w:webHidden/>
          </w:rPr>
          <w:tab/>
        </w:r>
        <w:r w:rsidR="002D62B3">
          <w:rPr>
            <w:noProof/>
            <w:webHidden/>
          </w:rPr>
          <w:fldChar w:fldCharType="begin"/>
        </w:r>
        <w:r w:rsidR="002D62B3">
          <w:rPr>
            <w:noProof/>
            <w:webHidden/>
          </w:rPr>
          <w:instrText xml:space="preserve"> PAGEREF _Toc133499623 \h </w:instrText>
        </w:r>
        <w:r w:rsidR="002D62B3">
          <w:rPr>
            <w:noProof/>
            <w:webHidden/>
          </w:rPr>
        </w:r>
        <w:r w:rsidR="002D62B3">
          <w:rPr>
            <w:noProof/>
            <w:webHidden/>
          </w:rPr>
          <w:fldChar w:fldCharType="separate"/>
        </w:r>
        <w:r w:rsidR="00CD40A2">
          <w:rPr>
            <w:noProof/>
            <w:webHidden/>
          </w:rPr>
          <w:t>130</w:t>
        </w:r>
        <w:r w:rsidR="002D62B3">
          <w:rPr>
            <w:noProof/>
            <w:webHidden/>
          </w:rPr>
          <w:fldChar w:fldCharType="end"/>
        </w:r>
      </w:hyperlink>
    </w:p>
    <w:p w14:paraId="2D94450D" w14:textId="31BB936F" w:rsidR="002D62B3" w:rsidRDefault="00000000">
      <w:pPr>
        <w:pStyle w:val="TableofFigures"/>
        <w:tabs>
          <w:tab w:val="right" w:leader="dot" w:pos="9017"/>
        </w:tabs>
        <w:rPr>
          <w:rFonts w:asciiTheme="minorHAnsi" w:hAnsiTheme="minorHAnsi" w:cstheme="minorBidi"/>
          <w:noProof/>
          <w:lang w:eastAsia="en-US"/>
        </w:rPr>
      </w:pPr>
      <w:hyperlink w:anchor="_Toc133499624" w:history="1">
        <w:r w:rsidR="002D62B3" w:rsidRPr="009D3DC7">
          <w:rPr>
            <w:rStyle w:val="Hyperlink"/>
            <w:noProof/>
          </w:rPr>
          <w:t>Tabela 11.1.5 Finalna potrošnja energija za grijanje stambenih zgrada u FBiH, MWh/god.</w:t>
        </w:r>
        <w:r w:rsidR="002D62B3">
          <w:rPr>
            <w:noProof/>
            <w:webHidden/>
          </w:rPr>
          <w:tab/>
        </w:r>
        <w:r w:rsidR="002D62B3">
          <w:rPr>
            <w:noProof/>
            <w:webHidden/>
          </w:rPr>
          <w:fldChar w:fldCharType="begin"/>
        </w:r>
        <w:r w:rsidR="002D62B3">
          <w:rPr>
            <w:noProof/>
            <w:webHidden/>
          </w:rPr>
          <w:instrText xml:space="preserve"> PAGEREF _Toc133499624 \h </w:instrText>
        </w:r>
        <w:r w:rsidR="002D62B3">
          <w:rPr>
            <w:noProof/>
            <w:webHidden/>
          </w:rPr>
        </w:r>
        <w:r w:rsidR="002D62B3">
          <w:rPr>
            <w:noProof/>
            <w:webHidden/>
          </w:rPr>
          <w:fldChar w:fldCharType="separate"/>
        </w:r>
        <w:r w:rsidR="00CD40A2">
          <w:rPr>
            <w:noProof/>
            <w:webHidden/>
          </w:rPr>
          <w:t>134</w:t>
        </w:r>
        <w:r w:rsidR="002D62B3">
          <w:rPr>
            <w:noProof/>
            <w:webHidden/>
          </w:rPr>
          <w:fldChar w:fldCharType="end"/>
        </w:r>
      </w:hyperlink>
    </w:p>
    <w:p w14:paraId="2C29BDCB" w14:textId="00B3F0E6" w:rsidR="002D62B3" w:rsidRDefault="00000000">
      <w:pPr>
        <w:pStyle w:val="TableofFigures"/>
        <w:tabs>
          <w:tab w:val="right" w:leader="dot" w:pos="9017"/>
        </w:tabs>
        <w:rPr>
          <w:rFonts w:asciiTheme="minorHAnsi" w:hAnsiTheme="minorHAnsi" w:cstheme="minorBidi"/>
          <w:noProof/>
          <w:lang w:eastAsia="en-US"/>
        </w:rPr>
      </w:pPr>
      <w:hyperlink w:anchor="_Toc133499625" w:history="1">
        <w:r w:rsidR="002D62B3" w:rsidRPr="009D3DC7">
          <w:rPr>
            <w:rStyle w:val="Hyperlink"/>
            <w:noProof/>
          </w:rPr>
          <w:t>Tabela 11.1.6 Specifična finalna energija za grijanje stambenih zgrada u FBiH, kWh/m</w:t>
        </w:r>
        <w:r w:rsidR="002D62B3" w:rsidRPr="009D3DC7">
          <w:rPr>
            <w:rStyle w:val="Hyperlink"/>
            <w:noProof/>
            <w:vertAlign w:val="superscript"/>
          </w:rPr>
          <w:t>2</w:t>
        </w:r>
        <w:r w:rsidR="002D62B3" w:rsidRPr="009D3DC7">
          <w:rPr>
            <w:rStyle w:val="Hyperlink"/>
            <w:noProof/>
          </w:rPr>
          <w:t>god</w:t>
        </w:r>
        <w:r w:rsidR="002D62B3">
          <w:rPr>
            <w:noProof/>
            <w:webHidden/>
          </w:rPr>
          <w:tab/>
        </w:r>
        <w:r w:rsidR="002D62B3">
          <w:rPr>
            <w:noProof/>
            <w:webHidden/>
          </w:rPr>
          <w:fldChar w:fldCharType="begin"/>
        </w:r>
        <w:r w:rsidR="002D62B3">
          <w:rPr>
            <w:noProof/>
            <w:webHidden/>
          </w:rPr>
          <w:instrText xml:space="preserve"> PAGEREF _Toc133499625 \h </w:instrText>
        </w:r>
        <w:r w:rsidR="002D62B3">
          <w:rPr>
            <w:noProof/>
            <w:webHidden/>
          </w:rPr>
        </w:r>
        <w:r w:rsidR="002D62B3">
          <w:rPr>
            <w:noProof/>
            <w:webHidden/>
          </w:rPr>
          <w:fldChar w:fldCharType="separate"/>
        </w:r>
        <w:r w:rsidR="00CD40A2">
          <w:rPr>
            <w:noProof/>
            <w:webHidden/>
          </w:rPr>
          <w:t>134</w:t>
        </w:r>
        <w:r w:rsidR="002D62B3">
          <w:rPr>
            <w:noProof/>
            <w:webHidden/>
          </w:rPr>
          <w:fldChar w:fldCharType="end"/>
        </w:r>
      </w:hyperlink>
    </w:p>
    <w:p w14:paraId="5862E5D1" w14:textId="0E0C3EF7" w:rsidR="002D62B3" w:rsidRDefault="00000000">
      <w:pPr>
        <w:pStyle w:val="TableofFigures"/>
        <w:tabs>
          <w:tab w:val="right" w:leader="dot" w:pos="9017"/>
        </w:tabs>
        <w:rPr>
          <w:rFonts w:asciiTheme="minorHAnsi" w:hAnsiTheme="minorHAnsi" w:cstheme="minorBidi"/>
          <w:noProof/>
          <w:lang w:eastAsia="en-US"/>
        </w:rPr>
      </w:pPr>
      <w:hyperlink w:anchor="_Toc133499626" w:history="1">
        <w:r w:rsidR="002D62B3" w:rsidRPr="009D3DC7">
          <w:rPr>
            <w:rStyle w:val="Hyperlink"/>
            <w:noProof/>
          </w:rPr>
          <w:t>Tabela 11.1.7 Specifična potrebna energije kategorija zgrada u stambenom sektoru/indikativni energijski razred, kWh/m</w:t>
        </w:r>
        <w:r w:rsidR="002D62B3" w:rsidRPr="009D3DC7">
          <w:rPr>
            <w:rStyle w:val="Hyperlink"/>
            <w:noProof/>
            <w:vertAlign w:val="superscript"/>
          </w:rPr>
          <w:t>2</w:t>
        </w:r>
        <w:r w:rsidR="002D62B3" w:rsidRPr="009D3DC7">
          <w:rPr>
            <w:rStyle w:val="Hyperlink"/>
            <w:noProof/>
          </w:rPr>
          <w:t>god.</w:t>
        </w:r>
        <w:r w:rsidR="002D62B3">
          <w:rPr>
            <w:noProof/>
            <w:webHidden/>
          </w:rPr>
          <w:tab/>
        </w:r>
        <w:r w:rsidR="002D62B3">
          <w:rPr>
            <w:noProof/>
            <w:webHidden/>
          </w:rPr>
          <w:fldChar w:fldCharType="begin"/>
        </w:r>
        <w:r w:rsidR="002D62B3">
          <w:rPr>
            <w:noProof/>
            <w:webHidden/>
          </w:rPr>
          <w:instrText xml:space="preserve"> PAGEREF _Toc133499626 \h </w:instrText>
        </w:r>
        <w:r w:rsidR="002D62B3">
          <w:rPr>
            <w:noProof/>
            <w:webHidden/>
          </w:rPr>
        </w:r>
        <w:r w:rsidR="002D62B3">
          <w:rPr>
            <w:noProof/>
            <w:webHidden/>
          </w:rPr>
          <w:fldChar w:fldCharType="separate"/>
        </w:r>
        <w:r w:rsidR="00CD40A2">
          <w:rPr>
            <w:noProof/>
            <w:webHidden/>
          </w:rPr>
          <w:t>135</w:t>
        </w:r>
        <w:r w:rsidR="002D62B3">
          <w:rPr>
            <w:noProof/>
            <w:webHidden/>
          </w:rPr>
          <w:fldChar w:fldCharType="end"/>
        </w:r>
      </w:hyperlink>
    </w:p>
    <w:p w14:paraId="6517714B" w14:textId="393803D0" w:rsidR="002D62B3" w:rsidRDefault="00000000">
      <w:pPr>
        <w:pStyle w:val="TableofFigures"/>
        <w:tabs>
          <w:tab w:val="right" w:leader="dot" w:pos="9017"/>
        </w:tabs>
        <w:rPr>
          <w:rFonts w:asciiTheme="minorHAnsi" w:hAnsiTheme="minorHAnsi" w:cstheme="minorBidi"/>
          <w:noProof/>
          <w:lang w:eastAsia="en-US"/>
        </w:rPr>
      </w:pPr>
      <w:hyperlink w:anchor="_Toc133499627" w:history="1">
        <w:r w:rsidR="002D62B3" w:rsidRPr="009D3DC7">
          <w:rPr>
            <w:rStyle w:val="Hyperlink"/>
            <w:noProof/>
          </w:rPr>
          <w:t>Tabela 11.1.8 Finalna energija  za grijanje kategorija javnih zgrada u FBiH, MWh/god.</w:t>
        </w:r>
        <w:r w:rsidR="002D62B3">
          <w:rPr>
            <w:noProof/>
            <w:webHidden/>
          </w:rPr>
          <w:tab/>
        </w:r>
        <w:r w:rsidR="002D62B3">
          <w:rPr>
            <w:noProof/>
            <w:webHidden/>
          </w:rPr>
          <w:fldChar w:fldCharType="begin"/>
        </w:r>
        <w:r w:rsidR="002D62B3">
          <w:rPr>
            <w:noProof/>
            <w:webHidden/>
          </w:rPr>
          <w:instrText xml:space="preserve"> PAGEREF _Toc133499627 \h </w:instrText>
        </w:r>
        <w:r w:rsidR="002D62B3">
          <w:rPr>
            <w:noProof/>
            <w:webHidden/>
          </w:rPr>
        </w:r>
        <w:r w:rsidR="002D62B3">
          <w:rPr>
            <w:noProof/>
            <w:webHidden/>
          </w:rPr>
          <w:fldChar w:fldCharType="separate"/>
        </w:r>
        <w:r w:rsidR="00CD40A2">
          <w:rPr>
            <w:noProof/>
            <w:webHidden/>
          </w:rPr>
          <w:t>136</w:t>
        </w:r>
        <w:r w:rsidR="002D62B3">
          <w:rPr>
            <w:noProof/>
            <w:webHidden/>
          </w:rPr>
          <w:fldChar w:fldCharType="end"/>
        </w:r>
      </w:hyperlink>
    </w:p>
    <w:p w14:paraId="4F623970" w14:textId="18837973" w:rsidR="002D62B3" w:rsidRDefault="00000000">
      <w:pPr>
        <w:pStyle w:val="TableofFigures"/>
        <w:tabs>
          <w:tab w:val="right" w:leader="dot" w:pos="9017"/>
        </w:tabs>
        <w:rPr>
          <w:rFonts w:asciiTheme="minorHAnsi" w:hAnsiTheme="minorHAnsi" w:cstheme="minorBidi"/>
          <w:noProof/>
          <w:lang w:eastAsia="en-US"/>
        </w:rPr>
      </w:pPr>
      <w:hyperlink w:anchor="_Toc133499628" w:history="1">
        <w:r w:rsidR="002D62B3" w:rsidRPr="009D3DC7">
          <w:rPr>
            <w:rStyle w:val="Hyperlink"/>
            <w:noProof/>
          </w:rPr>
          <w:t>Tabela 11.1.9 Specifična potrebna energije kategorija zgrada u javnom sektoru/indikativni energijski razred, kWh/m</w:t>
        </w:r>
        <w:r w:rsidR="002D62B3" w:rsidRPr="009D3DC7">
          <w:rPr>
            <w:rStyle w:val="Hyperlink"/>
            <w:noProof/>
            <w:vertAlign w:val="superscript"/>
          </w:rPr>
          <w:t>2</w:t>
        </w:r>
        <w:r w:rsidR="002D62B3" w:rsidRPr="009D3DC7">
          <w:rPr>
            <w:rStyle w:val="Hyperlink"/>
            <w:noProof/>
          </w:rPr>
          <w:t>god.</w:t>
        </w:r>
        <w:r w:rsidR="002D62B3">
          <w:rPr>
            <w:noProof/>
            <w:webHidden/>
          </w:rPr>
          <w:tab/>
        </w:r>
        <w:r w:rsidR="002D62B3">
          <w:rPr>
            <w:noProof/>
            <w:webHidden/>
          </w:rPr>
          <w:fldChar w:fldCharType="begin"/>
        </w:r>
        <w:r w:rsidR="002D62B3">
          <w:rPr>
            <w:noProof/>
            <w:webHidden/>
          </w:rPr>
          <w:instrText xml:space="preserve"> PAGEREF _Toc133499628 \h </w:instrText>
        </w:r>
        <w:r w:rsidR="002D62B3">
          <w:rPr>
            <w:noProof/>
            <w:webHidden/>
          </w:rPr>
        </w:r>
        <w:r w:rsidR="002D62B3">
          <w:rPr>
            <w:noProof/>
            <w:webHidden/>
          </w:rPr>
          <w:fldChar w:fldCharType="separate"/>
        </w:r>
        <w:r w:rsidR="00CD40A2">
          <w:rPr>
            <w:noProof/>
            <w:webHidden/>
          </w:rPr>
          <w:t>136</w:t>
        </w:r>
        <w:r w:rsidR="002D62B3">
          <w:rPr>
            <w:noProof/>
            <w:webHidden/>
          </w:rPr>
          <w:fldChar w:fldCharType="end"/>
        </w:r>
      </w:hyperlink>
    </w:p>
    <w:p w14:paraId="06426CCF" w14:textId="6E832F27" w:rsidR="002D62B3" w:rsidRDefault="00000000">
      <w:pPr>
        <w:pStyle w:val="TableofFigures"/>
        <w:tabs>
          <w:tab w:val="right" w:leader="dot" w:pos="9017"/>
        </w:tabs>
        <w:rPr>
          <w:rFonts w:asciiTheme="minorHAnsi" w:hAnsiTheme="minorHAnsi" w:cstheme="minorBidi"/>
          <w:noProof/>
          <w:lang w:eastAsia="en-US"/>
        </w:rPr>
      </w:pPr>
      <w:hyperlink w:anchor="_Toc133499629" w:history="1">
        <w:r w:rsidR="002D62B3" w:rsidRPr="009D3DC7">
          <w:rPr>
            <w:rStyle w:val="Hyperlink"/>
            <w:noProof/>
          </w:rPr>
          <w:t>Tabela 11.1.10 Omjer finalne i potrebne energije za grijanje stambenog fonda u FBiH</w:t>
        </w:r>
        <w:r w:rsidR="002D62B3">
          <w:rPr>
            <w:noProof/>
            <w:webHidden/>
          </w:rPr>
          <w:tab/>
        </w:r>
        <w:r w:rsidR="002D62B3">
          <w:rPr>
            <w:noProof/>
            <w:webHidden/>
          </w:rPr>
          <w:fldChar w:fldCharType="begin"/>
        </w:r>
        <w:r w:rsidR="002D62B3">
          <w:rPr>
            <w:noProof/>
            <w:webHidden/>
          </w:rPr>
          <w:instrText xml:space="preserve"> PAGEREF _Toc133499629 \h </w:instrText>
        </w:r>
        <w:r w:rsidR="002D62B3">
          <w:rPr>
            <w:noProof/>
            <w:webHidden/>
          </w:rPr>
        </w:r>
        <w:r w:rsidR="002D62B3">
          <w:rPr>
            <w:noProof/>
            <w:webHidden/>
          </w:rPr>
          <w:fldChar w:fldCharType="separate"/>
        </w:r>
        <w:r w:rsidR="00CD40A2">
          <w:rPr>
            <w:noProof/>
            <w:webHidden/>
          </w:rPr>
          <w:t>140</w:t>
        </w:r>
        <w:r w:rsidR="002D62B3">
          <w:rPr>
            <w:noProof/>
            <w:webHidden/>
          </w:rPr>
          <w:fldChar w:fldCharType="end"/>
        </w:r>
      </w:hyperlink>
    </w:p>
    <w:p w14:paraId="3D5502FD" w14:textId="36F3BA49" w:rsidR="002D62B3" w:rsidRDefault="00000000">
      <w:pPr>
        <w:pStyle w:val="TableofFigures"/>
        <w:tabs>
          <w:tab w:val="right" w:leader="dot" w:pos="9017"/>
        </w:tabs>
        <w:rPr>
          <w:rFonts w:asciiTheme="minorHAnsi" w:hAnsiTheme="minorHAnsi" w:cstheme="minorBidi"/>
          <w:noProof/>
          <w:lang w:eastAsia="en-US"/>
        </w:rPr>
      </w:pPr>
      <w:hyperlink w:anchor="_Toc133499630" w:history="1">
        <w:r w:rsidR="002D62B3" w:rsidRPr="009D3DC7">
          <w:rPr>
            <w:rStyle w:val="Hyperlink"/>
            <w:noProof/>
          </w:rPr>
          <w:t>Tabela 11.1. 11 Podaci o finalnoj potrošnji energije za domaćinstva prema EUROSTAT</w:t>
        </w:r>
        <w:r w:rsidR="002D62B3">
          <w:rPr>
            <w:noProof/>
            <w:webHidden/>
          </w:rPr>
          <w:tab/>
        </w:r>
        <w:r w:rsidR="002D62B3">
          <w:rPr>
            <w:noProof/>
            <w:webHidden/>
          </w:rPr>
          <w:fldChar w:fldCharType="begin"/>
        </w:r>
        <w:r w:rsidR="002D62B3">
          <w:rPr>
            <w:noProof/>
            <w:webHidden/>
          </w:rPr>
          <w:instrText xml:space="preserve"> PAGEREF _Toc133499630 \h </w:instrText>
        </w:r>
        <w:r w:rsidR="002D62B3">
          <w:rPr>
            <w:noProof/>
            <w:webHidden/>
          </w:rPr>
        </w:r>
        <w:r w:rsidR="002D62B3">
          <w:rPr>
            <w:noProof/>
            <w:webHidden/>
          </w:rPr>
          <w:fldChar w:fldCharType="separate"/>
        </w:r>
        <w:r w:rsidR="00CD40A2">
          <w:rPr>
            <w:noProof/>
            <w:webHidden/>
          </w:rPr>
          <w:t>141</w:t>
        </w:r>
        <w:r w:rsidR="002D62B3">
          <w:rPr>
            <w:noProof/>
            <w:webHidden/>
          </w:rPr>
          <w:fldChar w:fldCharType="end"/>
        </w:r>
      </w:hyperlink>
    </w:p>
    <w:p w14:paraId="016069D3" w14:textId="5EA85BA0" w:rsidR="002D62B3" w:rsidRDefault="00000000">
      <w:pPr>
        <w:pStyle w:val="TableofFigures"/>
        <w:tabs>
          <w:tab w:val="right" w:leader="dot" w:pos="9017"/>
        </w:tabs>
        <w:rPr>
          <w:rFonts w:asciiTheme="minorHAnsi" w:hAnsiTheme="minorHAnsi" w:cstheme="minorBidi"/>
          <w:noProof/>
          <w:lang w:eastAsia="en-US"/>
        </w:rPr>
      </w:pPr>
      <w:hyperlink w:anchor="_Toc133499631" w:history="1">
        <w:r w:rsidR="002D62B3" w:rsidRPr="009D3DC7">
          <w:rPr>
            <w:rStyle w:val="Hyperlink"/>
            <w:noProof/>
          </w:rPr>
          <w:t>Tabela 11.1.12 Omjer finalne i potrebne energije za grijanje javnih zgrada u FBiH</w:t>
        </w:r>
        <w:r w:rsidR="002D62B3">
          <w:rPr>
            <w:noProof/>
            <w:webHidden/>
          </w:rPr>
          <w:tab/>
        </w:r>
        <w:r w:rsidR="002D62B3">
          <w:rPr>
            <w:noProof/>
            <w:webHidden/>
          </w:rPr>
          <w:fldChar w:fldCharType="begin"/>
        </w:r>
        <w:r w:rsidR="002D62B3">
          <w:rPr>
            <w:noProof/>
            <w:webHidden/>
          </w:rPr>
          <w:instrText xml:space="preserve"> PAGEREF _Toc133499631 \h </w:instrText>
        </w:r>
        <w:r w:rsidR="002D62B3">
          <w:rPr>
            <w:noProof/>
            <w:webHidden/>
          </w:rPr>
        </w:r>
        <w:r w:rsidR="002D62B3">
          <w:rPr>
            <w:noProof/>
            <w:webHidden/>
          </w:rPr>
          <w:fldChar w:fldCharType="separate"/>
        </w:r>
        <w:r w:rsidR="00CD40A2">
          <w:rPr>
            <w:noProof/>
            <w:webHidden/>
          </w:rPr>
          <w:t>141</w:t>
        </w:r>
        <w:r w:rsidR="002D62B3">
          <w:rPr>
            <w:noProof/>
            <w:webHidden/>
          </w:rPr>
          <w:fldChar w:fldCharType="end"/>
        </w:r>
      </w:hyperlink>
    </w:p>
    <w:p w14:paraId="6AC862D2" w14:textId="6F8CA320" w:rsidR="002D62B3" w:rsidRDefault="00000000">
      <w:pPr>
        <w:pStyle w:val="TableofFigures"/>
        <w:tabs>
          <w:tab w:val="right" w:leader="dot" w:pos="9017"/>
        </w:tabs>
        <w:rPr>
          <w:rFonts w:asciiTheme="minorHAnsi" w:hAnsiTheme="minorHAnsi" w:cstheme="minorBidi"/>
          <w:noProof/>
          <w:lang w:eastAsia="en-US"/>
        </w:rPr>
      </w:pPr>
      <w:hyperlink w:anchor="_Toc133499632" w:history="1">
        <w:r w:rsidR="002D62B3" w:rsidRPr="009D3DC7">
          <w:rPr>
            <w:rStyle w:val="Hyperlink"/>
            <w:noProof/>
          </w:rPr>
          <w:t>Tabela 11.1.13 Pregled zgrada i graditeljskih cjelina sa statusom nacionalnog spomenika u FBiH.</w:t>
        </w:r>
        <w:r w:rsidR="002D62B3">
          <w:rPr>
            <w:noProof/>
            <w:webHidden/>
          </w:rPr>
          <w:tab/>
        </w:r>
        <w:r w:rsidR="002D62B3">
          <w:rPr>
            <w:noProof/>
            <w:webHidden/>
          </w:rPr>
          <w:fldChar w:fldCharType="begin"/>
        </w:r>
        <w:r w:rsidR="002D62B3">
          <w:rPr>
            <w:noProof/>
            <w:webHidden/>
          </w:rPr>
          <w:instrText xml:space="preserve"> PAGEREF _Toc133499632 \h </w:instrText>
        </w:r>
        <w:r w:rsidR="002D62B3">
          <w:rPr>
            <w:noProof/>
            <w:webHidden/>
          </w:rPr>
        </w:r>
        <w:r w:rsidR="002D62B3">
          <w:rPr>
            <w:noProof/>
            <w:webHidden/>
          </w:rPr>
          <w:fldChar w:fldCharType="separate"/>
        </w:r>
        <w:r w:rsidR="00CD40A2">
          <w:rPr>
            <w:noProof/>
            <w:webHidden/>
          </w:rPr>
          <w:t>142</w:t>
        </w:r>
        <w:r w:rsidR="002D62B3">
          <w:rPr>
            <w:noProof/>
            <w:webHidden/>
          </w:rPr>
          <w:fldChar w:fldCharType="end"/>
        </w:r>
      </w:hyperlink>
    </w:p>
    <w:p w14:paraId="248401B6" w14:textId="7B1A6886" w:rsidR="002D62B3" w:rsidRDefault="00000000">
      <w:pPr>
        <w:pStyle w:val="TableofFigures"/>
        <w:tabs>
          <w:tab w:val="right" w:leader="dot" w:pos="9017"/>
        </w:tabs>
        <w:rPr>
          <w:rFonts w:asciiTheme="minorHAnsi" w:hAnsiTheme="minorHAnsi" w:cstheme="minorBidi"/>
          <w:noProof/>
          <w:lang w:eastAsia="en-US"/>
        </w:rPr>
      </w:pPr>
      <w:hyperlink w:anchor="_Toc133499633" w:history="1">
        <w:r w:rsidR="002D62B3" w:rsidRPr="009D3DC7">
          <w:rPr>
            <w:rStyle w:val="Hyperlink"/>
            <w:noProof/>
          </w:rPr>
          <w:t>Tabela 11.1.14 Fond zgrada Oružanih snaga BiH</w:t>
        </w:r>
        <w:r w:rsidR="002D62B3">
          <w:rPr>
            <w:noProof/>
            <w:webHidden/>
          </w:rPr>
          <w:tab/>
        </w:r>
        <w:r w:rsidR="002D62B3">
          <w:rPr>
            <w:noProof/>
            <w:webHidden/>
          </w:rPr>
          <w:fldChar w:fldCharType="begin"/>
        </w:r>
        <w:r w:rsidR="002D62B3">
          <w:rPr>
            <w:noProof/>
            <w:webHidden/>
          </w:rPr>
          <w:instrText xml:space="preserve"> PAGEREF _Toc133499633 \h </w:instrText>
        </w:r>
        <w:r w:rsidR="002D62B3">
          <w:rPr>
            <w:noProof/>
            <w:webHidden/>
          </w:rPr>
        </w:r>
        <w:r w:rsidR="002D62B3">
          <w:rPr>
            <w:noProof/>
            <w:webHidden/>
          </w:rPr>
          <w:fldChar w:fldCharType="separate"/>
        </w:r>
        <w:r w:rsidR="00CD40A2">
          <w:rPr>
            <w:noProof/>
            <w:webHidden/>
          </w:rPr>
          <w:t>143</w:t>
        </w:r>
        <w:r w:rsidR="002D62B3">
          <w:rPr>
            <w:noProof/>
            <w:webHidden/>
          </w:rPr>
          <w:fldChar w:fldCharType="end"/>
        </w:r>
      </w:hyperlink>
    </w:p>
    <w:p w14:paraId="77426606" w14:textId="343875E0" w:rsidR="002D62B3" w:rsidRDefault="00000000">
      <w:pPr>
        <w:pStyle w:val="TableofFigures"/>
        <w:tabs>
          <w:tab w:val="right" w:leader="dot" w:pos="9017"/>
        </w:tabs>
        <w:rPr>
          <w:rFonts w:asciiTheme="minorHAnsi" w:hAnsiTheme="minorHAnsi" w:cstheme="minorBidi"/>
          <w:noProof/>
          <w:lang w:eastAsia="en-US"/>
        </w:rPr>
      </w:pPr>
      <w:hyperlink w:anchor="_Toc133499634" w:history="1">
        <w:r w:rsidR="002D62B3" w:rsidRPr="009D3DC7">
          <w:rPr>
            <w:rStyle w:val="Hyperlink"/>
            <w:noProof/>
          </w:rPr>
          <w:t>Tabela 11.1.15 Podaci o perspektivnoj i neperspektivnoj imovini</w:t>
        </w:r>
        <w:r w:rsidR="002D62B3">
          <w:rPr>
            <w:noProof/>
            <w:webHidden/>
          </w:rPr>
          <w:tab/>
        </w:r>
        <w:r w:rsidR="002D62B3">
          <w:rPr>
            <w:noProof/>
            <w:webHidden/>
          </w:rPr>
          <w:fldChar w:fldCharType="begin"/>
        </w:r>
        <w:r w:rsidR="002D62B3">
          <w:rPr>
            <w:noProof/>
            <w:webHidden/>
          </w:rPr>
          <w:instrText xml:space="preserve"> PAGEREF _Toc133499634 \h </w:instrText>
        </w:r>
        <w:r w:rsidR="002D62B3">
          <w:rPr>
            <w:noProof/>
            <w:webHidden/>
          </w:rPr>
        </w:r>
        <w:r w:rsidR="002D62B3">
          <w:rPr>
            <w:noProof/>
            <w:webHidden/>
          </w:rPr>
          <w:fldChar w:fldCharType="separate"/>
        </w:r>
        <w:r w:rsidR="00CD40A2">
          <w:rPr>
            <w:noProof/>
            <w:webHidden/>
          </w:rPr>
          <w:t>143</w:t>
        </w:r>
        <w:r w:rsidR="002D62B3">
          <w:rPr>
            <w:noProof/>
            <w:webHidden/>
          </w:rPr>
          <w:fldChar w:fldCharType="end"/>
        </w:r>
      </w:hyperlink>
    </w:p>
    <w:p w14:paraId="4950FC40" w14:textId="7E1D8F58" w:rsidR="002D62B3" w:rsidRDefault="00000000">
      <w:pPr>
        <w:pStyle w:val="TableofFigures"/>
        <w:tabs>
          <w:tab w:val="right" w:leader="dot" w:pos="9017"/>
        </w:tabs>
        <w:rPr>
          <w:rFonts w:asciiTheme="minorHAnsi" w:hAnsiTheme="minorHAnsi" w:cstheme="minorBidi"/>
          <w:noProof/>
          <w:lang w:eastAsia="en-US"/>
        </w:rPr>
      </w:pPr>
      <w:hyperlink w:anchor="_Toc133499635" w:history="1">
        <w:r w:rsidR="002D62B3" w:rsidRPr="009D3DC7">
          <w:rPr>
            <w:rStyle w:val="Hyperlink"/>
            <w:noProof/>
          </w:rPr>
          <w:t>Tabela 11.1.16 Broj individualnih stambenih zgrada koje imaju status nelegalno izgrađenih zgrada u FBiH</w:t>
        </w:r>
        <w:r w:rsidR="002D62B3">
          <w:rPr>
            <w:noProof/>
            <w:webHidden/>
          </w:rPr>
          <w:tab/>
        </w:r>
        <w:r w:rsidR="002D62B3">
          <w:rPr>
            <w:noProof/>
            <w:webHidden/>
          </w:rPr>
          <w:fldChar w:fldCharType="begin"/>
        </w:r>
        <w:r w:rsidR="002D62B3">
          <w:rPr>
            <w:noProof/>
            <w:webHidden/>
          </w:rPr>
          <w:instrText xml:space="preserve"> PAGEREF _Toc133499635 \h </w:instrText>
        </w:r>
        <w:r w:rsidR="002D62B3">
          <w:rPr>
            <w:noProof/>
            <w:webHidden/>
          </w:rPr>
        </w:r>
        <w:r w:rsidR="002D62B3">
          <w:rPr>
            <w:noProof/>
            <w:webHidden/>
          </w:rPr>
          <w:fldChar w:fldCharType="separate"/>
        </w:r>
        <w:r w:rsidR="00CD40A2">
          <w:rPr>
            <w:noProof/>
            <w:webHidden/>
          </w:rPr>
          <w:t>144</w:t>
        </w:r>
        <w:r w:rsidR="002D62B3">
          <w:rPr>
            <w:noProof/>
            <w:webHidden/>
          </w:rPr>
          <w:fldChar w:fldCharType="end"/>
        </w:r>
      </w:hyperlink>
    </w:p>
    <w:p w14:paraId="42E9F7B2" w14:textId="17B3831B" w:rsidR="002D62B3" w:rsidRDefault="00000000">
      <w:pPr>
        <w:pStyle w:val="TableofFigures"/>
        <w:tabs>
          <w:tab w:val="right" w:leader="dot" w:pos="9017"/>
        </w:tabs>
        <w:rPr>
          <w:rFonts w:asciiTheme="minorHAnsi" w:hAnsiTheme="minorHAnsi" w:cstheme="minorBidi"/>
          <w:noProof/>
          <w:lang w:eastAsia="en-US"/>
        </w:rPr>
      </w:pPr>
      <w:hyperlink w:anchor="_Toc133499636" w:history="1">
        <w:r w:rsidR="002D62B3" w:rsidRPr="009D3DC7">
          <w:rPr>
            <w:rStyle w:val="Hyperlink"/>
            <w:noProof/>
          </w:rPr>
          <w:t>Tabela 11.1.17 SWOT analiza sektora zgradarstva u FBiH</w:t>
        </w:r>
        <w:r w:rsidR="002D62B3">
          <w:rPr>
            <w:noProof/>
            <w:webHidden/>
          </w:rPr>
          <w:tab/>
        </w:r>
        <w:r w:rsidR="002D62B3">
          <w:rPr>
            <w:noProof/>
            <w:webHidden/>
          </w:rPr>
          <w:fldChar w:fldCharType="begin"/>
        </w:r>
        <w:r w:rsidR="002D62B3">
          <w:rPr>
            <w:noProof/>
            <w:webHidden/>
          </w:rPr>
          <w:instrText xml:space="preserve"> PAGEREF _Toc133499636 \h </w:instrText>
        </w:r>
        <w:r w:rsidR="002D62B3">
          <w:rPr>
            <w:noProof/>
            <w:webHidden/>
          </w:rPr>
        </w:r>
        <w:r w:rsidR="002D62B3">
          <w:rPr>
            <w:noProof/>
            <w:webHidden/>
          </w:rPr>
          <w:fldChar w:fldCharType="separate"/>
        </w:r>
        <w:r w:rsidR="00CD40A2">
          <w:rPr>
            <w:noProof/>
            <w:webHidden/>
          </w:rPr>
          <w:t>145</w:t>
        </w:r>
        <w:r w:rsidR="002D62B3">
          <w:rPr>
            <w:noProof/>
            <w:webHidden/>
          </w:rPr>
          <w:fldChar w:fldCharType="end"/>
        </w:r>
      </w:hyperlink>
    </w:p>
    <w:p w14:paraId="24D03657" w14:textId="59C49917" w:rsidR="002D62B3" w:rsidRDefault="00000000">
      <w:pPr>
        <w:pStyle w:val="TableofFigures"/>
        <w:tabs>
          <w:tab w:val="right" w:leader="dot" w:pos="9017"/>
        </w:tabs>
        <w:rPr>
          <w:rFonts w:asciiTheme="minorHAnsi" w:hAnsiTheme="minorHAnsi" w:cstheme="minorBidi"/>
          <w:noProof/>
          <w:lang w:eastAsia="en-US"/>
        </w:rPr>
      </w:pPr>
      <w:hyperlink w:anchor="_Toc133499637" w:history="1">
        <w:r w:rsidR="002D62B3" w:rsidRPr="009D3DC7">
          <w:rPr>
            <w:rStyle w:val="Hyperlink"/>
            <w:noProof/>
          </w:rPr>
          <w:t>Tabela 11.1.18 Strateški pravci u svrhu obnove zgrada u FBiH</w:t>
        </w:r>
        <w:r w:rsidR="002D62B3">
          <w:rPr>
            <w:noProof/>
            <w:webHidden/>
          </w:rPr>
          <w:tab/>
        </w:r>
        <w:r w:rsidR="002D62B3">
          <w:rPr>
            <w:noProof/>
            <w:webHidden/>
          </w:rPr>
          <w:fldChar w:fldCharType="begin"/>
        </w:r>
        <w:r w:rsidR="002D62B3">
          <w:rPr>
            <w:noProof/>
            <w:webHidden/>
          </w:rPr>
          <w:instrText xml:space="preserve"> PAGEREF _Toc133499637 \h </w:instrText>
        </w:r>
        <w:r w:rsidR="002D62B3">
          <w:rPr>
            <w:noProof/>
            <w:webHidden/>
          </w:rPr>
        </w:r>
        <w:r w:rsidR="002D62B3">
          <w:rPr>
            <w:noProof/>
            <w:webHidden/>
          </w:rPr>
          <w:fldChar w:fldCharType="separate"/>
        </w:r>
        <w:r w:rsidR="00CD40A2">
          <w:rPr>
            <w:noProof/>
            <w:webHidden/>
          </w:rPr>
          <w:t>148</w:t>
        </w:r>
        <w:r w:rsidR="002D62B3">
          <w:rPr>
            <w:noProof/>
            <w:webHidden/>
          </w:rPr>
          <w:fldChar w:fldCharType="end"/>
        </w:r>
      </w:hyperlink>
    </w:p>
    <w:p w14:paraId="62C176CE" w14:textId="1E44AF2A" w:rsidR="002D62B3" w:rsidRDefault="00000000">
      <w:pPr>
        <w:pStyle w:val="TableofFigures"/>
        <w:tabs>
          <w:tab w:val="right" w:leader="dot" w:pos="9017"/>
        </w:tabs>
        <w:rPr>
          <w:rFonts w:asciiTheme="minorHAnsi" w:hAnsiTheme="minorHAnsi" w:cstheme="minorBidi"/>
          <w:noProof/>
          <w:lang w:eastAsia="en-US"/>
        </w:rPr>
      </w:pPr>
      <w:hyperlink w:anchor="_Toc133499638" w:history="1">
        <w:r w:rsidR="002D62B3" w:rsidRPr="009D3DC7">
          <w:rPr>
            <w:rStyle w:val="Hyperlink"/>
            <w:noProof/>
          </w:rPr>
          <w:t>Tabela 11.1.19 Strateški cilj za postizanje energijski visokoefikasanog, dekarboniziranog i održivog sektora zgradarstva u FBiH, s ciljem zaštite zdravlja i poboljšanja kvalitete života svih građana, te njihovog ekonomskog prosperiteta</w:t>
        </w:r>
        <w:r w:rsidR="002D62B3">
          <w:rPr>
            <w:noProof/>
            <w:webHidden/>
          </w:rPr>
          <w:tab/>
        </w:r>
        <w:r w:rsidR="002D62B3">
          <w:rPr>
            <w:noProof/>
            <w:webHidden/>
          </w:rPr>
          <w:fldChar w:fldCharType="begin"/>
        </w:r>
        <w:r w:rsidR="002D62B3">
          <w:rPr>
            <w:noProof/>
            <w:webHidden/>
          </w:rPr>
          <w:instrText xml:space="preserve"> PAGEREF _Toc133499638 \h </w:instrText>
        </w:r>
        <w:r w:rsidR="002D62B3">
          <w:rPr>
            <w:noProof/>
            <w:webHidden/>
          </w:rPr>
        </w:r>
        <w:r w:rsidR="002D62B3">
          <w:rPr>
            <w:noProof/>
            <w:webHidden/>
          </w:rPr>
          <w:fldChar w:fldCharType="separate"/>
        </w:r>
        <w:r w:rsidR="00CD40A2">
          <w:rPr>
            <w:noProof/>
            <w:webHidden/>
          </w:rPr>
          <w:t>150</w:t>
        </w:r>
        <w:r w:rsidR="002D62B3">
          <w:rPr>
            <w:noProof/>
            <w:webHidden/>
          </w:rPr>
          <w:fldChar w:fldCharType="end"/>
        </w:r>
      </w:hyperlink>
    </w:p>
    <w:p w14:paraId="3D66083A" w14:textId="60A0565B" w:rsidR="002D62B3" w:rsidRDefault="00000000" w:rsidP="002D62B3">
      <w:pPr>
        <w:pStyle w:val="TableofFigures"/>
        <w:tabs>
          <w:tab w:val="right" w:leader="dot" w:pos="9017"/>
        </w:tabs>
        <w:rPr>
          <w:noProof/>
        </w:rPr>
      </w:pPr>
      <w:hyperlink w:anchor="_Toc133499639" w:history="1">
        <w:r w:rsidR="002D62B3" w:rsidRPr="009D3DC7">
          <w:rPr>
            <w:rStyle w:val="Hyperlink"/>
            <w:noProof/>
          </w:rPr>
          <w:t>Tabela 11.1.20 Strateški cilj i indikatori uticaja</w:t>
        </w:r>
        <w:r w:rsidR="002D62B3">
          <w:rPr>
            <w:noProof/>
            <w:webHidden/>
          </w:rPr>
          <w:tab/>
        </w:r>
        <w:r w:rsidR="002D62B3">
          <w:rPr>
            <w:noProof/>
            <w:webHidden/>
          </w:rPr>
          <w:fldChar w:fldCharType="begin"/>
        </w:r>
        <w:r w:rsidR="002D62B3">
          <w:rPr>
            <w:noProof/>
            <w:webHidden/>
          </w:rPr>
          <w:instrText xml:space="preserve"> PAGEREF _Toc133499639 \h </w:instrText>
        </w:r>
        <w:r w:rsidR="002D62B3">
          <w:rPr>
            <w:noProof/>
            <w:webHidden/>
          </w:rPr>
        </w:r>
        <w:r w:rsidR="002D62B3">
          <w:rPr>
            <w:noProof/>
            <w:webHidden/>
          </w:rPr>
          <w:fldChar w:fldCharType="separate"/>
        </w:r>
        <w:r w:rsidR="00CD40A2">
          <w:rPr>
            <w:noProof/>
            <w:webHidden/>
          </w:rPr>
          <w:t>152</w:t>
        </w:r>
        <w:r w:rsidR="002D62B3">
          <w:rPr>
            <w:noProof/>
            <w:webHidden/>
          </w:rPr>
          <w:fldChar w:fldCharType="end"/>
        </w:r>
      </w:hyperlink>
      <w:r w:rsidR="002D62B3">
        <w:rPr>
          <w:lang w:val="bs-Latn-BA"/>
        </w:rPr>
        <w:fldChar w:fldCharType="end"/>
      </w:r>
      <w:r w:rsidR="002D62B3">
        <w:rPr>
          <w:lang w:val="bs-Latn-BA"/>
        </w:rPr>
        <w:fldChar w:fldCharType="begin"/>
      </w:r>
      <w:r w:rsidR="002D62B3">
        <w:rPr>
          <w:lang w:val="bs-Latn-BA"/>
        </w:rPr>
        <w:instrText xml:space="preserve"> TOC \h \z \c "Tabela 11.2." </w:instrText>
      </w:r>
      <w:r w:rsidR="002D62B3">
        <w:rPr>
          <w:lang w:val="bs-Latn-BA"/>
        </w:rPr>
        <w:fldChar w:fldCharType="separate"/>
      </w:r>
    </w:p>
    <w:p w14:paraId="0E56758A" w14:textId="291514D7" w:rsidR="002D62B3" w:rsidRDefault="00000000">
      <w:pPr>
        <w:pStyle w:val="TableofFigures"/>
        <w:tabs>
          <w:tab w:val="right" w:leader="dot" w:pos="9017"/>
        </w:tabs>
        <w:rPr>
          <w:rFonts w:asciiTheme="minorHAnsi" w:hAnsiTheme="minorHAnsi" w:cstheme="minorBidi"/>
          <w:noProof/>
          <w:lang w:eastAsia="en-US"/>
        </w:rPr>
      </w:pPr>
      <w:hyperlink w:anchor="_Toc133499640" w:history="1">
        <w:r w:rsidR="002D62B3" w:rsidRPr="0093264B">
          <w:rPr>
            <w:rStyle w:val="Hyperlink"/>
            <w:noProof/>
          </w:rPr>
          <w:t>Tabela 11.2.1 Postojeće i ciljne karakteristike stambenog fonda zgrada FBiH (godišnja obnova 0,8 % korisne grijane površine)</w:t>
        </w:r>
        <w:r w:rsidR="002D62B3">
          <w:rPr>
            <w:noProof/>
            <w:webHidden/>
          </w:rPr>
          <w:tab/>
        </w:r>
        <w:r w:rsidR="002D62B3">
          <w:rPr>
            <w:noProof/>
            <w:webHidden/>
          </w:rPr>
          <w:fldChar w:fldCharType="begin"/>
        </w:r>
        <w:r w:rsidR="002D62B3">
          <w:rPr>
            <w:noProof/>
            <w:webHidden/>
          </w:rPr>
          <w:instrText xml:space="preserve"> PAGEREF _Toc133499640 \h </w:instrText>
        </w:r>
        <w:r w:rsidR="002D62B3">
          <w:rPr>
            <w:noProof/>
            <w:webHidden/>
          </w:rPr>
        </w:r>
        <w:r w:rsidR="002D62B3">
          <w:rPr>
            <w:noProof/>
            <w:webHidden/>
          </w:rPr>
          <w:fldChar w:fldCharType="separate"/>
        </w:r>
        <w:r w:rsidR="00CD40A2">
          <w:rPr>
            <w:noProof/>
            <w:webHidden/>
          </w:rPr>
          <w:t>154</w:t>
        </w:r>
        <w:r w:rsidR="002D62B3">
          <w:rPr>
            <w:noProof/>
            <w:webHidden/>
          </w:rPr>
          <w:fldChar w:fldCharType="end"/>
        </w:r>
      </w:hyperlink>
    </w:p>
    <w:p w14:paraId="25E7D8CB" w14:textId="46A6932B" w:rsidR="002D62B3" w:rsidRDefault="00000000">
      <w:pPr>
        <w:pStyle w:val="TableofFigures"/>
        <w:tabs>
          <w:tab w:val="right" w:leader="dot" w:pos="9017"/>
        </w:tabs>
        <w:rPr>
          <w:rFonts w:asciiTheme="minorHAnsi" w:hAnsiTheme="minorHAnsi" w:cstheme="minorBidi"/>
          <w:noProof/>
          <w:lang w:eastAsia="en-US"/>
        </w:rPr>
      </w:pPr>
      <w:hyperlink w:anchor="_Toc133499641" w:history="1">
        <w:r w:rsidR="002D62B3" w:rsidRPr="0093264B">
          <w:rPr>
            <w:rStyle w:val="Hyperlink"/>
            <w:noProof/>
          </w:rPr>
          <w:t xml:space="preserve">Tabela 11.2.2 </w:t>
        </w:r>
        <w:r w:rsidR="002D62B3" w:rsidRPr="0093264B">
          <w:rPr>
            <w:rStyle w:val="Hyperlink"/>
            <w:rFonts w:eastAsia="Calibri"/>
            <w:noProof/>
          </w:rPr>
          <w:t>Postojeće i ciljne karakteristike stambenog fonda zgrada FBiH (godišnja obnova 1,0 % korisne grijane površine)</w:t>
        </w:r>
        <w:r w:rsidR="002D62B3">
          <w:rPr>
            <w:noProof/>
            <w:webHidden/>
          </w:rPr>
          <w:tab/>
        </w:r>
        <w:r w:rsidR="002D62B3">
          <w:rPr>
            <w:noProof/>
            <w:webHidden/>
          </w:rPr>
          <w:fldChar w:fldCharType="begin"/>
        </w:r>
        <w:r w:rsidR="002D62B3">
          <w:rPr>
            <w:noProof/>
            <w:webHidden/>
          </w:rPr>
          <w:instrText xml:space="preserve"> PAGEREF _Toc133499641 \h </w:instrText>
        </w:r>
        <w:r w:rsidR="002D62B3">
          <w:rPr>
            <w:noProof/>
            <w:webHidden/>
          </w:rPr>
        </w:r>
        <w:r w:rsidR="002D62B3">
          <w:rPr>
            <w:noProof/>
            <w:webHidden/>
          </w:rPr>
          <w:fldChar w:fldCharType="separate"/>
        </w:r>
        <w:r w:rsidR="00CD40A2">
          <w:rPr>
            <w:noProof/>
            <w:webHidden/>
          </w:rPr>
          <w:t>154</w:t>
        </w:r>
        <w:r w:rsidR="002D62B3">
          <w:rPr>
            <w:noProof/>
            <w:webHidden/>
          </w:rPr>
          <w:fldChar w:fldCharType="end"/>
        </w:r>
      </w:hyperlink>
    </w:p>
    <w:p w14:paraId="4A74BD49" w14:textId="581E30F0" w:rsidR="002D62B3" w:rsidRDefault="00000000">
      <w:pPr>
        <w:pStyle w:val="TableofFigures"/>
        <w:tabs>
          <w:tab w:val="right" w:leader="dot" w:pos="9017"/>
        </w:tabs>
        <w:rPr>
          <w:rFonts w:asciiTheme="minorHAnsi" w:hAnsiTheme="minorHAnsi" w:cstheme="minorBidi"/>
          <w:noProof/>
          <w:lang w:eastAsia="en-US"/>
        </w:rPr>
      </w:pPr>
      <w:hyperlink w:anchor="_Toc133499642" w:history="1">
        <w:r w:rsidR="002D62B3" w:rsidRPr="0093264B">
          <w:rPr>
            <w:rStyle w:val="Hyperlink"/>
            <w:noProof/>
          </w:rPr>
          <w:t xml:space="preserve">Tabela 11.2.3 </w:t>
        </w:r>
        <w:r w:rsidR="002D62B3" w:rsidRPr="0093264B">
          <w:rPr>
            <w:rStyle w:val="Hyperlink"/>
            <w:rFonts w:eastAsia="Calibri"/>
            <w:noProof/>
          </w:rPr>
          <w:t>Postojeće i ciljne karakteristike stambenog fonda zgrada FBiH (godišnja obnova 1,5 % korisne grijane površine)</w:t>
        </w:r>
        <w:r w:rsidR="002D62B3">
          <w:rPr>
            <w:noProof/>
            <w:webHidden/>
          </w:rPr>
          <w:tab/>
        </w:r>
        <w:r w:rsidR="002D62B3">
          <w:rPr>
            <w:noProof/>
            <w:webHidden/>
          </w:rPr>
          <w:fldChar w:fldCharType="begin"/>
        </w:r>
        <w:r w:rsidR="002D62B3">
          <w:rPr>
            <w:noProof/>
            <w:webHidden/>
          </w:rPr>
          <w:instrText xml:space="preserve"> PAGEREF _Toc133499642 \h </w:instrText>
        </w:r>
        <w:r w:rsidR="002D62B3">
          <w:rPr>
            <w:noProof/>
            <w:webHidden/>
          </w:rPr>
        </w:r>
        <w:r w:rsidR="002D62B3">
          <w:rPr>
            <w:noProof/>
            <w:webHidden/>
          </w:rPr>
          <w:fldChar w:fldCharType="separate"/>
        </w:r>
        <w:r w:rsidR="00CD40A2">
          <w:rPr>
            <w:noProof/>
            <w:webHidden/>
          </w:rPr>
          <w:t>154</w:t>
        </w:r>
        <w:r w:rsidR="002D62B3">
          <w:rPr>
            <w:noProof/>
            <w:webHidden/>
          </w:rPr>
          <w:fldChar w:fldCharType="end"/>
        </w:r>
      </w:hyperlink>
    </w:p>
    <w:p w14:paraId="7B8E75AE" w14:textId="7E9884EB" w:rsidR="002D62B3" w:rsidRDefault="00000000">
      <w:pPr>
        <w:pStyle w:val="TableofFigures"/>
        <w:tabs>
          <w:tab w:val="right" w:leader="dot" w:pos="9017"/>
        </w:tabs>
        <w:rPr>
          <w:rFonts w:asciiTheme="minorHAnsi" w:hAnsiTheme="minorHAnsi" w:cstheme="minorBidi"/>
          <w:noProof/>
          <w:lang w:eastAsia="en-US"/>
        </w:rPr>
      </w:pPr>
      <w:hyperlink w:anchor="_Toc133499643" w:history="1">
        <w:r w:rsidR="002D62B3" w:rsidRPr="0093264B">
          <w:rPr>
            <w:rStyle w:val="Hyperlink"/>
            <w:noProof/>
          </w:rPr>
          <w:t xml:space="preserve">Tabela 11.2.4 </w:t>
        </w:r>
        <w:r w:rsidR="002D62B3" w:rsidRPr="0093264B">
          <w:rPr>
            <w:rStyle w:val="Hyperlink"/>
            <w:rFonts w:eastAsia="Calibri"/>
            <w:noProof/>
          </w:rPr>
          <w:t>Troškovi energijske obnove stambenog fonda zgrada FBiH</w:t>
        </w:r>
        <w:r w:rsidR="002D62B3">
          <w:rPr>
            <w:noProof/>
            <w:webHidden/>
          </w:rPr>
          <w:tab/>
        </w:r>
        <w:r w:rsidR="002D62B3">
          <w:rPr>
            <w:noProof/>
            <w:webHidden/>
          </w:rPr>
          <w:fldChar w:fldCharType="begin"/>
        </w:r>
        <w:r w:rsidR="002D62B3">
          <w:rPr>
            <w:noProof/>
            <w:webHidden/>
          </w:rPr>
          <w:instrText xml:space="preserve"> PAGEREF _Toc133499643 \h </w:instrText>
        </w:r>
        <w:r w:rsidR="002D62B3">
          <w:rPr>
            <w:noProof/>
            <w:webHidden/>
          </w:rPr>
        </w:r>
        <w:r w:rsidR="002D62B3">
          <w:rPr>
            <w:noProof/>
            <w:webHidden/>
          </w:rPr>
          <w:fldChar w:fldCharType="separate"/>
        </w:r>
        <w:r w:rsidR="00CD40A2">
          <w:rPr>
            <w:noProof/>
            <w:webHidden/>
          </w:rPr>
          <w:t>155</w:t>
        </w:r>
        <w:r w:rsidR="002D62B3">
          <w:rPr>
            <w:noProof/>
            <w:webHidden/>
          </w:rPr>
          <w:fldChar w:fldCharType="end"/>
        </w:r>
      </w:hyperlink>
    </w:p>
    <w:p w14:paraId="23457E16" w14:textId="797E6412" w:rsidR="002D62B3" w:rsidRDefault="00000000">
      <w:pPr>
        <w:pStyle w:val="TableofFigures"/>
        <w:tabs>
          <w:tab w:val="right" w:leader="dot" w:pos="9017"/>
        </w:tabs>
        <w:rPr>
          <w:rFonts w:asciiTheme="minorHAnsi" w:hAnsiTheme="minorHAnsi" w:cstheme="minorBidi"/>
          <w:noProof/>
          <w:lang w:eastAsia="en-US"/>
        </w:rPr>
      </w:pPr>
      <w:hyperlink w:anchor="_Toc133499644" w:history="1">
        <w:r w:rsidR="002D62B3" w:rsidRPr="0093264B">
          <w:rPr>
            <w:rStyle w:val="Hyperlink"/>
            <w:noProof/>
          </w:rPr>
          <w:t xml:space="preserve">Tabela 11.2.5 </w:t>
        </w:r>
        <w:r w:rsidR="002D62B3" w:rsidRPr="0093264B">
          <w:rPr>
            <w:rStyle w:val="Hyperlink"/>
            <w:rFonts w:eastAsia="Calibri"/>
            <w:noProof/>
          </w:rPr>
          <w:t>Postojeće i ciljne karakteristike fonda javnih zgrada FBiH (godišnja obnova 1,5 % korisne grijane površine)</w:t>
        </w:r>
        <w:r w:rsidR="002D62B3">
          <w:rPr>
            <w:noProof/>
            <w:webHidden/>
          </w:rPr>
          <w:tab/>
        </w:r>
        <w:r w:rsidR="002D62B3">
          <w:rPr>
            <w:noProof/>
            <w:webHidden/>
          </w:rPr>
          <w:fldChar w:fldCharType="begin"/>
        </w:r>
        <w:r w:rsidR="002D62B3">
          <w:rPr>
            <w:noProof/>
            <w:webHidden/>
          </w:rPr>
          <w:instrText xml:space="preserve"> PAGEREF _Toc133499644 \h </w:instrText>
        </w:r>
        <w:r w:rsidR="002D62B3">
          <w:rPr>
            <w:noProof/>
            <w:webHidden/>
          </w:rPr>
        </w:r>
        <w:r w:rsidR="002D62B3">
          <w:rPr>
            <w:noProof/>
            <w:webHidden/>
          </w:rPr>
          <w:fldChar w:fldCharType="separate"/>
        </w:r>
        <w:r w:rsidR="00CD40A2">
          <w:rPr>
            <w:noProof/>
            <w:webHidden/>
          </w:rPr>
          <w:t>156</w:t>
        </w:r>
        <w:r w:rsidR="002D62B3">
          <w:rPr>
            <w:noProof/>
            <w:webHidden/>
          </w:rPr>
          <w:fldChar w:fldCharType="end"/>
        </w:r>
      </w:hyperlink>
    </w:p>
    <w:p w14:paraId="3C02DECB" w14:textId="6304C145" w:rsidR="002D62B3" w:rsidRDefault="00000000">
      <w:pPr>
        <w:pStyle w:val="TableofFigures"/>
        <w:tabs>
          <w:tab w:val="right" w:leader="dot" w:pos="9017"/>
        </w:tabs>
        <w:rPr>
          <w:rFonts w:asciiTheme="minorHAnsi" w:hAnsiTheme="minorHAnsi" w:cstheme="minorBidi"/>
          <w:noProof/>
          <w:lang w:eastAsia="en-US"/>
        </w:rPr>
      </w:pPr>
      <w:hyperlink w:anchor="_Toc133499645" w:history="1">
        <w:r w:rsidR="002D62B3" w:rsidRPr="0093264B">
          <w:rPr>
            <w:rStyle w:val="Hyperlink"/>
            <w:noProof/>
          </w:rPr>
          <w:t xml:space="preserve">Tabela 11.2.6 </w:t>
        </w:r>
        <w:r w:rsidR="002D62B3" w:rsidRPr="0093264B">
          <w:rPr>
            <w:rStyle w:val="Hyperlink"/>
            <w:rFonts w:eastAsia="Calibri"/>
            <w:noProof/>
          </w:rPr>
          <w:t>Postojeće i ciljne karakteristike fonda javnih zgrada FBiH (godišnja obnova 2,0 % korisne grijane površine)</w:t>
        </w:r>
        <w:r w:rsidR="002D62B3">
          <w:rPr>
            <w:noProof/>
            <w:webHidden/>
          </w:rPr>
          <w:tab/>
        </w:r>
        <w:r w:rsidR="002D62B3">
          <w:rPr>
            <w:noProof/>
            <w:webHidden/>
          </w:rPr>
          <w:fldChar w:fldCharType="begin"/>
        </w:r>
        <w:r w:rsidR="002D62B3">
          <w:rPr>
            <w:noProof/>
            <w:webHidden/>
          </w:rPr>
          <w:instrText xml:space="preserve"> PAGEREF _Toc133499645 \h </w:instrText>
        </w:r>
        <w:r w:rsidR="002D62B3">
          <w:rPr>
            <w:noProof/>
            <w:webHidden/>
          </w:rPr>
        </w:r>
        <w:r w:rsidR="002D62B3">
          <w:rPr>
            <w:noProof/>
            <w:webHidden/>
          </w:rPr>
          <w:fldChar w:fldCharType="separate"/>
        </w:r>
        <w:r w:rsidR="00CD40A2">
          <w:rPr>
            <w:noProof/>
            <w:webHidden/>
          </w:rPr>
          <w:t>156</w:t>
        </w:r>
        <w:r w:rsidR="002D62B3">
          <w:rPr>
            <w:noProof/>
            <w:webHidden/>
          </w:rPr>
          <w:fldChar w:fldCharType="end"/>
        </w:r>
      </w:hyperlink>
    </w:p>
    <w:p w14:paraId="5529F28D" w14:textId="1665F03B" w:rsidR="002D62B3" w:rsidRDefault="00000000">
      <w:pPr>
        <w:pStyle w:val="TableofFigures"/>
        <w:tabs>
          <w:tab w:val="right" w:leader="dot" w:pos="9017"/>
        </w:tabs>
        <w:rPr>
          <w:rFonts w:asciiTheme="minorHAnsi" w:hAnsiTheme="minorHAnsi" w:cstheme="minorBidi"/>
          <w:noProof/>
          <w:lang w:eastAsia="en-US"/>
        </w:rPr>
      </w:pPr>
      <w:hyperlink w:anchor="_Toc133499646" w:history="1">
        <w:r w:rsidR="002D62B3" w:rsidRPr="0093264B">
          <w:rPr>
            <w:rStyle w:val="Hyperlink"/>
            <w:noProof/>
          </w:rPr>
          <w:t xml:space="preserve">Tabela 11.2.7 </w:t>
        </w:r>
        <w:r w:rsidR="002D62B3" w:rsidRPr="0093264B">
          <w:rPr>
            <w:rStyle w:val="Hyperlink"/>
            <w:rFonts w:eastAsia="Calibri"/>
            <w:noProof/>
          </w:rPr>
          <w:t>Postojeće i ciljne karakteristike fonda javnih zgrada FBiH (godišnja obnova 2,5 % korisne grijane površine)</w:t>
        </w:r>
        <w:r w:rsidR="002D62B3">
          <w:rPr>
            <w:noProof/>
            <w:webHidden/>
          </w:rPr>
          <w:tab/>
        </w:r>
        <w:r w:rsidR="002D62B3">
          <w:rPr>
            <w:noProof/>
            <w:webHidden/>
          </w:rPr>
          <w:fldChar w:fldCharType="begin"/>
        </w:r>
        <w:r w:rsidR="002D62B3">
          <w:rPr>
            <w:noProof/>
            <w:webHidden/>
          </w:rPr>
          <w:instrText xml:space="preserve"> PAGEREF _Toc133499646 \h </w:instrText>
        </w:r>
        <w:r w:rsidR="002D62B3">
          <w:rPr>
            <w:noProof/>
            <w:webHidden/>
          </w:rPr>
        </w:r>
        <w:r w:rsidR="002D62B3">
          <w:rPr>
            <w:noProof/>
            <w:webHidden/>
          </w:rPr>
          <w:fldChar w:fldCharType="separate"/>
        </w:r>
        <w:r w:rsidR="00CD40A2">
          <w:rPr>
            <w:noProof/>
            <w:webHidden/>
          </w:rPr>
          <w:t>156</w:t>
        </w:r>
        <w:r w:rsidR="002D62B3">
          <w:rPr>
            <w:noProof/>
            <w:webHidden/>
          </w:rPr>
          <w:fldChar w:fldCharType="end"/>
        </w:r>
      </w:hyperlink>
    </w:p>
    <w:p w14:paraId="454AFF23" w14:textId="3FC84693" w:rsidR="002D62B3" w:rsidRDefault="00000000">
      <w:pPr>
        <w:pStyle w:val="TableofFigures"/>
        <w:tabs>
          <w:tab w:val="right" w:leader="dot" w:pos="9017"/>
        </w:tabs>
        <w:rPr>
          <w:rFonts w:asciiTheme="minorHAnsi" w:hAnsiTheme="minorHAnsi" w:cstheme="minorBidi"/>
          <w:noProof/>
          <w:lang w:eastAsia="en-US"/>
        </w:rPr>
      </w:pPr>
      <w:hyperlink w:anchor="_Toc133499647" w:history="1">
        <w:r w:rsidR="002D62B3" w:rsidRPr="0093264B">
          <w:rPr>
            <w:rStyle w:val="Hyperlink"/>
            <w:noProof/>
          </w:rPr>
          <w:t xml:space="preserve">Tabela 11.2.8 </w:t>
        </w:r>
        <w:r w:rsidR="002D62B3" w:rsidRPr="0093264B">
          <w:rPr>
            <w:rStyle w:val="Hyperlink"/>
            <w:rFonts w:eastAsia="Calibri"/>
            <w:noProof/>
          </w:rPr>
          <w:t>Troškovi energijske obnove fonda javnih zgrada FBiH</w:t>
        </w:r>
        <w:r w:rsidR="002D62B3">
          <w:rPr>
            <w:noProof/>
            <w:webHidden/>
          </w:rPr>
          <w:tab/>
        </w:r>
        <w:r w:rsidR="002D62B3">
          <w:rPr>
            <w:noProof/>
            <w:webHidden/>
          </w:rPr>
          <w:fldChar w:fldCharType="begin"/>
        </w:r>
        <w:r w:rsidR="002D62B3">
          <w:rPr>
            <w:noProof/>
            <w:webHidden/>
          </w:rPr>
          <w:instrText xml:space="preserve"> PAGEREF _Toc133499647 \h </w:instrText>
        </w:r>
        <w:r w:rsidR="002D62B3">
          <w:rPr>
            <w:noProof/>
            <w:webHidden/>
          </w:rPr>
        </w:r>
        <w:r w:rsidR="002D62B3">
          <w:rPr>
            <w:noProof/>
            <w:webHidden/>
          </w:rPr>
          <w:fldChar w:fldCharType="separate"/>
        </w:r>
        <w:r w:rsidR="00CD40A2">
          <w:rPr>
            <w:noProof/>
            <w:webHidden/>
          </w:rPr>
          <w:t>157</w:t>
        </w:r>
        <w:r w:rsidR="002D62B3">
          <w:rPr>
            <w:noProof/>
            <w:webHidden/>
          </w:rPr>
          <w:fldChar w:fldCharType="end"/>
        </w:r>
      </w:hyperlink>
    </w:p>
    <w:p w14:paraId="2DE97D05" w14:textId="01FF622D" w:rsidR="00A368AD" w:rsidRDefault="002D62B3">
      <w:pPr>
        <w:keepNext/>
        <w:keepLines/>
        <w:pBdr>
          <w:top w:val="nil"/>
          <w:left w:val="nil"/>
          <w:bottom w:val="nil"/>
          <w:right w:val="nil"/>
          <w:between w:val="nil"/>
        </w:pBdr>
        <w:spacing w:before="360" w:after="360" w:line="276" w:lineRule="auto"/>
        <w:jc w:val="left"/>
        <w:rPr>
          <w:lang w:val="bs-Latn-BA"/>
        </w:rPr>
      </w:pPr>
      <w:r>
        <w:rPr>
          <w:lang w:val="bs-Latn-BA"/>
        </w:rPr>
        <w:fldChar w:fldCharType="end"/>
      </w:r>
    </w:p>
    <w:p w14:paraId="27D3199C" w14:textId="77777777" w:rsidR="00A368AD" w:rsidRDefault="00A368AD">
      <w:pPr>
        <w:rPr>
          <w:lang w:val="bs-Latn-BA"/>
        </w:rPr>
      </w:pPr>
      <w:r>
        <w:rPr>
          <w:lang w:val="bs-Latn-BA"/>
        </w:rPr>
        <w:br w:type="page"/>
      </w:r>
    </w:p>
    <w:p w14:paraId="716DEA87" w14:textId="77777777" w:rsidR="00055321" w:rsidRPr="008924E0" w:rsidRDefault="00740D4F" w:rsidP="00A53220">
      <w:pPr>
        <w:keepNext/>
        <w:keepLines/>
        <w:pBdr>
          <w:top w:val="nil"/>
          <w:left w:val="nil"/>
          <w:bottom w:val="nil"/>
          <w:right w:val="nil"/>
          <w:between w:val="nil"/>
        </w:pBdr>
        <w:spacing w:before="360" w:after="360" w:line="276" w:lineRule="auto"/>
        <w:jc w:val="left"/>
        <w:rPr>
          <w:rFonts w:ascii="Arial" w:eastAsia="Arial" w:hAnsi="Arial" w:cs="Arial"/>
          <w:b/>
          <w:color w:val="005837"/>
          <w:sz w:val="28"/>
          <w:szCs w:val="28"/>
          <w:lang w:val="bs-Latn-BA"/>
        </w:rPr>
      </w:pPr>
      <w:r w:rsidRPr="008924E0">
        <w:rPr>
          <w:rFonts w:ascii="Arial" w:eastAsia="Arial" w:hAnsi="Arial" w:cs="Arial"/>
          <w:b/>
          <w:color w:val="005837"/>
          <w:sz w:val="28"/>
          <w:szCs w:val="28"/>
          <w:lang w:val="bs-Latn-BA"/>
        </w:rPr>
        <w:lastRenderedPageBreak/>
        <w:t>LISTA SKRAĆENICA</w:t>
      </w:r>
    </w:p>
    <w:tbl>
      <w:tblPr>
        <w:tblStyle w:val="29"/>
        <w:tblW w:w="9027" w:type="dxa"/>
        <w:tblLayout w:type="fixed"/>
        <w:tblCellMar>
          <w:top w:w="29" w:type="dxa"/>
          <w:left w:w="108" w:type="dxa"/>
          <w:bottom w:w="29" w:type="dxa"/>
          <w:right w:w="108" w:type="dxa"/>
        </w:tblCellMar>
        <w:tblLook w:val="0400" w:firstRow="0" w:lastRow="0" w:firstColumn="0" w:lastColumn="0" w:noHBand="0" w:noVBand="1"/>
      </w:tblPr>
      <w:tblGrid>
        <w:gridCol w:w="1377"/>
        <w:gridCol w:w="7650"/>
      </w:tblGrid>
      <w:tr w:rsidR="00055321" w:rsidRPr="00BE553D" w14:paraId="69E1A797" w14:textId="77777777" w:rsidTr="00BE553D">
        <w:trPr>
          <w:trHeight w:val="20"/>
        </w:trPr>
        <w:tc>
          <w:tcPr>
            <w:tcW w:w="1377" w:type="dxa"/>
          </w:tcPr>
          <w:p w14:paraId="20CB2259"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BIH </w:t>
            </w:r>
          </w:p>
        </w:tc>
        <w:tc>
          <w:tcPr>
            <w:tcW w:w="7650" w:type="dxa"/>
          </w:tcPr>
          <w:p w14:paraId="2BF179FD"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Bosna i Hercegovina</w:t>
            </w:r>
          </w:p>
        </w:tc>
      </w:tr>
      <w:tr w:rsidR="00055321" w:rsidRPr="00BE553D" w14:paraId="12E818EB" w14:textId="77777777" w:rsidTr="00BE553D">
        <w:trPr>
          <w:trHeight w:val="20"/>
        </w:trPr>
        <w:tc>
          <w:tcPr>
            <w:tcW w:w="1377" w:type="dxa"/>
          </w:tcPr>
          <w:p w14:paraId="10E72D0A"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FBiH</w:t>
            </w:r>
          </w:p>
        </w:tc>
        <w:tc>
          <w:tcPr>
            <w:tcW w:w="7650" w:type="dxa"/>
          </w:tcPr>
          <w:p w14:paraId="0FB7A2AA"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Federacija Bosne i Hercegovine</w:t>
            </w:r>
          </w:p>
        </w:tc>
      </w:tr>
      <w:tr w:rsidR="00055321" w:rsidRPr="00BE553D" w14:paraId="4B2A2FB3" w14:textId="77777777" w:rsidTr="00BE553D">
        <w:trPr>
          <w:trHeight w:val="20"/>
        </w:trPr>
        <w:tc>
          <w:tcPr>
            <w:tcW w:w="1377" w:type="dxa"/>
          </w:tcPr>
          <w:p w14:paraId="6D10BBF2"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RS </w:t>
            </w:r>
          </w:p>
        </w:tc>
        <w:tc>
          <w:tcPr>
            <w:tcW w:w="7650" w:type="dxa"/>
          </w:tcPr>
          <w:p w14:paraId="3607252E"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Republika Srpska</w:t>
            </w:r>
          </w:p>
        </w:tc>
      </w:tr>
      <w:tr w:rsidR="00055321" w:rsidRPr="00BE553D" w14:paraId="16F5F1C3" w14:textId="77777777" w:rsidTr="00BE553D">
        <w:trPr>
          <w:trHeight w:val="20"/>
        </w:trPr>
        <w:tc>
          <w:tcPr>
            <w:tcW w:w="1377" w:type="dxa"/>
          </w:tcPr>
          <w:p w14:paraId="2C74C5A3"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DB</w:t>
            </w:r>
          </w:p>
        </w:tc>
        <w:tc>
          <w:tcPr>
            <w:tcW w:w="7650" w:type="dxa"/>
          </w:tcPr>
          <w:p w14:paraId="16CECF5D"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Distrikt Brčko</w:t>
            </w:r>
          </w:p>
        </w:tc>
      </w:tr>
      <w:tr w:rsidR="00055321" w:rsidRPr="00BE553D" w14:paraId="4FFEBD53" w14:textId="77777777" w:rsidTr="00BE553D">
        <w:trPr>
          <w:trHeight w:val="20"/>
        </w:trPr>
        <w:tc>
          <w:tcPr>
            <w:tcW w:w="1377" w:type="dxa"/>
          </w:tcPr>
          <w:p w14:paraId="74488A8C"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EU </w:t>
            </w:r>
          </w:p>
        </w:tc>
        <w:tc>
          <w:tcPr>
            <w:tcW w:w="7650" w:type="dxa"/>
          </w:tcPr>
          <w:p w14:paraId="1DF80C5B"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Europska Unija</w:t>
            </w:r>
          </w:p>
        </w:tc>
      </w:tr>
      <w:tr w:rsidR="00055321" w:rsidRPr="00BE553D" w14:paraId="4F79DD8C" w14:textId="77777777" w:rsidTr="00BE553D">
        <w:trPr>
          <w:trHeight w:val="20"/>
        </w:trPr>
        <w:tc>
          <w:tcPr>
            <w:tcW w:w="1377" w:type="dxa"/>
          </w:tcPr>
          <w:p w14:paraId="7AB1F0D1"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MTVEO BiH </w:t>
            </w:r>
          </w:p>
        </w:tc>
        <w:tc>
          <w:tcPr>
            <w:tcW w:w="7650" w:type="dxa"/>
          </w:tcPr>
          <w:p w14:paraId="17706FB3"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Ministarstvo vanjske trgovine i ekonomskih odnosa BiH</w:t>
            </w:r>
          </w:p>
        </w:tc>
      </w:tr>
      <w:tr w:rsidR="00055321" w:rsidRPr="00BE553D" w14:paraId="18E72E12" w14:textId="77777777" w:rsidTr="00BE553D">
        <w:trPr>
          <w:trHeight w:val="20"/>
        </w:trPr>
        <w:tc>
          <w:tcPr>
            <w:tcW w:w="1377" w:type="dxa"/>
          </w:tcPr>
          <w:p w14:paraId="1135348E" w14:textId="07AC577B" w:rsidR="00586694"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 xml:space="preserve">DEA </w:t>
            </w:r>
          </w:p>
        </w:tc>
        <w:tc>
          <w:tcPr>
            <w:tcW w:w="7650" w:type="dxa"/>
          </w:tcPr>
          <w:p w14:paraId="412DE641" w14:textId="79A4CC97" w:rsidR="00586694" w:rsidRPr="00BE553D" w:rsidRDefault="00740D4F" w:rsidP="00586694">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Detaljni energijski audit</w:t>
            </w:r>
          </w:p>
        </w:tc>
      </w:tr>
      <w:tr w:rsidR="00586694" w:rsidRPr="00BE553D" w14:paraId="32F106B1" w14:textId="77777777" w:rsidTr="00BE553D">
        <w:trPr>
          <w:trHeight w:val="20"/>
        </w:trPr>
        <w:tc>
          <w:tcPr>
            <w:tcW w:w="1377" w:type="dxa"/>
          </w:tcPr>
          <w:p w14:paraId="66607F2B" w14:textId="36F07EEE" w:rsidR="00586694" w:rsidRPr="00BE553D" w:rsidRDefault="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EC</w:t>
            </w:r>
          </w:p>
        </w:tc>
        <w:tc>
          <w:tcPr>
            <w:tcW w:w="7650" w:type="dxa"/>
          </w:tcPr>
          <w:p w14:paraId="1EFB8A30" w14:textId="058B63E7" w:rsidR="00586694" w:rsidRPr="00BE553D" w:rsidRDefault="00586694" w:rsidP="00586694">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Energijski certifikat</w:t>
            </w:r>
          </w:p>
        </w:tc>
      </w:tr>
      <w:tr w:rsidR="00055321" w:rsidRPr="00BE553D" w14:paraId="31D79E2F" w14:textId="77777777" w:rsidTr="00BE553D">
        <w:trPr>
          <w:trHeight w:val="20"/>
        </w:trPr>
        <w:tc>
          <w:tcPr>
            <w:tcW w:w="1377" w:type="dxa"/>
          </w:tcPr>
          <w:p w14:paraId="77DF35F0"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NEEAP </w:t>
            </w:r>
          </w:p>
        </w:tc>
        <w:tc>
          <w:tcPr>
            <w:tcW w:w="7650" w:type="dxa"/>
          </w:tcPr>
          <w:p w14:paraId="49252A61"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 xml:space="preserve">Nacionalni akcioni plan energetske efikasnosti Bosne i Hercegovine </w:t>
            </w:r>
          </w:p>
        </w:tc>
      </w:tr>
      <w:tr w:rsidR="00055321" w:rsidRPr="00BE553D" w14:paraId="186A4257" w14:textId="77777777" w:rsidTr="00BE553D">
        <w:trPr>
          <w:trHeight w:val="20"/>
        </w:trPr>
        <w:tc>
          <w:tcPr>
            <w:tcW w:w="1377" w:type="dxa"/>
          </w:tcPr>
          <w:p w14:paraId="37DC4DD6"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EnZ</w:t>
            </w:r>
          </w:p>
        </w:tc>
        <w:tc>
          <w:tcPr>
            <w:tcW w:w="7650" w:type="dxa"/>
          </w:tcPr>
          <w:p w14:paraId="19A2DFA3"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Energetska Zajednica</w:t>
            </w:r>
          </w:p>
        </w:tc>
      </w:tr>
      <w:tr w:rsidR="00055321" w:rsidRPr="00BE553D" w14:paraId="37F158FD" w14:textId="77777777" w:rsidTr="00BE553D">
        <w:trPr>
          <w:trHeight w:val="20"/>
        </w:trPr>
        <w:tc>
          <w:tcPr>
            <w:tcW w:w="1377" w:type="dxa"/>
          </w:tcPr>
          <w:p w14:paraId="3F7FBA14"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EE </w:t>
            </w:r>
          </w:p>
        </w:tc>
        <w:tc>
          <w:tcPr>
            <w:tcW w:w="7650" w:type="dxa"/>
          </w:tcPr>
          <w:p w14:paraId="22126D21"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Energijska efikasnost</w:t>
            </w:r>
          </w:p>
        </w:tc>
      </w:tr>
      <w:tr w:rsidR="00055321" w:rsidRPr="00BE553D" w14:paraId="064C53B5" w14:textId="77777777" w:rsidTr="00BE553D">
        <w:trPr>
          <w:trHeight w:val="20"/>
        </w:trPr>
        <w:tc>
          <w:tcPr>
            <w:tcW w:w="1377" w:type="dxa"/>
          </w:tcPr>
          <w:p w14:paraId="40EFBF1F"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OIE</w:t>
            </w:r>
          </w:p>
        </w:tc>
        <w:tc>
          <w:tcPr>
            <w:tcW w:w="7650" w:type="dxa"/>
          </w:tcPr>
          <w:p w14:paraId="4883E09A"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Obnovljivi izvori energije</w:t>
            </w:r>
          </w:p>
        </w:tc>
      </w:tr>
      <w:tr w:rsidR="00055321" w:rsidRPr="00BE553D" w14:paraId="1FA7888C" w14:textId="77777777" w:rsidTr="00BE553D">
        <w:trPr>
          <w:trHeight w:val="20"/>
        </w:trPr>
        <w:tc>
          <w:tcPr>
            <w:tcW w:w="1377" w:type="dxa"/>
          </w:tcPr>
          <w:p w14:paraId="3933FF7A"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m</w:t>
            </w:r>
            <w:r w:rsidRPr="00BE553D">
              <w:rPr>
                <w:rFonts w:asciiTheme="minorHAnsi" w:hAnsiTheme="minorHAnsi" w:cstheme="minorHAnsi"/>
                <w:sz w:val="22"/>
                <w:szCs w:val="22"/>
                <w:vertAlign w:val="superscript"/>
                <w:lang w:val="bs-Latn-BA"/>
              </w:rPr>
              <w:t>2</w:t>
            </w:r>
            <w:r w:rsidRPr="00BE553D">
              <w:rPr>
                <w:rFonts w:asciiTheme="minorHAnsi" w:hAnsiTheme="minorHAnsi" w:cstheme="minorHAnsi"/>
                <w:sz w:val="22"/>
                <w:szCs w:val="22"/>
                <w:lang w:val="bs-Latn-BA"/>
              </w:rPr>
              <w:t xml:space="preserve"> </w:t>
            </w:r>
          </w:p>
        </w:tc>
        <w:tc>
          <w:tcPr>
            <w:tcW w:w="7650" w:type="dxa"/>
          </w:tcPr>
          <w:p w14:paraId="1ADCB20E"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Kvadratni metar</w:t>
            </w:r>
          </w:p>
        </w:tc>
      </w:tr>
      <w:tr w:rsidR="00055321" w:rsidRPr="00BE553D" w14:paraId="594E3D26" w14:textId="77777777" w:rsidTr="00BE553D">
        <w:trPr>
          <w:trHeight w:val="20"/>
        </w:trPr>
        <w:tc>
          <w:tcPr>
            <w:tcW w:w="1377" w:type="dxa"/>
          </w:tcPr>
          <w:p w14:paraId="792E24F1"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KM </w:t>
            </w:r>
          </w:p>
        </w:tc>
        <w:tc>
          <w:tcPr>
            <w:tcW w:w="7650" w:type="dxa"/>
          </w:tcPr>
          <w:p w14:paraId="7A4C39B1"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Konvertibilna marka</w:t>
            </w:r>
          </w:p>
        </w:tc>
      </w:tr>
      <w:tr w:rsidR="00055321" w:rsidRPr="00BE553D" w14:paraId="01597B7A" w14:textId="77777777" w:rsidTr="00BE553D">
        <w:trPr>
          <w:trHeight w:val="20"/>
        </w:trPr>
        <w:tc>
          <w:tcPr>
            <w:tcW w:w="1377" w:type="dxa"/>
          </w:tcPr>
          <w:p w14:paraId="298CD2C4"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PDV </w:t>
            </w:r>
          </w:p>
        </w:tc>
        <w:tc>
          <w:tcPr>
            <w:tcW w:w="7650" w:type="dxa"/>
          </w:tcPr>
          <w:p w14:paraId="1A7E7BA0"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Porez na dodatnu vrijednost</w:t>
            </w:r>
          </w:p>
        </w:tc>
      </w:tr>
      <w:tr w:rsidR="00055321" w:rsidRPr="00BE553D" w14:paraId="0703799E" w14:textId="77777777" w:rsidTr="00BE553D">
        <w:trPr>
          <w:trHeight w:val="20"/>
        </w:trPr>
        <w:tc>
          <w:tcPr>
            <w:tcW w:w="1377" w:type="dxa"/>
          </w:tcPr>
          <w:p w14:paraId="60E29C55"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PTV </w:t>
            </w:r>
          </w:p>
        </w:tc>
        <w:tc>
          <w:tcPr>
            <w:tcW w:w="7650" w:type="dxa"/>
          </w:tcPr>
          <w:p w14:paraId="70945EBD"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Potrošna topla voda</w:t>
            </w:r>
          </w:p>
        </w:tc>
      </w:tr>
      <w:tr w:rsidR="00055321" w:rsidRPr="00BE553D" w14:paraId="3913CBD6" w14:textId="77777777" w:rsidTr="00BE553D">
        <w:trPr>
          <w:trHeight w:val="20"/>
        </w:trPr>
        <w:tc>
          <w:tcPr>
            <w:tcW w:w="1377" w:type="dxa"/>
          </w:tcPr>
          <w:p w14:paraId="2B5D46BE"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KWh </w:t>
            </w:r>
          </w:p>
        </w:tc>
        <w:tc>
          <w:tcPr>
            <w:tcW w:w="7650" w:type="dxa"/>
          </w:tcPr>
          <w:p w14:paraId="346F9E2C"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Kilovat-sat</w:t>
            </w:r>
          </w:p>
        </w:tc>
      </w:tr>
      <w:tr w:rsidR="00055321" w:rsidRPr="00BE553D" w14:paraId="2B642A48" w14:textId="77777777" w:rsidTr="00BE553D">
        <w:trPr>
          <w:trHeight w:val="20"/>
        </w:trPr>
        <w:tc>
          <w:tcPr>
            <w:tcW w:w="1377" w:type="dxa"/>
          </w:tcPr>
          <w:p w14:paraId="477FA004"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KWh/god.</w:t>
            </w:r>
          </w:p>
        </w:tc>
        <w:tc>
          <w:tcPr>
            <w:tcW w:w="7650" w:type="dxa"/>
          </w:tcPr>
          <w:p w14:paraId="062A9A0A"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Kilovat-sat po godini</w:t>
            </w:r>
          </w:p>
        </w:tc>
      </w:tr>
      <w:tr w:rsidR="00055321" w:rsidRPr="00BE553D" w14:paraId="35C57324" w14:textId="77777777" w:rsidTr="00BE553D">
        <w:trPr>
          <w:trHeight w:val="20"/>
        </w:trPr>
        <w:tc>
          <w:tcPr>
            <w:tcW w:w="1377" w:type="dxa"/>
          </w:tcPr>
          <w:p w14:paraId="3CB6CBEC"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KM/god. </w:t>
            </w:r>
          </w:p>
        </w:tc>
        <w:tc>
          <w:tcPr>
            <w:tcW w:w="7650" w:type="dxa"/>
          </w:tcPr>
          <w:p w14:paraId="4BB9E650"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Konvertibilna marka po godini</w:t>
            </w:r>
          </w:p>
        </w:tc>
      </w:tr>
      <w:tr w:rsidR="00055321" w:rsidRPr="001972F5" w14:paraId="0AE532B7" w14:textId="77777777" w:rsidTr="00BE553D">
        <w:trPr>
          <w:trHeight w:val="20"/>
        </w:trPr>
        <w:tc>
          <w:tcPr>
            <w:tcW w:w="1377" w:type="dxa"/>
          </w:tcPr>
          <w:p w14:paraId="72DEEB04"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kWh/m</w:t>
            </w:r>
            <w:r w:rsidRPr="00BE553D">
              <w:rPr>
                <w:rFonts w:asciiTheme="minorHAnsi" w:hAnsiTheme="minorHAnsi" w:cstheme="minorHAnsi"/>
                <w:sz w:val="22"/>
                <w:szCs w:val="22"/>
                <w:vertAlign w:val="superscript"/>
                <w:lang w:val="bs-Latn-BA"/>
              </w:rPr>
              <w:t>2</w:t>
            </w:r>
            <w:r w:rsidRPr="00BE553D">
              <w:rPr>
                <w:rFonts w:asciiTheme="minorHAnsi" w:hAnsiTheme="minorHAnsi" w:cstheme="minorHAnsi"/>
                <w:sz w:val="22"/>
                <w:szCs w:val="22"/>
                <w:lang w:val="bs-Latn-BA"/>
              </w:rPr>
              <w:t xml:space="preserve"> </w:t>
            </w:r>
          </w:p>
        </w:tc>
        <w:tc>
          <w:tcPr>
            <w:tcW w:w="7650" w:type="dxa"/>
          </w:tcPr>
          <w:p w14:paraId="6CEAE878"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Kilovat-sat po kvadratnom metru</w:t>
            </w:r>
          </w:p>
        </w:tc>
      </w:tr>
      <w:tr w:rsidR="00055321" w:rsidRPr="00BE553D" w14:paraId="1911EA3F" w14:textId="77777777" w:rsidTr="00BE553D">
        <w:trPr>
          <w:trHeight w:val="20"/>
        </w:trPr>
        <w:tc>
          <w:tcPr>
            <w:tcW w:w="1377" w:type="dxa"/>
          </w:tcPr>
          <w:p w14:paraId="15D75858"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kWh/kor </w:t>
            </w:r>
          </w:p>
        </w:tc>
        <w:tc>
          <w:tcPr>
            <w:tcW w:w="7650" w:type="dxa"/>
          </w:tcPr>
          <w:p w14:paraId="0164F4D9"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Kilovat-sat po korisniku</w:t>
            </w:r>
          </w:p>
        </w:tc>
      </w:tr>
      <w:tr w:rsidR="00055321" w:rsidRPr="00BE553D" w14:paraId="77ECC30A" w14:textId="77777777" w:rsidTr="00BE553D">
        <w:trPr>
          <w:trHeight w:val="20"/>
        </w:trPr>
        <w:tc>
          <w:tcPr>
            <w:tcW w:w="1377" w:type="dxa"/>
          </w:tcPr>
          <w:p w14:paraId="5F543C51"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CO2 </w:t>
            </w:r>
          </w:p>
        </w:tc>
        <w:tc>
          <w:tcPr>
            <w:tcW w:w="7650" w:type="dxa"/>
          </w:tcPr>
          <w:p w14:paraId="3D9AD511"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Karbon dioksid</w:t>
            </w:r>
          </w:p>
        </w:tc>
      </w:tr>
      <w:tr w:rsidR="00586694" w:rsidRPr="001972F5" w14:paraId="12914C7D" w14:textId="77777777" w:rsidTr="00BE553D">
        <w:trPr>
          <w:trHeight w:val="20"/>
        </w:trPr>
        <w:tc>
          <w:tcPr>
            <w:tcW w:w="1377" w:type="dxa"/>
          </w:tcPr>
          <w:p w14:paraId="46A38D7E" w14:textId="687A1126" w:rsidR="00586694" w:rsidRPr="00BE553D" w:rsidRDefault="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CO2eq</w:t>
            </w:r>
          </w:p>
        </w:tc>
        <w:tc>
          <w:tcPr>
            <w:tcW w:w="7650" w:type="dxa"/>
          </w:tcPr>
          <w:p w14:paraId="0B77EB7A" w14:textId="13CEA7AA" w:rsidR="00586694" w:rsidRPr="00BE553D" w:rsidRDefault="00E57760">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Predstavljanje ostalih stakleničkih plinova (GHG) u obliku CO2</w:t>
            </w:r>
          </w:p>
        </w:tc>
      </w:tr>
      <w:tr w:rsidR="00586694" w:rsidRPr="00BE553D" w14:paraId="32278B02" w14:textId="77777777" w:rsidTr="00BE553D">
        <w:trPr>
          <w:trHeight w:val="20"/>
        </w:trPr>
        <w:tc>
          <w:tcPr>
            <w:tcW w:w="1377" w:type="dxa"/>
          </w:tcPr>
          <w:p w14:paraId="6B300E7B" w14:textId="35B0F4AD" w:rsidR="00586694" w:rsidRPr="00BE553D" w:rsidRDefault="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ktoe</w:t>
            </w:r>
          </w:p>
        </w:tc>
        <w:tc>
          <w:tcPr>
            <w:tcW w:w="7650" w:type="dxa"/>
          </w:tcPr>
          <w:p w14:paraId="2DA871EE" w14:textId="2D881E2C" w:rsidR="00586694" w:rsidRPr="00BE553D" w:rsidRDefault="00E57760">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 xml:space="preserve">Kilo tonne of oil equivalent </w:t>
            </w:r>
          </w:p>
        </w:tc>
      </w:tr>
      <w:tr w:rsidR="00055321" w:rsidRPr="00BE553D" w14:paraId="32CA83CE" w14:textId="77777777" w:rsidTr="00BE553D">
        <w:trPr>
          <w:trHeight w:val="20"/>
        </w:trPr>
        <w:tc>
          <w:tcPr>
            <w:tcW w:w="1377" w:type="dxa"/>
          </w:tcPr>
          <w:p w14:paraId="51035CFB"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ALU  </w:t>
            </w:r>
          </w:p>
        </w:tc>
        <w:tc>
          <w:tcPr>
            <w:tcW w:w="7650" w:type="dxa"/>
          </w:tcPr>
          <w:p w14:paraId="0912D6E3" w14:textId="77777777" w:rsidR="00055321" w:rsidRPr="00BE553D" w:rsidRDefault="00740D4F">
            <w:pPr>
              <w:spacing w:line="252"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Aluminij</w:t>
            </w:r>
          </w:p>
        </w:tc>
      </w:tr>
      <w:tr w:rsidR="00055321" w:rsidRPr="00BE553D" w14:paraId="640EC6D1" w14:textId="77777777" w:rsidTr="00BE553D">
        <w:trPr>
          <w:trHeight w:val="20"/>
        </w:trPr>
        <w:tc>
          <w:tcPr>
            <w:tcW w:w="1377" w:type="dxa"/>
          </w:tcPr>
          <w:p w14:paraId="1E2F384D"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LED </w:t>
            </w:r>
          </w:p>
        </w:tc>
        <w:tc>
          <w:tcPr>
            <w:tcW w:w="7650" w:type="dxa"/>
          </w:tcPr>
          <w:p w14:paraId="148F99DF"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Light-emitting diode – Svijetleće diode</w:t>
            </w:r>
          </w:p>
        </w:tc>
      </w:tr>
      <w:tr w:rsidR="00055321" w:rsidRPr="00BE553D" w14:paraId="65A0395A" w14:textId="77777777" w:rsidTr="00BE553D">
        <w:trPr>
          <w:trHeight w:val="20"/>
        </w:trPr>
        <w:tc>
          <w:tcPr>
            <w:tcW w:w="1377" w:type="dxa"/>
          </w:tcPr>
          <w:p w14:paraId="25EE32B8"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NSV </w:t>
            </w:r>
          </w:p>
        </w:tc>
        <w:tc>
          <w:tcPr>
            <w:tcW w:w="7650" w:type="dxa"/>
          </w:tcPr>
          <w:p w14:paraId="3E1C7ACF"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Neto sadašnja vrijednost</w:t>
            </w:r>
          </w:p>
        </w:tc>
      </w:tr>
      <w:tr w:rsidR="00055321" w:rsidRPr="00BE553D" w14:paraId="49F2C74D" w14:textId="77777777" w:rsidTr="00BE553D">
        <w:trPr>
          <w:trHeight w:val="20"/>
        </w:trPr>
        <w:tc>
          <w:tcPr>
            <w:tcW w:w="1377" w:type="dxa"/>
          </w:tcPr>
          <w:p w14:paraId="4EC52FF3"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IRR </w:t>
            </w:r>
          </w:p>
        </w:tc>
        <w:tc>
          <w:tcPr>
            <w:tcW w:w="7650" w:type="dxa"/>
          </w:tcPr>
          <w:p w14:paraId="7DCD5996"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 xml:space="preserve">Interna stopa rentabilnosti </w:t>
            </w:r>
          </w:p>
        </w:tc>
      </w:tr>
      <w:tr w:rsidR="00055321" w:rsidRPr="00BE553D" w14:paraId="7EC7AD42" w14:textId="77777777" w:rsidTr="00BE553D">
        <w:trPr>
          <w:trHeight w:val="20"/>
        </w:trPr>
        <w:tc>
          <w:tcPr>
            <w:tcW w:w="1377" w:type="dxa"/>
          </w:tcPr>
          <w:p w14:paraId="01D4BFE6"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ESCO </w:t>
            </w:r>
          </w:p>
        </w:tc>
        <w:tc>
          <w:tcPr>
            <w:tcW w:w="7650" w:type="dxa"/>
          </w:tcPr>
          <w:p w14:paraId="59D295BF"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Energy Service Company - Kompanije za pružanje usluga energijom</w:t>
            </w:r>
          </w:p>
        </w:tc>
      </w:tr>
      <w:tr w:rsidR="00055321" w:rsidRPr="00BE553D" w14:paraId="1A89FE8B" w14:textId="77777777" w:rsidTr="00BE553D">
        <w:trPr>
          <w:trHeight w:val="20"/>
        </w:trPr>
        <w:tc>
          <w:tcPr>
            <w:tcW w:w="1377" w:type="dxa"/>
          </w:tcPr>
          <w:p w14:paraId="4D4EAAE5"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UNDP </w:t>
            </w:r>
          </w:p>
        </w:tc>
        <w:tc>
          <w:tcPr>
            <w:tcW w:w="7650" w:type="dxa"/>
          </w:tcPr>
          <w:p w14:paraId="5DFEFF03"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United Nations Development Programme - Razvojni program Ujedinjenih nacija</w:t>
            </w:r>
          </w:p>
        </w:tc>
      </w:tr>
      <w:tr w:rsidR="00055321" w:rsidRPr="00BE553D" w14:paraId="0A9BF2CB" w14:textId="77777777" w:rsidTr="00BE553D">
        <w:trPr>
          <w:trHeight w:val="20"/>
        </w:trPr>
        <w:tc>
          <w:tcPr>
            <w:tcW w:w="1377" w:type="dxa"/>
          </w:tcPr>
          <w:p w14:paraId="3AF6D5EA"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USAID </w:t>
            </w:r>
          </w:p>
        </w:tc>
        <w:tc>
          <w:tcPr>
            <w:tcW w:w="7650" w:type="dxa"/>
          </w:tcPr>
          <w:p w14:paraId="2A794D6C"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United States Agency for International Development - Američke agencije za međunarodni razvoj</w:t>
            </w:r>
          </w:p>
        </w:tc>
      </w:tr>
      <w:tr w:rsidR="00055321" w:rsidRPr="00BE553D" w14:paraId="65B1349B" w14:textId="77777777" w:rsidTr="00BE553D">
        <w:trPr>
          <w:trHeight w:val="20"/>
        </w:trPr>
        <w:tc>
          <w:tcPr>
            <w:tcW w:w="1377" w:type="dxa"/>
          </w:tcPr>
          <w:p w14:paraId="1BBDFEF6"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USAID EIA </w:t>
            </w:r>
          </w:p>
        </w:tc>
        <w:tc>
          <w:tcPr>
            <w:tcW w:w="7650" w:type="dxa"/>
          </w:tcPr>
          <w:p w14:paraId="62EAD318"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 xml:space="preserve">USAID </w:t>
            </w:r>
            <w:hyperlink r:id="rId18">
              <w:r w:rsidRPr="00BE553D">
                <w:rPr>
                  <w:rFonts w:asciiTheme="minorHAnsi" w:hAnsiTheme="minorHAnsi" w:cstheme="minorHAnsi"/>
                  <w:iCs/>
                  <w:sz w:val="22"/>
                  <w:szCs w:val="22"/>
                  <w:lang w:val="bs-Latn-BA"/>
                </w:rPr>
                <w:t>Energy Investment Activity</w:t>
              </w:r>
            </w:hyperlink>
            <w:r w:rsidRPr="00BE553D">
              <w:rPr>
                <w:rFonts w:asciiTheme="minorHAnsi" w:hAnsiTheme="minorHAnsi" w:cstheme="minorHAnsi"/>
                <w:iCs/>
                <w:sz w:val="22"/>
                <w:szCs w:val="22"/>
                <w:lang w:val="bs-Latn-BA"/>
              </w:rPr>
              <w:t xml:space="preserve"> – Investiranje u sektor energije (USAID)</w:t>
            </w:r>
          </w:p>
        </w:tc>
      </w:tr>
      <w:tr w:rsidR="00055321" w:rsidRPr="001972F5" w14:paraId="1A148C98" w14:textId="77777777" w:rsidTr="00BE553D">
        <w:trPr>
          <w:trHeight w:val="20"/>
        </w:trPr>
        <w:tc>
          <w:tcPr>
            <w:tcW w:w="1377" w:type="dxa"/>
          </w:tcPr>
          <w:p w14:paraId="5A3C05EF"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GIZ </w:t>
            </w:r>
          </w:p>
        </w:tc>
        <w:tc>
          <w:tcPr>
            <w:tcW w:w="7650" w:type="dxa"/>
          </w:tcPr>
          <w:p w14:paraId="4BBC83AE"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Deutsche Gesellschaft für Internationale Zusammenarbeit - Njemačko društvo za međunarodnu saradnju</w:t>
            </w:r>
          </w:p>
        </w:tc>
      </w:tr>
      <w:tr w:rsidR="00055321" w:rsidRPr="00BE553D" w14:paraId="4A70AEF8" w14:textId="77777777" w:rsidTr="00BE553D">
        <w:trPr>
          <w:trHeight w:val="20"/>
        </w:trPr>
        <w:tc>
          <w:tcPr>
            <w:tcW w:w="1377" w:type="dxa"/>
          </w:tcPr>
          <w:p w14:paraId="216269A7"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EBRD</w:t>
            </w:r>
          </w:p>
        </w:tc>
        <w:tc>
          <w:tcPr>
            <w:tcW w:w="7650" w:type="dxa"/>
          </w:tcPr>
          <w:p w14:paraId="577BFB9E"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European Bank for Reconstruction and Development – Europska banka za obnovu i razvoj</w:t>
            </w:r>
          </w:p>
        </w:tc>
      </w:tr>
      <w:tr w:rsidR="00055321" w:rsidRPr="00BE553D" w14:paraId="291D0F20" w14:textId="77777777" w:rsidTr="00BE553D">
        <w:trPr>
          <w:trHeight w:val="20"/>
        </w:trPr>
        <w:tc>
          <w:tcPr>
            <w:tcW w:w="1377" w:type="dxa"/>
          </w:tcPr>
          <w:p w14:paraId="5FF54060"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EPBD</w:t>
            </w:r>
          </w:p>
        </w:tc>
        <w:tc>
          <w:tcPr>
            <w:tcW w:w="7650" w:type="dxa"/>
          </w:tcPr>
          <w:p w14:paraId="5EB38C5F"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Energy Performance of Buildings Directive</w:t>
            </w:r>
          </w:p>
        </w:tc>
      </w:tr>
      <w:tr w:rsidR="00055321" w:rsidRPr="00BE553D" w14:paraId="2BBA9539" w14:textId="77777777" w:rsidTr="00BE553D">
        <w:trPr>
          <w:trHeight w:val="20"/>
        </w:trPr>
        <w:tc>
          <w:tcPr>
            <w:tcW w:w="1377" w:type="dxa"/>
          </w:tcPr>
          <w:p w14:paraId="5ADA06B4"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EED</w:t>
            </w:r>
          </w:p>
        </w:tc>
        <w:tc>
          <w:tcPr>
            <w:tcW w:w="7650" w:type="dxa"/>
          </w:tcPr>
          <w:p w14:paraId="79401D8D"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Energy Efficiency Directive</w:t>
            </w:r>
          </w:p>
        </w:tc>
      </w:tr>
      <w:tr w:rsidR="00055321" w:rsidRPr="00BE553D" w14:paraId="74720E58" w14:textId="77777777" w:rsidTr="00BE553D">
        <w:trPr>
          <w:trHeight w:val="20"/>
        </w:trPr>
        <w:tc>
          <w:tcPr>
            <w:tcW w:w="1377" w:type="dxa"/>
          </w:tcPr>
          <w:p w14:paraId="2FFB6DDF"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lastRenderedPageBreak/>
              <w:t xml:space="preserve">WEBSEFF 2   </w:t>
            </w:r>
          </w:p>
        </w:tc>
        <w:tc>
          <w:tcPr>
            <w:tcW w:w="7650" w:type="dxa"/>
          </w:tcPr>
          <w:p w14:paraId="5BB2C666" w14:textId="14625431"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 xml:space="preserve">EU/EBRD Western Balkans Sustainable Energy Credit Line - Aranžman </w:t>
            </w:r>
            <w:r w:rsidR="007B690C" w:rsidRPr="00BE553D">
              <w:rPr>
                <w:rFonts w:asciiTheme="minorHAnsi" w:hAnsiTheme="minorHAnsi" w:cstheme="minorHAnsi"/>
                <w:iCs/>
                <w:sz w:val="22"/>
                <w:szCs w:val="22"/>
                <w:lang w:val="bs-Latn-BA"/>
              </w:rPr>
              <w:t>financ</w:t>
            </w:r>
            <w:r w:rsidRPr="00BE553D">
              <w:rPr>
                <w:rFonts w:asciiTheme="minorHAnsi" w:hAnsiTheme="minorHAnsi" w:cstheme="minorHAnsi"/>
                <w:iCs/>
                <w:sz w:val="22"/>
                <w:szCs w:val="22"/>
                <w:lang w:val="bs-Latn-BA"/>
              </w:rPr>
              <w:t>iranja održive energije-Energije Zapadnog Balkana</w:t>
            </w:r>
          </w:p>
        </w:tc>
      </w:tr>
      <w:tr w:rsidR="00055321" w:rsidRPr="00BE553D" w14:paraId="7236D12D" w14:textId="77777777" w:rsidTr="00BE553D">
        <w:trPr>
          <w:trHeight w:val="20"/>
        </w:trPr>
        <w:tc>
          <w:tcPr>
            <w:tcW w:w="1377" w:type="dxa"/>
          </w:tcPr>
          <w:p w14:paraId="569D3742"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KfW </w:t>
            </w:r>
          </w:p>
        </w:tc>
        <w:tc>
          <w:tcPr>
            <w:tcW w:w="7650" w:type="dxa"/>
          </w:tcPr>
          <w:p w14:paraId="685DD164" w14:textId="77777777" w:rsidR="00055321" w:rsidRPr="00BE553D" w:rsidRDefault="00000000">
            <w:pPr>
              <w:spacing w:line="252" w:lineRule="auto"/>
              <w:rPr>
                <w:rFonts w:asciiTheme="minorHAnsi" w:hAnsiTheme="minorHAnsi" w:cstheme="minorHAnsi"/>
                <w:iCs/>
                <w:sz w:val="22"/>
                <w:szCs w:val="22"/>
                <w:lang w:val="bs-Latn-BA"/>
              </w:rPr>
            </w:pPr>
            <w:hyperlink r:id="rId19">
              <w:r w:rsidR="00740D4F" w:rsidRPr="00BE553D">
                <w:rPr>
                  <w:rFonts w:asciiTheme="minorHAnsi" w:hAnsiTheme="minorHAnsi" w:cstheme="minorHAnsi"/>
                  <w:iCs/>
                  <w:sz w:val="22"/>
                  <w:szCs w:val="22"/>
                  <w:lang w:val="bs-Latn-BA"/>
                </w:rPr>
                <w:t>Development Bank - KfW Entwicklungsbank</w:t>
              </w:r>
            </w:hyperlink>
            <w:r w:rsidR="00740D4F" w:rsidRPr="00BE553D">
              <w:rPr>
                <w:rFonts w:asciiTheme="minorHAnsi" w:hAnsiTheme="minorHAnsi" w:cstheme="minorHAnsi"/>
                <w:iCs/>
                <w:sz w:val="22"/>
                <w:szCs w:val="22"/>
                <w:lang w:val="bs-Latn-BA"/>
              </w:rPr>
              <w:t xml:space="preserve"> - Njemačka razvojna banka</w:t>
            </w:r>
          </w:p>
        </w:tc>
      </w:tr>
      <w:tr w:rsidR="00055321" w:rsidRPr="00BE553D" w14:paraId="22EB193B" w14:textId="77777777" w:rsidTr="00BE553D">
        <w:trPr>
          <w:trHeight w:val="20"/>
        </w:trPr>
        <w:tc>
          <w:tcPr>
            <w:tcW w:w="1377" w:type="dxa"/>
          </w:tcPr>
          <w:p w14:paraId="3C03A21C"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ORF-EE </w:t>
            </w:r>
          </w:p>
        </w:tc>
        <w:tc>
          <w:tcPr>
            <w:tcW w:w="7650" w:type="dxa"/>
          </w:tcPr>
          <w:p w14:paraId="726EE243"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Open Regional Fund for South-East Europe – Energy Efficiency - GIZ Otvoreni regionalni fond za Jugoistočnu Europu-Energetska efikasnost</w:t>
            </w:r>
          </w:p>
        </w:tc>
      </w:tr>
      <w:tr w:rsidR="00055321" w:rsidRPr="00BE553D" w14:paraId="69DF3BB2" w14:textId="77777777" w:rsidTr="00BE553D">
        <w:trPr>
          <w:trHeight w:val="20"/>
        </w:trPr>
        <w:tc>
          <w:tcPr>
            <w:tcW w:w="1377" w:type="dxa"/>
          </w:tcPr>
          <w:p w14:paraId="3033ADB3"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PJI </w:t>
            </w:r>
          </w:p>
        </w:tc>
        <w:tc>
          <w:tcPr>
            <w:tcW w:w="7650" w:type="dxa"/>
          </w:tcPr>
          <w:p w14:paraId="499B6785"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Program javnih investicija</w:t>
            </w:r>
          </w:p>
        </w:tc>
      </w:tr>
      <w:tr w:rsidR="00055321" w:rsidRPr="00BE553D" w14:paraId="4974327F" w14:textId="77777777" w:rsidTr="00BE553D">
        <w:trPr>
          <w:trHeight w:val="20"/>
        </w:trPr>
        <w:tc>
          <w:tcPr>
            <w:tcW w:w="1377" w:type="dxa"/>
          </w:tcPr>
          <w:p w14:paraId="34020876" w14:textId="77777777" w:rsidR="00055321" w:rsidRPr="00BE553D" w:rsidRDefault="00740D4F">
            <w:pPr>
              <w:spacing w:line="256" w:lineRule="auto"/>
              <w:rPr>
                <w:rFonts w:asciiTheme="minorHAnsi" w:hAnsiTheme="minorHAnsi" w:cstheme="minorHAnsi"/>
                <w:smallCaps/>
                <w:sz w:val="22"/>
                <w:szCs w:val="22"/>
                <w:lang w:val="bs-Latn-BA"/>
              </w:rPr>
            </w:pPr>
            <w:r w:rsidRPr="00BE553D">
              <w:rPr>
                <w:rFonts w:asciiTheme="minorHAnsi" w:hAnsiTheme="minorHAnsi" w:cstheme="minorHAnsi"/>
                <w:sz w:val="22"/>
                <w:szCs w:val="22"/>
                <w:lang w:val="bs-Latn-BA"/>
              </w:rPr>
              <w:t xml:space="preserve">EMIS </w:t>
            </w:r>
          </w:p>
        </w:tc>
        <w:tc>
          <w:tcPr>
            <w:tcW w:w="7650" w:type="dxa"/>
          </w:tcPr>
          <w:p w14:paraId="4D0B66D1"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 xml:space="preserve">Energy Management Information System - Informacioni sistem za upravljanje energijom </w:t>
            </w:r>
          </w:p>
        </w:tc>
      </w:tr>
      <w:tr w:rsidR="00055321" w:rsidRPr="00BE553D" w14:paraId="1F3518C3" w14:textId="77777777" w:rsidTr="00BE553D">
        <w:trPr>
          <w:trHeight w:val="20"/>
        </w:trPr>
        <w:tc>
          <w:tcPr>
            <w:tcW w:w="1377" w:type="dxa"/>
          </w:tcPr>
          <w:p w14:paraId="09C2126C"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ISEE</w:t>
            </w:r>
          </w:p>
        </w:tc>
        <w:tc>
          <w:tcPr>
            <w:tcW w:w="7650" w:type="dxa"/>
          </w:tcPr>
          <w:p w14:paraId="75497C5E"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Informacioni Sistem Energijske Efikasnosti Federacije Bosne i Hercegovine</w:t>
            </w:r>
          </w:p>
        </w:tc>
      </w:tr>
      <w:tr w:rsidR="00055321" w:rsidRPr="00BE553D" w14:paraId="4559874B" w14:textId="77777777" w:rsidTr="00BE553D">
        <w:trPr>
          <w:trHeight w:val="20"/>
        </w:trPr>
        <w:tc>
          <w:tcPr>
            <w:tcW w:w="1377" w:type="dxa"/>
          </w:tcPr>
          <w:p w14:paraId="5303B8FF"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FMERI</w:t>
            </w:r>
          </w:p>
        </w:tc>
        <w:tc>
          <w:tcPr>
            <w:tcW w:w="7650" w:type="dxa"/>
          </w:tcPr>
          <w:p w14:paraId="50DCE567"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Federalno ministarstvo energije, rudarstva i industrije</w:t>
            </w:r>
          </w:p>
        </w:tc>
      </w:tr>
      <w:tr w:rsidR="00055321" w:rsidRPr="00BE553D" w14:paraId="32B4B22C" w14:textId="77777777" w:rsidTr="00BE553D">
        <w:trPr>
          <w:trHeight w:val="20"/>
        </w:trPr>
        <w:tc>
          <w:tcPr>
            <w:tcW w:w="1377" w:type="dxa"/>
          </w:tcPr>
          <w:p w14:paraId="16A83126" w14:textId="7F491B57" w:rsidR="00586694"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FMPU</w:t>
            </w:r>
          </w:p>
        </w:tc>
        <w:tc>
          <w:tcPr>
            <w:tcW w:w="7650" w:type="dxa"/>
          </w:tcPr>
          <w:p w14:paraId="4D723DAB" w14:textId="20BA7DCA" w:rsidR="00586694"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Federalno ministarstvo prostornog uređenja</w:t>
            </w:r>
          </w:p>
        </w:tc>
      </w:tr>
      <w:tr w:rsidR="00586694" w:rsidRPr="001972F5" w14:paraId="6770A42A" w14:textId="77777777" w:rsidTr="00BE553D">
        <w:trPr>
          <w:trHeight w:val="20"/>
        </w:trPr>
        <w:tc>
          <w:tcPr>
            <w:tcW w:w="1377" w:type="dxa"/>
          </w:tcPr>
          <w:p w14:paraId="3924E869" w14:textId="4683080F" w:rsidR="00586694" w:rsidRPr="00BE553D" w:rsidRDefault="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FZO FBiH</w:t>
            </w:r>
          </w:p>
        </w:tc>
        <w:tc>
          <w:tcPr>
            <w:tcW w:w="7650" w:type="dxa"/>
          </w:tcPr>
          <w:p w14:paraId="57F4DA89" w14:textId="78579407" w:rsidR="00586694" w:rsidRPr="00BE553D" w:rsidRDefault="00586694">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Fond za zaštitu okoliša FBiH</w:t>
            </w:r>
          </w:p>
        </w:tc>
      </w:tr>
      <w:tr w:rsidR="00055321" w:rsidRPr="00BE553D" w14:paraId="694A3390" w14:textId="77777777" w:rsidTr="00BE553D">
        <w:trPr>
          <w:trHeight w:val="20"/>
        </w:trPr>
        <w:tc>
          <w:tcPr>
            <w:tcW w:w="1377" w:type="dxa"/>
          </w:tcPr>
          <w:p w14:paraId="59240EC9"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SIDA</w:t>
            </w:r>
          </w:p>
        </w:tc>
        <w:tc>
          <w:tcPr>
            <w:tcW w:w="7650" w:type="dxa"/>
          </w:tcPr>
          <w:p w14:paraId="575815D3"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Swedish International Development Cooperation Agency</w:t>
            </w:r>
          </w:p>
        </w:tc>
      </w:tr>
      <w:tr w:rsidR="00055321" w:rsidRPr="00BE553D" w14:paraId="2F2131A0" w14:textId="77777777" w:rsidTr="00BE553D">
        <w:trPr>
          <w:trHeight w:val="20"/>
        </w:trPr>
        <w:tc>
          <w:tcPr>
            <w:tcW w:w="1377" w:type="dxa"/>
          </w:tcPr>
          <w:p w14:paraId="5EA91B70"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UNFCCC</w:t>
            </w:r>
          </w:p>
        </w:tc>
        <w:tc>
          <w:tcPr>
            <w:tcW w:w="7650" w:type="dxa"/>
          </w:tcPr>
          <w:p w14:paraId="188E88C2"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Okvirna konvencija o klimatskim promjenama Ujedinjenih naroda (United Nations Framework Convention on Climate Change)</w:t>
            </w:r>
          </w:p>
        </w:tc>
      </w:tr>
      <w:tr w:rsidR="00055321" w:rsidRPr="00BE553D" w14:paraId="1F711B4E" w14:textId="77777777" w:rsidTr="00BE553D">
        <w:trPr>
          <w:trHeight w:val="20"/>
        </w:trPr>
        <w:tc>
          <w:tcPr>
            <w:tcW w:w="1377" w:type="dxa"/>
          </w:tcPr>
          <w:p w14:paraId="277994FA"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NDC</w:t>
            </w:r>
          </w:p>
        </w:tc>
        <w:tc>
          <w:tcPr>
            <w:tcW w:w="7650" w:type="dxa"/>
          </w:tcPr>
          <w:p w14:paraId="7E550A17"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Nationally determined contributions</w:t>
            </w:r>
          </w:p>
        </w:tc>
      </w:tr>
      <w:tr w:rsidR="00055321" w:rsidRPr="00BE553D" w14:paraId="0869F689" w14:textId="77777777" w:rsidTr="00BE553D">
        <w:trPr>
          <w:trHeight w:val="20"/>
        </w:trPr>
        <w:tc>
          <w:tcPr>
            <w:tcW w:w="1377" w:type="dxa"/>
          </w:tcPr>
          <w:p w14:paraId="5131380E"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NECP</w:t>
            </w:r>
          </w:p>
        </w:tc>
        <w:tc>
          <w:tcPr>
            <w:tcW w:w="7650" w:type="dxa"/>
          </w:tcPr>
          <w:p w14:paraId="68405E2E"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National Energy and Climate Plans</w:t>
            </w:r>
          </w:p>
        </w:tc>
      </w:tr>
      <w:tr w:rsidR="00055321" w:rsidRPr="00BE553D" w14:paraId="4E8F0B04" w14:textId="77777777" w:rsidTr="00BE553D">
        <w:trPr>
          <w:trHeight w:val="20"/>
        </w:trPr>
        <w:tc>
          <w:tcPr>
            <w:tcW w:w="1377" w:type="dxa"/>
          </w:tcPr>
          <w:p w14:paraId="6423A7DB"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EIB</w:t>
            </w:r>
          </w:p>
        </w:tc>
        <w:tc>
          <w:tcPr>
            <w:tcW w:w="7650" w:type="dxa"/>
          </w:tcPr>
          <w:p w14:paraId="46EB5E57"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European Investment Bank</w:t>
            </w:r>
          </w:p>
        </w:tc>
      </w:tr>
      <w:tr w:rsidR="00055321" w:rsidRPr="00BE553D" w14:paraId="04920F17" w14:textId="77777777" w:rsidTr="00BE553D">
        <w:trPr>
          <w:trHeight w:val="20"/>
        </w:trPr>
        <w:tc>
          <w:tcPr>
            <w:tcW w:w="1377" w:type="dxa"/>
          </w:tcPr>
          <w:p w14:paraId="60A6895E"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GHG</w:t>
            </w:r>
          </w:p>
        </w:tc>
        <w:tc>
          <w:tcPr>
            <w:tcW w:w="7650" w:type="dxa"/>
          </w:tcPr>
          <w:p w14:paraId="6FF0D115" w14:textId="6963377A"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 xml:space="preserve">Greenhouse </w:t>
            </w:r>
            <w:r w:rsidR="001C6C64" w:rsidRPr="00BE553D">
              <w:rPr>
                <w:rFonts w:asciiTheme="minorHAnsi" w:hAnsiTheme="minorHAnsi" w:cstheme="minorHAnsi"/>
                <w:iCs/>
                <w:sz w:val="22"/>
                <w:szCs w:val="22"/>
                <w:lang w:val="bs-Latn-BA"/>
              </w:rPr>
              <w:t>gas</w:t>
            </w:r>
          </w:p>
        </w:tc>
      </w:tr>
      <w:tr w:rsidR="00055321" w:rsidRPr="00BE553D" w14:paraId="56ABC183" w14:textId="77777777" w:rsidTr="00BE553D">
        <w:trPr>
          <w:trHeight w:val="20"/>
        </w:trPr>
        <w:tc>
          <w:tcPr>
            <w:tcW w:w="1377" w:type="dxa"/>
          </w:tcPr>
          <w:p w14:paraId="72598D97"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GED</w:t>
            </w:r>
          </w:p>
        </w:tc>
        <w:tc>
          <w:tcPr>
            <w:tcW w:w="7650" w:type="dxa"/>
          </w:tcPr>
          <w:p w14:paraId="7099C872"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Green economic development</w:t>
            </w:r>
          </w:p>
        </w:tc>
      </w:tr>
      <w:tr w:rsidR="00055321" w:rsidRPr="00BE553D" w14:paraId="7EAC141E" w14:textId="77777777" w:rsidTr="00BE553D">
        <w:trPr>
          <w:trHeight w:val="20"/>
        </w:trPr>
        <w:tc>
          <w:tcPr>
            <w:tcW w:w="1377" w:type="dxa"/>
          </w:tcPr>
          <w:p w14:paraId="162BA16C"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REC</w:t>
            </w:r>
          </w:p>
        </w:tc>
        <w:tc>
          <w:tcPr>
            <w:tcW w:w="7650" w:type="dxa"/>
          </w:tcPr>
          <w:p w14:paraId="22DC761E"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Registar energijskih certifikata</w:t>
            </w:r>
          </w:p>
        </w:tc>
      </w:tr>
      <w:tr w:rsidR="00055321" w:rsidRPr="001972F5" w14:paraId="605C379D" w14:textId="77777777" w:rsidTr="00BE553D">
        <w:trPr>
          <w:trHeight w:val="20"/>
        </w:trPr>
        <w:tc>
          <w:tcPr>
            <w:tcW w:w="1377" w:type="dxa"/>
          </w:tcPr>
          <w:p w14:paraId="2A8CBE15"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SMiV</w:t>
            </w:r>
          </w:p>
        </w:tc>
        <w:tc>
          <w:tcPr>
            <w:tcW w:w="7650" w:type="dxa"/>
          </w:tcPr>
          <w:p w14:paraId="7464F6C7"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Sistem za praćenje, mjerenje i verifikaciju ušteda energije</w:t>
            </w:r>
          </w:p>
        </w:tc>
      </w:tr>
      <w:tr w:rsidR="00055321" w:rsidRPr="00BE553D" w14:paraId="4068FD20" w14:textId="77777777" w:rsidTr="00BE553D">
        <w:trPr>
          <w:trHeight w:val="20"/>
        </w:trPr>
        <w:tc>
          <w:tcPr>
            <w:tcW w:w="1377" w:type="dxa"/>
          </w:tcPr>
          <w:p w14:paraId="4CCE5DAC" w14:textId="77777777" w:rsidR="00055321" w:rsidRPr="00BE553D" w:rsidRDefault="00740D4F">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SUE</w:t>
            </w:r>
          </w:p>
        </w:tc>
        <w:tc>
          <w:tcPr>
            <w:tcW w:w="7650" w:type="dxa"/>
          </w:tcPr>
          <w:p w14:paraId="23EC6EF2" w14:textId="77777777" w:rsidR="00055321" w:rsidRPr="00BE553D" w:rsidRDefault="00740D4F">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Sistemi upravljanja energijom</w:t>
            </w:r>
          </w:p>
        </w:tc>
      </w:tr>
      <w:tr w:rsidR="00055321" w:rsidRPr="00BE553D" w14:paraId="1FB5C923" w14:textId="77777777" w:rsidTr="00BE553D">
        <w:trPr>
          <w:trHeight w:val="20"/>
        </w:trPr>
        <w:tc>
          <w:tcPr>
            <w:tcW w:w="1377" w:type="dxa"/>
          </w:tcPr>
          <w:p w14:paraId="16C38BD8" w14:textId="2BD8F72D" w:rsidR="00586694" w:rsidRPr="00BE553D" w:rsidRDefault="006A0ADF" w:rsidP="00586694">
            <w:pPr>
              <w:spacing w:line="256" w:lineRule="auto"/>
              <w:rPr>
                <w:rFonts w:asciiTheme="minorHAnsi" w:hAnsiTheme="minorHAnsi" w:cstheme="minorHAnsi"/>
                <w:sz w:val="22"/>
                <w:szCs w:val="22"/>
                <w:highlight w:val="yellow"/>
                <w:lang w:val="bs-Latn-BA"/>
              </w:rPr>
            </w:pPr>
            <w:r w:rsidRPr="00BE553D">
              <w:rPr>
                <w:rFonts w:asciiTheme="minorHAnsi" w:hAnsiTheme="minorHAnsi" w:cstheme="minorHAnsi"/>
                <w:sz w:val="22"/>
                <w:szCs w:val="22"/>
                <w:lang w:val="bs-Latn-BA"/>
              </w:rPr>
              <w:t>SWOT</w:t>
            </w:r>
          </w:p>
        </w:tc>
        <w:tc>
          <w:tcPr>
            <w:tcW w:w="7650" w:type="dxa"/>
          </w:tcPr>
          <w:p w14:paraId="66D8A16D" w14:textId="59C0CF06" w:rsidR="00055321" w:rsidRPr="00BE553D" w:rsidRDefault="00771E4B">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 xml:space="preserve">Strengths, Waekness, Opportunities, Threats </w:t>
            </w:r>
          </w:p>
        </w:tc>
      </w:tr>
      <w:tr w:rsidR="00586694" w:rsidRPr="00BE553D" w14:paraId="4E933624" w14:textId="77777777" w:rsidTr="00BE553D">
        <w:trPr>
          <w:trHeight w:val="20"/>
        </w:trPr>
        <w:tc>
          <w:tcPr>
            <w:tcW w:w="1377" w:type="dxa"/>
          </w:tcPr>
          <w:p w14:paraId="052BC6AD" w14:textId="4AA0723D"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MSP</w:t>
            </w:r>
          </w:p>
        </w:tc>
        <w:tc>
          <w:tcPr>
            <w:tcW w:w="7650" w:type="dxa"/>
          </w:tcPr>
          <w:p w14:paraId="7B718F4B" w14:textId="508AD8A3" w:rsidR="00586694" w:rsidRPr="00BE553D" w:rsidRDefault="00827754">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Mala i srednja preduzeća</w:t>
            </w:r>
          </w:p>
        </w:tc>
      </w:tr>
      <w:tr w:rsidR="00586694" w:rsidRPr="00BE553D" w14:paraId="189E3F27" w14:textId="77777777" w:rsidTr="00BE553D">
        <w:trPr>
          <w:trHeight w:val="20"/>
        </w:trPr>
        <w:tc>
          <w:tcPr>
            <w:tcW w:w="1377" w:type="dxa"/>
          </w:tcPr>
          <w:p w14:paraId="0090F3B3" w14:textId="46D6EFFD"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GDP/BDP</w:t>
            </w:r>
          </w:p>
        </w:tc>
        <w:tc>
          <w:tcPr>
            <w:tcW w:w="7650" w:type="dxa"/>
          </w:tcPr>
          <w:p w14:paraId="53E1CDBA" w14:textId="2D2C81DE" w:rsidR="00586694" w:rsidRPr="00BE553D" w:rsidRDefault="00E57760">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Gross domestic product/Bruto domaći proizvod</w:t>
            </w:r>
          </w:p>
        </w:tc>
      </w:tr>
      <w:tr w:rsidR="00586694" w:rsidRPr="00BE553D" w14:paraId="79F3CB64" w14:textId="77777777" w:rsidTr="00BE553D">
        <w:trPr>
          <w:trHeight w:val="20"/>
        </w:trPr>
        <w:tc>
          <w:tcPr>
            <w:tcW w:w="1377" w:type="dxa"/>
          </w:tcPr>
          <w:p w14:paraId="09E96D4C" w14:textId="1300024A"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OSBiH</w:t>
            </w:r>
          </w:p>
        </w:tc>
        <w:tc>
          <w:tcPr>
            <w:tcW w:w="7650" w:type="dxa"/>
          </w:tcPr>
          <w:p w14:paraId="5B12C3F1" w14:textId="6F8E919C" w:rsidR="00586694" w:rsidRPr="00BE553D" w:rsidRDefault="00E57760">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Oružane snage Bosne i Hercegovine</w:t>
            </w:r>
          </w:p>
        </w:tc>
      </w:tr>
      <w:tr w:rsidR="00586694" w:rsidRPr="00BE553D" w14:paraId="79B39B2E" w14:textId="77777777" w:rsidTr="00BE553D">
        <w:trPr>
          <w:trHeight w:val="20"/>
        </w:trPr>
        <w:tc>
          <w:tcPr>
            <w:tcW w:w="1377" w:type="dxa"/>
          </w:tcPr>
          <w:p w14:paraId="18CEA92D" w14:textId="31D8B55B"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PTV</w:t>
            </w:r>
          </w:p>
        </w:tc>
        <w:tc>
          <w:tcPr>
            <w:tcW w:w="7650" w:type="dxa"/>
          </w:tcPr>
          <w:p w14:paraId="4B3CE1EA" w14:textId="7AE5F8C3" w:rsidR="00586694" w:rsidRPr="00BE553D" w:rsidRDefault="00E57760">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Priprema tople vode</w:t>
            </w:r>
          </w:p>
        </w:tc>
      </w:tr>
      <w:tr w:rsidR="00586694" w:rsidRPr="00BE553D" w14:paraId="684DF884" w14:textId="77777777" w:rsidTr="00BE553D">
        <w:trPr>
          <w:trHeight w:val="20"/>
        </w:trPr>
        <w:tc>
          <w:tcPr>
            <w:tcW w:w="1377" w:type="dxa"/>
          </w:tcPr>
          <w:p w14:paraId="7A55375B" w14:textId="3E150CFE"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SDG</w:t>
            </w:r>
          </w:p>
        </w:tc>
        <w:tc>
          <w:tcPr>
            <w:tcW w:w="7650" w:type="dxa"/>
          </w:tcPr>
          <w:p w14:paraId="3239A3CF" w14:textId="6335A01D" w:rsidR="00586694" w:rsidRPr="00BE553D" w:rsidRDefault="00E57760">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Sistem daljinskog grijanja</w:t>
            </w:r>
          </w:p>
        </w:tc>
      </w:tr>
      <w:tr w:rsidR="00586694" w:rsidRPr="00BE553D" w14:paraId="6FB609E7" w14:textId="77777777" w:rsidTr="00BE553D">
        <w:trPr>
          <w:trHeight w:val="20"/>
        </w:trPr>
        <w:tc>
          <w:tcPr>
            <w:tcW w:w="1377" w:type="dxa"/>
          </w:tcPr>
          <w:p w14:paraId="1243C243" w14:textId="727BF79F"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nZEB</w:t>
            </w:r>
          </w:p>
        </w:tc>
        <w:tc>
          <w:tcPr>
            <w:tcW w:w="7650" w:type="dxa"/>
          </w:tcPr>
          <w:p w14:paraId="4C8043CE" w14:textId="522262CD" w:rsidR="00586694" w:rsidRPr="00BE553D" w:rsidRDefault="00E57760">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Nearly zero energy buildings / Zgrade gotovo nulte potrošnje energije</w:t>
            </w:r>
          </w:p>
        </w:tc>
      </w:tr>
      <w:tr w:rsidR="00586694" w:rsidRPr="00BE553D" w14:paraId="4981F761" w14:textId="77777777" w:rsidTr="00BE553D">
        <w:trPr>
          <w:trHeight w:val="20"/>
        </w:trPr>
        <w:tc>
          <w:tcPr>
            <w:tcW w:w="1377" w:type="dxa"/>
          </w:tcPr>
          <w:p w14:paraId="054E48EC" w14:textId="586D4850"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BIM</w:t>
            </w:r>
          </w:p>
        </w:tc>
        <w:tc>
          <w:tcPr>
            <w:tcW w:w="7650" w:type="dxa"/>
          </w:tcPr>
          <w:p w14:paraId="27502AAD" w14:textId="43DBE28A" w:rsidR="00586694" w:rsidRPr="00BE553D" w:rsidRDefault="00E57760">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Building information modeling / Informacijsko modeliranje zgrada</w:t>
            </w:r>
          </w:p>
        </w:tc>
      </w:tr>
      <w:tr w:rsidR="00586694" w:rsidRPr="00BE553D" w14:paraId="4BB48833" w14:textId="77777777" w:rsidTr="00BE553D">
        <w:trPr>
          <w:trHeight w:val="20"/>
        </w:trPr>
        <w:tc>
          <w:tcPr>
            <w:tcW w:w="1377" w:type="dxa"/>
          </w:tcPr>
          <w:p w14:paraId="19FC177C" w14:textId="134F9947"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REC/CEC</w:t>
            </w:r>
          </w:p>
        </w:tc>
        <w:tc>
          <w:tcPr>
            <w:tcW w:w="7650" w:type="dxa"/>
          </w:tcPr>
          <w:p w14:paraId="771DC251" w14:textId="7FF2266E" w:rsidR="00586694" w:rsidRPr="00BE553D" w:rsidRDefault="001C1C84">
            <w:pPr>
              <w:spacing w:line="252" w:lineRule="auto"/>
              <w:rPr>
                <w:rFonts w:asciiTheme="minorHAnsi" w:hAnsiTheme="minorHAnsi" w:cstheme="minorHAnsi"/>
                <w:iCs/>
                <w:sz w:val="22"/>
                <w:szCs w:val="22"/>
                <w:lang w:val="bs-Latn-BA"/>
              </w:rPr>
            </w:pPr>
            <w:r w:rsidRPr="00BE553D">
              <w:rPr>
                <w:rFonts w:asciiTheme="minorHAnsi" w:hAnsiTheme="minorHAnsi" w:cstheme="minorHAnsi"/>
                <w:i/>
                <w:iCs/>
                <w:sz w:val="22"/>
                <w:szCs w:val="22"/>
                <w:lang w:val="bs-Latn-BA"/>
              </w:rPr>
              <w:t>(REC -Renewable Energy Community</w:t>
            </w:r>
            <w:r w:rsidRPr="00BE553D">
              <w:rPr>
                <w:rFonts w:asciiTheme="minorHAnsi" w:hAnsiTheme="minorHAnsi" w:cstheme="minorHAnsi"/>
                <w:sz w:val="22"/>
                <w:szCs w:val="22"/>
                <w:lang w:val="bs-Latn-BA"/>
              </w:rPr>
              <w:t>) i “energijske zajednice građana” /</w:t>
            </w:r>
            <w:r w:rsidRPr="00BE553D">
              <w:rPr>
                <w:rFonts w:asciiTheme="minorHAnsi" w:hAnsiTheme="minorHAnsi" w:cstheme="minorHAnsi"/>
                <w:i/>
                <w:iCs/>
                <w:sz w:val="22"/>
                <w:szCs w:val="22"/>
                <w:lang w:val="bs-Latn-BA"/>
              </w:rPr>
              <w:t xml:space="preserve"> (CEC – Citizen Energy Community</w:t>
            </w:r>
            <w:r w:rsidRPr="00BE553D">
              <w:rPr>
                <w:rFonts w:asciiTheme="minorHAnsi" w:hAnsiTheme="minorHAnsi" w:cstheme="minorHAnsi"/>
                <w:sz w:val="22"/>
                <w:szCs w:val="22"/>
                <w:lang w:val="bs-Latn-BA"/>
              </w:rPr>
              <w:t>)</w:t>
            </w:r>
          </w:p>
        </w:tc>
      </w:tr>
      <w:tr w:rsidR="00586694" w:rsidRPr="00BE553D" w14:paraId="2291E7A5" w14:textId="77777777" w:rsidTr="00BE553D">
        <w:trPr>
          <w:trHeight w:val="20"/>
        </w:trPr>
        <w:tc>
          <w:tcPr>
            <w:tcW w:w="1377" w:type="dxa"/>
          </w:tcPr>
          <w:p w14:paraId="67D9E038" w14:textId="59CC7D0F"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GSB</w:t>
            </w:r>
          </w:p>
        </w:tc>
        <w:tc>
          <w:tcPr>
            <w:tcW w:w="7650" w:type="dxa"/>
          </w:tcPr>
          <w:p w14:paraId="2C7BC06D" w14:textId="3A38D8D4" w:rsidR="00586694" w:rsidRPr="00BE553D" w:rsidRDefault="00827754">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Platforma za interoperabilnost</w:t>
            </w:r>
          </w:p>
        </w:tc>
      </w:tr>
      <w:tr w:rsidR="00586694" w:rsidRPr="00BE553D" w14:paraId="4865D3B3" w14:textId="77777777" w:rsidTr="00BE553D">
        <w:trPr>
          <w:trHeight w:val="20"/>
        </w:trPr>
        <w:tc>
          <w:tcPr>
            <w:tcW w:w="1377" w:type="dxa"/>
          </w:tcPr>
          <w:p w14:paraId="52707ACF" w14:textId="6D9B8D6B" w:rsidR="00586694" w:rsidRPr="00BE553D" w:rsidRDefault="00586694"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n/d</w:t>
            </w:r>
          </w:p>
        </w:tc>
        <w:tc>
          <w:tcPr>
            <w:tcW w:w="7650" w:type="dxa"/>
          </w:tcPr>
          <w:p w14:paraId="4024372F" w14:textId="0C5D5663" w:rsidR="00586694" w:rsidRPr="00BE553D" w:rsidRDefault="00E57760">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No data / Podatak nepoznat</w:t>
            </w:r>
          </w:p>
        </w:tc>
      </w:tr>
      <w:tr w:rsidR="003F1F59" w:rsidRPr="00BE553D" w14:paraId="78DF47C1" w14:textId="77777777" w:rsidTr="00BE553D">
        <w:trPr>
          <w:trHeight w:val="20"/>
        </w:trPr>
        <w:tc>
          <w:tcPr>
            <w:tcW w:w="1377" w:type="dxa"/>
          </w:tcPr>
          <w:p w14:paraId="3AC0D6C7" w14:textId="59C580BF" w:rsidR="003F1F59" w:rsidRPr="00BE553D" w:rsidRDefault="003F1F59" w:rsidP="00586694">
            <w:pPr>
              <w:spacing w:line="256" w:lineRule="auto"/>
              <w:rPr>
                <w:rFonts w:asciiTheme="minorHAnsi" w:hAnsiTheme="minorHAnsi" w:cstheme="minorHAnsi"/>
                <w:sz w:val="22"/>
                <w:szCs w:val="22"/>
                <w:lang w:val="bs-Latn-BA"/>
              </w:rPr>
            </w:pPr>
            <w:r w:rsidRPr="00BE553D">
              <w:rPr>
                <w:rFonts w:asciiTheme="minorHAnsi" w:hAnsiTheme="minorHAnsi" w:cstheme="minorHAnsi"/>
                <w:sz w:val="22"/>
                <w:szCs w:val="22"/>
                <w:lang w:val="bs-Latn-BA"/>
              </w:rPr>
              <w:t>LEAP</w:t>
            </w:r>
          </w:p>
        </w:tc>
        <w:tc>
          <w:tcPr>
            <w:tcW w:w="7650" w:type="dxa"/>
          </w:tcPr>
          <w:p w14:paraId="12FC6C9C" w14:textId="449FE329" w:rsidR="003F1F59" w:rsidRPr="00BE553D" w:rsidRDefault="003F1F59">
            <w:pPr>
              <w:spacing w:line="252" w:lineRule="auto"/>
              <w:rPr>
                <w:rFonts w:asciiTheme="minorHAnsi" w:hAnsiTheme="minorHAnsi" w:cstheme="minorHAnsi"/>
                <w:iCs/>
                <w:sz w:val="22"/>
                <w:szCs w:val="22"/>
                <w:lang w:val="bs-Latn-BA"/>
              </w:rPr>
            </w:pPr>
            <w:r w:rsidRPr="00BE553D">
              <w:rPr>
                <w:rFonts w:asciiTheme="minorHAnsi" w:hAnsiTheme="minorHAnsi" w:cstheme="minorHAnsi"/>
                <w:iCs/>
                <w:sz w:val="22"/>
                <w:szCs w:val="22"/>
                <w:lang w:val="bs-Latn-BA"/>
              </w:rPr>
              <w:t xml:space="preserve">Long-range Energy Alternatives Planning System </w:t>
            </w:r>
          </w:p>
        </w:tc>
      </w:tr>
    </w:tbl>
    <w:p w14:paraId="1BF204D4" w14:textId="0105E241" w:rsidR="00055321" w:rsidRPr="008924E0" w:rsidRDefault="00740D4F">
      <w:pPr>
        <w:spacing w:line="276" w:lineRule="auto"/>
        <w:rPr>
          <w:lang w:val="bs-Latn-BA"/>
        </w:rPr>
      </w:pPr>
      <w:r w:rsidRPr="008924E0">
        <w:rPr>
          <w:lang w:val="bs-Latn-BA"/>
        </w:rPr>
        <w:br w:type="page"/>
      </w:r>
    </w:p>
    <w:p w14:paraId="2EB00CF0" w14:textId="77777777" w:rsidR="00055321" w:rsidRPr="008924E0" w:rsidRDefault="00740D4F" w:rsidP="008A246A">
      <w:pPr>
        <w:pStyle w:val="Heading1"/>
        <w:numPr>
          <w:ilvl w:val="0"/>
          <w:numId w:val="0"/>
        </w:numPr>
        <w:spacing w:before="0" w:after="120" w:line="276" w:lineRule="auto"/>
        <w:rPr>
          <w:lang w:val="bs-Latn-BA"/>
        </w:rPr>
      </w:pPr>
      <w:bookmarkStart w:id="1" w:name="_Toc134011746"/>
      <w:r w:rsidRPr="008924E0">
        <w:rPr>
          <w:lang w:val="bs-Latn-BA"/>
        </w:rPr>
        <w:lastRenderedPageBreak/>
        <w:t>UVOD</w:t>
      </w:r>
      <w:bookmarkEnd w:id="1"/>
    </w:p>
    <w:p w14:paraId="32ED1773" w14:textId="6B6B028C" w:rsidR="00055321" w:rsidRPr="008924E0" w:rsidRDefault="00740D4F">
      <w:pPr>
        <w:spacing w:after="120" w:line="276" w:lineRule="auto"/>
        <w:rPr>
          <w:lang w:val="bs-Latn-BA"/>
        </w:rPr>
      </w:pPr>
      <w:r w:rsidRPr="008924E0">
        <w:rPr>
          <w:lang w:val="bs-Latn-BA"/>
        </w:rPr>
        <w:t xml:space="preserve">Zahtjevi Europske unije (EU) i međunarodne </w:t>
      </w:r>
      <w:r w:rsidR="00F03625">
        <w:rPr>
          <w:lang w:val="bs-Latn-BA"/>
        </w:rPr>
        <w:t>obvez</w:t>
      </w:r>
      <w:r w:rsidRPr="008924E0">
        <w:rPr>
          <w:lang w:val="bs-Latn-BA"/>
        </w:rPr>
        <w:t>e Bosne i Hercegovine (BiH) u području energetskog sektora, u najvećoj mjeri sadržane su u odredbama Ugovora o uspostavljanju Energetske zajednice (Odluka Bosne i Hercegovine o ratificiranju Ugovora o uspostavljanju Energetske zajednice)</w:t>
      </w:r>
      <w:r w:rsidRPr="008924E0">
        <w:rPr>
          <w:vertAlign w:val="superscript"/>
          <w:lang w:val="bs-Latn-BA"/>
        </w:rPr>
        <w:footnoteReference w:id="2"/>
      </w:r>
      <w:r w:rsidRPr="008924E0">
        <w:rPr>
          <w:lang w:val="bs-Latn-BA"/>
        </w:rPr>
        <w:t>.</w:t>
      </w:r>
    </w:p>
    <w:p w14:paraId="4CA95C76" w14:textId="021D6C84" w:rsidR="00055321" w:rsidRPr="008924E0" w:rsidRDefault="00740D4F">
      <w:pPr>
        <w:tabs>
          <w:tab w:val="left" w:pos="4962"/>
        </w:tabs>
        <w:rPr>
          <w:lang w:val="bs-Latn-BA"/>
        </w:rPr>
      </w:pPr>
      <w:r w:rsidRPr="008924E0">
        <w:rPr>
          <w:lang w:val="bs-Latn-BA"/>
        </w:rPr>
        <w:t xml:space="preserve">Potpisivanjem Ugovora o Energetskoj zajednici (EnZ), Bosna i Hercegovina se </w:t>
      </w:r>
      <w:r w:rsidR="00F03625">
        <w:rPr>
          <w:lang w:val="bs-Latn-BA"/>
        </w:rPr>
        <w:t>obvez</w:t>
      </w:r>
      <w:r w:rsidRPr="008924E0">
        <w:rPr>
          <w:lang w:val="bs-Latn-BA"/>
        </w:rPr>
        <w:t xml:space="preserve">ala na preuzimanje temeljnih odrednica energetskog zakonodavstva EU tzv. </w:t>
      </w:r>
      <w:r w:rsidRPr="008924E0">
        <w:rPr>
          <w:i/>
          <w:lang w:val="bs-Latn-BA"/>
        </w:rPr>
        <w:t>Acquis communautaire,</w:t>
      </w:r>
      <w:r w:rsidRPr="008924E0">
        <w:rPr>
          <w:lang w:val="bs-Latn-BA"/>
        </w:rPr>
        <w:t xml:space="preserve"> odnosno harmoniziranje pravnog okvira u našoj državi  sa </w:t>
      </w:r>
      <w:r w:rsidRPr="008924E0">
        <w:rPr>
          <w:i/>
          <w:lang w:val="bs-Latn-BA"/>
        </w:rPr>
        <w:t>pravnom stečevinom</w:t>
      </w:r>
      <w:r w:rsidRPr="008924E0">
        <w:rPr>
          <w:lang w:val="bs-Latn-BA"/>
        </w:rPr>
        <w:t xml:space="preserve"> EU u energetskom sektoru. Između ostalog, Ugovor o uspostavljanju EnZ zahtijeva od ugovornih strana donošenje  mjera razvoja sektora energijske efikasnosti (EE), uzimajući u obzir sigurnost snabdijevanja energijom, zaštitu okoliša, socijalnu </w:t>
      </w:r>
      <w:r w:rsidR="00943484" w:rsidRPr="008924E0">
        <w:rPr>
          <w:lang w:val="bs-Latn-BA"/>
        </w:rPr>
        <w:t>povezanost</w:t>
      </w:r>
      <w:r w:rsidRPr="008924E0">
        <w:rPr>
          <w:lang w:val="bs-Latn-BA"/>
        </w:rPr>
        <w:t xml:space="preserve"> i regionalni razvoj</w:t>
      </w:r>
      <w:r w:rsidRPr="008924E0">
        <w:rPr>
          <w:vertAlign w:val="superscript"/>
          <w:lang w:val="bs-Latn-BA"/>
        </w:rPr>
        <w:footnoteReference w:id="3"/>
      </w:r>
      <w:r w:rsidRPr="008924E0">
        <w:rPr>
          <w:lang w:val="bs-Latn-BA"/>
        </w:rPr>
        <w:t xml:space="preserve">. </w:t>
      </w:r>
    </w:p>
    <w:p w14:paraId="184CF1DD" w14:textId="77777777" w:rsidR="00055321" w:rsidRPr="008924E0" w:rsidRDefault="00740D4F">
      <w:pPr>
        <w:tabs>
          <w:tab w:val="left" w:pos="4962"/>
        </w:tabs>
        <w:rPr>
          <w:lang w:val="bs-Latn-BA"/>
        </w:rPr>
      </w:pPr>
      <w:r w:rsidRPr="008924E0">
        <w:rPr>
          <w:lang w:val="bs-Latn-BA"/>
        </w:rPr>
        <w:t xml:space="preserve">Direktivom o energijskoj efikasnosti 2012/27/EU (EED) koja je integrirana u pravni okvir Energetske zajednice u oktobru 2015. godine kroz odluku Ministarskog vijeća 2015/08/MC-EnC i prilagođena ugovornim stranama EnZ, uspostavljen je zajednički okvir mjera za podsticanje EE kako bi se osiguralo ostvarivanje krovnog cilja povećanja EE u Energetskoj zajednici za 20% do 2020. godine. Osim navedenog, Direktivom 2012/27/EU  se zahtjeva od država potpisnica Ugovora o EnZ da usvoje akcione planove energijske efikasnosti. </w:t>
      </w:r>
    </w:p>
    <w:p w14:paraId="5AE75A57" w14:textId="77777777" w:rsidR="00055321" w:rsidRPr="008924E0" w:rsidRDefault="00740D4F">
      <w:pPr>
        <w:tabs>
          <w:tab w:val="left" w:pos="4962"/>
        </w:tabs>
        <w:rPr>
          <w:lang w:val="bs-Latn-BA"/>
        </w:rPr>
      </w:pPr>
      <w:r w:rsidRPr="008924E0">
        <w:rPr>
          <w:lang w:val="bs-Latn-BA"/>
        </w:rPr>
        <w:t>Prema članu 9. Zakona o ministarstvima i drugim organima uprave Bosne i Hercegovine</w:t>
      </w:r>
      <w:r w:rsidRPr="008924E0">
        <w:rPr>
          <w:vertAlign w:val="superscript"/>
          <w:lang w:val="bs-Latn-BA"/>
        </w:rPr>
        <w:footnoteReference w:id="4"/>
      </w:r>
      <w:r w:rsidRPr="008924E0">
        <w:rPr>
          <w:lang w:val="bs-Latn-BA"/>
        </w:rPr>
        <w:t xml:space="preserve">, Ministarstvo vanjske trgovine i ekonomskih odnosa BiH je, između ostalog, nadležno i za obavljanje poslova i zadataka u nadležnosti BiH koji se odnose na definiranje politike, osnovnih principa, koordiniranje djelatnosti i usklađivanje planova entitetskih tijela vlasti i institucija na međunarodnom planu u području energetike.    </w:t>
      </w:r>
    </w:p>
    <w:p w14:paraId="78819824" w14:textId="3DF08969" w:rsidR="00055321" w:rsidRPr="008924E0" w:rsidRDefault="00740D4F">
      <w:pPr>
        <w:tabs>
          <w:tab w:val="left" w:pos="4962"/>
        </w:tabs>
        <w:rPr>
          <w:lang w:val="bs-Latn-BA"/>
        </w:rPr>
      </w:pPr>
      <w:r w:rsidRPr="008924E0">
        <w:rPr>
          <w:lang w:val="bs-Latn-BA"/>
        </w:rPr>
        <w:t xml:space="preserve">Shodno navedenom, Ministarstvo vanjske trgovine i ekonomskih odnosa BiH (MVTEO) nadležno je za ispunjenje </w:t>
      </w:r>
      <w:r w:rsidR="00F03625">
        <w:rPr>
          <w:lang w:val="bs-Latn-BA"/>
        </w:rPr>
        <w:t>obvez</w:t>
      </w:r>
      <w:r w:rsidRPr="008924E0">
        <w:rPr>
          <w:lang w:val="bs-Latn-BA"/>
        </w:rPr>
        <w:t>a preuzetih potpisivanjem Ugovora o uspostavljanju Energetske zajednice u ime BiH, te zajedno sa relevantnim entitetskim ministarstvima sarađuje s tijelima Energetske zajednice.</w:t>
      </w:r>
    </w:p>
    <w:p w14:paraId="1EB6836F" w14:textId="77777777" w:rsidR="00055321" w:rsidRPr="008924E0" w:rsidRDefault="00740D4F">
      <w:pPr>
        <w:rPr>
          <w:lang w:val="bs-Latn-BA"/>
        </w:rPr>
      </w:pPr>
      <w:r w:rsidRPr="008924E0">
        <w:rPr>
          <w:lang w:val="bs-Latn-BA"/>
        </w:rPr>
        <w:t xml:space="preserve">Prvobitno je članom 4 Direktive 2012/27/EU o energijskoj efikasnosti bila definirana izrada i usvajanje dugoročne strategije za podsticanje ulaganja u obnovu nacionalnog fonda stambenih i poslovnih zgrada, javnih i privatnih. Prema Odluci Ministarskog vijeća EnZ 2015/08/MC-EnC, 30. mart 2017. godine bio je određen kao rok za izradu prve verzije strategije obnove zgrada. </w:t>
      </w:r>
    </w:p>
    <w:p w14:paraId="5ADCF198" w14:textId="220957D5" w:rsidR="00055321" w:rsidRPr="008924E0" w:rsidRDefault="00740D4F">
      <w:pPr>
        <w:tabs>
          <w:tab w:val="left" w:pos="4962"/>
        </w:tabs>
        <w:spacing w:after="120" w:line="276" w:lineRule="auto"/>
        <w:rPr>
          <w:lang w:val="bs-Latn-BA"/>
        </w:rPr>
      </w:pPr>
      <w:r w:rsidRPr="008924E0">
        <w:rPr>
          <w:lang w:val="bs-Latn-BA"/>
        </w:rPr>
        <w:t xml:space="preserve">Na prijedlog Ministarstva vanjske trgovine i ekonomskih odnosa, Vijeće ministara Bosne i Hercegovine je 2017. godine usvojilo je Akcioni plan za energijsku efikasnost u BiH za period 2016 - 2018, čime je BiH ispunila preuzetu </w:t>
      </w:r>
      <w:r w:rsidR="00F03625">
        <w:rPr>
          <w:lang w:val="bs-Latn-BA"/>
        </w:rPr>
        <w:t>obvez</w:t>
      </w:r>
      <w:r w:rsidRPr="008924E0">
        <w:rPr>
          <w:lang w:val="bs-Latn-BA"/>
        </w:rPr>
        <w:t>u  iz Ugovora o Energetskoj zajednici, kao značajan segment reformskog procesa u oblasti energijske efikasnosti. Akcioni plan za energijsku efikasnost BiH sadrži mjere i programe čija je realizacija u nadležnosti BiH i Brčko distrikta BiH, a sastavni dijelovi su Akcioni plan za energijsku efikasnost u Federaciji BiH od 2016. do 2018. godine i Izmjene i dopune Akcionog plana za energ</w:t>
      </w:r>
      <w:r w:rsidR="006D1BD7">
        <w:rPr>
          <w:lang w:val="bs-Latn-BA"/>
        </w:rPr>
        <w:t>ij</w:t>
      </w:r>
      <w:r w:rsidRPr="008924E0">
        <w:rPr>
          <w:lang w:val="bs-Latn-BA"/>
        </w:rPr>
        <w:t xml:space="preserve">sku efikasnost u Republici Srpskoj do 2018. godine, u kojima su detaljno obrađene i planirane mjere i programi čija je realizacija u nadležnosti entiteta. </w:t>
      </w:r>
    </w:p>
    <w:p w14:paraId="692D3DDE" w14:textId="14400A54" w:rsidR="00055321" w:rsidRPr="008924E0" w:rsidRDefault="00740D4F">
      <w:pPr>
        <w:tabs>
          <w:tab w:val="left" w:pos="4962"/>
        </w:tabs>
        <w:spacing w:after="120" w:line="276" w:lineRule="auto"/>
        <w:rPr>
          <w:lang w:val="bs-Latn-BA"/>
        </w:rPr>
      </w:pPr>
      <w:r w:rsidRPr="008924E0">
        <w:rPr>
          <w:lang w:val="bs-Latn-BA"/>
        </w:rPr>
        <w:lastRenderedPageBreak/>
        <w:t xml:space="preserve">U tom smislu, stvorena je osnova za izradu prve verzije strategija obnove zgrada na </w:t>
      </w:r>
      <w:r w:rsidR="003319E5" w:rsidRPr="008924E0">
        <w:rPr>
          <w:lang w:val="bs-Latn-BA"/>
        </w:rPr>
        <w:t>entitetskim</w:t>
      </w:r>
      <w:r w:rsidRPr="008924E0">
        <w:rPr>
          <w:lang w:val="bs-Latn-BA"/>
        </w:rPr>
        <w:t xml:space="preserve"> nivoima (Federacija BiH i Republika Srpska) i Integralne strategije obnove BiH, koje su pripremljene u formi nacrta 2019. godine.</w:t>
      </w:r>
    </w:p>
    <w:p w14:paraId="07AB4BD6" w14:textId="77777777" w:rsidR="00055321" w:rsidRPr="008924E0" w:rsidRDefault="00740D4F">
      <w:pPr>
        <w:tabs>
          <w:tab w:val="left" w:pos="4962"/>
        </w:tabs>
        <w:spacing w:after="120" w:line="276" w:lineRule="auto"/>
        <w:rPr>
          <w:lang w:val="bs-Latn-BA"/>
        </w:rPr>
      </w:pPr>
      <w:r w:rsidRPr="008924E0">
        <w:rPr>
          <w:lang w:val="bs-Latn-BA"/>
        </w:rPr>
        <w:t>Po svojoj strukturi, dugoročna Strategija obnove zgrada Bosne i Hercegovine sastoji se od sljedećih cjelina:</w:t>
      </w:r>
    </w:p>
    <w:p w14:paraId="51891095" w14:textId="77777777" w:rsidR="00055321" w:rsidRPr="008924E0" w:rsidRDefault="00740D4F">
      <w:pPr>
        <w:numPr>
          <w:ilvl w:val="0"/>
          <w:numId w:val="23"/>
        </w:numPr>
        <w:tabs>
          <w:tab w:val="left" w:pos="4962"/>
        </w:tabs>
        <w:spacing w:after="120" w:line="276" w:lineRule="auto"/>
        <w:rPr>
          <w:lang w:val="bs-Latn-BA"/>
        </w:rPr>
      </w:pPr>
      <w:r w:rsidRPr="008924E0">
        <w:rPr>
          <w:lang w:val="bs-Latn-BA"/>
        </w:rPr>
        <w:t>Strategija obnove zgrada Federacije BiH;</w:t>
      </w:r>
    </w:p>
    <w:p w14:paraId="124DF4AE" w14:textId="77777777" w:rsidR="00055321" w:rsidRPr="008924E0" w:rsidRDefault="00740D4F">
      <w:pPr>
        <w:numPr>
          <w:ilvl w:val="0"/>
          <w:numId w:val="23"/>
        </w:numPr>
        <w:tabs>
          <w:tab w:val="left" w:pos="4962"/>
        </w:tabs>
        <w:spacing w:after="120" w:line="276" w:lineRule="auto"/>
        <w:rPr>
          <w:lang w:val="bs-Latn-BA"/>
        </w:rPr>
      </w:pPr>
      <w:r w:rsidRPr="008924E0">
        <w:rPr>
          <w:lang w:val="bs-Latn-BA"/>
        </w:rPr>
        <w:t>Strategiju obnove zgrada Republike Srpske;</w:t>
      </w:r>
    </w:p>
    <w:p w14:paraId="53B074CD" w14:textId="77777777" w:rsidR="00055321" w:rsidRPr="008924E0" w:rsidRDefault="00740D4F">
      <w:pPr>
        <w:numPr>
          <w:ilvl w:val="0"/>
          <w:numId w:val="23"/>
        </w:numPr>
        <w:tabs>
          <w:tab w:val="left" w:pos="4962"/>
        </w:tabs>
        <w:spacing w:after="120" w:line="276" w:lineRule="auto"/>
        <w:rPr>
          <w:lang w:val="bs-Latn-BA"/>
        </w:rPr>
      </w:pPr>
      <w:r w:rsidRPr="008924E0">
        <w:rPr>
          <w:lang w:val="bs-Latn-BA"/>
        </w:rPr>
        <w:t>Strategiju obnove zgrada Brčko Distrikta i zgrada na nivou BiH.</w:t>
      </w:r>
    </w:p>
    <w:p w14:paraId="337DC227" w14:textId="2092224B" w:rsidR="00055321" w:rsidRPr="008924E0" w:rsidRDefault="00740D4F">
      <w:pPr>
        <w:rPr>
          <w:lang w:val="bs-Latn-BA"/>
        </w:rPr>
      </w:pPr>
      <w:r w:rsidRPr="008924E0">
        <w:rPr>
          <w:lang w:val="bs-Latn-BA"/>
        </w:rPr>
        <w:t xml:space="preserve">Bosna i Hercegovina kao ugovorna strana Energetske zajednice, preuzela je </w:t>
      </w:r>
      <w:r w:rsidR="00F03625">
        <w:rPr>
          <w:lang w:val="bs-Latn-BA"/>
        </w:rPr>
        <w:t>obvez</w:t>
      </w:r>
      <w:r w:rsidRPr="008924E0">
        <w:rPr>
          <w:lang w:val="bs-Latn-BA"/>
        </w:rPr>
        <w:t>u da svoje zakonodavstvo usklađuje s Ugovorom, a samim tim prema odlukama Ministarskog vijeća EnZ,  usklađuje zakonodavstvo i sa odredbama koje se odnose na zemlje članice EU. Ugovor i pravna stečevina stalno se razvijaju kako bi uključili nove sektore kao i ažurirali odnosno zamijenili zastarjele akte. Članovi 24 i 25 Ugovora omogućavaju prilagođavanje pravne stečevine i provedbu mogućih izmjena i dopuna, čime se osigurava da ugovorne strane En</w:t>
      </w:r>
      <w:r w:rsidR="003F1F59">
        <w:rPr>
          <w:lang w:val="bs-Latn-BA"/>
        </w:rPr>
        <w:t>Z</w:t>
      </w:r>
      <w:r w:rsidRPr="008924E0">
        <w:rPr>
          <w:lang w:val="bs-Latn-BA"/>
        </w:rPr>
        <w:t xml:space="preserve"> budu u toku s razvojem EU i kontinuirano usklađuju svoje regulatorne okvire u energetskim i drugim relevantnim sektorima sa EU. </w:t>
      </w:r>
    </w:p>
    <w:p w14:paraId="7A8E184C" w14:textId="32965A2B" w:rsidR="00055321" w:rsidRPr="008924E0" w:rsidRDefault="00740D4F">
      <w:pPr>
        <w:rPr>
          <w:lang w:val="bs-Latn-BA"/>
        </w:rPr>
      </w:pPr>
      <w:bookmarkStart w:id="2" w:name="_heading=h.1fob9te" w:colFirst="0" w:colLast="0"/>
      <w:bookmarkEnd w:id="2"/>
      <w:r w:rsidRPr="008924E0">
        <w:rPr>
          <w:lang w:val="bs-Latn-BA"/>
        </w:rPr>
        <w:t xml:space="preserve">Na nivou EU je 2018. godine donesena Uredba 2018/1999 o upravljanju energetskom unijom i djelovanjem u području klime. Dodatno, donesena je Direktiva 2018/844 o izmjenama odredbi Direktive 2012/27/EU o energijskoj efikasnosti (EED) i Direktive 2010/31/EU o energijskim karakteristikama zgrada (EPBD), kojom je potvrđena </w:t>
      </w:r>
      <w:r w:rsidR="00F03625">
        <w:rPr>
          <w:lang w:val="bs-Latn-BA"/>
        </w:rPr>
        <w:t>obvez</w:t>
      </w:r>
      <w:r w:rsidRPr="008924E0">
        <w:rPr>
          <w:lang w:val="bs-Latn-BA"/>
        </w:rPr>
        <w:t>a izrade strategije obnove zgrada s naglaskom da se strategijom moraju utvrditi ciljevi da do 2050. godine cijeli građevinski fond zgrada postane visokoenergijski efikasan i dekarboniziran, te da se kroz troškovno efikasne mjere omogući da sve zgrade budu zgrade gotovo nulte energije. Uredbom 2018/1999/EU o upravljanju energetskom unijom i djelovanjem u području klime, utvrđuje se da  Strategija obnove postaje sastavni je dio Integriranog nacionalnog energetskog i klimatskog plana do 2030.</w:t>
      </w:r>
    </w:p>
    <w:p w14:paraId="38471C69" w14:textId="2C39A0F2" w:rsidR="00055321" w:rsidRPr="008924E0" w:rsidRDefault="00740D4F">
      <w:pPr>
        <w:rPr>
          <w:lang w:val="bs-Latn-BA"/>
        </w:rPr>
      </w:pPr>
      <w:bookmarkStart w:id="3" w:name="_heading=h.3znysh7" w:colFirst="0" w:colLast="0"/>
      <w:bookmarkEnd w:id="3"/>
      <w:r w:rsidRPr="008924E0">
        <w:rPr>
          <w:lang w:val="bs-Latn-BA"/>
        </w:rPr>
        <w:t>Shodno izmjenama Direktiva, član 2a EPBD 2010/31/EU propisuje izradu dugoročne strategije za poticanje obnove nacionalnog fonda stambenih i nestambenih zgrada, javnih i privatnih, u energijski visokoefikasan i dekarboniziran fond zgrada do 2050., olakšavajući troškovno efikasnu pretvorbu postojećih zgrada u zgrade gotovo nulte energije Članom 2a EPBD utvrđuje se i rok za izradu prve verzije nacionalne strategije obnove zgrada, a prema odluci Vijeća ministara EnZ, za zemlje potpisnice ugovora o EnZ to je 10. mart 2023.</w:t>
      </w:r>
    </w:p>
    <w:p w14:paraId="39E03D3B" w14:textId="6A99C7B0" w:rsidR="00501DCF" w:rsidRPr="008924E0" w:rsidRDefault="00501DCF">
      <w:pPr>
        <w:rPr>
          <w:lang w:val="bs-Latn-BA"/>
        </w:rPr>
      </w:pPr>
    </w:p>
    <w:p w14:paraId="288EA12D" w14:textId="02CA06F4" w:rsidR="00501DCF" w:rsidRPr="008924E0" w:rsidRDefault="00501DCF">
      <w:pPr>
        <w:rPr>
          <w:lang w:val="bs-Latn-BA"/>
        </w:rPr>
      </w:pPr>
    </w:p>
    <w:p w14:paraId="1B797CAF" w14:textId="1EB10857" w:rsidR="00501DCF" w:rsidRPr="008924E0" w:rsidRDefault="00501DCF">
      <w:pPr>
        <w:rPr>
          <w:lang w:val="bs-Latn-BA"/>
        </w:rPr>
      </w:pPr>
    </w:p>
    <w:p w14:paraId="0899B605" w14:textId="0BE88B14" w:rsidR="00501DCF" w:rsidRPr="008924E0" w:rsidRDefault="00501DCF">
      <w:pPr>
        <w:rPr>
          <w:lang w:val="bs-Latn-BA"/>
        </w:rPr>
      </w:pPr>
    </w:p>
    <w:p w14:paraId="732C26A6" w14:textId="7FD3AAD5" w:rsidR="00501DCF" w:rsidRPr="008924E0" w:rsidRDefault="00501DCF">
      <w:pPr>
        <w:rPr>
          <w:lang w:val="bs-Latn-BA"/>
        </w:rPr>
      </w:pPr>
    </w:p>
    <w:p w14:paraId="764DA962" w14:textId="1C68061F" w:rsidR="00501DCF" w:rsidRPr="008924E0" w:rsidRDefault="00501DCF">
      <w:pPr>
        <w:rPr>
          <w:lang w:val="bs-Latn-BA"/>
        </w:rPr>
      </w:pPr>
    </w:p>
    <w:p w14:paraId="5DBF8DEE" w14:textId="18B4C5EB" w:rsidR="00501DCF" w:rsidRPr="008924E0" w:rsidRDefault="00501DCF">
      <w:pPr>
        <w:rPr>
          <w:lang w:val="bs-Latn-BA"/>
        </w:rPr>
      </w:pPr>
    </w:p>
    <w:p w14:paraId="6A1995C5" w14:textId="729398C1" w:rsidR="00501DCF" w:rsidRPr="008924E0" w:rsidRDefault="00501DCF">
      <w:pPr>
        <w:rPr>
          <w:lang w:val="bs-Latn-BA"/>
        </w:rPr>
      </w:pPr>
    </w:p>
    <w:p w14:paraId="23581D6D" w14:textId="079EACC8" w:rsidR="00501DCF" w:rsidRPr="008924E0" w:rsidRDefault="00501DCF" w:rsidP="00501DCF">
      <w:pPr>
        <w:pStyle w:val="Heading1"/>
        <w:numPr>
          <w:ilvl w:val="0"/>
          <w:numId w:val="33"/>
        </w:numPr>
        <w:rPr>
          <w:lang w:val="bs-Latn-BA"/>
        </w:rPr>
      </w:pPr>
      <w:bookmarkStart w:id="4" w:name="_Toc134011747"/>
      <w:r w:rsidRPr="008924E0">
        <w:rPr>
          <w:lang w:val="bs-Latn-BA"/>
        </w:rPr>
        <w:lastRenderedPageBreak/>
        <w:t>M</w:t>
      </w:r>
      <w:r w:rsidR="0087301F">
        <w:rPr>
          <w:lang w:val="bs-Latn-BA"/>
        </w:rPr>
        <w:t>etodologija izrade Strategije</w:t>
      </w:r>
      <w:bookmarkEnd w:id="4"/>
    </w:p>
    <w:p w14:paraId="3FCBD4B6" w14:textId="77777777" w:rsidR="0005460F" w:rsidRPr="008924E0" w:rsidRDefault="0005460F" w:rsidP="0005460F">
      <w:pPr>
        <w:spacing w:after="120" w:line="276" w:lineRule="auto"/>
        <w:rPr>
          <w:lang w:val="bs-Latn-BA"/>
        </w:rPr>
      </w:pPr>
      <w:r>
        <w:rPr>
          <w:lang w:val="bs-Latn-BA"/>
        </w:rPr>
        <w:t>Prva verzija n</w:t>
      </w:r>
      <w:r w:rsidRPr="008924E0">
        <w:rPr>
          <w:lang w:val="bs-Latn-BA"/>
        </w:rPr>
        <w:t>acrt</w:t>
      </w:r>
      <w:r>
        <w:rPr>
          <w:lang w:val="bs-Latn-BA"/>
        </w:rPr>
        <w:t>a</w:t>
      </w:r>
      <w:r w:rsidRPr="008924E0">
        <w:rPr>
          <w:lang w:val="bs-Latn-BA"/>
        </w:rPr>
        <w:t xml:space="preserve"> Strategije dugoročne obnove zgrada u Federacije BiH za period do 2050.</w:t>
      </w:r>
      <w:r>
        <w:rPr>
          <w:lang w:val="bs-Latn-BA"/>
        </w:rPr>
        <w:t xml:space="preserve"> </w:t>
      </w:r>
      <w:r w:rsidRPr="008924E0">
        <w:rPr>
          <w:lang w:val="bs-Latn-BA"/>
        </w:rPr>
        <w:t>godine urađen</w:t>
      </w:r>
      <w:r>
        <w:rPr>
          <w:lang w:val="bs-Latn-BA"/>
        </w:rPr>
        <w:t>a</w:t>
      </w:r>
      <w:r w:rsidRPr="008924E0">
        <w:rPr>
          <w:lang w:val="bs-Latn-BA"/>
        </w:rPr>
        <w:t xml:space="preserve"> je kao rezultat realizacije </w:t>
      </w:r>
      <w:r>
        <w:rPr>
          <w:lang w:val="bs-Latn-BA"/>
        </w:rPr>
        <w:t>p</w:t>
      </w:r>
      <w:r w:rsidRPr="008924E0">
        <w:rPr>
          <w:lang w:val="bs-Latn-BA"/>
        </w:rPr>
        <w:t xml:space="preserve">rograma GIZ </w:t>
      </w:r>
      <w:r w:rsidRPr="008924E0">
        <w:rPr>
          <w:color w:val="000000"/>
          <w:lang w:val="bs-Latn-BA"/>
        </w:rPr>
        <w:t xml:space="preserve">(Njemačko društvo za međunarodnu saradnju), </w:t>
      </w:r>
      <w:r w:rsidRPr="008924E0">
        <w:rPr>
          <w:lang w:val="bs-Latn-BA"/>
        </w:rPr>
        <w:t>projekta "Promocija energ</w:t>
      </w:r>
      <w:r>
        <w:rPr>
          <w:lang w:val="bs-Latn-BA"/>
        </w:rPr>
        <w:t>ijske</w:t>
      </w:r>
      <w:r w:rsidRPr="008924E0">
        <w:rPr>
          <w:lang w:val="bs-Latn-BA"/>
        </w:rPr>
        <w:t xml:space="preserve"> efikasnosti", 2017-2019</w:t>
      </w:r>
      <w:r>
        <w:rPr>
          <w:lang w:val="bs-Latn-BA"/>
        </w:rPr>
        <w:t xml:space="preserve">, nakon čega je održana Prva konferencija </w:t>
      </w:r>
      <w:r w:rsidRPr="008924E0">
        <w:rPr>
          <w:lang w:val="bs-Latn-BA"/>
        </w:rPr>
        <w:t>Strategije dugoročne obnove zgrada u FBiH za period do 2050.</w:t>
      </w:r>
    </w:p>
    <w:p w14:paraId="09AC1B91" w14:textId="6C307693" w:rsidR="0005460F" w:rsidRPr="008924E0" w:rsidRDefault="0005460F" w:rsidP="0005460F">
      <w:pPr>
        <w:spacing w:after="120" w:line="276" w:lineRule="auto"/>
        <w:rPr>
          <w:lang w:val="bs-Latn-BA"/>
        </w:rPr>
      </w:pPr>
      <w:r w:rsidRPr="008924E0">
        <w:rPr>
          <w:lang w:val="bs-Latn-BA"/>
        </w:rPr>
        <w:t>Vlada Federacije BiH 15. jula 20</w:t>
      </w:r>
      <w:r>
        <w:rPr>
          <w:lang w:val="bs-Latn-BA"/>
        </w:rPr>
        <w:t>21</w:t>
      </w:r>
      <w:r w:rsidRPr="008924E0">
        <w:rPr>
          <w:lang w:val="bs-Latn-BA"/>
        </w:rPr>
        <w:t>. godine donosi Odluku o izradi sektorske „Strategije dugoročne obnove zgrada u Federaciji BiH za period do 2050. godine“</w:t>
      </w:r>
      <w:r w:rsidRPr="008924E0">
        <w:rPr>
          <w:vertAlign w:val="superscript"/>
          <w:lang w:val="bs-Latn-BA"/>
        </w:rPr>
        <w:t xml:space="preserve"> </w:t>
      </w:r>
      <w:r w:rsidRPr="008924E0">
        <w:rPr>
          <w:vertAlign w:val="superscript"/>
          <w:lang w:val="bs-Latn-BA"/>
        </w:rPr>
        <w:footnoteReference w:id="5"/>
      </w:r>
      <w:r w:rsidRPr="008924E0">
        <w:rPr>
          <w:lang w:val="bs-Latn-BA"/>
        </w:rPr>
        <w:t xml:space="preserve"> (u nastavku: Strategija)</w:t>
      </w:r>
      <w:r>
        <w:rPr>
          <w:lang w:val="bs-Latn-BA"/>
        </w:rPr>
        <w:t>, te se na taj način stiče</w:t>
      </w:r>
      <w:r w:rsidRPr="008924E0">
        <w:rPr>
          <w:lang w:val="bs-Latn-BA"/>
        </w:rPr>
        <w:t xml:space="preserve"> legaln</w:t>
      </w:r>
      <w:r>
        <w:rPr>
          <w:lang w:val="bs-Latn-BA"/>
        </w:rPr>
        <w:t>a</w:t>
      </w:r>
      <w:r w:rsidRPr="008924E0">
        <w:rPr>
          <w:lang w:val="bs-Latn-BA"/>
        </w:rPr>
        <w:t xml:space="preserve"> osnov</w:t>
      </w:r>
      <w:r>
        <w:rPr>
          <w:lang w:val="bs-Latn-BA"/>
        </w:rPr>
        <w:t>a</w:t>
      </w:r>
      <w:r w:rsidRPr="008924E0">
        <w:rPr>
          <w:lang w:val="bs-Latn-BA"/>
        </w:rPr>
        <w:t xml:space="preserve">  za izradu </w:t>
      </w:r>
      <w:r>
        <w:rPr>
          <w:lang w:val="bs-Latn-BA"/>
        </w:rPr>
        <w:t>ovog dokumenta</w:t>
      </w:r>
      <w:r w:rsidRPr="008924E0">
        <w:rPr>
          <w:lang w:val="bs-Latn-BA"/>
        </w:rPr>
        <w:t>. Istovremeno</w:t>
      </w:r>
      <w:r>
        <w:rPr>
          <w:lang w:val="bs-Latn-BA"/>
        </w:rPr>
        <w:t xml:space="preserve">, u </w:t>
      </w:r>
      <w:r w:rsidRPr="008924E0">
        <w:rPr>
          <w:lang w:val="bs-Latn-BA"/>
        </w:rPr>
        <w:t xml:space="preserve">novembru 2019. godine stupile </w:t>
      </w:r>
      <w:r>
        <w:rPr>
          <w:lang w:val="bs-Latn-BA"/>
        </w:rPr>
        <w:t xml:space="preserve">su </w:t>
      </w:r>
      <w:r w:rsidRPr="008924E0">
        <w:rPr>
          <w:lang w:val="bs-Latn-BA"/>
        </w:rPr>
        <w:t>na snagu Uredba o izradi strateških dokumenta u Federaciji BiH</w:t>
      </w:r>
      <w:r w:rsidRPr="008924E0">
        <w:rPr>
          <w:vertAlign w:val="superscript"/>
          <w:lang w:val="bs-Latn-BA"/>
        </w:rPr>
        <w:footnoteReference w:id="6"/>
      </w:r>
      <w:r w:rsidR="00BA1B16">
        <w:rPr>
          <w:lang w:val="bs-Latn-BA"/>
        </w:rPr>
        <w:t xml:space="preserve">, </w:t>
      </w:r>
      <w:r w:rsidR="008D6AE9" w:rsidRPr="008D6AE9">
        <w:rPr>
          <w:lang w:val="bs-Latn-BA"/>
        </w:rPr>
        <w:t>Uredba o trogodišnjem i godišnjem planiranju rada, monitoringu i izvještavanju u Federaciji BiH</w:t>
      </w:r>
      <w:r w:rsidR="00BA1B16">
        <w:rPr>
          <w:lang w:val="bs-Latn-BA"/>
        </w:rPr>
        <w:t xml:space="preserve"> </w:t>
      </w:r>
      <w:r w:rsidRPr="008924E0">
        <w:rPr>
          <w:lang w:val="bs-Latn-BA"/>
        </w:rPr>
        <w:t xml:space="preserve"> i Uredba o evaluaciji strateških dokumenata, koj</w:t>
      </w:r>
      <w:r>
        <w:rPr>
          <w:lang w:val="bs-Latn-BA"/>
        </w:rPr>
        <w:t>e</w:t>
      </w:r>
      <w:r w:rsidRPr="008924E0">
        <w:rPr>
          <w:lang w:val="bs-Latn-BA"/>
        </w:rPr>
        <w:t xml:space="preserve"> uz Priručnik za izradu strateških dokumenata detaljno defini</w:t>
      </w:r>
      <w:r>
        <w:rPr>
          <w:lang w:val="bs-Latn-BA"/>
        </w:rPr>
        <w:t>raju</w:t>
      </w:r>
      <w:r w:rsidRPr="008924E0">
        <w:rPr>
          <w:lang w:val="bs-Latn-BA"/>
        </w:rPr>
        <w:t xml:space="preserve"> sadržaj, formu i metodologiju izrade strateškog dokumenta i evaluaciju istog.</w:t>
      </w:r>
    </w:p>
    <w:p w14:paraId="2AAA4E29" w14:textId="4EFA0454" w:rsidR="0005460F" w:rsidRPr="008924E0" w:rsidRDefault="0005460F" w:rsidP="0005460F">
      <w:pPr>
        <w:spacing w:after="120" w:line="276" w:lineRule="auto"/>
        <w:rPr>
          <w:lang w:val="bs-Latn-BA"/>
        </w:rPr>
      </w:pPr>
      <w:r w:rsidRPr="008924E0">
        <w:rPr>
          <w:lang w:val="bs-Latn-BA"/>
        </w:rPr>
        <w:t xml:space="preserve">Imajuću </w:t>
      </w:r>
      <w:r>
        <w:rPr>
          <w:lang w:val="bs-Latn-BA"/>
        </w:rPr>
        <w:t xml:space="preserve">u vidu Odluku Vlade FBiH, te Uredbe koje propisuju metodologiju izrade </w:t>
      </w:r>
      <w:r w:rsidRPr="008924E0">
        <w:rPr>
          <w:lang w:val="bs-Latn-BA"/>
        </w:rPr>
        <w:t xml:space="preserve"> strateških dokumenta u FBiH</w:t>
      </w:r>
      <w:r>
        <w:rPr>
          <w:lang w:val="bs-Latn-BA"/>
        </w:rPr>
        <w:t xml:space="preserve">, </w:t>
      </w:r>
      <w:r w:rsidRPr="008924E0">
        <w:rPr>
          <w:lang w:val="bs-Latn-BA"/>
        </w:rPr>
        <w:t xml:space="preserve">bilo je potrebno izvršiti doradu </w:t>
      </w:r>
      <w:r>
        <w:rPr>
          <w:lang w:val="bs-Latn-BA"/>
        </w:rPr>
        <w:t>prve verzije dokumenta</w:t>
      </w:r>
      <w:r w:rsidRPr="008924E0">
        <w:rPr>
          <w:lang w:val="bs-Latn-BA"/>
        </w:rPr>
        <w:t xml:space="preserve"> </w:t>
      </w:r>
      <w:r>
        <w:rPr>
          <w:lang w:val="bs-Latn-BA"/>
        </w:rPr>
        <w:t>i</w:t>
      </w:r>
      <w:r w:rsidRPr="008924E0">
        <w:rPr>
          <w:lang w:val="bs-Latn-BA"/>
        </w:rPr>
        <w:t xml:space="preserve"> u potpunosti </w:t>
      </w:r>
      <w:r>
        <w:rPr>
          <w:lang w:val="bs-Latn-BA"/>
        </w:rPr>
        <w:t xml:space="preserve">je </w:t>
      </w:r>
      <w:r w:rsidRPr="008924E0">
        <w:rPr>
          <w:lang w:val="bs-Latn-BA"/>
        </w:rPr>
        <w:t>uskladiti sa Uredbama. Kao nosilac izrade Strategije, određeno je Federalno ministarstvo prostornog uređenja (u daljem tekstu</w:t>
      </w:r>
      <w:r w:rsidR="003761F2">
        <w:rPr>
          <w:lang w:val="bs-Latn-BA"/>
        </w:rPr>
        <w:t>:</w:t>
      </w:r>
      <w:r w:rsidRPr="008924E0">
        <w:rPr>
          <w:lang w:val="bs-Latn-BA"/>
        </w:rPr>
        <w:t xml:space="preserve"> FMPU).</w:t>
      </w:r>
    </w:p>
    <w:p w14:paraId="6285557B" w14:textId="4A5EF147" w:rsidR="0005460F" w:rsidRPr="00C076F1" w:rsidRDefault="0005460F" w:rsidP="0005460F">
      <w:pPr>
        <w:spacing w:after="120" w:line="276" w:lineRule="auto"/>
        <w:rPr>
          <w:lang w:val="bs-Latn-BA"/>
        </w:rPr>
      </w:pPr>
      <w:r w:rsidRPr="008924E0">
        <w:rPr>
          <w:lang w:val="bs-Latn-BA"/>
        </w:rPr>
        <w:t xml:space="preserve">Na osnovu gore navedene Odluke, od strane </w:t>
      </w:r>
      <w:r w:rsidR="00F4170B">
        <w:rPr>
          <w:lang w:val="bs-Latn-BA"/>
        </w:rPr>
        <w:t>FMPU</w:t>
      </w:r>
      <w:r w:rsidRPr="008924E0">
        <w:rPr>
          <w:lang w:val="bs-Latn-BA"/>
        </w:rPr>
        <w:t xml:space="preserve"> imenovan</w:t>
      </w:r>
      <w:r>
        <w:rPr>
          <w:lang w:val="bs-Latn-BA"/>
        </w:rPr>
        <w:t>i</w:t>
      </w:r>
      <w:r w:rsidRPr="008924E0">
        <w:rPr>
          <w:lang w:val="bs-Latn-BA"/>
        </w:rPr>
        <w:t xml:space="preserve"> s</w:t>
      </w:r>
      <w:r>
        <w:rPr>
          <w:lang w:val="bs-Latn-BA"/>
        </w:rPr>
        <w:t>u</w:t>
      </w:r>
      <w:r w:rsidRPr="008924E0">
        <w:rPr>
          <w:lang w:val="bs-Latn-BA"/>
        </w:rPr>
        <w:t>:</w:t>
      </w:r>
    </w:p>
    <w:p w14:paraId="302D40AD" w14:textId="77777777" w:rsidR="0005460F" w:rsidRPr="00C076F1" w:rsidRDefault="0005460F" w:rsidP="0005460F">
      <w:pPr>
        <w:numPr>
          <w:ilvl w:val="0"/>
          <w:numId w:val="4"/>
        </w:numPr>
        <w:pBdr>
          <w:top w:val="nil"/>
          <w:left w:val="nil"/>
          <w:bottom w:val="nil"/>
          <w:right w:val="nil"/>
          <w:between w:val="nil"/>
        </w:pBdr>
        <w:spacing w:after="120" w:line="276" w:lineRule="auto"/>
        <w:rPr>
          <w:u w:val="single"/>
          <w:lang w:val="bs-Latn-BA"/>
        </w:rPr>
      </w:pPr>
      <w:r w:rsidRPr="00C076F1">
        <w:rPr>
          <w:color w:val="000000"/>
          <w:u w:val="single"/>
          <w:lang w:val="bs-Latn-BA"/>
        </w:rPr>
        <w:t>Radno tijelo - Izvršni tim za izradu nacrta Strategije</w:t>
      </w:r>
    </w:p>
    <w:p w14:paraId="53170364" w14:textId="77777777" w:rsidR="0005460F" w:rsidRPr="008924E0" w:rsidRDefault="0005460F" w:rsidP="0005460F">
      <w:pPr>
        <w:pBdr>
          <w:top w:val="nil"/>
          <w:left w:val="nil"/>
          <w:bottom w:val="nil"/>
          <w:right w:val="nil"/>
          <w:between w:val="nil"/>
        </w:pBdr>
        <w:spacing w:after="120" w:line="276" w:lineRule="auto"/>
        <w:ind w:left="720"/>
        <w:rPr>
          <w:lang w:val="bs-Latn-BA"/>
        </w:rPr>
      </w:pPr>
      <w:r>
        <w:rPr>
          <w:color w:val="000000"/>
          <w:lang w:val="bs-Latn-BA"/>
        </w:rPr>
        <w:t>Z</w:t>
      </w:r>
      <w:r w:rsidRPr="001972F5">
        <w:rPr>
          <w:lang w:val="bs-Latn-BA"/>
        </w:rPr>
        <w:t xml:space="preserve">adatak Izvršnog tima bio je operativno rukovođenje procesom izrade i koordinacija izrade svih tehničkih elemenata Strategije, </w:t>
      </w:r>
      <w:r w:rsidRPr="008924E0">
        <w:rPr>
          <w:color w:val="000000"/>
          <w:lang w:val="bs-Latn-BA"/>
        </w:rPr>
        <w:t xml:space="preserve">na bazi radnog teksta </w:t>
      </w:r>
      <w:r>
        <w:rPr>
          <w:color w:val="000000"/>
          <w:lang w:val="bs-Latn-BA"/>
        </w:rPr>
        <w:t xml:space="preserve">prve verzije dokumenta </w:t>
      </w:r>
      <w:r w:rsidRPr="008924E0">
        <w:rPr>
          <w:color w:val="000000"/>
          <w:lang w:val="bs-Latn-BA"/>
        </w:rPr>
        <w:t>dostavljenog od GIZ-a</w:t>
      </w:r>
      <w:r>
        <w:rPr>
          <w:color w:val="000000"/>
          <w:lang w:val="bs-Latn-BA"/>
        </w:rPr>
        <w:t xml:space="preserve">, </w:t>
      </w:r>
      <w:r w:rsidRPr="008924E0">
        <w:rPr>
          <w:color w:val="000000"/>
          <w:lang w:val="bs-Latn-BA"/>
        </w:rPr>
        <w:t>uz  uključivanje relevantnih institucija kantona i jedinica lokalne samouprave putem Saveza općina i gradova, u svim fazama izrade sa svrhom reflektiranja obnove zgrada na svim nivoima vlasti u Federaciji Bosne i Hercegovine kao i  ispunjavanje svih relevantnih zakonskih i stručnih  preduvjeta u toku procesa izrade Strategije</w:t>
      </w:r>
      <w:r>
        <w:rPr>
          <w:color w:val="000000"/>
          <w:lang w:val="bs-Latn-BA"/>
        </w:rPr>
        <w:t xml:space="preserve">.  </w:t>
      </w:r>
    </w:p>
    <w:p w14:paraId="34E9E54D" w14:textId="77777777" w:rsidR="0005460F" w:rsidRPr="00C076F1" w:rsidRDefault="0005460F" w:rsidP="0005460F">
      <w:pPr>
        <w:numPr>
          <w:ilvl w:val="0"/>
          <w:numId w:val="4"/>
        </w:numPr>
        <w:pBdr>
          <w:top w:val="nil"/>
          <w:left w:val="nil"/>
          <w:bottom w:val="nil"/>
          <w:right w:val="nil"/>
          <w:between w:val="nil"/>
        </w:pBdr>
        <w:spacing w:after="120" w:line="276" w:lineRule="auto"/>
        <w:rPr>
          <w:u w:val="single"/>
          <w:lang w:val="bs-Latn-BA"/>
        </w:rPr>
      </w:pPr>
      <w:r w:rsidRPr="00C076F1">
        <w:rPr>
          <w:color w:val="000000"/>
          <w:u w:val="single"/>
          <w:lang w:val="bs-Latn-BA"/>
        </w:rPr>
        <w:t xml:space="preserve">Savjetodavno tijelo - Koordinacioni odbor za izradu Strategije </w:t>
      </w:r>
    </w:p>
    <w:p w14:paraId="0C0E89E0" w14:textId="77777777" w:rsidR="0005460F" w:rsidRPr="00C076F1" w:rsidRDefault="0005460F" w:rsidP="0005460F">
      <w:pPr>
        <w:pBdr>
          <w:top w:val="nil"/>
          <w:left w:val="nil"/>
          <w:bottom w:val="nil"/>
          <w:right w:val="nil"/>
          <w:between w:val="nil"/>
        </w:pBdr>
        <w:spacing w:after="120" w:line="276" w:lineRule="auto"/>
        <w:ind w:left="720"/>
        <w:rPr>
          <w:color w:val="000000"/>
          <w:lang w:val="bs-Latn-BA"/>
        </w:rPr>
      </w:pPr>
      <w:r w:rsidRPr="00C076F1">
        <w:rPr>
          <w:color w:val="000000"/>
          <w:lang w:val="bs-Latn-BA"/>
        </w:rPr>
        <w:t xml:space="preserve">Zadatak Koordinacionog odbora bio je osigurati vertikalnu i horizontalnu koordinaciju procesa izrade Strategije kako bi se osiguralo harmonizirano učešće svih institucionalnih i socioekonomskih aktera. </w:t>
      </w:r>
      <w:r>
        <w:rPr>
          <w:color w:val="000000"/>
          <w:lang w:val="bs-Latn-BA"/>
        </w:rPr>
        <w:t>Koordinacioni o</w:t>
      </w:r>
      <w:r w:rsidRPr="00C076F1">
        <w:rPr>
          <w:color w:val="000000"/>
          <w:lang w:val="bs-Latn-BA"/>
        </w:rPr>
        <w:t>dbor je usmjeravao i nadzirao cjelokupan proces izrade Strategije</w:t>
      </w:r>
      <w:r>
        <w:rPr>
          <w:color w:val="000000"/>
          <w:lang w:val="bs-Latn-BA"/>
        </w:rPr>
        <w:t xml:space="preserve"> u FMPU</w:t>
      </w:r>
      <w:r w:rsidRPr="00C076F1">
        <w:rPr>
          <w:color w:val="000000"/>
          <w:lang w:val="bs-Latn-BA"/>
        </w:rPr>
        <w:t>, te razmatrao i usaglašavao ključne dijelove dokumenta</w:t>
      </w:r>
      <w:r w:rsidRPr="008924E0">
        <w:rPr>
          <w:color w:val="000000"/>
          <w:lang w:val="bs-Latn-BA"/>
        </w:rPr>
        <w:t>.</w:t>
      </w:r>
    </w:p>
    <w:p w14:paraId="24CC141E" w14:textId="2756795B" w:rsidR="0005460F" w:rsidRDefault="0005460F" w:rsidP="0005460F">
      <w:pPr>
        <w:spacing w:after="120" w:line="276" w:lineRule="auto"/>
        <w:rPr>
          <w:lang w:val="bs-Latn-BA"/>
        </w:rPr>
      </w:pPr>
      <w:r w:rsidRPr="008924E0">
        <w:rPr>
          <w:lang w:val="bs-Latn-BA"/>
        </w:rPr>
        <w:t xml:space="preserve">Također je od strane </w:t>
      </w:r>
      <w:r w:rsidR="00F4170B">
        <w:rPr>
          <w:lang w:val="bs-Latn-BA"/>
        </w:rPr>
        <w:t>FMPU</w:t>
      </w:r>
      <w:r w:rsidRPr="008924E0">
        <w:rPr>
          <w:lang w:val="bs-Latn-BA"/>
        </w:rPr>
        <w:t xml:space="preserve"> definiran popis organizacija i prijedlog tema za konsultacije tokom izrade Strategije. </w:t>
      </w:r>
    </w:p>
    <w:p w14:paraId="442C9026" w14:textId="39DEE5E5" w:rsidR="0005460F" w:rsidRPr="008924E0" w:rsidRDefault="0005460F" w:rsidP="0005460F">
      <w:pPr>
        <w:spacing w:after="120" w:line="276" w:lineRule="auto"/>
        <w:rPr>
          <w:lang w:val="bs-Latn-BA"/>
        </w:rPr>
      </w:pPr>
      <w:r w:rsidRPr="008924E0">
        <w:rPr>
          <w:lang w:val="bs-Latn-BA"/>
        </w:rPr>
        <w:t xml:space="preserve">Institucije vlasti koje </w:t>
      </w:r>
      <w:r w:rsidR="003761F2">
        <w:rPr>
          <w:lang w:val="bs-Latn-BA"/>
        </w:rPr>
        <w:t>su bile</w:t>
      </w:r>
      <w:r w:rsidRPr="008924E0">
        <w:rPr>
          <w:lang w:val="bs-Latn-BA"/>
        </w:rPr>
        <w:t xml:space="preserve"> uključene u proces konsultacija su:</w:t>
      </w:r>
    </w:p>
    <w:p w14:paraId="7CA2E60E"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Ministarstvo vanjske trgovine i ekonomskih odnosa Bosne i Hercegovine;</w:t>
      </w:r>
    </w:p>
    <w:p w14:paraId="1060A8A4"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Federalno ministarstvo energije rudarstva i industrije;</w:t>
      </w:r>
    </w:p>
    <w:p w14:paraId="6732514D"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Fond za zaštitu okoliša Federacije Bosne i Hercegovine;</w:t>
      </w:r>
    </w:p>
    <w:p w14:paraId="1065D9E2"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Vijeće za razvojno planiranje Federacije BiH;</w:t>
      </w:r>
    </w:p>
    <w:p w14:paraId="2E645D96"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Zavod za programiranje  razvoja Federacije BiH;</w:t>
      </w:r>
    </w:p>
    <w:p w14:paraId="5B671CF5"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lastRenderedPageBreak/>
        <w:t>Kantonalna ministarstva za prostorno uređenje i građenje;</w:t>
      </w:r>
    </w:p>
    <w:p w14:paraId="1DCEB833"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Savez općina i gradova;</w:t>
      </w:r>
    </w:p>
    <w:p w14:paraId="1E7D4429"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Socio-ekonomski partneri:</w:t>
      </w:r>
    </w:p>
    <w:p w14:paraId="46ACA53F"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Privredna komora Federacije BiH;</w:t>
      </w:r>
    </w:p>
    <w:p w14:paraId="684C3F3F"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Akademska zajednica;</w:t>
      </w:r>
    </w:p>
    <w:p w14:paraId="50233A2A" w14:textId="77777777" w:rsidR="0005460F" w:rsidRPr="008924E0" w:rsidRDefault="0005460F" w:rsidP="0005460F">
      <w:pPr>
        <w:numPr>
          <w:ilvl w:val="0"/>
          <w:numId w:val="9"/>
        </w:numPr>
        <w:pBdr>
          <w:top w:val="nil"/>
          <w:left w:val="nil"/>
          <w:bottom w:val="nil"/>
          <w:right w:val="nil"/>
          <w:between w:val="nil"/>
        </w:pBdr>
        <w:spacing w:after="0" w:line="276" w:lineRule="auto"/>
        <w:rPr>
          <w:lang w:val="bs-Latn-BA"/>
        </w:rPr>
      </w:pPr>
      <w:r w:rsidRPr="008924E0">
        <w:rPr>
          <w:color w:val="000000"/>
          <w:lang w:val="bs-Latn-BA"/>
        </w:rPr>
        <w:t>Nevladine organizacije iz oblasti energije i zaštite okoliša.</w:t>
      </w:r>
    </w:p>
    <w:p w14:paraId="273142E4" w14:textId="77777777" w:rsidR="0005460F" w:rsidRDefault="0005460F">
      <w:pPr>
        <w:spacing w:before="60" w:after="0"/>
        <w:rPr>
          <w:lang w:val="bs-Latn-BA"/>
        </w:rPr>
      </w:pPr>
    </w:p>
    <w:p w14:paraId="7AB39343" w14:textId="558EFCCA" w:rsidR="00055321" w:rsidRPr="0005460F" w:rsidRDefault="0005460F">
      <w:pPr>
        <w:spacing w:before="60" w:after="0"/>
        <w:rPr>
          <w:lang w:val="bs-Latn-BA"/>
        </w:rPr>
      </w:pPr>
      <w:r w:rsidRPr="008924E0">
        <w:rPr>
          <w:noProof/>
          <w:lang w:val="bs-Latn-BA"/>
        </w:rPr>
        <mc:AlternateContent>
          <mc:Choice Requires="wpg">
            <w:drawing>
              <wp:anchor distT="0" distB="0" distL="114300" distR="114300" simplePos="0" relativeHeight="251661312" behindDoc="0" locked="0" layoutInCell="1" allowOverlap="1" wp14:anchorId="4F58466B" wp14:editId="00712E41">
                <wp:simplePos x="0" y="0"/>
                <wp:positionH relativeFrom="margin">
                  <wp:posOffset>0</wp:posOffset>
                </wp:positionH>
                <wp:positionV relativeFrom="paragraph">
                  <wp:posOffset>758825</wp:posOffset>
                </wp:positionV>
                <wp:extent cx="5870575" cy="702310"/>
                <wp:effectExtent l="0" t="0" r="0" b="0"/>
                <wp:wrapTopAndBottom/>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0575" cy="702310"/>
                          <a:chOff x="24107" y="34285"/>
                          <a:chExt cx="58705" cy="7029"/>
                        </a:xfrm>
                      </wpg:grpSpPr>
                      <wpg:grpSp>
                        <wpg:cNvPr id="50" name="Group 1"/>
                        <wpg:cNvGrpSpPr>
                          <a:grpSpLocks/>
                        </wpg:cNvGrpSpPr>
                        <wpg:grpSpPr bwMode="auto">
                          <a:xfrm>
                            <a:off x="24107" y="34285"/>
                            <a:ext cx="58705" cy="7029"/>
                            <a:chOff x="24107" y="34283"/>
                            <a:chExt cx="58705" cy="7033"/>
                          </a:xfrm>
                        </wpg:grpSpPr>
                        <wps:wsp>
                          <wps:cNvPr id="51" name="Rectangle 2"/>
                          <wps:cNvSpPr>
                            <a:spLocks noChangeArrowheads="1"/>
                          </wps:cNvSpPr>
                          <wps:spPr bwMode="auto">
                            <a:xfrm>
                              <a:off x="24107" y="34283"/>
                              <a:ext cx="58705" cy="7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98EAC" w14:textId="77777777" w:rsidR="00055321" w:rsidRDefault="00055321">
                                <w:pPr>
                                  <w:spacing w:after="0" w:line="240" w:lineRule="auto"/>
                                  <w:jc w:val="left"/>
                                  <w:textDirection w:val="btLr"/>
                                </w:pPr>
                              </w:p>
                            </w:txbxContent>
                          </wps:txbx>
                          <wps:bodyPr rot="0" vert="horz" wrap="square" lIns="91425" tIns="91425" rIns="91425" bIns="91425" anchor="ctr" anchorCtr="0" upright="1">
                            <a:noAutofit/>
                          </wps:bodyPr>
                        </wps:wsp>
                        <wpg:grpSp>
                          <wpg:cNvPr id="52" name="Group 3"/>
                          <wpg:cNvGrpSpPr>
                            <a:grpSpLocks/>
                          </wpg:cNvGrpSpPr>
                          <wpg:grpSpPr bwMode="auto">
                            <a:xfrm>
                              <a:off x="24107" y="34283"/>
                              <a:ext cx="58702" cy="5357"/>
                              <a:chOff x="0" y="0"/>
                              <a:chExt cx="58709" cy="5571"/>
                            </a:xfrm>
                          </wpg:grpSpPr>
                          <wps:wsp>
                            <wps:cNvPr id="53" name="Rectangle 5"/>
                            <wps:cNvSpPr>
                              <a:spLocks noChangeArrowheads="1"/>
                            </wps:cNvSpPr>
                            <wps:spPr bwMode="auto">
                              <a:xfrm>
                                <a:off x="49982" y="1590"/>
                                <a:ext cx="8727" cy="3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09B7E" w14:textId="77777777" w:rsidR="00055321" w:rsidRDefault="00740D4F">
                                  <w:pPr>
                                    <w:spacing w:after="0" w:line="240" w:lineRule="auto"/>
                                    <w:jc w:val="center"/>
                                    <w:textDirection w:val="btLr"/>
                                  </w:pPr>
                                  <w:r>
                                    <w:rPr>
                                      <w:rFonts w:eastAsia="Calibri"/>
                                      <w:b/>
                                      <w:color w:val="005837"/>
                                      <w:sz w:val="20"/>
                                    </w:rPr>
                                    <w:t>STRATEŠKA PLATFORMA</w:t>
                                  </w:r>
                                </w:p>
                              </w:txbxContent>
                            </wps:txbx>
                            <wps:bodyPr rot="0" vert="horz" wrap="square" lIns="91425" tIns="45698" rIns="91425" bIns="45698" anchor="t" anchorCtr="0" upright="1">
                              <a:noAutofit/>
                            </wps:bodyPr>
                          </wps:wsp>
                          <wps:wsp>
                            <wps:cNvPr id="54" name="Rectangle 4"/>
                            <wps:cNvSpPr>
                              <a:spLocks noChangeArrowheads="1"/>
                            </wps:cNvSpPr>
                            <wps:spPr bwMode="auto">
                              <a:xfrm>
                                <a:off x="0" y="0"/>
                                <a:ext cx="58709" cy="5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DE808" w14:textId="77777777" w:rsidR="00055321" w:rsidRDefault="00055321">
                                  <w:pPr>
                                    <w:spacing w:after="0" w:line="240" w:lineRule="auto"/>
                                    <w:jc w:val="left"/>
                                    <w:textDirection w:val="btLr"/>
                                  </w:pPr>
                                </w:p>
                              </w:txbxContent>
                            </wps:txbx>
                            <wps:bodyPr rot="0" vert="horz" wrap="square" lIns="91425" tIns="91425" rIns="91425" bIns="91425" anchor="ctr" anchorCtr="0" upright="1">
                              <a:noAutofit/>
                            </wps:bodyPr>
                          </wps:wsp>
                        </wpg:grp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4F58466B" id="Group 49" o:spid="_x0000_s1032" style="position:absolute;left:0;text-align:left;margin-left:0;margin-top:59.75pt;width:462.25pt;height:55.3pt;z-index:251661312;mso-position-horizontal-relative:margin;mso-width-relative:margin;mso-height-relative:margin" coordorigin="24107,34285" coordsize="58705,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">
                <v:group id="Group 1" o:spid="_x0000_s1033" style="position:absolute;left:24107;top:34285;width:58705;height:7029" coordorigin="24107,34283" coordsize="58705,7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rect id="Rectangle 2" o:spid="_x0000_s1034" style="position:absolute;left:24107;top:34283;width:58705;height:70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" filled="f" stroked="f">
                    <v:textbox inset="2.53958mm,2.53958mm,2.53958mm,2.53958mm">
                      <w:txbxContent>
                        <w:p w14:paraId="19898EAC" w14:textId="77777777" w:rsidR="00055321" w:rsidRDefault="00055321">
                          <w:pPr>
                            <w:spacing w:after="0" w:line="240" w:lineRule="auto"/>
                            <w:jc w:val="left"/>
                            <w:textDirection w:val="btLr"/>
                          </w:pPr>
                        </w:p>
                      </w:txbxContent>
                    </v:textbox>
                  </v:rect>
                  <v:group id="Group 3" o:spid="_x0000_s1035" style="position:absolute;left:24107;top:34283;width:58702;height:5357" coordsize="58709,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rect id="Rectangle 5" o:spid="_x0000_s1036" style="position:absolute;left:49982;top:1590;width:8727;height:3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" filled="f" stroked="f">
                      <v:textbox inset="2.53958mm,1.2694mm,2.53958mm,1.2694mm">
                        <w:txbxContent>
                          <w:p w14:paraId="3F509B7E" w14:textId="77777777" w:rsidR="00055321" w:rsidRDefault="00740D4F">
                            <w:pPr>
                              <w:spacing w:after="0" w:line="240" w:lineRule="auto"/>
                              <w:jc w:val="center"/>
                              <w:textDirection w:val="btLr"/>
                            </w:pPr>
                            <w:r>
                              <w:rPr>
                                <w:rFonts w:eastAsia="Calibri"/>
                                <w:b/>
                                <w:color w:val="005837"/>
                                <w:sz w:val="20"/>
                              </w:rPr>
                              <w:t>STRATEŠKA PLATFORMA</w:t>
                            </w:r>
                          </w:p>
                        </w:txbxContent>
                      </v:textbox>
                    </v:rect>
                    <v:rect id="Rectangle 4" o:spid="_x0000_s1037" style="position:absolute;width:58709;height:51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07FDE808" w14:textId="77777777" w:rsidR="00055321" w:rsidRDefault="00055321">
                            <w:pPr>
                              <w:spacing w:after="0" w:line="240" w:lineRule="auto"/>
                              <w:jc w:val="left"/>
                              <w:textDirection w:val="btLr"/>
                            </w:pPr>
                          </w:p>
                        </w:txbxContent>
                      </v:textbox>
                    </v:rect>
                  </v:group>
                </v:group>
                <w10:wrap type="topAndBottom" anchorx="margin"/>
              </v:group>
            </w:pict>
          </mc:Fallback>
        </mc:AlternateContent>
      </w:r>
      <w:r>
        <w:rPr>
          <w:lang w:val="bs-Latn-BA"/>
        </w:rPr>
        <w:t xml:space="preserve">Proces izrade Strategije započeo je pripremnim aktivnostima na izradi Strateške platforme. </w:t>
      </w:r>
      <w:r w:rsidR="0025720B" w:rsidRPr="008924E0">
        <w:rPr>
          <w:noProof/>
          <w:lang w:val="bs-Latn-BA"/>
        </w:rPr>
        <mc:AlternateContent>
          <mc:Choice Requires="wpg">
            <w:drawing>
              <wp:anchor distT="0" distB="0" distL="114300" distR="114300" simplePos="0" relativeHeight="251664384" behindDoc="0" locked="0" layoutInCell="1" allowOverlap="1" wp14:anchorId="648FD388" wp14:editId="54652CEF">
                <wp:simplePos x="0" y="0"/>
                <wp:positionH relativeFrom="column">
                  <wp:posOffset>11430</wp:posOffset>
                </wp:positionH>
                <wp:positionV relativeFrom="paragraph">
                  <wp:posOffset>695960</wp:posOffset>
                </wp:positionV>
                <wp:extent cx="5066030" cy="549910"/>
                <wp:effectExtent l="19050" t="0" r="20320" b="0"/>
                <wp:wrapNone/>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066030" cy="549910"/>
                          <a:chOff x="0" y="138944"/>
                          <a:chExt cx="4798675" cy="500180"/>
                        </a:xfrm>
                      </wpg:grpSpPr>
                      <wpg:grpSp>
                        <wpg:cNvPr id="56" name="Group 14"/>
                        <wpg:cNvGrpSpPr/>
                        <wpg:grpSpPr>
                          <a:xfrm>
                            <a:off x="0" y="138944"/>
                            <a:ext cx="4798675" cy="500180"/>
                            <a:chOff x="0" y="138944"/>
                            <a:chExt cx="4798675" cy="500180"/>
                          </a:xfrm>
                        </wpg:grpSpPr>
                        <wps:wsp>
                          <wps:cNvPr id="57" name="Rectangle 15"/>
                          <wps:cNvSpPr/>
                          <wps:spPr>
                            <a:xfrm>
                              <a:off x="0" y="138944"/>
                              <a:ext cx="4798675" cy="500180"/>
                            </a:xfrm>
                            <a:prstGeom prst="rect">
                              <a:avLst/>
                            </a:prstGeom>
                            <a:noFill/>
                            <a:ln>
                              <a:noFill/>
                            </a:ln>
                          </wps:spPr>
                          <wps:txbx>
                            <w:txbxContent>
                              <w:p w14:paraId="2A145794" w14:textId="77777777" w:rsidR="00D314FF" w:rsidRDefault="00D314FF" w:rsidP="00D314FF">
                                <w:pPr>
                                  <w:spacing w:after="0" w:line="240" w:lineRule="auto"/>
                                  <w:jc w:val="left"/>
                                  <w:textDirection w:val="btLr"/>
                                </w:pPr>
                              </w:p>
                            </w:txbxContent>
                          </wps:txbx>
                          <wps:bodyPr spcFirstLastPara="1" wrap="square" lIns="91425" tIns="91425" rIns="91425" bIns="91425" anchor="ctr" anchorCtr="0">
                            <a:noAutofit/>
                          </wps:bodyPr>
                        </wps:wsp>
                        <wps:wsp>
                          <wps:cNvPr id="58" name="Arrow: Chevron 16"/>
                          <wps:cNvSpPr/>
                          <wps:spPr>
                            <a:xfrm>
                              <a:off x="0" y="157222"/>
                              <a:ext cx="1042685" cy="417074"/>
                            </a:xfrm>
                            <a:prstGeom prst="chevron">
                              <a:avLst>
                                <a:gd name="adj" fmla="val 50000"/>
                              </a:avLst>
                            </a:prstGeom>
                            <a:solidFill>
                              <a:srgbClr val="006437"/>
                            </a:solidFill>
                            <a:ln w="25400" cap="flat" cmpd="sng">
                              <a:solidFill>
                                <a:srgbClr val="FFFFFF"/>
                              </a:solidFill>
                              <a:prstDash val="solid"/>
                              <a:miter lim="800000"/>
                              <a:headEnd type="none" w="sm" len="sm"/>
                              <a:tailEnd type="none" w="sm" len="sm"/>
                            </a:ln>
                          </wps:spPr>
                          <wps:txbx>
                            <w:txbxContent>
                              <w:p w14:paraId="1CA5B953" w14:textId="77777777" w:rsidR="00D314FF" w:rsidRDefault="00D314FF" w:rsidP="00D314FF">
                                <w:pPr>
                                  <w:spacing w:after="0" w:line="240" w:lineRule="auto"/>
                                  <w:jc w:val="left"/>
                                  <w:textDirection w:val="btLr"/>
                                </w:pPr>
                              </w:p>
                            </w:txbxContent>
                          </wps:txbx>
                          <wps:bodyPr spcFirstLastPara="1" wrap="square" lIns="91425" tIns="91425" rIns="91425" bIns="91425" anchor="ctr" anchorCtr="0">
                            <a:noAutofit/>
                          </wps:bodyPr>
                        </wps:wsp>
                        <wps:wsp>
                          <wps:cNvPr id="59" name="Text Box 17"/>
                          <wps:cNvSpPr txBox="1"/>
                          <wps:spPr>
                            <a:xfrm>
                              <a:off x="208537" y="157222"/>
                              <a:ext cx="625611" cy="417074"/>
                            </a:xfrm>
                            <a:prstGeom prst="rect">
                              <a:avLst/>
                            </a:prstGeom>
                            <a:noFill/>
                            <a:ln>
                              <a:noFill/>
                            </a:ln>
                          </wps:spPr>
                          <wps:txbx>
                            <w:txbxContent>
                              <w:p w14:paraId="10D22022" w14:textId="77777777" w:rsidR="00D314FF" w:rsidRDefault="00D314FF" w:rsidP="00D314FF">
                                <w:pPr>
                                  <w:spacing w:after="0" w:line="215" w:lineRule="auto"/>
                                  <w:jc w:val="center"/>
                                  <w:textDirection w:val="btLr"/>
                                </w:pPr>
                                <w:r>
                                  <w:rPr>
                                    <w:rFonts w:eastAsia="Calibri"/>
                                    <w:color w:val="FFFFFF"/>
                                    <w:sz w:val="19"/>
                                  </w:rPr>
                                  <w:t>Situaciona analiza</w:t>
                                </w:r>
                              </w:p>
                            </w:txbxContent>
                          </wps:txbx>
                          <wps:bodyPr spcFirstLastPara="1" wrap="square" lIns="40000" tIns="13325" rIns="13325" bIns="13325" anchor="ctr" anchorCtr="0">
                            <a:noAutofit/>
                          </wps:bodyPr>
                        </wps:wsp>
                        <wps:wsp>
                          <wps:cNvPr id="60" name="Arrow: Chevron 18"/>
                          <wps:cNvSpPr/>
                          <wps:spPr>
                            <a:xfrm>
                              <a:off x="939588" y="157222"/>
                              <a:ext cx="1042685" cy="417074"/>
                            </a:xfrm>
                            <a:prstGeom prst="chevron">
                              <a:avLst>
                                <a:gd name="adj" fmla="val 50000"/>
                              </a:avLst>
                            </a:prstGeom>
                            <a:solidFill>
                              <a:srgbClr val="006437"/>
                            </a:solidFill>
                            <a:ln w="25400" cap="flat" cmpd="sng">
                              <a:solidFill>
                                <a:srgbClr val="FFFFFF"/>
                              </a:solidFill>
                              <a:prstDash val="solid"/>
                              <a:miter lim="800000"/>
                              <a:headEnd type="none" w="sm" len="sm"/>
                              <a:tailEnd type="none" w="sm" len="sm"/>
                            </a:ln>
                          </wps:spPr>
                          <wps:txbx>
                            <w:txbxContent>
                              <w:p w14:paraId="4BD090A5" w14:textId="77777777" w:rsidR="00D314FF" w:rsidRDefault="00D314FF" w:rsidP="00D314FF">
                                <w:pPr>
                                  <w:spacing w:after="0" w:line="240" w:lineRule="auto"/>
                                  <w:jc w:val="left"/>
                                  <w:textDirection w:val="btLr"/>
                                </w:pPr>
                              </w:p>
                            </w:txbxContent>
                          </wps:txbx>
                          <wps:bodyPr spcFirstLastPara="1" wrap="square" lIns="91425" tIns="91425" rIns="91425" bIns="91425" anchor="ctr" anchorCtr="0">
                            <a:noAutofit/>
                          </wps:bodyPr>
                        </wps:wsp>
                        <wps:wsp>
                          <wps:cNvPr id="61" name="Text Box 19"/>
                          <wps:cNvSpPr txBox="1"/>
                          <wps:spPr>
                            <a:xfrm>
                              <a:off x="1148125" y="157222"/>
                              <a:ext cx="625611" cy="417074"/>
                            </a:xfrm>
                            <a:prstGeom prst="rect">
                              <a:avLst/>
                            </a:prstGeom>
                            <a:noFill/>
                            <a:ln>
                              <a:noFill/>
                            </a:ln>
                          </wps:spPr>
                          <wps:txbx>
                            <w:txbxContent>
                              <w:p w14:paraId="7B8C2EA5" w14:textId="77777777" w:rsidR="00D314FF" w:rsidRDefault="00D314FF" w:rsidP="00D314FF">
                                <w:pPr>
                                  <w:spacing w:after="0" w:line="215" w:lineRule="auto"/>
                                  <w:jc w:val="center"/>
                                  <w:textDirection w:val="btLr"/>
                                </w:pPr>
                                <w:r>
                                  <w:rPr>
                                    <w:rFonts w:eastAsia="Calibri"/>
                                    <w:color w:val="FFFFFF"/>
                                    <w:sz w:val="19"/>
                                  </w:rPr>
                                  <w:t>SWOT analiza</w:t>
                                </w:r>
                              </w:p>
                            </w:txbxContent>
                          </wps:txbx>
                          <wps:bodyPr spcFirstLastPara="1" wrap="square" lIns="40000" tIns="13325" rIns="13325" bIns="13325" anchor="ctr" anchorCtr="0">
                            <a:noAutofit/>
                          </wps:bodyPr>
                        </wps:wsp>
                        <wps:wsp>
                          <wps:cNvPr id="62" name="Arrow: Chevron 20"/>
                          <wps:cNvSpPr/>
                          <wps:spPr>
                            <a:xfrm>
                              <a:off x="1878004" y="157222"/>
                              <a:ext cx="1042685" cy="417074"/>
                            </a:xfrm>
                            <a:prstGeom prst="chevron">
                              <a:avLst>
                                <a:gd name="adj" fmla="val 50000"/>
                              </a:avLst>
                            </a:prstGeom>
                            <a:solidFill>
                              <a:srgbClr val="006437"/>
                            </a:solidFill>
                            <a:ln w="25400" cap="flat" cmpd="sng">
                              <a:solidFill>
                                <a:srgbClr val="FFFFFF"/>
                              </a:solidFill>
                              <a:prstDash val="solid"/>
                              <a:miter lim="800000"/>
                              <a:headEnd type="none" w="sm" len="sm"/>
                              <a:tailEnd type="none" w="sm" len="sm"/>
                            </a:ln>
                          </wps:spPr>
                          <wps:txbx>
                            <w:txbxContent>
                              <w:p w14:paraId="62B6A9C5" w14:textId="77777777" w:rsidR="00D314FF" w:rsidRDefault="00D314FF" w:rsidP="00D314FF">
                                <w:pPr>
                                  <w:spacing w:after="0" w:line="240" w:lineRule="auto"/>
                                  <w:jc w:val="left"/>
                                  <w:textDirection w:val="btLr"/>
                                </w:pPr>
                              </w:p>
                            </w:txbxContent>
                          </wps:txbx>
                          <wps:bodyPr spcFirstLastPara="1" wrap="square" lIns="91425" tIns="91425" rIns="91425" bIns="91425" anchor="ctr" anchorCtr="0">
                            <a:noAutofit/>
                          </wps:bodyPr>
                        </wps:wsp>
                        <wps:wsp>
                          <wps:cNvPr id="63" name="Text Box 21"/>
                          <wps:cNvSpPr txBox="1"/>
                          <wps:spPr>
                            <a:xfrm>
                              <a:off x="2086541" y="157222"/>
                              <a:ext cx="625611" cy="417074"/>
                            </a:xfrm>
                            <a:prstGeom prst="rect">
                              <a:avLst/>
                            </a:prstGeom>
                            <a:noFill/>
                            <a:ln>
                              <a:noFill/>
                            </a:ln>
                          </wps:spPr>
                          <wps:txbx>
                            <w:txbxContent>
                              <w:p w14:paraId="39629D94" w14:textId="77777777" w:rsidR="00D314FF" w:rsidRDefault="00D314FF" w:rsidP="00D314FF">
                                <w:pPr>
                                  <w:spacing w:after="0" w:line="215" w:lineRule="auto"/>
                                  <w:jc w:val="center"/>
                                  <w:textDirection w:val="btLr"/>
                                </w:pPr>
                                <w:r>
                                  <w:rPr>
                                    <w:rFonts w:eastAsia="Calibri"/>
                                    <w:color w:val="FFFFFF"/>
                                    <w:sz w:val="19"/>
                                  </w:rPr>
                                  <w:t>Strateško fokusiranje</w:t>
                                </w:r>
                              </w:p>
                            </w:txbxContent>
                          </wps:txbx>
                          <wps:bodyPr spcFirstLastPara="1" wrap="square" lIns="40000" tIns="13325" rIns="13325" bIns="13325" anchor="ctr" anchorCtr="0">
                            <a:noAutofit/>
                          </wps:bodyPr>
                        </wps:wsp>
                        <wps:wsp>
                          <wps:cNvPr id="1152" name="Arrow: Chevron 22"/>
                          <wps:cNvSpPr/>
                          <wps:spPr>
                            <a:xfrm>
                              <a:off x="2816421" y="157222"/>
                              <a:ext cx="1042685" cy="417074"/>
                            </a:xfrm>
                            <a:prstGeom prst="chevron">
                              <a:avLst>
                                <a:gd name="adj" fmla="val 50000"/>
                              </a:avLst>
                            </a:prstGeom>
                            <a:solidFill>
                              <a:srgbClr val="006437"/>
                            </a:solidFill>
                            <a:ln w="25400" cap="flat" cmpd="sng">
                              <a:solidFill>
                                <a:srgbClr val="FFFFFF"/>
                              </a:solidFill>
                              <a:prstDash val="solid"/>
                              <a:miter lim="800000"/>
                              <a:headEnd type="none" w="sm" len="sm"/>
                              <a:tailEnd type="none" w="sm" len="sm"/>
                            </a:ln>
                          </wps:spPr>
                          <wps:txbx>
                            <w:txbxContent>
                              <w:p w14:paraId="2A3DB079" w14:textId="77777777" w:rsidR="00D314FF" w:rsidRDefault="00D314FF" w:rsidP="00D314FF">
                                <w:pPr>
                                  <w:spacing w:after="0" w:line="240" w:lineRule="auto"/>
                                  <w:jc w:val="left"/>
                                  <w:textDirection w:val="btLr"/>
                                </w:pPr>
                              </w:p>
                            </w:txbxContent>
                          </wps:txbx>
                          <wps:bodyPr spcFirstLastPara="1" wrap="square" lIns="91425" tIns="91425" rIns="91425" bIns="91425" anchor="ctr" anchorCtr="0">
                            <a:noAutofit/>
                          </wps:bodyPr>
                        </wps:wsp>
                        <wps:wsp>
                          <wps:cNvPr id="1153" name="Text Box 23"/>
                          <wps:cNvSpPr txBox="1"/>
                          <wps:spPr>
                            <a:xfrm>
                              <a:off x="3024958" y="157222"/>
                              <a:ext cx="625611" cy="417074"/>
                            </a:xfrm>
                            <a:prstGeom prst="rect">
                              <a:avLst/>
                            </a:prstGeom>
                            <a:noFill/>
                            <a:ln>
                              <a:noFill/>
                            </a:ln>
                          </wps:spPr>
                          <wps:txbx>
                            <w:txbxContent>
                              <w:p w14:paraId="10C388AD" w14:textId="77777777" w:rsidR="00D314FF" w:rsidRDefault="00D314FF" w:rsidP="00D314FF">
                                <w:pPr>
                                  <w:spacing w:after="0" w:line="215" w:lineRule="auto"/>
                                  <w:jc w:val="center"/>
                                  <w:textDirection w:val="btLr"/>
                                </w:pPr>
                                <w:r>
                                  <w:rPr>
                                    <w:rFonts w:eastAsia="Calibri"/>
                                    <w:color w:val="FFFFFF"/>
                                    <w:sz w:val="19"/>
                                  </w:rPr>
                                  <w:t>Vizija razvoja</w:t>
                                </w:r>
                              </w:p>
                            </w:txbxContent>
                          </wps:txbx>
                          <wps:bodyPr spcFirstLastPara="1" wrap="square" lIns="40000" tIns="13325" rIns="13325" bIns="13325" anchor="ctr" anchorCtr="0">
                            <a:noAutofit/>
                          </wps:bodyPr>
                        </wps:wsp>
                        <wps:wsp>
                          <wps:cNvPr id="1154" name="Arrow: Chevron 24"/>
                          <wps:cNvSpPr/>
                          <wps:spPr>
                            <a:xfrm>
                              <a:off x="3754838" y="171295"/>
                              <a:ext cx="1042685" cy="417074"/>
                            </a:xfrm>
                            <a:prstGeom prst="chevron">
                              <a:avLst>
                                <a:gd name="adj" fmla="val 50000"/>
                              </a:avLst>
                            </a:prstGeom>
                            <a:solidFill>
                              <a:srgbClr val="006437"/>
                            </a:solidFill>
                            <a:ln w="25400" cap="flat" cmpd="sng">
                              <a:solidFill>
                                <a:srgbClr val="FFFFFF"/>
                              </a:solidFill>
                              <a:prstDash val="solid"/>
                              <a:miter lim="800000"/>
                              <a:headEnd type="none" w="sm" len="sm"/>
                              <a:tailEnd type="none" w="sm" len="sm"/>
                            </a:ln>
                          </wps:spPr>
                          <wps:txbx>
                            <w:txbxContent>
                              <w:p w14:paraId="33786B2D" w14:textId="77777777" w:rsidR="00D314FF" w:rsidRDefault="00D314FF" w:rsidP="00D314FF">
                                <w:pPr>
                                  <w:spacing w:after="0" w:line="240" w:lineRule="auto"/>
                                  <w:jc w:val="left"/>
                                  <w:textDirection w:val="btLr"/>
                                </w:pPr>
                              </w:p>
                            </w:txbxContent>
                          </wps:txbx>
                          <wps:bodyPr spcFirstLastPara="1" wrap="square" lIns="91425" tIns="91425" rIns="91425" bIns="91425" anchor="ctr" anchorCtr="0">
                            <a:noAutofit/>
                          </wps:bodyPr>
                        </wps:wsp>
                        <wps:wsp>
                          <wps:cNvPr id="1155" name="Text Box 25"/>
                          <wps:cNvSpPr txBox="1"/>
                          <wps:spPr>
                            <a:xfrm>
                              <a:off x="3924626" y="171295"/>
                              <a:ext cx="664360" cy="417074"/>
                            </a:xfrm>
                            <a:prstGeom prst="rect">
                              <a:avLst/>
                            </a:prstGeom>
                            <a:noFill/>
                            <a:ln>
                              <a:noFill/>
                            </a:ln>
                          </wps:spPr>
                          <wps:txbx>
                            <w:txbxContent>
                              <w:p w14:paraId="7C987D46" w14:textId="77777777" w:rsidR="00D314FF" w:rsidRDefault="00D314FF" w:rsidP="00D314FF">
                                <w:pPr>
                                  <w:spacing w:after="0" w:line="215" w:lineRule="auto"/>
                                  <w:jc w:val="center"/>
                                  <w:textDirection w:val="btLr"/>
                                </w:pPr>
                                <w:r>
                                  <w:rPr>
                                    <w:rFonts w:eastAsia="Calibri"/>
                                    <w:color w:val="FFFFFF"/>
                                    <w:sz w:val="19"/>
                                  </w:rPr>
                                  <w:t>Strateški ciljevi sa indikatorima</w:t>
                                </w:r>
                              </w:p>
                            </w:txbxContent>
                          </wps:txbx>
                          <wps:bodyPr spcFirstLastPara="1" wrap="square" lIns="40000" tIns="13325" rIns="13325" bIns="13325" anchor="ctr" anchorCtr="0">
                            <a:noAutofit/>
                          </wps:bodyPr>
                        </wps:wsp>
                      </wpg:grpSp>
                    </wpg:wgp>
                  </a:graphicData>
                </a:graphic>
                <wp14:sizeRelH relativeFrom="margin">
                  <wp14:pctWidth>0</wp14:pctWidth>
                </wp14:sizeRelH>
                <wp14:sizeRelV relativeFrom="margin">
                  <wp14:pctHeight>0</wp14:pctHeight>
                </wp14:sizeRelV>
              </wp:anchor>
            </w:drawing>
          </mc:Choice>
          <mc:Fallback xmlns:w16du="http://schemas.microsoft.com/office/word/2023/wordml/word16du">
            <w:pict>
              <v:group w14:anchorId="648FD388" id="Group 55" o:spid="_x0000_s1038" style="position:absolute;left:0;text-align:left;margin-left:.9pt;margin-top:54.8pt;width:398.9pt;height:43.3pt;z-index:251664384;mso-width-relative:margin;mso-height-relative:margin" coordorigin=",1389" coordsize="47986,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">
                <v:group id="Group 14" o:spid="_x0000_s1039" style="position:absolute;top:1389;width:47986;height:5002" coordorigin=",1389" coordsize="47986,5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15" o:spid="_x0000_s1040" style="position:absolute;top:1389;width:47986;height:5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" filled="f" stroked="f">
                    <v:textbox inset="2.53958mm,2.53958mm,2.53958mm,2.53958mm">
                      <w:txbxContent>
                        <w:p w14:paraId="2A145794" w14:textId="77777777" w:rsidR="00D314FF" w:rsidRDefault="00D314FF" w:rsidP="00D314FF">
                          <w:pPr>
                            <w:spacing w:after="0" w:line="240" w:lineRule="auto"/>
                            <w:jc w:val="left"/>
                            <w:textDirection w:val="btLr"/>
                          </w:pPr>
                        </w:p>
                      </w:txbxContent>
                    </v:textbox>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6" o:spid="_x0000_s1041" type="#_x0000_t55" style="position:absolute;top:1572;width:10426;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" adj="17280" fillcolor="#006437" strokecolor="white" strokeweight="2pt">
                    <v:stroke startarrowwidth="narrow" startarrowlength="short" endarrowwidth="narrow" endarrowlength="short"/>
                    <v:textbox inset="2.53958mm,2.53958mm,2.53958mm,2.53958mm">
                      <w:txbxContent>
                        <w:p w14:paraId="1CA5B953" w14:textId="77777777" w:rsidR="00D314FF" w:rsidRDefault="00D314FF" w:rsidP="00D314FF">
                          <w:pPr>
                            <w:spacing w:after="0" w:line="240" w:lineRule="auto"/>
                            <w:jc w:val="left"/>
                            <w:textDirection w:val="btLr"/>
                          </w:pPr>
                        </w:p>
                      </w:txbxContent>
                    </v:textbox>
                  </v:shape>
                  <v:shape id="Text Box 17" o:spid="_x0000_s1042" type="#_x0000_t202" style="position:absolute;left:2085;top:1572;width:6256;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" filled="f" stroked="f">
                    <v:textbox inset="1.1111mm,.37014mm,.37014mm,.37014mm">
                      <w:txbxContent>
                        <w:p w14:paraId="10D22022" w14:textId="77777777" w:rsidR="00D314FF" w:rsidRDefault="00D314FF" w:rsidP="00D314FF">
                          <w:pPr>
                            <w:spacing w:after="0" w:line="215" w:lineRule="auto"/>
                            <w:jc w:val="center"/>
                            <w:textDirection w:val="btLr"/>
                          </w:pPr>
                          <w:proofErr w:type="spellStart"/>
                          <w:r>
                            <w:rPr>
                              <w:rFonts w:eastAsia="Calibri"/>
                              <w:color w:val="FFFFFF"/>
                              <w:sz w:val="19"/>
                            </w:rPr>
                            <w:t>Situaciona</w:t>
                          </w:r>
                          <w:proofErr w:type="spellEnd"/>
                          <w:r>
                            <w:rPr>
                              <w:rFonts w:eastAsia="Calibri"/>
                              <w:color w:val="FFFFFF"/>
                              <w:sz w:val="19"/>
                            </w:rPr>
                            <w:t xml:space="preserve"> </w:t>
                          </w:r>
                          <w:proofErr w:type="spellStart"/>
                          <w:r>
                            <w:rPr>
                              <w:rFonts w:eastAsia="Calibri"/>
                              <w:color w:val="FFFFFF"/>
                              <w:sz w:val="19"/>
                            </w:rPr>
                            <w:t>analiza</w:t>
                          </w:r>
                          <w:proofErr w:type="spellEnd"/>
                        </w:p>
                      </w:txbxContent>
                    </v:textbox>
                  </v:shape>
                  <v:shape id="Arrow: Chevron 18" o:spid="_x0000_s1043" type="#_x0000_t55" style="position:absolute;left:9395;top:1572;width:10427;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" adj="17280" fillcolor="#006437" strokecolor="white" strokeweight="2pt">
                    <v:stroke startarrowwidth="narrow" startarrowlength="short" endarrowwidth="narrow" endarrowlength="short"/>
                    <v:textbox inset="2.53958mm,2.53958mm,2.53958mm,2.53958mm">
                      <w:txbxContent>
                        <w:p w14:paraId="4BD090A5" w14:textId="77777777" w:rsidR="00D314FF" w:rsidRDefault="00D314FF" w:rsidP="00D314FF">
                          <w:pPr>
                            <w:spacing w:after="0" w:line="240" w:lineRule="auto"/>
                            <w:jc w:val="left"/>
                            <w:textDirection w:val="btLr"/>
                          </w:pPr>
                        </w:p>
                      </w:txbxContent>
                    </v:textbox>
                  </v:shape>
                  <v:shape id="Text Box 19" o:spid="_x0000_s1044" type="#_x0000_t202" style="position:absolute;left:11481;top:1572;width:6256;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" filled="f" stroked="f">
                    <v:textbox inset="1.1111mm,.37014mm,.37014mm,.37014mm">
                      <w:txbxContent>
                        <w:p w14:paraId="7B8C2EA5" w14:textId="77777777" w:rsidR="00D314FF" w:rsidRDefault="00D314FF" w:rsidP="00D314FF">
                          <w:pPr>
                            <w:spacing w:after="0" w:line="215" w:lineRule="auto"/>
                            <w:jc w:val="center"/>
                            <w:textDirection w:val="btLr"/>
                          </w:pPr>
                          <w:r>
                            <w:rPr>
                              <w:rFonts w:eastAsia="Calibri"/>
                              <w:color w:val="FFFFFF"/>
                              <w:sz w:val="19"/>
                            </w:rPr>
                            <w:t xml:space="preserve">SWOT </w:t>
                          </w:r>
                          <w:proofErr w:type="spellStart"/>
                          <w:r>
                            <w:rPr>
                              <w:rFonts w:eastAsia="Calibri"/>
                              <w:color w:val="FFFFFF"/>
                              <w:sz w:val="19"/>
                            </w:rPr>
                            <w:t>analiza</w:t>
                          </w:r>
                          <w:proofErr w:type="spellEnd"/>
                        </w:p>
                      </w:txbxContent>
                    </v:textbox>
                  </v:shape>
                  <v:shape id="Arrow: Chevron 20" o:spid="_x0000_s1045" type="#_x0000_t55" style="position:absolute;left:18780;top:1572;width:10426;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" adj="17280" fillcolor="#006437" strokecolor="white" strokeweight="2pt">
                    <v:stroke startarrowwidth="narrow" startarrowlength="short" endarrowwidth="narrow" endarrowlength="short"/>
                    <v:textbox inset="2.53958mm,2.53958mm,2.53958mm,2.53958mm">
                      <w:txbxContent>
                        <w:p w14:paraId="62B6A9C5" w14:textId="77777777" w:rsidR="00D314FF" w:rsidRDefault="00D314FF" w:rsidP="00D314FF">
                          <w:pPr>
                            <w:spacing w:after="0" w:line="240" w:lineRule="auto"/>
                            <w:jc w:val="left"/>
                            <w:textDirection w:val="btLr"/>
                          </w:pPr>
                        </w:p>
                      </w:txbxContent>
                    </v:textbox>
                  </v:shape>
                  <v:shape id="Text Box 21" o:spid="_x0000_s1046" type="#_x0000_t202" style="position:absolute;left:20865;top:1572;width:6256;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" filled="f" stroked="f">
                    <v:textbox inset="1.1111mm,.37014mm,.37014mm,.37014mm">
                      <w:txbxContent>
                        <w:p w14:paraId="39629D94" w14:textId="77777777" w:rsidR="00D314FF" w:rsidRDefault="00D314FF" w:rsidP="00D314FF">
                          <w:pPr>
                            <w:spacing w:after="0" w:line="215" w:lineRule="auto"/>
                            <w:jc w:val="center"/>
                            <w:textDirection w:val="btLr"/>
                          </w:pPr>
                          <w:proofErr w:type="spellStart"/>
                          <w:r>
                            <w:rPr>
                              <w:rFonts w:eastAsia="Calibri"/>
                              <w:color w:val="FFFFFF"/>
                              <w:sz w:val="19"/>
                            </w:rPr>
                            <w:t>Strateško</w:t>
                          </w:r>
                          <w:proofErr w:type="spellEnd"/>
                          <w:r>
                            <w:rPr>
                              <w:rFonts w:eastAsia="Calibri"/>
                              <w:color w:val="FFFFFF"/>
                              <w:sz w:val="19"/>
                            </w:rPr>
                            <w:t xml:space="preserve"> </w:t>
                          </w:r>
                          <w:proofErr w:type="spellStart"/>
                          <w:r>
                            <w:rPr>
                              <w:rFonts w:eastAsia="Calibri"/>
                              <w:color w:val="FFFFFF"/>
                              <w:sz w:val="19"/>
                            </w:rPr>
                            <w:t>fokusiranje</w:t>
                          </w:r>
                          <w:proofErr w:type="spellEnd"/>
                        </w:p>
                      </w:txbxContent>
                    </v:textbox>
                  </v:shape>
                  <v:shape id="Arrow: Chevron 22" o:spid="_x0000_s1047" type="#_x0000_t55" style="position:absolute;left:28164;top:1572;width:10427;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" adj="17280" fillcolor="#006437" strokecolor="white" strokeweight="2pt">
                    <v:stroke startarrowwidth="narrow" startarrowlength="short" endarrowwidth="narrow" endarrowlength="short"/>
                    <v:textbox inset="2.53958mm,2.53958mm,2.53958mm,2.53958mm">
                      <w:txbxContent>
                        <w:p w14:paraId="2A3DB079" w14:textId="77777777" w:rsidR="00D314FF" w:rsidRDefault="00D314FF" w:rsidP="00D314FF">
                          <w:pPr>
                            <w:spacing w:after="0" w:line="240" w:lineRule="auto"/>
                            <w:jc w:val="left"/>
                            <w:textDirection w:val="btLr"/>
                          </w:pPr>
                        </w:p>
                      </w:txbxContent>
                    </v:textbox>
                  </v:shape>
                  <v:shape id="Text Box 23" o:spid="_x0000_s1048" type="#_x0000_t202" style="position:absolute;left:30249;top:1572;width:6256;height:41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" filled="f" stroked="f">
                    <v:textbox inset="1.1111mm,.37014mm,.37014mm,.37014mm">
                      <w:txbxContent>
                        <w:p w14:paraId="10C388AD" w14:textId="77777777" w:rsidR="00D314FF" w:rsidRDefault="00D314FF" w:rsidP="00D314FF">
                          <w:pPr>
                            <w:spacing w:after="0" w:line="215" w:lineRule="auto"/>
                            <w:jc w:val="center"/>
                            <w:textDirection w:val="btLr"/>
                          </w:pPr>
                          <w:proofErr w:type="spellStart"/>
                          <w:r>
                            <w:rPr>
                              <w:rFonts w:eastAsia="Calibri"/>
                              <w:color w:val="FFFFFF"/>
                              <w:sz w:val="19"/>
                            </w:rPr>
                            <w:t>Vizija</w:t>
                          </w:r>
                          <w:proofErr w:type="spellEnd"/>
                          <w:r>
                            <w:rPr>
                              <w:rFonts w:eastAsia="Calibri"/>
                              <w:color w:val="FFFFFF"/>
                              <w:sz w:val="19"/>
                            </w:rPr>
                            <w:t xml:space="preserve"> </w:t>
                          </w:r>
                          <w:proofErr w:type="spellStart"/>
                          <w:r>
                            <w:rPr>
                              <w:rFonts w:eastAsia="Calibri"/>
                              <w:color w:val="FFFFFF"/>
                              <w:sz w:val="19"/>
                            </w:rPr>
                            <w:t>razvoja</w:t>
                          </w:r>
                          <w:proofErr w:type="spellEnd"/>
                        </w:p>
                      </w:txbxContent>
                    </v:textbox>
                  </v:shape>
                  <v:shape id="Arrow: Chevron 24" o:spid="_x0000_s1049" type="#_x0000_t55" style="position:absolute;left:37548;top:1712;width:10427;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" adj="17280" fillcolor="#006437" strokecolor="white" strokeweight="2pt">
                    <v:stroke startarrowwidth="narrow" startarrowlength="short" endarrowwidth="narrow" endarrowlength="short"/>
                    <v:textbox inset="2.53958mm,2.53958mm,2.53958mm,2.53958mm">
                      <w:txbxContent>
                        <w:p w14:paraId="33786B2D" w14:textId="77777777" w:rsidR="00D314FF" w:rsidRDefault="00D314FF" w:rsidP="00D314FF">
                          <w:pPr>
                            <w:spacing w:after="0" w:line="240" w:lineRule="auto"/>
                            <w:jc w:val="left"/>
                            <w:textDirection w:val="btLr"/>
                          </w:pPr>
                        </w:p>
                      </w:txbxContent>
                    </v:textbox>
                  </v:shape>
                  <v:shape id="Text Box 25" o:spid="_x0000_s1050" type="#_x0000_t202" style="position:absolute;left:39246;top:1712;width:6643;height:4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" filled="f" stroked="f">
                    <v:textbox inset="1.1111mm,.37014mm,.37014mm,.37014mm">
                      <w:txbxContent>
                        <w:p w14:paraId="7C987D46" w14:textId="77777777" w:rsidR="00D314FF" w:rsidRDefault="00D314FF" w:rsidP="00D314FF">
                          <w:pPr>
                            <w:spacing w:after="0" w:line="215" w:lineRule="auto"/>
                            <w:jc w:val="center"/>
                            <w:textDirection w:val="btLr"/>
                          </w:pPr>
                          <w:proofErr w:type="spellStart"/>
                          <w:r>
                            <w:rPr>
                              <w:rFonts w:eastAsia="Calibri"/>
                              <w:color w:val="FFFFFF"/>
                              <w:sz w:val="19"/>
                            </w:rPr>
                            <w:t>Strateški</w:t>
                          </w:r>
                          <w:proofErr w:type="spellEnd"/>
                          <w:r>
                            <w:rPr>
                              <w:rFonts w:eastAsia="Calibri"/>
                              <w:color w:val="FFFFFF"/>
                              <w:sz w:val="19"/>
                            </w:rPr>
                            <w:t xml:space="preserve"> </w:t>
                          </w:r>
                          <w:proofErr w:type="spellStart"/>
                          <w:r>
                            <w:rPr>
                              <w:rFonts w:eastAsia="Calibri"/>
                              <w:color w:val="FFFFFF"/>
                              <w:sz w:val="19"/>
                            </w:rPr>
                            <w:t>ciljevi</w:t>
                          </w:r>
                          <w:proofErr w:type="spellEnd"/>
                          <w:r>
                            <w:rPr>
                              <w:rFonts w:eastAsia="Calibri"/>
                              <w:color w:val="FFFFFF"/>
                              <w:sz w:val="19"/>
                            </w:rPr>
                            <w:t xml:space="preserve"> </w:t>
                          </w:r>
                          <w:proofErr w:type="spellStart"/>
                          <w:r>
                            <w:rPr>
                              <w:rFonts w:eastAsia="Calibri"/>
                              <w:color w:val="FFFFFF"/>
                              <w:sz w:val="19"/>
                            </w:rPr>
                            <w:t>sa</w:t>
                          </w:r>
                          <w:proofErr w:type="spellEnd"/>
                          <w:r>
                            <w:rPr>
                              <w:rFonts w:eastAsia="Calibri"/>
                              <w:color w:val="FFFFFF"/>
                              <w:sz w:val="19"/>
                            </w:rPr>
                            <w:t xml:space="preserve"> </w:t>
                          </w:r>
                          <w:proofErr w:type="spellStart"/>
                          <w:r>
                            <w:rPr>
                              <w:rFonts w:eastAsia="Calibri"/>
                              <w:color w:val="FFFFFF"/>
                              <w:sz w:val="19"/>
                            </w:rPr>
                            <w:t>indikatorima</w:t>
                          </w:r>
                          <w:proofErr w:type="spellEnd"/>
                        </w:p>
                      </w:txbxContent>
                    </v:textbox>
                  </v:shape>
                </v:group>
              </v:group>
            </w:pict>
          </mc:Fallback>
        </mc:AlternateContent>
      </w:r>
      <w:r w:rsidR="00D314FF" w:rsidRPr="008924E0">
        <w:rPr>
          <w:lang w:val="bs-Latn-BA"/>
        </w:rPr>
        <w:t>Priprema strateške platforme je prva faza u procesu izrade svakog strateškog dokumenta i predstavlja osnovu za sve naredne faze u procesu izrade strateškog dokumenta.</w:t>
      </w:r>
      <w:r w:rsidR="00D314FF" w:rsidRPr="008924E0">
        <w:rPr>
          <w:noProof/>
          <w:lang w:val="bs-Latn-BA"/>
        </w:rPr>
        <w:t xml:space="preserve"> </w:t>
      </w:r>
    </w:p>
    <w:p w14:paraId="2F11859D" w14:textId="538D81DF" w:rsidR="00943484" w:rsidRPr="008924E0" w:rsidRDefault="0025720B">
      <w:pPr>
        <w:pBdr>
          <w:top w:val="nil"/>
          <w:left w:val="nil"/>
          <w:bottom w:val="nil"/>
          <w:right w:val="nil"/>
          <w:between w:val="nil"/>
        </w:pBdr>
        <w:spacing w:after="200" w:line="240" w:lineRule="auto"/>
        <w:rPr>
          <w:color w:val="000000"/>
          <w:lang w:val="bs-Latn-BA"/>
        </w:rPr>
      </w:pPr>
      <w:r w:rsidRPr="008924E0">
        <w:rPr>
          <w:noProof/>
          <w:lang w:val="bs-Latn-BA"/>
        </w:rPr>
        <mc:AlternateContent>
          <mc:Choice Requires="wps">
            <w:drawing>
              <wp:anchor distT="0" distB="0" distL="114300" distR="114300" simplePos="0" relativeHeight="251671552" behindDoc="0" locked="0" layoutInCell="1" allowOverlap="1" wp14:anchorId="17E172FD" wp14:editId="79D21B17">
                <wp:simplePos x="0" y="0"/>
                <wp:positionH relativeFrom="column">
                  <wp:posOffset>9525</wp:posOffset>
                </wp:positionH>
                <wp:positionV relativeFrom="paragraph">
                  <wp:posOffset>790836</wp:posOffset>
                </wp:positionV>
                <wp:extent cx="5066030" cy="161925"/>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6030" cy="161925"/>
                        </a:xfrm>
                        <a:prstGeom prst="rect">
                          <a:avLst/>
                        </a:prstGeom>
                        <a:solidFill>
                          <a:prstClr val="white"/>
                        </a:solidFill>
                        <a:ln>
                          <a:noFill/>
                        </a:ln>
                      </wps:spPr>
                      <wps:txbx>
                        <w:txbxContent>
                          <w:p w14:paraId="2F72F18E" w14:textId="77152981" w:rsidR="00973648" w:rsidRPr="0071742C" w:rsidRDefault="00973648" w:rsidP="00973648">
                            <w:pPr>
                              <w:pStyle w:val="Caption"/>
                              <w:jc w:val="center"/>
                              <w:rPr>
                                <w:noProof/>
                              </w:rPr>
                            </w:pPr>
                            <w:bookmarkStart w:id="5" w:name="_Toc118193233"/>
                            <w:bookmarkStart w:id="6" w:name="_Toc132038121"/>
                            <w:bookmarkStart w:id="7" w:name="_Toc133499362"/>
                            <w:r>
                              <w:t xml:space="preserve">Slika </w:t>
                            </w:r>
                            <w:r w:rsidRPr="00A26966">
                              <w:rPr>
                                <w:color w:val="000000" w:themeColor="text1"/>
                              </w:rPr>
                              <w:t>0</w:t>
                            </w:r>
                            <w:r>
                              <w:t>.</w:t>
                            </w:r>
                            <w:fldSimple w:instr=" STYLEREF 1 \s ">
                              <w:r w:rsidR="00695AEF">
                                <w:rPr>
                                  <w:noProof/>
                                </w:rPr>
                                <w:t>1</w:t>
                              </w:r>
                            </w:fldSimple>
                            <w:r w:rsidR="00B82F4B">
                              <w:t>.</w:t>
                            </w:r>
                            <w:fldSimple w:instr=" SEQ Slika \* ARABIC \s 1 ">
                              <w:r w:rsidR="00695AEF">
                                <w:rPr>
                                  <w:noProof/>
                                </w:rPr>
                                <w:t>1</w:t>
                              </w:r>
                            </w:fldSimple>
                            <w:r>
                              <w:t xml:space="preserve"> </w:t>
                            </w:r>
                            <w:r w:rsidRPr="003319E5">
                              <w:rPr>
                                <w:color w:val="000000"/>
                                <w:lang w:val="hr-BA"/>
                              </w:rPr>
                              <w:t>Elementi strateške platforme</w:t>
                            </w:r>
                            <w:bookmarkEnd w:id="5"/>
                            <w:bookmarkEnd w:id="6"/>
                            <w:bookmarkEnd w:id="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17E172FD" id="Text Box 48" o:spid="_x0000_s1051" type="#_x0000_t202" style="position:absolute;left:0;text-align:left;margin-left:.75pt;margin-top:62.25pt;width:398.9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" stroked="f">
                <v:textbox inset="0,0,0,0">
                  <w:txbxContent>
                    <w:p w14:paraId="2F72F18E" w14:textId="77152981" w:rsidR="00973648" w:rsidRPr="0071742C" w:rsidRDefault="00973648" w:rsidP="00973648">
                      <w:pPr>
                        <w:pStyle w:val="Caption"/>
                        <w:jc w:val="center"/>
                        <w:rPr>
                          <w:noProof/>
                        </w:rPr>
                      </w:pPr>
                      <w:bookmarkStart w:id="8" w:name="_Toc118193233"/>
                      <w:bookmarkStart w:id="9" w:name="_Toc132038121"/>
                      <w:bookmarkStart w:id="10" w:name="_Toc133499362"/>
                      <w:r>
                        <w:t xml:space="preserve">Slika </w:t>
                      </w:r>
                      <w:r w:rsidRPr="00A26966">
                        <w:rPr>
                          <w:color w:val="000000" w:themeColor="text1"/>
                        </w:rPr>
                        <w:t>0</w:t>
                      </w:r>
                      <w:r>
                        <w:t>.</w:t>
                      </w:r>
                      <w:fldSimple w:instr=" STYLEREF 1 \s ">
                        <w:r w:rsidR="00695AEF">
                          <w:rPr>
                            <w:noProof/>
                          </w:rPr>
                          <w:t>1</w:t>
                        </w:r>
                      </w:fldSimple>
                      <w:r w:rsidR="00B82F4B">
                        <w:t>.</w:t>
                      </w:r>
                      <w:fldSimple w:instr=" SEQ Slika \* ARABIC \s 1 ">
                        <w:r w:rsidR="00695AEF">
                          <w:rPr>
                            <w:noProof/>
                          </w:rPr>
                          <w:t>1</w:t>
                        </w:r>
                      </w:fldSimple>
                      <w:r>
                        <w:t xml:space="preserve"> </w:t>
                      </w:r>
                      <w:r w:rsidRPr="003319E5">
                        <w:rPr>
                          <w:color w:val="000000"/>
                          <w:lang w:val="hr-BA"/>
                        </w:rPr>
                        <w:t>Elementi strateške platforme</w:t>
                      </w:r>
                      <w:bookmarkEnd w:id="8"/>
                      <w:bookmarkEnd w:id="9"/>
                      <w:bookmarkEnd w:id="10"/>
                    </w:p>
                  </w:txbxContent>
                </v:textbox>
              </v:shape>
            </w:pict>
          </mc:Fallback>
        </mc:AlternateContent>
      </w:r>
    </w:p>
    <w:p w14:paraId="77563E3C" w14:textId="36DC300E" w:rsidR="00055321" w:rsidRPr="008924E0" w:rsidRDefault="00740D4F">
      <w:pPr>
        <w:pBdr>
          <w:top w:val="nil"/>
          <w:left w:val="nil"/>
          <w:bottom w:val="nil"/>
          <w:right w:val="nil"/>
          <w:between w:val="nil"/>
        </w:pBdr>
        <w:spacing w:after="200" w:line="240" w:lineRule="auto"/>
        <w:rPr>
          <w:color w:val="000000"/>
          <w:lang w:val="bs-Latn-BA"/>
        </w:rPr>
      </w:pPr>
      <w:r w:rsidRPr="008924E0">
        <w:rPr>
          <w:color w:val="000000"/>
          <w:lang w:val="bs-Latn-BA"/>
        </w:rPr>
        <w:t>Strateška platforma pripremljena je na osnovu analize prethodno prikupljenih podataka koji su doprinijeli identificiranju ključnih razvojnih karakteristika sektora zgradarstva u FBiH, u kontekstu preuzetih obveza BiH, te postavljenih ciljeva EU o klimatskoj neutralnosti.</w:t>
      </w:r>
    </w:p>
    <w:p w14:paraId="429E7DEE" w14:textId="77777777" w:rsidR="00055321" w:rsidRPr="008924E0" w:rsidRDefault="00740D4F">
      <w:pPr>
        <w:pBdr>
          <w:top w:val="nil"/>
          <w:left w:val="nil"/>
          <w:bottom w:val="nil"/>
          <w:right w:val="nil"/>
          <w:between w:val="nil"/>
        </w:pBdr>
        <w:spacing w:after="200" w:line="240" w:lineRule="auto"/>
        <w:rPr>
          <w:color w:val="000000"/>
          <w:lang w:val="bs-Latn-BA"/>
        </w:rPr>
      </w:pPr>
      <w:r w:rsidRPr="008924E0">
        <w:rPr>
          <w:color w:val="000000"/>
          <w:lang w:val="bs-Latn-BA"/>
        </w:rPr>
        <w:t>U formi vizije i strateških ciljeva definirana je i predstavljena željena promjena kojoj se teži za period do 2050. godine,  a u skladu sa ciljevima održivog razvoja.</w:t>
      </w:r>
    </w:p>
    <w:p w14:paraId="5551F04C" w14:textId="48276EDA" w:rsidR="00055321" w:rsidRPr="008924E0" w:rsidRDefault="00740D4F">
      <w:pPr>
        <w:spacing w:after="120" w:line="276" w:lineRule="auto"/>
        <w:rPr>
          <w:lang w:val="bs-Latn-BA"/>
        </w:rPr>
      </w:pPr>
      <w:r w:rsidRPr="008924E0">
        <w:rPr>
          <w:lang w:val="bs-Latn-BA"/>
        </w:rPr>
        <w:t xml:space="preserve">Dugoročna strategija za podsticanje ulaganja u obnovu fonda zgrada donosi se prvi put, u skladu sa gore opisanim preuzetim međunarodnim </w:t>
      </w:r>
      <w:r w:rsidR="00F03625">
        <w:rPr>
          <w:lang w:val="bs-Latn-BA"/>
        </w:rPr>
        <w:t>obvez</w:t>
      </w:r>
      <w:r w:rsidRPr="008924E0">
        <w:rPr>
          <w:lang w:val="bs-Latn-BA"/>
        </w:rPr>
        <w:t xml:space="preserve">ama i </w:t>
      </w:r>
      <w:r w:rsidR="00465FA1" w:rsidRPr="008924E0">
        <w:rPr>
          <w:lang w:val="bs-Latn-BA"/>
        </w:rPr>
        <w:t>važećim</w:t>
      </w:r>
      <w:r w:rsidRPr="008924E0">
        <w:rPr>
          <w:lang w:val="bs-Latn-BA"/>
        </w:rPr>
        <w:t xml:space="preserve"> propisima. </w:t>
      </w:r>
    </w:p>
    <w:p w14:paraId="437C6F79" w14:textId="77777777" w:rsidR="00055321" w:rsidRPr="008924E0" w:rsidRDefault="00740D4F">
      <w:pPr>
        <w:spacing w:after="120" w:line="276" w:lineRule="auto"/>
        <w:rPr>
          <w:highlight w:val="yellow"/>
          <w:lang w:val="bs-Latn-BA"/>
        </w:rPr>
      </w:pPr>
      <w:bookmarkStart w:id="8" w:name="_heading=h.tyjcwt" w:colFirst="0" w:colLast="0"/>
      <w:bookmarkEnd w:id="8"/>
      <w:r w:rsidRPr="008924E0">
        <w:rPr>
          <w:lang w:val="bs-Latn-BA"/>
        </w:rPr>
        <w:t xml:space="preserve">Kao izvori podataka za izradu Strategije, korišteni su sljedeći dokumenti: </w:t>
      </w:r>
    </w:p>
    <w:p w14:paraId="17CD42F6"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 xml:space="preserve">Integrirani energetski i klimatski plan za BiH do 2030 </w:t>
      </w:r>
      <w:r w:rsidRPr="008924E0">
        <w:rPr>
          <w:i/>
          <w:color w:val="000000"/>
          <w:lang w:val="bs-Latn-BA"/>
        </w:rPr>
        <w:t>(National Energy and Climate Plan -NECP 2030</w:t>
      </w:r>
      <w:r w:rsidRPr="008924E0">
        <w:rPr>
          <w:color w:val="000000"/>
          <w:lang w:val="bs-Latn-BA"/>
        </w:rPr>
        <w:t>) -nacrt</w:t>
      </w:r>
    </w:p>
    <w:p w14:paraId="388E8E37"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Okvirna energetska strategija Bosne i Hercegovine do 2035. godine  (2018.)</w:t>
      </w:r>
    </w:p>
    <w:p w14:paraId="4FF2AC52" w14:textId="70C686DD"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Nacionalni akcioni plan energetske efikasnosti 2019 -2021</w:t>
      </w:r>
      <w:r w:rsidR="00465FA1" w:rsidRPr="008924E0">
        <w:rPr>
          <w:color w:val="000000"/>
          <w:lang w:val="bs-Latn-BA"/>
        </w:rPr>
        <w:t>.</w:t>
      </w:r>
      <w:r w:rsidRPr="008924E0">
        <w:rPr>
          <w:color w:val="000000"/>
          <w:lang w:val="bs-Latn-BA"/>
        </w:rPr>
        <w:t xml:space="preserve"> (nacrt)</w:t>
      </w:r>
    </w:p>
    <w:p w14:paraId="2BC9A58D" w14:textId="77839DFC"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 xml:space="preserve">Akcioni plan energijske efikasnosti FBiH 2019 </w:t>
      </w:r>
      <w:r w:rsidR="00465FA1" w:rsidRPr="008924E0">
        <w:rPr>
          <w:color w:val="000000"/>
          <w:lang w:val="bs-Latn-BA"/>
        </w:rPr>
        <w:t>–</w:t>
      </w:r>
      <w:r w:rsidRPr="008924E0">
        <w:rPr>
          <w:color w:val="000000"/>
          <w:lang w:val="bs-Latn-BA"/>
        </w:rPr>
        <w:t xml:space="preserve"> 2021</w:t>
      </w:r>
      <w:r w:rsidR="00465FA1" w:rsidRPr="008924E0">
        <w:rPr>
          <w:color w:val="000000"/>
          <w:lang w:val="bs-Latn-BA"/>
        </w:rPr>
        <w:t>.</w:t>
      </w:r>
      <w:r w:rsidRPr="008924E0">
        <w:rPr>
          <w:color w:val="000000"/>
          <w:lang w:val="bs-Latn-BA"/>
        </w:rPr>
        <w:t xml:space="preserve"> </w:t>
      </w:r>
    </w:p>
    <w:p w14:paraId="71E0CAF1"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Nacionalna strategija obnove zgrada za period do 2050. godine – nacrt (2019.)</w:t>
      </w:r>
    </w:p>
    <w:p w14:paraId="57D66CA5"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Strategija obnove zgrada u FBiH za period do 2050. godine – nacrt (2019.)</w:t>
      </w:r>
    </w:p>
    <w:p w14:paraId="5812E1C3"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Operativni plan poboljšanja energijske efikasnosti u institucijama FBiH  (2021.)</w:t>
      </w:r>
    </w:p>
    <w:p w14:paraId="676BDE4A" w14:textId="050945A6"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 xml:space="preserve">Strategije razvoja Federacije Bosne i Hercegovine 2021 </w:t>
      </w:r>
      <w:r w:rsidR="00465FA1" w:rsidRPr="008924E0">
        <w:rPr>
          <w:color w:val="000000"/>
          <w:lang w:val="bs-Latn-BA"/>
        </w:rPr>
        <w:t>–</w:t>
      </w:r>
      <w:r w:rsidRPr="008924E0">
        <w:rPr>
          <w:color w:val="000000"/>
          <w:lang w:val="bs-Latn-BA"/>
        </w:rPr>
        <w:t xml:space="preserve"> 2027</w:t>
      </w:r>
      <w:r w:rsidR="00465FA1" w:rsidRPr="008924E0">
        <w:rPr>
          <w:color w:val="000000"/>
          <w:lang w:val="bs-Latn-BA"/>
        </w:rPr>
        <w:t>.</w:t>
      </w:r>
      <w:r w:rsidRPr="008924E0">
        <w:rPr>
          <w:color w:val="000000"/>
          <w:lang w:val="bs-Latn-BA"/>
        </w:rPr>
        <w:t xml:space="preserve">  (2022.)</w:t>
      </w:r>
    </w:p>
    <w:p w14:paraId="303B9EAA"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Okvir za realizaciju ciljeva održivog razvoja u BiH  (2020.)</w:t>
      </w:r>
    </w:p>
    <w:p w14:paraId="7A42BB2B" w14:textId="4FC1A395"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Zelena agenda za Zapadni Balkan 2030</w:t>
      </w:r>
      <w:r w:rsidR="00465FA1" w:rsidRPr="008924E0">
        <w:rPr>
          <w:color w:val="000000"/>
          <w:lang w:val="bs-Latn-BA"/>
        </w:rPr>
        <w:t>.</w:t>
      </w:r>
      <w:r w:rsidRPr="008924E0">
        <w:rPr>
          <w:color w:val="000000"/>
          <w:lang w:val="bs-Latn-BA"/>
        </w:rPr>
        <w:t xml:space="preserve">  (2022.)</w:t>
      </w:r>
    </w:p>
    <w:p w14:paraId="6D135189" w14:textId="52AD6066"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Strategija prilagođavanja klimatskim promjenama i niskoemisijskog razvoja BiH 2020‒2030</w:t>
      </w:r>
      <w:r w:rsidR="00465FA1" w:rsidRPr="008924E0">
        <w:rPr>
          <w:color w:val="000000"/>
          <w:lang w:val="bs-Latn-BA"/>
        </w:rPr>
        <w:t>.</w:t>
      </w:r>
      <w:r w:rsidRPr="008924E0">
        <w:rPr>
          <w:color w:val="000000"/>
          <w:lang w:val="bs-Latn-BA"/>
        </w:rPr>
        <w:t xml:space="preserve">  (2021.)</w:t>
      </w:r>
    </w:p>
    <w:p w14:paraId="192BEAC9" w14:textId="77777777" w:rsidR="00055321" w:rsidRPr="008924E0" w:rsidRDefault="00740D4F">
      <w:pPr>
        <w:numPr>
          <w:ilvl w:val="0"/>
          <w:numId w:val="28"/>
        </w:numPr>
        <w:pBdr>
          <w:top w:val="nil"/>
          <w:left w:val="nil"/>
          <w:bottom w:val="nil"/>
          <w:right w:val="nil"/>
          <w:between w:val="nil"/>
        </w:pBdr>
        <w:spacing w:after="120" w:line="240" w:lineRule="auto"/>
        <w:rPr>
          <w:i/>
          <w:color w:val="000000"/>
          <w:lang w:val="bs-Latn-BA"/>
        </w:rPr>
      </w:pPr>
      <w:r w:rsidRPr="008924E0">
        <w:rPr>
          <w:color w:val="000000"/>
          <w:lang w:val="bs-Latn-BA"/>
        </w:rPr>
        <w:t xml:space="preserve">Utvrđeni doprinos BiH 2020 - 2030  </w:t>
      </w:r>
      <w:r w:rsidRPr="008924E0">
        <w:rPr>
          <w:i/>
          <w:color w:val="000000"/>
          <w:lang w:val="bs-Latn-BA"/>
        </w:rPr>
        <w:t>(Nationally Determined Contribution - NDC)</w:t>
      </w:r>
    </w:p>
    <w:p w14:paraId="44DAD7CB" w14:textId="25465618" w:rsidR="00055321" w:rsidRPr="00797C73" w:rsidRDefault="00740D4F" w:rsidP="00797C73">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Mapa puta sa akcionim planom za</w:t>
      </w:r>
      <w:r w:rsidR="00797C73" w:rsidRPr="00797C73">
        <w:rPr>
          <w:color w:val="000000"/>
          <w:lang w:val="bs-Latn-BA"/>
        </w:rPr>
        <w:t xml:space="preserve"> provedbu utvrđenih doprinosa </w:t>
      </w:r>
      <w:r w:rsidR="00797C73">
        <w:rPr>
          <w:color w:val="000000"/>
          <w:lang w:val="bs-Latn-BA"/>
        </w:rPr>
        <w:t>B</w:t>
      </w:r>
      <w:r w:rsidR="00797C73" w:rsidRPr="00797C73">
        <w:rPr>
          <w:color w:val="000000"/>
          <w:lang w:val="bs-Latn-BA"/>
        </w:rPr>
        <w:t xml:space="preserve">osne i </w:t>
      </w:r>
      <w:r w:rsidR="00797C73">
        <w:rPr>
          <w:color w:val="000000"/>
          <w:lang w:val="bs-Latn-BA"/>
        </w:rPr>
        <w:t>H</w:t>
      </w:r>
      <w:r w:rsidR="00797C73" w:rsidRPr="00797C73">
        <w:rPr>
          <w:color w:val="000000"/>
          <w:lang w:val="bs-Latn-BA"/>
        </w:rPr>
        <w:t xml:space="preserve">ercegovine za </w:t>
      </w:r>
      <w:r w:rsidRPr="00797C73">
        <w:rPr>
          <w:color w:val="000000"/>
          <w:lang w:val="bs-Latn-BA"/>
        </w:rPr>
        <w:t>period 2020 – 2030</w:t>
      </w:r>
      <w:r w:rsidR="00465FA1" w:rsidRPr="00797C73">
        <w:rPr>
          <w:color w:val="000000"/>
          <w:lang w:val="bs-Latn-BA"/>
        </w:rPr>
        <w:t>.</w:t>
      </w:r>
      <w:r w:rsidRPr="00797C73">
        <w:rPr>
          <w:color w:val="000000"/>
          <w:lang w:val="bs-Latn-BA"/>
        </w:rPr>
        <w:t xml:space="preserve">  </w:t>
      </w:r>
      <w:r w:rsidR="003761F2">
        <w:rPr>
          <w:color w:val="000000"/>
          <w:lang w:val="bs-Latn-BA"/>
        </w:rPr>
        <w:t xml:space="preserve">- </w:t>
      </w:r>
      <w:r w:rsidRPr="00797C73">
        <w:rPr>
          <w:color w:val="000000"/>
          <w:lang w:val="bs-Latn-BA"/>
        </w:rPr>
        <w:t>nacrt</w:t>
      </w:r>
      <w:r w:rsidR="00797C73">
        <w:rPr>
          <w:color w:val="000000"/>
          <w:lang w:val="bs-Latn-BA"/>
        </w:rPr>
        <w:t xml:space="preserve"> (2020.)</w:t>
      </w:r>
    </w:p>
    <w:p w14:paraId="1A95581F" w14:textId="29C4B044"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lastRenderedPageBreak/>
        <w:t>Federalna strategija zaštite okoliša 2022‒2032</w:t>
      </w:r>
      <w:r w:rsidR="00465FA1" w:rsidRPr="008924E0">
        <w:rPr>
          <w:color w:val="000000"/>
          <w:lang w:val="bs-Latn-BA"/>
        </w:rPr>
        <w:t>.</w:t>
      </w:r>
      <w:r w:rsidRPr="008924E0">
        <w:rPr>
          <w:color w:val="000000"/>
          <w:lang w:val="bs-Latn-BA"/>
        </w:rPr>
        <w:t xml:space="preserve">  (2022.)</w:t>
      </w:r>
    </w:p>
    <w:p w14:paraId="6E625AC6"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Studija rješavanja energetskog siromaštva u ugovornim stranama Energetske zajednice (ECT 2021.)</w:t>
      </w:r>
    </w:p>
    <w:p w14:paraId="4E416300" w14:textId="79AAD812"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Procjena potencijala za primjenu visoko efikasne kogeneracije, grijanja i hlađenja u Bosni i Hercegovini, (GIZ 2019</w:t>
      </w:r>
      <w:r w:rsidR="00465FA1" w:rsidRPr="008924E0">
        <w:rPr>
          <w:color w:val="000000"/>
          <w:lang w:val="bs-Latn-BA"/>
        </w:rPr>
        <w:t>.</w:t>
      </w:r>
      <w:r w:rsidRPr="008924E0">
        <w:rPr>
          <w:color w:val="000000"/>
          <w:lang w:val="bs-Latn-BA"/>
        </w:rPr>
        <w:t>)</w:t>
      </w:r>
    </w:p>
    <w:p w14:paraId="3D7FE79E" w14:textId="2A3033A9"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Analiza kapaciteta privatnog sektora za provođenje strategije obnove zgrada u Bosni i Hercegovini, (GIZ 2021</w:t>
      </w:r>
      <w:r w:rsidR="00465FA1" w:rsidRPr="008924E0">
        <w:rPr>
          <w:color w:val="000000"/>
          <w:lang w:val="bs-Latn-BA"/>
        </w:rPr>
        <w:t>.</w:t>
      </w:r>
      <w:r w:rsidRPr="008924E0">
        <w:rPr>
          <w:color w:val="000000"/>
          <w:lang w:val="bs-Latn-BA"/>
        </w:rPr>
        <w:t>)</w:t>
      </w:r>
    </w:p>
    <w:p w14:paraId="6EE57276" w14:textId="77777777" w:rsidR="00055321" w:rsidRPr="008924E0" w:rsidRDefault="00740D4F">
      <w:pPr>
        <w:numPr>
          <w:ilvl w:val="0"/>
          <w:numId w:val="28"/>
        </w:numPr>
        <w:pBdr>
          <w:top w:val="nil"/>
          <w:left w:val="nil"/>
          <w:bottom w:val="nil"/>
          <w:right w:val="nil"/>
          <w:between w:val="nil"/>
        </w:pBdr>
        <w:spacing w:after="120" w:line="240" w:lineRule="auto"/>
        <w:rPr>
          <w:color w:val="000000"/>
          <w:lang w:val="bs-Latn-BA"/>
        </w:rPr>
      </w:pPr>
      <w:r w:rsidRPr="008924E0">
        <w:rPr>
          <w:color w:val="000000"/>
          <w:lang w:val="bs-Latn-BA"/>
        </w:rPr>
        <w:t>Tipologija stambenih objekata BiH (GIZ 2016.)</w:t>
      </w:r>
    </w:p>
    <w:p w14:paraId="7364FF71" w14:textId="77777777" w:rsidR="00055321" w:rsidRPr="008924E0" w:rsidRDefault="00740D4F">
      <w:pPr>
        <w:numPr>
          <w:ilvl w:val="0"/>
          <w:numId w:val="28"/>
        </w:numPr>
        <w:pBdr>
          <w:top w:val="nil"/>
          <w:left w:val="nil"/>
          <w:bottom w:val="nil"/>
          <w:right w:val="nil"/>
          <w:between w:val="nil"/>
        </w:pBdr>
        <w:spacing w:after="120" w:line="240" w:lineRule="auto"/>
        <w:rPr>
          <w:lang w:val="bs-Latn-BA"/>
        </w:rPr>
      </w:pPr>
      <w:r w:rsidRPr="008924E0">
        <w:rPr>
          <w:color w:val="000000"/>
          <w:lang w:val="bs-Latn-BA"/>
        </w:rPr>
        <w:t>Tipologija Javnih zgrada u BiH (UNDP 2017).</w:t>
      </w:r>
    </w:p>
    <w:p w14:paraId="04A88585" w14:textId="4777C954" w:rsidR="00055321" w:rsidRPr="008924E0" w:rsidRDefault="00740D4F">
      <w:pPr>
        <w:rPr>
          <w:lang w:val="bs-Latn-BA"/>
        </w:rPr>
      </w:pPr>
      <w:r w:rsidRPr="008924E0">
        <w:rPr>
          <w:lang w:val="bs-Latn-BA"/>
        </w:rPr>
        <w:t xml:space="preserve">S ciljem provođenja sveobuhvatne situacione analize, pokušalo se doći do svih raspoloživih podataka koji bi ovu prvu verziju Strategije učinili što detaljnijom i preciznijom. Stoga su od strane </w:t>
      </w:r>
      <w:r w:rsidR="00F4170B">
        <w:rPr>
          <w:lang w:val="bs-Latn-BA"/>
        </w:rPr>
        <w:t>FMPU</w:t>
      </w:r>
      <w:r w:rsidRPr="008924E0">
        <w:rPr>
          <w:lang w:val="bs-Latn-BA"/>
        </w:rPr>
        <w:t xml:space="preserve"> upućeni zahtjevi nadležnim institucijama i organizacijama za ustupanje podataka iz strateških i studijskih dokumenata, te baza podataka i registara, </w:t>
      </w:r>
      <w:r w:rsidR="00465FA1" w:rsidRPr="008924E0">
        <w:rPr>
          <w:lang w:val="bs-Latn-BA"/>
        </w:rPr>
        <w:t>potreb</w:t>
      </w:r>
      <w:r w:rsidRPr="008924E0">
        <w:rPr>
          <w:lang w:val="bs-Latn-BA"/>
        </w:rPr>
        <w:t xml:space="preserve">nih za izradu Strategije. </w:t>
      </w:r>
    </w:p>
    <w:p w14:paraId="1AE8ED5F" w14:textId="34494AD8" w:rsidR="00055321" w:rsidRPr="008924E0" w:rsidRDefault="00740D4F">
      <w:pPr>
        <w:rPr>
          <w:lang w:val="bs-Latn-BA"/>
        </w:rPr>
      </w:pPr>
      <w:r w:rsidRPr="008924E0">
        <w:rPr>
          <w:lang w:val="bs-Latn-BA"/>
        </w:rPr>
        <w:t xml:space="preserve">U nastavku je pregled dobivenih podataka od institucija i organizacija kojima je upućen zahtjev od strane FMPU. </w:t>
      </w:r>
    </w:p>
    <w:p w14:paraId="29C8AB5C" w14:textId="1EB9FE1F" w:rsidR="00973648" w:rsidRPr="008924E0" w:rsidRDefault="00973648" w:rsidP="00973648">
      <w:pPr>
        <w:pStyle w:val="Caption"/>
        <w:keepNext/>
      </w:pPr>
      <w:bookmarkStart w:id="9" w:name="_heading=h.3dy6vkm" w:colFirst="0" w:colLast="0"/>
      <w:bookmarkStart w:id="10" w:name="_Toc133499535"/>
      <w:bookmarkEnd w:id="9"/>
      <w:r w:rsidRPr="008924E0">
        <w:t>Tabela 0.</w:t>
      </w:r>
      <w:r w:rsidR="00000000">
        <w:fldChar w:fldCharType="begin"/>
      </w:r>
      <w:r w:rsidR="00000000">
        <w:instrText xml:space="preserve"> STYLEREF 1 \s </w:instrText>
      </w:r>
      <w:r w:rsidR="00000000">
        <w:fldChar w:fldCharType="separate"/>
      </w:r>
      <w:r w:rsidR="004A246B">
        <w:rPr>
          <w:noProof/>
        </w:rPr>
        <w:t>1</w:t>
      </w:r>
      <w:r w:rsidR="00000000">
        <w:rPr>
          <w:noProof/>
        </w:rPr>
        <w:fldChar w:fldCharType="end"/>
      </w:r>
      <w:r w:rsidR="004A246B">
        <w:t>.</w:t>
      </w:r>
      <w:fldSimple w:instr=" SEQ Tabela \* ARABIC \s 1 ">
        <w:r w:rsidR="004A246B">
          <w:rPr>
            <w:noProof/>
          </w:rPr>
          <w:t>1</w:t>
        </w:r>
      </w:fldSimple>
      <w:r w:rsidRPr="008924E0">
        <w:t xml:space="preserve"> </w:t>
      </w:r>
      <w:r w:rsidRPr="008924E0">
        <w:rPr>
          <w:color w:val="000000"/>
        </w:rPr>
        <w:t>Pregled raspoloživosti podataka koji su traženi od različitih institucija i organizacija, i njihova primjenljivost u izradi Strategije</w:t>
      </w:r>
      <w:bookmarkEnd w:id="10"/>
    </w:p>
    <w:tbl>
      <w:tblPr>
        <w:tblStyle w:val="28"/>
        <w:tblW w:w="9365"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2869"/>
        <w:gridCol w:w="3223"/>
        <w:gridCol w:w="3273"/>
      </w:tblGrid>
      <w:tr w:rsidR="00055321" w:rsidRPr="008924E0" w14:paraId="77BA604F" w14:textId="77777777" w:rsidTr="009204BD">
        <w:trPr>
          <w:cnfStyle w:val="100000000000" w:firstRow="1" w:lastRow="0" w:firstColumn="0" w:lastColumn="0" w:oddVBand="0" w:evenVBand="0" w:oddHBand="0" w:evenHBand="0" w:firstRowFirstColumn="0" w:firstRowLastColumn="0" w:lastRowFirstColumn="0" w:lastRowLastColumn="0"/>
          <w:trHeight w:val="196"/>
          <w:jc w:val="center"/>
        </w:trPr>
        <w:tc>
          <w:tcPr>
            <w:cnfStyle w:val="001000000000" w:firstRow="0" w:lastRow="0" w:firstColumn="1" w:lastColumn="0" w:oddVBand="0" w:evenVBand="0" w:oddHBand="0" w:evenHBand="0" w:firstRowFirstColumn="0" w:firstRowLastColumn="0" w:lastRowFirstColumn="0" w:lastRowLastColumn="0"/>
            <w:tcW w:w="2869" w:type="dxa"/>
          </w:tcPr>
          <w:p w14:paraId="537B0200" w14:textId="77777777" w:rsidR="00055321" w:rsidRPr="00FE3FE2" w:rsidRDefault="00740D4F">
            <w:pPr>
              <w:pBdr>
                <w:top w:val="nil"/>
                <w:left w:val="nil"/>
                <w:bottom w:val="nil"/>
                <w:right w:val="nil"/>
                <w:between w:val="nil"/>
              </w:pBdr>
              <w:spacing w:before="120" w:after="120"/>
              <w:rPr>
                <w:rFonts w:asciiTheme="minorHAnsi" w:hAnsiTheme="minorHAnsi" w:cstheme="minorHAnsi"/>
                <w:bCs/>
                <w:color w:val="FFFFFF" w:themeColor="background1"/>
                <w:sz w:val="21"/>
                <w:szCs w:val="21"/>
                <w:lang w:val="bs-Latn-BA"/>
              </w:rPr>
            </w:pPr>
            <w:r w:rsidRPr="00FE3FE2">
              <w:rPr>
                <w:rFonts w:asciiTheme="minorHAnsi" w:hAnsiTheme="minorHAnsi" w:cstheme="minorHAnsi"/>
                <w:bCs/>
                <w:color w:val="FFFFFF" w:themeColor="background1"/>
                <w:sz w:val="21"/>
                <w:szCs w:val="21"/>
                <w:lang w:val="bs-Latn-BA"/>
              </w:rPr>
              <w:t>Institucija/organizacija</w:t>
            </w:r>
          </w:p>
        </w:tc>
        <w:tc>
          <w:tcPr>
            <w:tcW w:w="3223" w:type="dxa"/>
          </w:tcPr>
          <w:p w14:paraId="31089BA2" w14:textId="77777777" w:rsidR="00055321" w:rsidRPr="00FE3FE2" w:rsidRDefault="00740D4F">
            <w:pPr>
              <w:pBdr>
                <w:top w:val="nil"/>
                <w:left w:val="nil"/>
                <w:bottom w:val="nil"/>
                <w:right w:val="nil"/>
                <w:between w:val="nil"/>
              </w:pBd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FFFFFF" w:themeColor="background1"/>
                <w:sz w:val="21"/>
                <w:szCs w:val="21"/>
                <w:lang w:val="bs-Latn-BA"/>
              </w:rPr>
            </w:pPr>
            <w:r w:rsidRPr="00FE3FE2">
              <w:rPr>
                <w:rFonts w:asciiTheme="minorHAnsi" w:hAnsiTheme="minorHAnsi" w:cstheme="minorHAnsi"/>
                <w:bCs/>
                <w:color w:val="FFFFFF" w:themeColor="background1"/>
                <w:sz w:val="21"/>
                <w:szCs w:val="21"/>
                <w:lang w:val="bs-Latn-BA"/>
              </w:rPr>
              <w:t>Traženi podaci</w:t>
            </w:r>
          </w:p>
        </w:tc>
        <w:tc>
          <w:tcPr>
            <w:tcW w:w="3273" w:type="dxa"/>
          </w:tcPr>
          <w:p w14:paraId="32476354" w14:textId="77777777" w:rsidR="00055321" w:rsidRPr="00FE3FE2" w:rsidRDefault="00740D4F">
            <w:pPr>
              <w:pBdr>
                <w:top w:val="nil"/>
                <w:left w:val="nil"/>
                <w:bottom w:val="nil"/>
                <w:right w:val="nil"/>
                <w:between w:val="nil"/>
              </w:pBd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color w:val="FFFFFF" w:themeColor="background1"/>
                <w:sz w:val="21"/>
                <w:szCs w:val="21"/>
                <w:lang w:val="bs-Latn-BA"/>
              </w:rPr>
            </w:pPr>
            <w:r w:rsidRPr="00FE3FE2">
              <w:rPr>
                <w:rFonts w:asciiTheme="minorHAnsi" w:hAnsiTheme="minorHAnsi" w:cstheme="minorHAnsi"/>
                <w:bCs/>
                <w:color w:val="FFFFFF" w:themeColor="background1"/>
                <w:sz w:val="21"/>
                <w:szCs w:val="21"/>
                <w:lang w:val="bs-Latn-BA"/>
              </w:rPr>
              <w:t>Status/komentar</w:t>
            </w:r>
          </w:p>
        </w:tc>
      </w:tr>
      <w:tr w:rsidR="00055321" w:rsidRPr="001972F5" w14:paraId="10E9384F" w14:textId="77777777" w:rsidTr="009204BD">
        <w:trPr>
          <w:cnfStyle w:val="000000100000" w:firstRow="0" w:lastRow="0" w:firstColumn="0" w:lastColumn="0" w:oddVBand="0" w:evenVBand="0" w:oddHBand="1" w:evenHBand="0" w:firstRowFirstColumn="0" w:firstRowLastColumn="0" w:lastRowFirstColumn="0" w:lastRowLastColumn="0"/>
          <w:trHeight w:val="606"/>
          <w:jc w:val="center"/>
        </w:trPr>
        <w:tc>
          <w:tcPr>
            <w:cnfStyle w:val="001000000000" w:firstRow="0" w:lastRow="0" w:firstColumn="1" w:lastColumn="0" w:oddVBand="0" w:evenVBand="0" w:oddHBand="0" w:evenHBand="0" w:firstRowFirstColumn="0" w:firstRowLastColumn="0" w:lastRowFirstColumn="0" w:lastRowLastColumn="0"/>
            <w:tcW w:w="2869" w:type="dxa"/>
          </w:tcPr>
          <w:p w14:paraId="440DABE3" w14:textId="77777777" w:rsidR="00055321" w:rsidRPr="008924E0" w:rsidRDefault="00740D4F">
            <w:pPr>
              <w:pBdr>
                <w:top w:val="nil"/>
                <w:left w:val="nil"/>
                <w:bottom w:val="nil"/>
                <w:right w:val="nil"/>
                <w:between w:val="nil"/>
              </w:pBdr>
              <w:spacing w:before="120" w:after="120"/>
              <w:rPr>
                <w:rFonts w:asciiTheme="minorHAnsi" w:hAnsiTheme="minorHAnsi" w:cstheme="minorHAnsi"/>
                <w:color w:val="FF0000"/>
                <w:sz w:val="21"/>
                <w:szCs w:val="21"/>
                <w:lang w:val="bs-Latn-BA"/>
              </w:rPr>
            </w:pPr>
            <w:r w:rsidRPr="008924E0">
              <w:rPr>
                <w:rFonts w:asciiTheme="minorHAnsi" w:hAnsiTheme="minorHAnsi" w:cstheme="minorHAnsi"/>
                <w:b w:val="0"/>
                <w:sz w:val="21"/>
                <w:szCs w:val="21"/>
                <w:lang w:val="bs-Latn-BA"/>
              </w:rPr>
              <w:t>JP Elektroprivreda BiH d.d. Sarajevo</w:t>
            </w:r>
          </w:p>
        </w:tc>
        <w:tc>
          <w:tcPr>
            <w:tcW w:w="3223" w:type="dxa"/>
          </w:tcPr>
          <w:p w14:paraId="5B880099" w14:textId="77777777" w:rsidR="00055321" w:rsidRPr="008924E0" w:rsidRDefault="00740D4F">
            <w:pPr>
              <w:pBdr>
                <w:top w:val="nil"/>
                <w:left w:val="nil"/>
                <w:bottom w:val="nil"/>
                <w:right w:val="nil"/>
                <w:between w:val="nil"/>
              </w:pBd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 xml:space="preserve">Privremeno priključeni objekti u svrhu procjene </w:t>
            </w:r>
            <w:r w:rsidR="00F941D2" w:rsidRPr="008924E0">
              <w:rPr>
                <w:rFonts w:asciiTheme="minorHAnsi" w:hAnsiTheme="minorHAnsi" w:cstheme="minorHAnsi"/>
                <w:sz w:val="21"/>
                <w:szCs w:val="21"/>
                <w:lang w:val="bs-Latn-BA"/>
              </w:rPr>
              <w:t>nelegalno</w:t>
            </w:r>
            <w:r w:rsidRPr="008924E0">
              <w:rPr>
                <w:rFonts w:asciiTheme="minorHAnsi" w:hAnsiTheme="minorHAnsi" w:cstheme="minorHAnsi"/>
                <w:sz w:val="21"/>
                <w:szCs w:val="21"/>
                <w:lang w:val="bs-Latn-BA"/>
              </w:rPr>
              <w:t xml:space="preserve"> izgrađenih objekata.</w:t>
            </w:r>
          </w:p>
        </w:tc>
        <w:tc>
          <w:tcPr>
            <w:tcW w:w="3273" w:type="dxa"/>
          </w:tcPr>
          <w:p w14:paraId="0B8BE552" w14:textId="480B55B5" w:rsidR="00055321" w:rsidRPr="008924E0" w:rsidRDefault="00740D4F">
            <w:pPr>
              <w:pBdr>
                <w:top w:val="nil"/>
                <w:left w:val="nil"/>
                <w:bottom w:val="nil"/>
                <w:right w:val="nil"/>
                <w:between w:val="nil"/>
              </w:pBd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 xml:space="preserve">Dostavljeni </w:t>
            </w:r>
            <w:r w:rsidR="003761F2">
              <w:rPr>
                <w:rFonts w:asciiTheme="minorHAnsi" w:hAnsiTheme="minorHAnsi" w:cstheme="minorHAnsi"/>
                <w:sz w:val="21"/>
                <w:szCs w:val="21"/>
                <w:lang w:val="bs-Latn-BA"/>
              </w:rPr>
              <w:t xml:space="preserve">podaci o </w:t>
            </w:r>
            <w:r w:rsidRPr="008924E0">
              <w:rPr>
                <w:rFonts w:asciiTheme="minorHAnsi" w:hAnsiTheme="minorHAnsi" w:cstheme="minorHAnsi"/>
                <w:sz w:val="21"/>
                <w:szCs w:val="21"/>
                <w:lang w:val="bs-Latn-BA"/>
              </w:rPr>
              <w:t>svi</w:t>
            </w:r>
            <w:r w:rsidR="003761F2">
              <w:rPr>
                <w:rFonts w:asciiTheme="minorHAnsi" w:hAnsiTheme="minorHAnsi" w:cstheme="minorHAnsi"/>
                <w:sz w:val="21"/>
                <w:szCs w:val="21"/>
                <w:lang w:val="bs-Latn-BA"/>
              </w:rPr>
              <w:t>m</w:t>
            </w:r>
            <w:r w:rsidRPr="008924E0">
              <w:rPr>
                <w:rFonts w:asciiTheme="minorHAnsi" w:hAnsiTheme="minorHAnsi" w:cstheme="minorHAnsi"/>
                <w:sz w:val="21"/>
                <w:szCs w:val="21"/>
                <w:lang w:val="bs-Latn-BA"/>
              </w:rPr>
              <w:t xml:space="preserve"> privremeno priključeni</w:t>
            </w:r>
            <w:r w:rsidR="003761F2">
              <w:rPr>
                <w:rFonts w:asciiTheme="minorHAnsi" w:hAnsiTheme="minorHAnsi" w:cstheme="minorHAnsi"/>
                <w:sz w:val="21"/>
                <w:szCs w:val="21"/>
                <w:lang w:val="bs-Latn-BA"/>
              </w:rPr>
              <w:t>m</w:t>
            </w:r>
            <w:r w:rsidRPr="008924E0">
              <w:rPr>
                <w:rFonts w:asciiTheme="minorHAnsi" w:hAnsiTheme="minorHAnsi" w:cstheme="minorHAnsi"/>
                <w:sz w:val="21"/>
                <w:szCs w:val="21"/>
                <w:lang w:val="bs-Latn-BA"/>
              </w:rPr>
              <w:t xml:space="preserve"> objekti</w:t>
            </w:r>
            <w:r w:rsidR="003761F2">
              <w:rPr>
                <w:rFonts w:asciiTheme="minorHAnsi" w:hAnsiTheme="minorHAnsi" w:cstheme="minorHAnsi"/>
                <w:sz w:val="21"/>
                <w:szCs w:val="21"/>
                <w:lang w:val="bs-Latn-BA"/>
              </w:rPr>
              <w:t>ma</w:t>
            </w:r>
            <w:r w:rsidRPr="008924E0">
              <w:rPr>
                <w:rFonts w:asciiTheme="minorHAnsi" w:hAnsiTheme="minorHAnsi" w:cstheme="minorHAnsi"/>
                <w:sz w:val="21"/>
                <w:szCs w:val="21"/>
                <w:lang w:val="bs-Latn-BA"/>
              </w:rPr>
              <w:t xml:space="preserve"> od 2013.godine</w:t>
            </w:r>
          </w:p>
        </w:tc>
      </w:tr>
      <w:tr w:rsidR="00055321" w:rsidRPr="008924E0" w14:paraId="03012BAA" w14:textId="77777777" w:rsidTr="009204BD">
        <w:trPr>
          <w:cnfStyle w:val="000000010000" w:firstRow="0" w:lastRow="0" w:firstColumn="0" w:lastColumn="0" w:oddVBand="0" w:evenVBand="0" w:oddHBand="0" w:evenHBand="1" w:firstRowFirstColumn="0" w:firstRowLastColumn="0" w:lastRowFirstColumn="0" w:lastRowLastColumn="0"/>
          <w:trHeight w:val="609"/>
          <w:jc w:val="center"/>
        </w:trPr>
        <w:tc>
          <w:tcPr>
            <w:cnfStyle w:val="001000000000" w:firstRow="0" w:lastRow="0" w:firstColumn="1" w:lastColumn="0" w:oddVBand="0" w:evenVBand="0" w:oddHBand="0" w:evenHBand="0" w:firstRowFirstColumn="0" w:firstRowLastColumn="0" w:lastRowFirstColumn="0" w:lastRowLastColumn="0"/>
            <w:tcW w:w="2869" w:type="dxa"/>
          </w:tcPr>
          <w:p w14:paraId="5E21E70B"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JP „Elektroprivreda HZ HB“d.d. Mostar</w:t>
            </w:r>
          </w:p>
        </w:tc>
        <w:tc>
          <w:tcPr>
            <w:tcW w:w="3223" w:type="dxa"/>
          </w:tcPr>
          <w:p w14:paraId="55A9819D" w14:textId="77777777" w:rsidR="00055321" w:rsidRPr="008924E0" w:rsidRDefault="00740D4F">
            <w:pPr>
              <w:pBdr>
                <w:top w:val="nil"/>
                <w:left w:val="nil"/>
                <w:bottom w:val="nil"/>
                <w:right w:val="nil"/>
                <w:between w:val="nil"/>
              </w:pBd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 xml:space="preserve">Privremeno priključeni objekti u svrhu procjene </w:t>
            </w:r>
            <w:r w:rsidR="00F941D2" w:rsidRPr="008924E0">
              <w:rPr>
                <w:rFonts w:asciiTheme="minorHAnsi" w:hAnsiTheme="minorHAnsi" w:cstheme="minorHAnsi"/>
                <w:sz w:val="21"/>
                <w:szCs w:val="21"/>
                <w:lang w:val="bs-Latn-BA"/>
              </w:rPr>
              <w:t>nelegalno</w:t>
            </w:r>
            <w:r w:rsidRPr="008924E0">
              <w:rPr>
                <w:rFonts w:asciiTheme="minorHAnsi" w:hAnsiTheme="minorHAnsi" w:cstheme="minorHAnsi"/>
                <w:sz w:val="21"/>
                <w:szCs w:val="21"/>
                <w:lang w:val="bs-Latn-BA"/>
              </w:rPr>
              <w:t xml:space="preserve"> izgrađenih objekata</w:t>
            </w:r>
          </w:p>
        </w:tc>
        <w:tc>
          <w:tcPr>
            <w:tcW w:w="3273" w:type="dxa"/>
          </w:tcPr>
          <w:p w14:paraId="62DE3E19" w14:textId="77777777" w:rsidR="00055321" w:rsidRPr="008924E0" w:rsidRDefault="00740D4F">
            <w:pPr>
              <w:pBdr>
                <w:top w:val="nil"/>
                <w:left w:val="nil"/>
                <w:bottom w:val="nil"/>
                <w:right w:val="nil"/>
                <w:between w:val="nil"/>
              </w:pBdr>
              <w:spacing w:before="120" w:after="1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Nije dostavljeno</w:t>
            </w:r>
          </w:p>
        </w:tc>
      </w:tr>
      <w:tr w:rsidR="00055321" w:rsidRPr="008924E0" w14:paraId="6570FE78" w14:textId="77777777" w:rsidTr="009204BD">
        <w:trPr>
          <w:cnfStyle w:val="000000100000" w:firstRow="0" w:lastRow="0" w:firstColumn="0" w:lastColumn="0" w:oddVBand="0" w:evenVBand="0" w:oddHBand="1" w:evenHBand="0" w:firstRowFirstColumn="0" w:firstRowLastColumn="0" w:lastRowFirstColumn="0" w:lastRowLastColumn="0"/>
          <w:trHeight w:val="402"/>
          <w:jc w:val="center"/>
        </w:trPr>
        <w:tc>
          <w:tcPr>
            <w:cnfStyle w:val="001000000000" w:firstRow="0" w:lastRow="0" w:firstColumn="1" w:lastColumn="0" w:oddVBand="0" w:evenVBand="0" w:oddHBand="0" w:evenHBand="0" w:firstRowFirstColumn="0" w:firstRowLastColumn="0" w:lastRowFirstColumn="0" w:lastRowLastColumn="0"/>
            <w:tcW w:w="2869" w:type="dxa"/>
          </w:tcPr>
          <w:p w14:paraId="5EF4BF6B" w14:textId="77777777" w:rsidR="00055321" w:rsidRPr="008924E0" w:rsidRDefault="00740D4F">
            <w:pPr>
              <w:pBdr>
                <w:top w:val="nil"/>
                <w:left w:val="nil"/>
                <w:bottom w:val="nil"/>
                <w:right w:val="nil"/>
                <w:between w:val="nil"/>
              </w:pBdr>
              <w:spacing w:before="120" w:after="120"/>
              <w:rPr>
                <w:rFonts w:asciiTheme="minorHAnsi" w:hAnsiTheme="minorHAnsi" w:cstheme="minorHAnsi"/>
                <w:color w:val="FF0000"/>
                <w:sz w:val="21"/>
                <w:szCs w:val="21"/>
                <w:lang w:val="bs-Latn-BA"/>
              </w:rPr>
            </w:pPr>
            <w:r w:rsidRPr="008924E0">
              <w:rPr>
                <w:rFonts w:asciiTheme="minorHAnsi" w:hAnsiTheme="minorHAnsi" w:cstheme="minorHAnsi"/>
                <w:b w:val="0"/>
                <w:sz w:val="21"/>
                <w:szCs w:val="21"/>
                <w:lang w:val="bs-Latn-BA"/>
              </w:rPr>
              <w:t>Federalno ministarstvo prostornog uređenja</w:t>
            </w:r>
          </w:p>
        </w:tc>
        <w:tc>
          <w:tcPr>
            <w:tcW w:w="3223" w:type="dxa"/>
          </w:tcPr>
          <w:p w14:paraId="6E606195"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Podaci o provedenim detaljnim energijskim auditima (DEA) u FBiH (BEEP)</w:t>
            </w:r>
          </w:p>
        </w:tc>
        <w:tc>
          <w:tcPr>
            <w:tcW w:w="3273" w:type="dxa"/>
          </w:tcPr>
          <w:p w14:paraId="028C8FB0"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Dostavljeno</w:t>
            </w:r>
          </w:p>
        </w:tc>
      </w:tr>
      <w:tr w:rsidR="00055321" w:rsidRPr="008924E0" w14:paraId="5D47008E" w14:textId="77777777" w:rsidTr="009204BD">
        <w:trPr>
          <w:cnfStyle w:val="000000010000" w:firstRow="0" w:lastRow="0" w:firstColumn="0" w:lastColumn="0" w:oddVBand="0" w:evenVBand="0" w:oddHBand="0" w:evenHBand="1"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2869" w:type="dxa"/>
          </w:tcPr>
          <w:p w14:paraId="3ADF2FE4" w14:textId="37265E94"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 xml:space="preserve">Njemačko društvo za međunarodnu saradnju </w:t>
            </w:r>
            <w:r w:rsidR="003761F2">
              <w:rPr>
                <w:rFonts w:asciiTheme="minorHAnsi" w:hAnsiTheme="minorHAnsi" w:cstheme="minorHAnsi"/>
                <w:b w:val="0"/>
                <w:sz w:val="21"/>
                <w:szCs w:val="21"/>
                <w:lang w:val="bs-Latn-BA"/>
              </w:rPr>
              <w:t>–</w:t>
            </w:r>
            <w:r w:rsidRPr="008924E0">
              <w:rPr>
                <w:rFonts w:asciiTheme="minorHAnsi" w:hAnsiTheme="minorHAnsi" w:cstheme="minorHAnsi"/>
                <w:b w:val="0"/>
                <w:sz w:val="21"/>
                <w:szCs w:val="21"/>
                <w:lang w:val="bs-Latn-BA"/>
              </w:rPr>
              <w:t xml:space="preserve"> GIZ</w:t>
            </w:r>
          </w:p>
        </w:tc>
        <w:tc>
          <w:tcPr>
            <w:tcW w:w="3223" w:type="dxa"/>
          </w:tcPr>
          <w:p w14:paraId="1F3D16B2" w14:textId="77777777"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Studije relevantne za Strategiju obnove zgrada u FBiH, podaci iz LEAP-a</w:t>
            </w:r>
          </w:p>
        </w:tc>
        <w:tc>
          <w:tcPr>
            <w:tcW w:w="3273" w:type="dxa"/>
          </w:tcPr>
          <w:p w14:paraId="059C6E7A" w14:textId="77777777"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Dostavljeno</w:t>
            </w:r>
          </w:p>
        </w:tc>
      </w:tr>
      <w:tr w:rsidR="00055321" w:rsidRPr="008924E0" w14:paraId="7715CBE4" w14:textId="77777777" w:rsidTr="00BD5354">
        <w:trPr>
          <w:cnfStyle w:val="000000100000" w:firstRow="0" w:lastRow="0" w:firstColumn="0" w:lastColumn="0" w:oddVBand="0" w:evenVBand="0" w:oddHBand="1"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2869" w:type="dxa"/>
          </w:tcPr>
          <w:p w14:paraId="07ED374F"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UNDP</w:t>
            </w:r>
          </w:p>
        </w:tc>
        <w:tc>
          <w:tcPr>
            <w:tcW w:w="3223" w:type="dxa"/>
          </w:tcPr>
          <w:p w14:paraId="326F7E82" w14:textId="77777777" w:rsidR="00055321" w:rsidRPr="008924E0" w:rsidRDefault="00740D4F">
            <w:pPr>
              <w:ind w:left="6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Studije relevantne za Strategiju obnove zgrada u FBiH:</w:t>
            </w:r>
          </w:p>
          <w:p w14:paraId="7A550C87" w14:textId="77777777" w:rsidR="00055321" w:rsidRPr="008924E0" w:rsidRDefault="00740D4F" w:rsidP="00B254A7">
            <w:pPr>
              <w:numPr>
                <w:ilvl w:val="0"/>
                <w:numId w:val="36"/>
              </w:numPr>
              <w:pBdr>
                <w:top w:val="nil"/>
                <w:left w:val="nil"/>
                <w:bottom w:val="nil"/>
                <w:right w:val="nil"/>
                <w:between w:val="nil"/>
              </w:pBdr>
              <w:spacing w:after="120"/>
              <w:ind w:left="341"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Studija obnovljivih izvora energije s naglaskom na biomasu, geotermalnu energiju i solarnu energiju u Bosni i Hercegovini (2018);</w:t>
            </w:r>
          </w:p>
          <w:p w14:paraId="2BCE85F0" w14:textId="77777777" w:rsidR="00055321" w:rsidRPr="008924E0" w:rsidRDefault="00740D4F" w:rsidP="00B254A7">
            <w:pPr>
              <w:numPr>
                <w:ilvl w:val="0"/>
                <w:numId w:val="36"/>
              </w:numPr>
              <w:pBdr>
                <w:top w:val="nil"/>
                <w:left w:val="nil"/>
                <w:bottom w:val="nil"/>
                <w:right w:val="nil"/>
                <w:between w:val="nil"/>
              </w:pBdr>
              <w:spacing w:after="120"/>
              <w:ind w:left="341"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Studija za unapređenje energijske efikasnosti u domaćinstvima koja koriste osobe koje se nalaze u stanju socijalne potrebe u Kantonu Sarajevo, (2020);</w:t>
            </w:r>
          </w:p>
          <w:p w14:paraId="2CF51B6F" w14:textId="77777777" w:rsidR="00055321" w:rsidRPr="008924E0" w:rsidRDefault="00740D4F" w:rsidP="00B254A7">
            <w:pPr>
              <w:numPr>
                <w:ilvl w:val="0"/>
                <w:numId w:val="36"/>
              </w:numPr>
              <w:pBdr>
                <w:top w:val="nil"/>
                <w:left w:val="nil"/>
                <w:bottom w:val="nil"/>
                <w:right w:val="nil"/>
                <w:between w:val="nil"/>
              </w:pBdr>
              <w:spacing w:after="120"/>
              <w:ind w:left="341" w:hanging="27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lastRenderedPageBreak/>
              <w:t>Strategija za ograničavanje korištenja uglja i ostalih čvrstih goriva u KS u periodu 2021 – 2031 (u toku).</w:t>
            </w:r>
          </w:p>
          <w:p w14:paraId="522A4398" w14:textId="77777777" w:rsidR="00055321" w:rsidRPr="008924E0" w:rsidRDefault="00740D4F">
            <w:pPr>
              <w:spacing w:after="1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Podaci o provedenim DEA u FBiH.</w:t>
            </w:r>
          </w:p>
        </w:tc>
        <w:tc>
          <w:tcPr>
            <w:tcW w:w="3273" w:type="dxa"/>
          </w:tcPr>
          <w:p w14:paraId="3A7008FE"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lastRenderedPageBreak/>
              <w:t>Nije dostavljeno</w:t>
            </w:r>
          </w:p>
        </w:tc>
      </w:tr>
      <w:tr w:rsidR="00055321" w:rsidRPr="001972F5" w14:paraId="72EF19A3" w14:textId="77777777" w:rsidTr="009204BD">
        <w:trPr>
          <w:cnfStyle w:val="000000010000" w:firstRow="0" w:lastRow="0" w:firstColumn="0" w:lastColumn="0" w:oddVBand="0" w:evenVBand="0" w:oddHBand="0" w:evenHBand="1"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2869" w:type="dxa"/>
          </w:tcPr>
          <w:p w14:paraId="1A3BDEF2"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 xml:space="preserve">Kantonalna Ministarstva privrede </w:t>
            </w:r>
          </w:p>
        </w:tc>
        <w:tc>
          <w:tcPr>
            <w:tcW w:w="3223" w:type="dxa"/>
          </w:tcPr>
          <w:p w14:paraId="05E499CC" w14:textId="77777777"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Registar poslovnih subjekata u svrhu procjene komercijalnih zgrada.</w:t>
            </w:r>
          </w:p>
        </w:tc>
        <w:tc>
          <w:tcPr>
            <w:tcW w:w="3273" w:type="dxa"/>
          </w:tcPr>
          <w:p w14:paraId="2DECDD36" w14:textId="0B760870"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 xml:space="preserve">Nije dostavljeno. </w:t>
            </w:r>
            <w:r w:rsidR="003761F2">
              <w:rPr>
                <w:rFonts w:asciiTheme="minorHAnsi" w:hAnsiTheme="minorHAnsi" w:cstheme="minorHAnsi"/>
                <w:sz w:val="21"/>
                <w:szCs w:val="21"/>
                <w:lang w:val="bs-Latn-BA"/>
              </w:rPr>
              <w:t>(</w:t>
            </w:r>
            <w:r w:rsidRPr="008924E0">
              <w:rPr>
                <w:rFonts w:asciiTheme="minorHAnsi" w:hAnsiTheme="minorHAnsi" w:cstheme="minorHAnsi"/>
                <w:sz w:val="21"/>
                <w:szCs w:val="21"/>
                <w:lang w:val="bs-Latn-BA"/>
              </w:rPr>
              <w:t>Smatraju da nisu nadležni za tražene podatke.</w:t>
            </w:r>
            <w:r w:rsidR="003761F2">
              <w:rPr>
                <w:rFonts w:asciiTheme="minorHAnsi" w:hAnsiTheme="minorHAnsi" w:cstheme="minorHAnsi"/>
                <w:sz w:val="21"/>
                <w:szCs w:val="21"/>
                <w:lang w:val="bs-Latn-BA"/>
              </w:rPr>
              <w:t>)</w:t>
            </w:r>
          </w:p>
        </w:tc>
      </w:tr>
      <w:tr w:rsidR="00055321" w:rsidRPr="008924E0" w14:paraId="60179FBF" w14:textId="77777777" w:rsidTr="009204BD">
        <w:trPr>
          <w:cnfStyle w:val="000000100000" w:firstRow="0" w:lastRow="0" w:firstColumn="0" w:lastColumn="0" w:oddVBand="0" w:evenVBand="0" w:oddHBand="1" w:evenHBand="0" w:firstRowFirstColumn="0" w:firstRowLastColumn="0" w:lastRowFirstColumn="0" w:lastRowLastColumn="0"/>
          <w:trHeight w:val="518"/>
          <w:jc w:val="center"/>
        </w:trPr>
        <w:tc>
          <w:tcPr>
            <w:cnfStyle w:val="001000000000" w:firstRow="0" w:lastRow="0" w:firstColumn="1" w:lastColumn="0" w:oddVBand="0" w:evenVBand="0" w:oddHBand="0" w:evenHBand="0" w:firstRowFirstColumn="0" w:firstRowLastColumn="0" w:lastRowFirstColumn="0" w:lastRowLastColumn="0"/>
            <w:tcW w:w="2869" w:type="dxa"/>
          </w:tcPr>
          <w:p w14:paraId="59B764D2"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Komisija za očuvanje nacionalnih spomenika BiH</w:t>
            </w:r>
          </w:p>
        </w:tc>
        <w:tc>
          <w:tcPr>
            <w:tcW w:w="3223" w:type="dxa"/>
          </w:tcPr>
          <w:p w14:paraId="6BA3A7A0"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 xml:space="preserve">Lista/baza podataka o zgradama u FBiH proglašenim nacionalnim spomenicima. </w:t>
            </w:r>
          </w:p>
        </w:tc>
        <w:tc>
          <w:tcPr>
            <w:tcW w:w="3273" w:type="dxa"/>
          </w:tcPr>
          <w:p w14:paraId="00628F14"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Nije dostavljeno</w:t>
            </w:r>
          </w:p>
        </w:tc>
      </w:tr>
      <w:tr w:rsidR="00055321" w:rsidRPr="001972F5" w14:paraId="209E2E4E" w14:textId="77777777" w:rsidTr="009204BD">
        <w:trPr>
          <w:cnfStyle w:val="000000010000" w:firstRow="0" w:lastRow="0" w:firstColumn="0" w:lastColumn="0" w:oddVBand="0" w:evenVBand="0" w:oddHBand="0" w:evenHBand="1" w:firstRowFirstColumn="0" w:firstRowLastColumn="0" w:lastRowFirstColumn="0" w:lastRowLastColumn="0"/>
          <w:trHeight w:val="308"/>
          <w:jc w:val="center"/>
        </w:trPr>
        <w:tc>
          <w:tcPr>
            <w:cnfStyle w:val="001000000000" w:firstRow="0" w:lastRow="0" w:firstColumn="1" w:lastColumn="0" w:oddVBand="0" w:evenVBand="0" w:oddHBand="0" w:evenHBand="0" w:firstRowFirstColumn="0" w:firstRowLastColumn="0" w:lastRowFirstColumn="0" w:lastRowLastColumn="0"/>
            <w:tcW w:w="2869" w:type="dxa"/>
          </w:tcPr>
          <w:p w14:paraId="0558460C"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Ministarstvo odbrane BiH</w:t>
            </w:r>
          </w:p>
        </w:tc>
        <w:tc>
          <w:tcPr>
            <w:tcW w:w="3223" w:type="dxa"/>
          </w:tcPr>
          <w:p w14:paraId="2683EC30" w14:textId="77777777"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Lista/baza podataka o vojnim  zgradama u FBiH.</w:t>
            </w:r>
          </w:p>
        </w:tc>
        <w:tc>
          <w:tcPr>
            <w:tcW w:w="3273" w:type="dxa"/>
          </w:tcPr>
          <w:p w14:paraId="2E08BF43" w14:textId="77777777"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Dostavljeno u skladu sa traženim podacima</w:t>
            </w:r>
          </w:p>
        </w:tc>
      </w:tr>
      <w:tr w:rsidR="00055321" w:rsidRPr="001972F5" w14:paraId="245B7E9E" w14:textId="77777777" w:rsidTr="009204BD">
        <w:trPr>
          <w:cnfStyle w:val="000000100000" w:firstRow="0" w:lastRow="0" w:firstColumn="0" w:lastColumn="0" w:oddVBand="0" w:evenVBand="0" w:oddHBand="1" w:evenHBand="0" w:firstRowFirstColumn="0" w:firstRowLastColumn="0" w:lastRowFirstColumn="0" w:lastRowLastColumn="0"/>
          <w:trHeight w:val="515"/>
          <w:jc w:val="center"/>
        </w:trPr>
        <w:tc>
          <w:tcPr>
            <w:cnfStyle w:val="001000000000" w:firstRow="0" w:lastRow="0" w:firstColumn="1" w:lastColumn="0" w:oddVBand="0" w:evenVBand="0" w:oddHBand="0" w:evenHBand="0" w:firstRowFirstColumn="0" w:firstRowLastColumn="0" w:lastRowFirstColumn="0" w:lastRowLastColumn="0"/>
            <w:tcW w:w="2869" w:type="dxa"/>
          </w:tcPr>
          <w:p w14:paraId="6F632C51"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Općinski sudovi (10 Kantona)</w:t>
            </w:r>
          </w:p>
        </w:tc>
        <w:tc>
          <w:tcPr>
            <w:tcW w:w="3223" w:type="dxa"/>
          </w:tcPr>
          <w:p w14:paraId="4AA8124A"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Registar poslovnih subjekata u svrhu procjene komercijalnih zgrada.</w:t>
            </w:r>
          </w:p>
        </w:tc>
        <w:tc>
          <w:tcPr>
            <w:tcW w:w="3273" w:type="dxa"/>
          </w:tcPr>
          <w:p w14:paraId="2CD28C42" w14:textId="56072C2E"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 xml:space="preserve">Nije dostavljeno. </w:t>
            </w:r>
            <w:r w:rsidR="003761F2">
              <w:rPr>
                <w:rFonts w:asciiTheme="minorHAnsi" w:hAnsiTheme="minorHAnsi" w:cstheme="minorHAnsi"/>
                <w:sz w:val="21"/>
                <w:szCs w:val="21"/>
                <w:lang w:val="bs-Latn-BA"/>
              </w:rPr>
              <w:t>(</w:t>
            </w:r>
            <w:r w:rsidRPr="008924E0">
              <w:rPr>
                <w:rFonts w:asciiTheme="minorHAnsi" w:hAnsiTheme="minorHAnsi" w:cstheme="minorHAnsi"/>
                <w:sz w:val="21"/>
                <w:szCs w:val="21"/>
                <w:lang w:val="bs-Latn-BA"/>
              </w:rPr>
              <w:t xml:space="preserve">Nisu u mogućnosti </w:t>
            </w:r>
            <w:r w:rsidR="003761F2">
              <w:rPr>
                <w:rFonts w:asciiTheme="minorHAnsi" w:hAnsiTheme="minorHAnsi" w:cstheme="minorHAnsi"/>
                <w:sz w:val="21"/>
                <w:szCs w:val="21"/>
                <w:lang w:val="bs-Latn-BA"/>
              </w:rPr>
              <w:t>dostaviti</w:t>
            </w:r>
            <w:r w:rsidRPr="008924E0">
              <w:rPr>
                <w:rFonts w:asciiTheme="minorHAnsi" w:hAnsiTheme="minorHAnsi" w:cstheme="minorHAnsi"/>
                <w:sz w:val="21"/>
                <w:szCs w:val="21"/>
                <w:lang w:val="bs-Latn-BA"/>
              </w:rPr>
              <w:t xml:space="preserve"> tražene podatke.</w:t>
            </w:r>
            <w:r w:rsidR="003761F2">
              <w:rPr>
                <w:rFonts w:asciiTheme="minorHAnsi" w:hAnsiTheme="minorHAnsi" w:cstheme="minorHAnsi"/>
                <w:sz w:val="21"/>
                <w:szCs w:val="21"/>
                <w:lang w:val="bs-Latn-BA"/>
              </w:rPr>
              <w:t>)</w:t>
            </w:r>
          </w:p>
        </w:tc>
      </w:tr>
      <w:tr w:rsidR="00055321" w:rsidRPr="008924E0" w14:paraId="7E8E9674" w14:textId="77777777" w:rsidTr="009204BD">
        <w:trPr>
          <w:cnfStyle w:val="000000010000" w:firstRow="0" w:lastRow="0" w:firstColumn="0" w:lastColumn="0" w:oddVBand="0" w:evenVBand="0" w:oddHBand="0" w:evenHBand="1"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869" w:type="dxa"/>
          </w:tcPr>
          <w:p w14:paraId="6515478A"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Porezna uprava FBiH</w:t>
            </w:r>
          </w:p>
        </w:tc>
        <w:tc>
          <w:tcPr>
            <w:tcW w:w="3223" w:type="dxa"/>
          </w:tcPr>
          <w:p w14:paraId="7C6678A8" w14:textId="77777777"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 xml:space="preserve">Podaci o registrovanim poslovnim subjektima na području FBiH, po kantonima </w:t>
            </w:r>
          </w:p>
        </w:tc>
        <w:tc>
          <w:tcPr>
            <w:tcW w:w="3273" w:type="dxa"/>
          </w:tcPr>
          <w:p w14:paraId="022FCB15" w14:textId="77777777" w:rsidR="00055321" w:rsidRPr="008924E0" w:rsidRDefault="00740D4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Nije dostavljeno.</w:t>
            </w:r>
          </w:p>
        </w:tc>
      </w:tr>
      <w:tr w:rsidR="00055321" w:rsidRPr="001972F5" w14:paraId="05B63DF4" w14:textId="77777777" w:rsidTr="009204BD">
        <w:trPr>
          <w:cnfStyle w:val="000000100000" w:firstRow="0" w:lastRow="0" w:firstColumn="0" w:lastColumn="0" w:oddVBand="0" w:evenVBand="0" w:oddHBand="1" w:evenHBand="0" w:firstRowFirstColumn="0" w:firstRowLastColumn="0" w:lastRowFirstColumn="0" w:lastRowLastColumn="0"/>
          <w:trHeight w:val="8"/>
          <w:jc w:val="center"/>
        </w:trPr>
        <w:tc>
          <w:tcPr>
            <w:cnfStyle w:val="001000000000" w:firstRow="0" w:lastRow="0" w:firstColumn="1" w:lastColumn="0" w:oddVBand="0" w:evenVBand="0" w:oddHBand="0" w:evenHBand="0" w:firstRowFirstColumn="0" w:firstRowLastColumn="0" w:lastRowFirstColumn="0" w:lastRowLastColumn="0"/>
            <w:tcW w:w="2869" w:type="dxa"/>
          </w:tcPr>
          <w:p w14:paraId="3F2ED854" w14:textId="77777777" w:rsidR="00055321" w:rsidRPr="008924E0" w:rsidRDefault="00740D4F">
            <w:pPr>
              <w:pBdr>
                <w:top w:val="nil"/>
                <w:left w:val="nil"/>
                <w:bottom w:val="nil"/>
                <w:right w:val="nil"/>
                <w:between w:val="nil"/>
              </w:pBdr>
              <w:spacing w:before="120" w:after="120"/>
              <w:rPr>
                <w:rFonts w:asciiTheme="minorHAnsi" w:hAnsiTheme="minorHAnsi" w:cstheme="minorHAnsi"/>
                <w:sz w:val="21"/>
                <w:szCs w:val="21"/>
                <w:lang w:val="bs-Latn-BA"/>
              </w:rPr>
            </w:pPr>
            <w:r w:rsidRPr="008924E0">
              <w:rPr>
                <w:rFonts w:asciiTheme="minorHAnsi" w:hAnsiTheme="minorHAnsi" w:cstheme="minorHAnsi"/>
                <w:b w:val="0"/>
                <w:sz w:val="21"/>
                <w:szCs w:val="21"/>
                <w:lang w:val="bs-Latn-BA"/>
              </w:rPr>
              <w:t>Zavod za zaštitu spomenika FBiH</w:t>
            </w:r>
          </w:p>
        </w:tc>
        <w:tc>
          <w:tcPr>
            <w:tcW w:w="3223" w:type="dxa"/>
          </w:tcPr>
          <w:p w14:paraId="032DE68F"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Lista/baza podataka o zgradama u FBiH proglašenim nacionalnim spomenicima</w:t>
            </w:r>
          </w:p>
        </w:tc>
        <w:tc>
          <w:tcPr>
            <w:tcW w:w="3273" w:type="dxa"/>
          </w:tcPr>
          <w:p w14:paraId="12F2BFD6" w14:textId="77777777" w:rsidR="00055321" w:rsidRPr="008924E0" w:rsidRDefault="00740D4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lang w:val="bs-Latn-BA"/>
              </w:rPr>
            </w:pPr>
            <w:r w:rsidRPr="008924E0">
              <w:rPr>
                <w:rFonts w:asciiTheme="minorHAnsi" w:hAnsiTheme="minorHAnsi" w:cstheme="minorHAnsi"/>
                <w:sz w:val="21"/>
                <w:szCs w:val="21"/>
                <w:lang w:val="bs-Latn-BA"/>
              </w:rPr>
              <w:t>Dostavljena lista zgrada po kantonima  (naziv i lokacija).</w:t>
            </w:r>
          </w:p>
        </w:tc>
      </w:tr>
    </w:tbl>
    <w:p w14:paraId="0BF848EF" w14:textId="4F129F69" w:rsidR="00501DCF" w:rsidRPr="008924E0" w:rsidRDefault="00501DCF" w:rsidP="00CD40A2">
      <w:pPr>
        <w:pStyle w:val="Heading1"/>
        <w:numPr>
          <w:ilvl w:val="0"/>
          <w:numId w:val="0"/>
        </w:numPr>
        <w:ind w:left="1181" w:hanging="360"/>
        <w:rPr>
          <w:lang w:val="bs-Latn-BA"/>
        </w:rPr>
      </w:pPr>
    </w:p>
    <w:p w14:paraId="7113A331" w14:textId="77777777" w:rsidR="0005460F" w:rsidRDefault="0005460F" w:rsidP="0005460F">
      <w:pPr>
        <w:spacing w:after="120" w:line="276" w:lineRule="auto"/>
        <w:rPr>
          <w:lang w:val="bs-Latn-BA"/>
        </w:rPr>
      </w:pPr>
      <w:r w:rsidRPr="008924E0">
        <w:rPr>
          <w:lang w:val="bs-Latn-BA"/>
        </w:rPr>
        <w:t xml:space="preserve">Proces konsultacija </w:t>
      </w:r>
      <w:r>
        <w:rPr>
          <w:lang w:val="bs-Latn-BA"/>
        </w:rPr>
        <w:t xml:space="preserve">proveden je </w:t>
      </w:r>
      <w:r w:rsidRPr="008924E0">
        <w:rPr>
          <w:lang w:val="bs-Latn-BA"/>
        </w:rPr>
        <w:t xml:space="preserve"> </w:t>
      </w:r>
      <w:r>
        <w:rPr>
          <w:lang w:val="bs-Latn-BA"/>
        </w:rPr>
        <w:t>u okviru Druge konferencije</w:t>
      </w:r>
      <w:r w:rsidRPr="001972F5">
        <w:rPr>
          <w:lang w:val="bs-Latn-BA"/>
        </w:rPr>
        <w:t xml:space="preserve"> </w:t>
      </w:r>
      <w:r w:rsidRPr="0029014C">
        <w:rPr>
          <w:lang w:val="bs-Latn-BA"/>
        </w:rPr>
        <w:t xml:space="preserve">Strategije </w:t>
      </w:r>
      <w:r>
        <w:rPr>
          <w:lang w:val="bs-Latn-BA"/>
        </w:rPr>
        <w:t>koja je bila posvećena Strateškoj platformi. Tokom radionice, prezentirana je situaciona analiza, te je sa učesnicima finalizirana SWOT analiza kako bi se identificirali strateški fokusi te usvojila vizija i definirao strateški cilj.</w:t>
      </w:r>
    </w:p>
    <w:p w14:paraId="196881BE" w14:textId="77777777" w:rsidR="0005460F" w:rsidRDefault="0005460F" w:rsidP="0005460F">
      <w:pPr>
        <w:spacing w:after="120" w:line="276" w:lineRule="auto"/>
        <w:rPr>
          <w:lang w:val="bs-Latn-BA"/>
        </w:rPr>
      </w:pPr>
      <w:r>
        <w:rPr>
          <w:lang w:val="bs-Latn-BA"/>
        </w:rPr>
        <w:t xml:space="preserve">Strateška platforma bila je </w:t>
      </w:r>
      <w:r w:rsidRPr="008924E0">
        <w:rPr>
          <w:lang w:val="bs-Latn-BA"/>
        </w:rPr>
        <w:t>u periodu od 30 dana</w:t>
      </w:r>
      <w:r>
        <w:rPr>
          <w:lang w:val="bs-Latn-BA"/>
        </w:rPr>
        <w:t xml:space="preserve"> javno dostupna </w:t>
      </w:r>
      <w:r w:rsidRPr="008924E0">
        <w:rPr>
          <w:lang w:val="bs-Latn-BA"/>
        </w:rPr>
        <w:t xml:space="preserve">institucijama na </w:t>
      </w:r>
      <w:r>
        <w:rPr>
          <w:lang w:val="bs-Latn-BA"/>
        </w:rPr>
        <w:t>federalnom</w:t>
      </w:r>
      <w:r w:rsidRPr="008924E0">
        <w:rPr>
          <w:lang w:val="bs-Latn-BA"/>
        </w:rPr>
        <w:t xml:space="preserve"> i nižim nivoima vlasti, </w:t>
      </w:r>
      <w:r>
        <w:rPr>
          <w:lang w:val="bs-Latn-BA"/>
        </w:rPr>
        <w:t>u svrhu uvida i dostavljanja prijedloga i sugestija za njeno unaprijeđenje.</w:t>
      </w:r>
    </w:p>
    <w:p w14:paraId="59462213" w14:textId="77777777" w:rsidR="0005460F" w:rsidRDefault="0005460F" w:rsidP="0005460F">
      <w:pPr>
        <w:spacing w:after="120" w:line="276" w:lineRule="auto"/>
        <w:rPr>
          <w:lang w:val="bs-Latn-BA"/>
        </w:rPr>
      </w:pPr>
      <w:r>
        <w:rPr>
          <w:lang w:val="bs-Latn-BA"/>
        </w:rPr>
        <w:t xml:space="preserve">Proces izrade dokumenta nastavljen je nakon usvajanja Strateške platforme, a  uz stalne </w:t>
      </w:r>
      <w:r w:rsidRPr="003A770A">
        <w:rPr>
          <w:lang w:val="bs-Latn-BA"/>
        </w:rPr>
        <w:t xml:space="preserve">konsultacije sa </w:t>
      </w:r>
      <w:r>
        <w:rPr>
          <w:lang w:val="bs-Latn-BA"/>
        </w:rPr>
        <w:t>izvršnim timom za izradu strategije.</w:t>
      </w:r>
    </w:p>
    <w:p w14:paraId="72961AC0" w14:textId="77777777" w:rsidR="0005460F" w:rsidRDefault="0005460F" w:rsidP="0005460F">
      <w:pPr>
        <w:spacing w:after="120" w:line="276" w:lineRule="auto"/>
        <w:rPr>
          <w:lang w:val="bs-Latn-BA"/>
        </w:rPr>
      </w:pPr>
      <w:r>
        <w:rPr>
          <w:lang w:val="bs-Latn-BA"/>
        </w:rPr>
        <w:t>Nakon pripreme nacrta Strategije, isti je prezentiran u okviru Treće konferencije</w:t>
      </w:r>
      <w:r w:rsidRPr="001972F5">
        <w:rPr>
          <w:lang w:val="bs-Latn-BA"/>
        </w:rPr>
        <w:t xml:space="preserve"> </w:t>
      </w:r>
      <w:r>
        <w:rPr>
          <w:lang w:val="bs-Latn-BA"/>
        </w:rPr>
        <w:t>kojoj su prisustvovali:</w:t>
      </w:r>
    </w:p>
    <w:p w14:paraId="038D2E84" w14:textId="77777777" w:rsidR="0005460F" w:rsidRPr="003A770A" w:rsidRDefault="0005460F" w:rsidP="00581C1C">
      <w:pPr>
        <w:pStyle w:val="ListParagraph"/>
        <w:numPr>
          <w:ilvl w:val="0"/>
          <w:numId w:val="57"/>
        </w:numPr>
        <w:spacing w:after="120" w:line="276" w:lineRule="auto"/>
      </w:pPr>
      <w:r w:rsidRPr="003A770A">
        <w:t xml:space="preserve">Izvršni tim </w:t>
      </w:r>
    </w:p>
    <w:p w14:paraId="5A3E2DAE" w14:textId="3A8C3E90" w:rsidR="0005460F" w:rsidRPr="003A770A" w:rsidRDefault="0005460F" w:rsidP="00581C1C">
      <w:pPr>
        <w:pStyle w:val="ListParagraph"/>
        <w:numPr>
          <w:ilvl w:val="0"/>
          <w:numId w:val="57"/>
        </w:numPr>
        <w:spacing w:after="120" w:line="276" w:lineRule="auto"/>
      </w:pPr>
      <w:r w:rsidRPr="003A770A">
        <w:t>Koordinaci</w:t>
      </w:r>
      <w:r w:rsidR="005B098D">
        <w:t>oni</w:t>
      </w:r>
      <w:r w:rsidRPr="003A770A">
        <w:t xml:space="preserve"> odbor</w:t>
      </w:r>
    </w:p>
    <w:p w14:paraId="1E6B611A" w14:textId="77777777" w:rsidR="0005460F" w:rsidRPr="00AE1418" w:rsidRDefault="0005460F" w:rsidP="00581C1C">
      <w:pPr>
        <w:pStyle w:val="ListParagraph"/>
        <w:numPr>
          <w:ilvl w:val="0"/>
          <w:numId w:val="57"/>
        </w:numPr>
        <w:pBdr>
          <w:top w:val="nil"/>
          <w:left w:val="nil"/>
          <w:bottom w:val="nil"/>
          <w:right w:val="nil"/>
          <w:between w:val="nil"/>
        </w:pBdr>
        <w:spacing w:after="0" w:line="276" w:lineRule="auto"/>
      </w:pPr>
      <w:r w:rsidRPr="003A770A">
        <w:rPr>
          <w:color w:val="000000"/>
        </w:rPr>
        <w:t>Institucije i organizacije uključene u proces izrade Strategije.</w:t>
      </w:r>
    </w:p>
    <w:p w14:paraId="1878E3B6" w14:textId="77777777" w:rsidR="0005460F" w:rsidRDefault="0005460F" w:rsidP="0005460F">
      <w:pPr>
        <w:pBdr>
          <w:top w:val="nil"/>
          <w:left w:val="nil"/>
          <w:bottom w:val="nil"/>
          <w:right w:val="nil"/>
          <w:between w:val="nil"/>
        </w:pBdr>
        <w:spacing w:after="0" w:line="276" w:lineRule="auto"/>
      </w:pPr>
    </w:p>
    <w:p w14:paraId="70C4789C" w14:textId="43AB2A6A" w:rsidR="0005460F" w:rsidRPr="00AE1418" w:rsidRDefault="0005460F" w:rsidP="0005460F">
      <w:pPr>
        <w:pBdr>
          <w:top w:val="nil"/>
          <w:left w:val="nil"/>
          <w:bottom w:val="nil"/>
          <w:right w:val="nil"/>
          <w:between w:val="nil"/>
        </w:pBdr>
        <w:spacing w:after="0" w:line="276" w:lineRule="auto"/>
        <w:rPr>
          <w:i/>
          <w:iCs/>
        </w:rPr>
      </w:pPr>
      <w:proofErr w:type="spellStart"/>
      <w:r>
        <w:rPr>
          <w:i/>
          <w:iCs/>
          <w:highlight w:val="yellow"/>
        </w:rPr>
        <w:t>Napomena</w:t>
      </w:r>
      <w:proofErr w:type="spellEnd"/>
      <w:r>
        <w:rPr>
          <w:i/>
          <w:iCs/>
          <w:highlight w:val="yellow"/>
        </w:rPr>
        <w:t xml:space="preserve">: </w:t>
      </w:r>
      <w:proofErr w:type="spellStart"/>
      <w:r w:rsidRPr="00AE1418">
        <w:rPr>
          <w:i/>
          <w:iCs/>
          <w:highlight w:val="yellow"/>
        </w:rPr>
        <w:t>Poglavlje</w:t>
      </w:r>
      <w:proofErr w:type="spellEnd"/>
      <w:r w:rsidR="003D03F5">
        <w:rPr>
          <w:i/>
          <w:iCs/>
          <w:highlight w:val="yellow"/>
        </w:rPr>
        <w:t xml:space="preserve"> 1</w:t>
      </w:r>
      <w:r w:rsidRPr="00AE1418">
        <w:rPr>
          <w:i/>
          <w:iCs/>
          <w:highlight w:val="yellow"/>
        </w:rPr>
        <w:t xml:space="preserve"> </w:t>
      </w:r>
      <w:proofErr w:type="spellStart"/>
      <w:r w:rsidRPr="00AE1418">
        <w:rPr>
          <w:i/>
          <w:iCs/>
          <w:highlight w:val="yellow"/>
        </w:rPr>
        <w:t>će</w:t>
      </w:r>
      <w:proofErr w:type="spellEnd"/>
      <w:r w:rsidRPr="00AE1418">
        <w:rPr>
          <w:i/>
          <w:iCs/>
          <w:highlight w:val="yellow"/>
        </w:rPr>
        <w:t xml:space="preserve"> </w:t>
      </w:r>
      <w:proofErr w:type="spellStart"/>
      <w:r w:rsidRPr="00AE1418">
        <w:rPr>
          <w:i/>
          <w:iCs/>
          <w:highlight w:val="yellow"/>
        </w:rPr>
        <w:t>biti</w:t>
      </w:r>
      <w:proofErr w:type="spellEnd"/>
      <w:r w:rsidRPr="00AE1418">
        <w:rPr>
          <w:i/>
          <w:iCs/>
          <w:highlight w:val="yellow"/>
        </w:rPr>
        <w:t xml:space="preserve"> </w:t>
      </w:r>
      <w:proofErr w:type="spellStart"/>
      <w:r w:rsidRPr="00AE1418">
        <w:rPr>
          <w:i/>
          <w:iCs/>
          <w:highlight w:val="yellow"/>
        </w:rPr>
        <w:t>dopunjeno</w:t>
      </w:r>
      <w:proofErr w:type="spellEnd"/>
      <w:r w:rsidRPr="00AE1418">
        <w:rPr>
          <w:i/>
          <w:iCs/>
          <w:highlight w:val="yellow"/>
        </w:rPr>
        <w:t xml:space="preserve"> u </w:t>
      </w:r>
      <w:proofErr w:type="spellStart"/>
      <w:r w:rsidRPr="00AE1418">
        <w:rPr>
          <w:i/>
          <w:iCs/>
          <w:highlight w:val="yellow"/>
        </w:rPr>
        <w:t>skladu</w:t>
      </w:r>
      <w:proofErr w:type="spellEnd"/>
      <w:r w:rsidRPr="00AE1418">
        <w:rPr>
          <w:i/>
          <w:iCs/>
          <w:highlight w:val="yellow"/>
        </w:rPr>
        <w:t xml:space="preserve"> </w:t>
      </w:r>
      <w:proofErr w:type="spellStart"/>
      <w:r w:rsidRPr="00AE1418">
        <w:rPr>
          <w:i/>
          <w:iCs/>
          <w:highlight w:val="yellow"/>
        </w:rPr>
        <w:t>sa</w:t>
      </w:r>
      <w:proofErr w:type="spellEnd"/>
      <w:r w:rsidRPr="00AE1418">
        <w:rPr>
          <w:i/>
          <w:iCs/>
          <w:highlight w:val="yellow"/>
        </w:rPr>
        <w:t xml:space="preserve"> </w:t>
      </w:r>
      <w:proofErr w:type="spellStart"/>
      <w:r w:rsidRPr="00AE1418">
        <w:rPr>
          <w:i/>
          <w:iCs/>
          <w:highlight w:val="yellow"/>
        </w:rPr>
        <w:t>aktivnostima</w:t>
      </w:r>
      <w:proofErr w:type="spellEnd"/>
      <w:r w:rsidRPr="00AE1418">
        <w:rPr>
          <w:i/>
          <w:iCs/>
          <w:highlight w:val="yellow"/>
        </w:rPr>
        <w:t xml:space="preserve"> </w:t>
      </w:r>
      <w:proofErr w:type="spellStart"/>
      <w:r w:rsidRPr="00AE1418">
        <w:rPr>
          <w:i/>
          <w:iCs/>
          <w:highlight w:val="yellow"/>
        </w:rPr>
        <w:t>koje</w:t>
      </w:r>
      <w:proofErr w:type="spellEnd"/>
      <w:r w:rsidRPr="00AE1418">
        <w:rPr>
          <w:i/>
          <w:iCs/>
          <w:highlight w:val="yellow"/>
        </w:rPr>
        <w:t xml:space="preserve"> </w:t>
      </w:r>
      <w:proofErr w:type="spellStart"/>
      <w:r w:rsidRPr="00AE1418">
        <w:rPr>
          <w:i/>
          <w:iCs/>
          <w:highlight w:val="yellow"/>
        </w:rPr>
        <w:t>slijede</w:t>
      </w:r>
      <w:proofErr w:type="spellEnd"/>
      <w:r w:rsidRPr="00AE1418">
        <w:rPr>
          <w:i/>
          <w:iCs/>
          <w:highlight w:val="yellow"/>
        </w:rPr>
        <w:t xml:space="preserve"> u </w:t>
      </w:r>
      <w:proofErr w:type="spellStart"/>
      <w:r w:rsidRPr="00AE1418">
        <w:rPr>
          <w:i/>
          <w:iCs/>
          <w:highlight w:val="yellow"/>
        </w:rPr>
        <w:t>procesu</w:t>
      </w:r>
      <w:proofErr w:type="spellEnd"/>
      <w:r w:rsidRPr="00AE1418">
        <w:rPr>
          <w:i/>
          <w:iCs/>
          <w:highlight w:val="yellow"/>
        </w:rPr>
        <w:t xml:space="preserve"> </w:t>
      </w:r>
      <w:proofErr w:type="spellStart"/>
      <w:r w:rsidRPr="00AE1418">
        <w:rPr>
          <w:i/>
          <w:iCs/>
          <w:highlight w:val="yellow"/>
        </w:rPr>
        <w:t>finalizacije</w:t>
      </w:r>
      <w:proofErr w:type="spellEnd"/>
      <w:r w:rsidRPr="00AE1418">
        <w:rPr>
          <w:i/>
          <w:iCs/>
          <w:highlight w:val="yellow"/>
        </w:rPr>
        <w:t xml:space="preserve"> i </w:t>
      </w:r>
      <w:proofErr w:type="spellStart"/>
      <w:r w:rsidRPr="00AE1418">
        <w:rPr>
          <w:i/>
          <w:iCs/>
          <w:highlight w:val="yellow"/>
        </w:rPr>
        <w:t>evaluacije</w:t>
      </w:r>
      <w:proofErr w:type="spellEnd"/>
      <w:r w:rsidRPr="00AE1418">
        <w:rPr>
          <w:i/>
          <w:iCs/>
          <w:highlight w:val="yellow"/>
        </w:rPr>
        <w:t xml:space="preserve"> </w:t>
      </w:r>
      <w:proofErr w:type="spellStart"/>
      <w:r w:rsidRPr="00AE1418">
        <w:rPr>
          <w:i/>
          <w:iCs/>
          <w:highlight w:val="yellow"/>
        </w:rPr>
        <w:t>dokumenta</w:t>
      </w:r>
      <w:proofErr w:type="spellEnd"/>
      <w:r w:rsidRPr="00AE1418">
        <w:rPr>
          <w:i/>
          <w:iCs/>
          <w:highlight w:val="yellow"/>
        </w:rPr>
        <w:t>.</w:t>
      </w:r>
    </w:p>
    <w:p w14:paraId="6057DE3A" w14:textId="25F54119" w:rsidR="00501DCF" w:rsidRPr="008924E0" w:rsidRDefault="00501DCF" w:rsidP="00501DCF">
      <w:pPr>
        <w:rPr>
          <w:lang w:val="bs-Latn-BA"/>
        </w:rPr>
      </w:pPr>
    </w:p>
    <w:p w14:paraId="3B736F84" w14:textId="4FC25495" w:rsidR="00055321" w:rsidRPr="008924E0" w:rsidRDefault="00363517" w:rsidP="00B254A7">
      <w:pPr>
        <w:pStyle w:val="Heading1"/>
        <w:numPr>
          <w:ilvl w:val="0"/>
          <w:numId w:val="33"/>
        </w:numPr>
        <w:rPr>
          <w:lang w:val="bs-Latn-BA"/>
        </w:rPr>
      </w:pPr>
      <w:bookmarkStart w:id="11" w:name="_Toc134011748"/>
      <w:r>
        <w:rPr>
          <w:lang w:val="bs-Latn-BA"/>
        </w:rPr>
        <w:lastRenderedPageBreak/>
        <w:t>I</w:t>
      </w:r>
      <w:r w:rsidR="004D2CBA">
        <w:rPr>
          <w:lang w:val="bs-Latn-BA"/>
        </w:rPr>
        <w:t xml:space="preserve">zvod iz </w:t>
      </w:r>
      <w:r w:rsidR="00740D4F" w:rsidRPr="008924E0">
        <w:rPr>
          <w:lang w:val="bs-Latn-BA"/>
        </w:rPr>
        <w:t>Situacion</w:t>
      </w:r>
      <w:r w:rsidR="004D2CBA">
        <w:rPr>
          <w:lang w:val="bs-Latn-BA"/>
        </w:rPr>
        <w:t>e</w:t>
      </w:r>
      <w:r w:rsidR="00740D4F" w:rsidRPr="008924E0">
        <w:rPr>
          <w:lang w:val="bs-Latn-BA"/>
        </w:rPr>
        <w:t xml:space="preserve"> analiz</w:t>
      </w:r>
      <w:r w:rsidR="004D2CBA">
        <w:rPr>
          <w:lang w:val="bs-Latn-BA"/>
        </w:rPr>
        <w:t>e</w:t>
      </w:r>
      <w:bookmarkEnd w:id="11"/>
    </w:p>
    <w:p w14:paraId="5689E56E" w14:textId="77777777" w:rsidR="00055321" w:rsidRPr="008924E0" w:rsidRDefault="00740D4F" w:rsidP="00B254A7">
      <w:pPr>
        <w:pStyle w:val="Heading2"/>
        <w:numPr>
          <w:ilvl w:val="1"/>
          <w:numId w:val="33"/>
        </w:numPr>
        <w:rPr>
          <w:lang w:val="bs-Latn-BA"/>
        </w:rPr>
      </w:pPr>
      <w:bookmarkStart w:id="12" w:name="_Toc134011749"/>
      <w:r w:rsidRPr="008924E0">
        <w:rPr>
          <w:lang w:val="bs-Latn-BA"/>
        </w:rPr>
        <w:t>Kontekst i regulatorni okvir</w:t>
      </w:r>
      <w:bookmarkEnd w:id="12"/>
    </w:p>
    <w:p w14:paraId="03339BEF" w14:textId="77777777" w:rsidR="00055321" w:rsidRPr="008924E0" w:rsidRDefault="00740D4F" w:rsidP="00B254A7">
      <w:pPr>
        <w:pStyle w:val="Heading3"/>
        <w:numPr>
          <w:ilvl w:val="2"/>
          <w:numId w:val="33"/>
        </w:numPr>
      </w:pPr>
      <w:bookmarkStart w:id="13" w:name="_Toc134011750"/>
      <w:r w:rsidRPr="008924E0">
        <w:t>Međunarodni kontekst i politika EU</w:t>
      </w:r>
      <w:bookmarkEnd w:id="13"/>
      <w:r w:rsidRPr="008924E0">
        <w:t xml:space="preserve"> </w:t>
      </w:r>
    </w:p>
    <w:p w14:paraId="6DF1D3AC" w14:textId="0F982FEE" w:rsidR="00055321" w:rsidRPr="008924E0" w:rsidRDefault="00740D4F">
      <w:pPr>
        <w:pBdr>
          <w:top w:val="nil"/>
          <w:left w:val="nil"/>
          <w:bottom w:val="nil"/>
          <w:right w:val="nil"/>
          <w:between w:val="nil"/>
        </w:pBdr>
        <w:spacing w:after="120" w:line="276" w:lineRule="auto"/>
        <w:rPr>
          <w:color w:val="000000"/>
          <w:lang w:val="bs-Latn-BA"/>
        </w:rPr>
      </w:pPr>
      <w:r w:rsidRPr="008924E0">
        <w:rPr>
          <w:color w:val="000000"/>
          <w:lang w:val="bs-Latn-BA"/>
        </w:rPr>
        <w:t xml:space="preserve">Međunarodne </w:t>
      </w:r>
      <w:r w:rsidR="00F03625">
        <w:rPr>
          <w:color w:val="000000"/>
          <w:lang w:val="bs-Latn-BA"/>
        </w:rPr>
        <w:t>obvez</w:t>
      </w:r>
      <w:r w:rsidRPr="008924E0">
        <w:rPr>
          <w:color w:val="000000"/>
          <w:lang w:val="bs-Latn-BA"/>
        </w:rPr>
        <w:t>e Bosne i Hercegovine u oblasti energijske efikasnosti, zaštite okoliša i smanjenja uticaja na klimatske promjene proizilaze iz međunarodnih sporazuma koje je BiH potpisala.</w:t>
      </w:r>
    </w:p>
    <w:p w14:paraId="715261FF" w14:textId="5530684E" w:rsidR="00055321" w:rsidRPr="008924E0" w:rsidRDefault="00740D4F">
      <w:pPr>
        <w:pBdr>
          <w:top w:val="nil"/>
          <w:left w:val="nil"/>
          <w:bottom w:val="nil"/>
          <w:right w:val="nil"/>
          <w:between w:val="nil"/>
        </w:pBdr>
        <w:spacing w:after="120" w:line="276" w:lineRule="auto"/>
        <w:rPr>
          <w:color w:val="000000"/>
          <w:lang w:val="bs-Latn-BA"/>
        </w:rPr>
      </w:pPr>
      <w:r w:rsidRPr="008924E0">
        <w:rPr>
          <w:color w:val="000000"/>
          <w:lang w:val="bs-Latn-BA"/>
        </w:rPr>
        <w:t xml:space="preserve">Bosna i Hercegovina je članica Konvencije UN-a o klimatskim promjenama </w:t>
      </w:r>
      <w:r w:rsidRPr="008924E0">
        <w:rPr>
          <w:i/>
          <w:color w:val="000000"/>
          <w:lang w:val="bs-Latn-BA"/>
        </w:rPr>
        <w:t>(United Nations Framework Convention on Climate Change - UNFCCC</w:t>
      </w:r>
      <w:r w:rsidRPr="008924E0">
        <w:rPr>
          <w:color w:val="000000"/>
          <w:lang w:val="bs-Latn-BA"/>
        </w:rPr>
        <w:t>)</w:t>
      </w:r>
      <w:r w:rsidRPr="008924E0">
        <w:rPr>
          <w:color w:val="000000"/>
          <w:vertAlign w:val="superscript"/>
          <w:lang w:val="bs-Latn-BA"/>
        </w:rPr>
        <w:footnoteReference w:id="7"/>
      </w:r>
      <w:r w:rsidRPr="008924E0">
        <w:rPr>
          <w:color w:val="000000"/>
          <w:lang w:val="bs-Latn-BA"/>
        </w:rPr>
        <w:t xml:space="preserve"> od 6. decembra 2000. godine. </w:t>
      </w:r>
      <w:r w:rsidR="00F941D2" w:rsidRPr="008924E0">
        <w:rPr>
          <w:color w:val="000000"/>
          <w:lang w:val="bs-Latn-BA"/>
        </w:rPr>
        <w:t>Kyoto</w:t>
      </w:r>
      <w:r w:rsidRPr="008924E0">
        <w:rPr>
          <w:color w:val="000000"/>
          <w:lang w:val="bs-Latn-BA"/>
        </w:rPr>
        <w:t xml:space="preserve"> protokol ratificiran je od strane BiH 2008. godine</w:t>
      </w:r>
      <w:r w:rsidRPr="008924E0">
        <w:rPr>
          <w:color w:val="000000"/>
          <w:vertAlign w:val="superscript"/>
          <w:lang w:val="bs-Latn-BA"/>
        </w:rPr>
        <w:footnoteReference w:id="8"/>
      </w:r>
      <w:r w:rsidRPr="008924E0">
        <w:rPr>
          <w:color w:val="000000"/>
          <w:lang w:val="bs-Latn-BA"/>
        </w:rPr>
        <w:t xml:space="preserve"> čime se naša država </w:t>
      </w:r>
      <w:r w:rsidR="00F03625">
        <w:rPr>
          <w:color w:val="000000"/>
          <w:lang w:val="bs-Latn-BA"/>
        </w:rPr>
        <w:t>obvez</w:t>
      </w:r>
      <w:r w:rsidRPr="008924E0">
        <w:rPr>
          <w:color w:val="000000"/>
          <w:lang w:val="bs-Latn-BA"/>
        </w:rPr>
        <w:t>ala na smanjenje emisije stakleničkih plinova, a Pariški sporazum o klimi potpisan je 2017. godine</w:t>
      </w:r>
      <w:r w:rsidRPr="008924E0">
        <w:rPr>
          <w:color w:val="000000"/>
          <w:vertAlign w:val="superscript"/>
          <w:lang w:val="bs-Latn-BA"/>
        </w:rPr>
        <w:footnoteReference w:id="9"/>
      </w:r>
      <w:r w:rsidRPr="008924E0">
        <w:rPr>
          <w:color w:val="000000"/>
          <w:lang w:val="bs-Latn-BA"/>
        </w:rPr>
        <w:t>.</w:t>
      </w:r>
    </w:p>
    <w:p w14:paraId="008675CB" w14:textId="77777777" w:rsidR="00055321" w:rsidRPr="008924E0" w:rsidRDefault="00740D4F">
      <w:pPr>
        <w:pBdr>
          <w:top w:val="nil"/>
          <w:left w:val="nil"/>
          <w:bottom w:val="nil"/>
          <w:right w:val="nil"/>
          <w:between w:val="nil"/>
        </w:pBdr>
        <w:spacing w:after="120" w:line="276" w:lineRule="auto"/>
        <w:rPr>
          <w:color w:val="000000"/>
          <w:lang w:val="bs-Latn-BA"/>
        </w:rPr>
      </w:pPr>
      <w:r w:rsidRPr="008924E0">
        <w:rPr>
          <w:color w:val="000000"/>
          <w:lang w:val="bs-Latn-BA"/>
        </w:rPr>
        <w:t xml:space="preserve">BiH je jedna od prvih zemalja Zapadnog Balkana koja je usvojila ažurirane nacionalno određene doprinose </w:t>
      </w:r>
      <w:r w:rsidRPr="008924E0">
        <w:rPr>
          <w:i/>
          <w:color w:val="000000"/>
          <w:lang w:val="bs-Latn-BA"/>
        </w:rPr>
        <w:t>(Nationally Determined Contribution - NDC)</w:t>
      </w:r>
      <w:r w:rsidRPr="008924E0">
        <w:rPr>
          <w:color w:val="000000"/>
          <w:lang w:val="bs-Latn-BA"/>
        </w:rPr>
        <w:t xml:space="preserve"> sa planom smanjenja emisija stakleničkih plinova (GHG) za 33,2% do 2030. godine i skoro 66% do 2050. godine, u odnosu na nivoe iz 1990. godine. U poređenju sa početnim NDC-om koji je dostavljen 2015. godine, revidirani NDC povećava ciljeve smanjenja emisija za 50% do 2030. godine, s fokusom na ključne sektore zemlje: električnu energiju, daljinsko grijanje, zgrade, industriju, transport, šumarstvo, poljoprivredu i otpad.</w:t>
      </w:r>
    </w:p>
    <w:p w14:paraId="41618D7D" w14:textId="50A20A3E" w:rsidR="00055321" w:rsidRPr="008924E0" w:rsidRDefault="00740D4F">
      <w:pPr>
        <w:pBdr>
          <w:top w:val="nil"/>
          <w:left w:val="nil"/>
          <w:bottom w:val="nil"/>
          <w:right w:val="nil"/>
          <w:between w:val="nil"/>
        </w:pBdr>
        <w:spacing w:after="120" w:line="276" w:lineRule="auto"/>
        <w:rPr>
          <w:color w:val="000000"/>
          <w:lang w:val="bs-Latn-BA"/>
        </w:rPr>
      </w:pPr>
      <w:r w:rsidRPr="008924E0">
        <w:rPr>
          <w:color w:val="000000"/>
          <w:lang w:val="bs-Latn-BA"/>
        </w:rPr>
        <w:t>Generalna skupština Ujedinjenih naroda u 2015. godini usvojila Agendu održivog razvoja do 2030. godine</w:t>
      </w:r>
      <w:r w:rsidRPr="008924E0">
        <w:rPr>
          <w:color w:val="000000"/>
          <w:vertAlign w:val="superscript"/>
          <w:lang w:val="bs-Latn-BA"/>
        </w:rPr>
        <w:footnoteReference w:id="10"/>
      </w:r>
      <w:r w:rsidRPr="008924E0">
        <w:rPr>
          <w:color w:val="000000"/>
          <w:lang w:val="bs-Latn-BA"/>
        </w:rPr>
        <w:t xml:space="preserve"> i tom prilikom su sve zemlje članice, uključujući i Bosnu i Hercegovinu, preuzele </w:t>
      </w:r>
      <w:r w:rsidR="00F03625">
        <w:rPr>
          <w:color w:val="000000"/>
          <w:lang w:val="bs-Latn-BA"/>
        </w:rPr>
        <w:t>obvez</w:t>
      </w:r>
      <w:r w:rsidRPr="008924E0">
        <w:rPr>
          <w:color w:val="000000"/>
          <w:lang w:val="bs-Latn-BA"/>
        </w:rPr>
        <w:t xml:space="preserve">u provođenja dokumenta Agende 2030 i globalnih Ciljeva održivog razvoja </w:t>
      </w:r>
      <w:r w:rsidRPr="008924E0">
        <w:rPr>
          <w:i/>
          <w:color w:val="000000"/>
          <w:lang w:val="bs-Latn-BA"/>
        </w:rPr>
        <w:t>(Sustainable Development Goals – SDG).</w:t>
      </w:r>
      <w:r w:rsidRPr="008924E0">
        <w:rPr>
          <w:color w:val="000000"/>
          <w:lang w:val="bs-Latn-BA"/>
        </w:rPr>
        <w:t xml:space="preserve"> </w:t>
      </w:r>
    </w:p>
    <w:p w14:paraId="3589116D" w14:textId="13BF3ADA" w:rsidR="00055321" w:rsidRPr="008924E0" w:rsidRDefault="00740D4F">
      <w:pPr>
        <w:spacing w:after="120" w:line="276" w:lineRule="auto"/>
        <w:rPr>
          <w:lang w:val="bs-Latn-BA"/>
        </w:rPr>
      </w:pPr>
      <w:r w:rsidRPr="008924E0">
        <w:rPr>
          <w:lang w:val="bs-Latn-BA"/>
        </w:rPr>
        <w:t>Okvir za Ciljeve održivog razvoja u Bosni i Hercegovini</w:t>
      </w:r>
      <w:r w:rsidRPr="008924E0">
        <w:rPr>
          <w:vertAlign w:val="superscript"/>
          <w:lang w:val="bs-Latn-BA"/>
        </w:rPr>
        <w:footnoteReference w:id="11"/>
      </w:r>
      <w:r w:rsidRPr="008924E0">
        <w:rPr>
          <w:lang w:val="bs-Latn-BA"/>
        </w:rPr>
        <w:t xml:space="preserve"> (SDG), predstavlja zajednički dokument svih nivoa vlasti kojim se utvrđuju širi razvojni pravci, putem kojih vlasti na svim nivoima i društvo u Bosni i Hercegovini nastoje doprinijeti ostvarivanju Ciljeva održivog razvoja:</w:t>
      </w:r>
    </w:p>
    <w:p w14:paraId="666E5E3C" w14:textId="77777777" w:rsidR="00055321" w:rsidRPr="008924E0" w:rsidRDefault="00740D4F">
      <w:pPr>
        <w:numPr>
          <w:ilvl w:val="0"/>
          <w:numId w:val="24"/>
        </w:numPr>
        <w:pBdr>
          <w:top w:val="nil"/>
          <w:left w:val="nil"/>
          <w:bottom w:val="nil"/>
          <w:right w:val="nil"/>
          <w:between w:val="nil"/>
        </w:pBdr>
        <w:spacing w:after="0" w:line="276" w:lineRule="auto"/>
        <w:rPr>
          <w:lang w:val="bs-Latn-BA"/>
        </w:rPr>
      </w:pPr>
      <w:r w:rsidRPr="008924E0">
        <w:rPr>
          <w:color w:val="000000"/>
          <w:lang w:val="bs-Latn-BA"/>
        </w:rPr>
        <w:t xml:space="preserve">Dobra uprava i upravljanje javnim sektorom, </w:t>
      </w:r>
    </w:p>
    <w:p w14:paraId="33220342" w14:textId="77777777" w:rsidR="00055321" w:rsidRPr="008924E0" w:rsidRDefault="00740D4F">
      <w:pPr>
        <w:numPr>
          <w:ilvl w:val="0"/>
          <w:numId w:val="24"/>
        </w:numPr>
        <w:pBdr>
          <w:top w:val="nil"/>
          <w:left w:val="nil"/>
          <w:bottom w:val="nil"/>
          <w:right w:val="nil"/>
          <w:between w:val="nil"/>
        </w:pBdr>
        <w:spacing w:after="0" w:line="276" w:lineRule="auto"/>
        <w:rPr>
          <w:lang w:val="bs-Latn-BA"/>
        </w:rPr>
      </w:pPr>
      <w:r w:rsidRPr="008924E0">
        <w:rPr>
          <w:color w:val="000000"/>
          <w:lang w:val="bs-Latn-BA"/>
        </w:rPr>
        <w:t xml:space="preserve">Pametni rast, </w:t>
      </w:r>
    </w:p>
    <w:p w14:paraId="3AE3BE30" w14:textId="77777777" w:rsidR="00055321" w:rsidRPr="008924E0" w:rsidRDefault="00740D4F">
      <w:pPr>
        <w:numPr>
          <w:ilvl w:val="0"/>
          <w:numId w:val="24"/>
        </w:numPr>
        <w:pBdr>
          <w:top w:val="nil"/>
          <w:left w:val="nil"/>
          <w:bottom w:val="nil"/>
          <w:right w:val="nil"/>
          <w:between w:val="nil"/>
        </w:pBdr>
        <w:spacing w:after="0" w:line="276" w:lineRule="auto"/>
        <w:rPr>
          <w:color w:val="000000"/>
          <w:lang w:val="bs-Latn-BA"/>
        </w:rPr>
      </w:pPr>
      <w:r w:rsidRPr="008924E0">
        <w:rPr>
          <w:color w:val="000000"/>
          <w:lang w:val="bs-Latn-BA"/>
        </w:rPr>
        <w:t>Društvo jednakih mogućnosti.</w:t>
      </w:r>
    </w:p>
    <w:p w14:paraId="4E040EA7" w14:textId="77777777" w:rsidR="00055321" w:rsidRPr="008924E0" w:rsidRDefault="00740D4F">
      <w:pPr>
        <w:spacing w:after="120" w:line="276" w:lineRule="auto"/>
        <w:rPr>
          <w:color w:val="FF0000"/>
          <w:lang w:val="bs-Latn-BA"/>
        </w:rPr>
      </w:pPr>
      <w:r w:rsidRPr="008924E0">
        <w:rPr>
          <w:lang w:val="bs-Latn-BA"/>
        </w:rPr>
        <w:t xml:space="preserve">Uz navedena tri razvojna pravca SDG okvirom, utvrđene su i dvije horizontalne teme, posebno značajne za kontekstualizaciju Agende 2030 u Bosni i Hercegovini, a to su: „Ulaganje u ljudski kapital za budućnost“, te princip „Niko ne smije biti isključen“. </w:t>
      </w:r>
    </w:p>
    <w:p w14:paraId="21F8AADE" w14:textId="7F1EB6FD" w:rsidR="00055321" w:rsidRPr="008924E0" w:rsidRDefault="00740D4F">
      <w:pPr>
        <w:pBdr>
          <w:top w:val="nil"/>
          <w:left w:val="nil"/>
          <w:bottom w:val="nil"/>
          <w:right w:val="nil"/>
          <w:between w:val="nil"/>
        </w:pBdr>
        <w:spacing w:after="120" w:line="276" w:lineRule="auto"/>
        <w:rPr>
          <w:color w:val="000000"/>
          <w:lang w:val="bs-Latn-BA"/>
        </w:rPr>
      </w:pPr>
      <w:bookmarkStart w:id="14" w:name="_heading=h.17dp8vu" w:colFirst="0" w:colLast="0"/>
      <w:bookmarkStart w:id="15" w:name="_heading=h.3rdcrjn" w:colFirst="0" w:colLast="0"/>
      <w:bookmarkEnd w:id="14"/>
      <w:bookmarkEnd w:id="15"/>
      <w:r w:rsidRPr="008924E0">
        <w:rPr>
          <w:color w:val="000000"/>
          <w:lang w:val="bs-Latn-BA"/>
        </w:rPr>
        <w:t>Europskim zelenim planom predviđena je i Zelena agenda za Zapadni Balkan</w:t>
      </w:r>
      <w:r w:rsidRPr="008924E0">
        <w:rPr>
          <w:color w:val="000000"/>
          <w:vertAlign w:val="superscript"/>
          <w:lang w:val="bs-Latn-BA"/>
        </w:rPr>
        <w:footnoteReference w:id="12"/>
      </w:r>
      <w:r w:rsidRPr="008924E0">
        <w:rPr>
          <w:color w:val="000000"/>
          <w:lang w:val="bs-Latn-BA"/>
        </w:rPr>
        <w:t xml:space="preserve">. Bosna i Hercegovina je, 10. novembra 2020. godine, na Samitu u Sofiji, potpisala Deklaraciju o Zelenoj agendi za Zapadni Balkan, kojom se </w:t>
      </w:r>
      <w:r w:rsidR="00F03625">
        <w:rPr>
          <w:color w:val="000000"/>
          <w:lang w:val="bs-Latn-BA"/>
        </w:rPr>
        <w:t>obvez</w:t>
      </w:r>
      <w:r w:rsidRPr="008924E0">
        <w:rPr>
          <w:color w:val="000000"/>
          <w:lang w:val="bs-Latn-BA"/>
        </w:rPr>
        <w:t xml:space="preserve">ala na provođenje ovog dokumenta kroz pet ključnih oblasti: klimatske promjene (dekarbonizacija, energetika, mobilnost), cirkularna ekonomija (otpad, recikliranje, održiva </w:t>
      </w:r>
      <w:r w:rsidRPr="008924E0">
        <w:rPr>
          <w:color w:val="000000"/>
          <w:lang w:val="bs-Latn-BA"/>
        </w:rPr>
        <w:lastRenderedPageBreak/>
        <w:t>proizvodnja, efikasna upotreba resursa), biodiverzitet (zaštita i obnova ekosistema), borba protiv zagađenja zraka, vode</w:t>
      </w:r>
      <w:r w:rsidR="00701AC3" w:rsidRPr="008924E0">
        <w:rPr>
          <w:color w:val="000000"/>
          <w:lang w:val="bs-Latn-BA"/>
        </w:rPr>
        <w:t>, zemljišta</w:t>
      </w:r>
      <w:r w:rsidRPr="008924E0">
        <w:rPr>
          <w:color w:val="000000"/>
          <w:lang w:val="bs-Latn-BA"/>
        </w:rPr>
        <w:t xml:space="preserve"> i tla, te održivost ruralnih područja. Time se BiH </w:t>
      </w:r>
      <w:r w:rsidR="00F03625">
        <w:rPr>
          <w:color w:val="000000"/>
          <w:lang w:val="bs-Latn-BA"/>
        </w:rPr>
        <w:t>obvez</w:t>
      </w:r>
      <w:r w:rsidRPr="008924E0">
        <w:rPr>
          <w:color w:val="000000"/>
          <w:lang w:val="bs-Latn-BA"/>
        </w:rPr>
        <w:t xml:space="preserve">ala da će zajedno sa EU i ostalim državama potpisnicama </w:t>
      </w:r>
      <w:r w:rsidR="008D2164" w:rsidRPr="008D2164">
        <w:rPr>
          <w:color w:val="000000"/>
          <w:lang w:val="bs-Latn-BA"/>
        </w:rPr>
        <w:t>Deklaracije raditi na cilju postizanja ugljične neutralnosti kontinenta do 2050.</w:t>
      </w:r>
    </w:p>
    <w:p w14:paraId="5BBFD9F8" w14:textId="6C36C76F" w:rsidR="00055321" w:rsidRPr="008924E0" w:rsidRDefault="00740D4F">
      <w:pPr>
        <w:rPr>
          <w:lang w:val="bs-Latn-BA"/>
        </w:rPr>
      </w:pPr>
      <w:bookmarkStart w:id="16" w:name="bookmark=id.26in1rg" w:colFirst="0" w:colLast="0"/>
      <w:bookmarkEnd w:id="16"/>
      <w:r w:rsidRPr="008924E0">
        <w:rPr>
          <w:lang w:val="bs-Latn-BA"/>
        </w:rPr>
        <w:t>Bosna i Hercegovina je kao ugovorna strana EnZ obvezna izradi</w:t>
      </w:r>
      <w:r w:rsidR="008D2164">
        <w:rPr>
          <w:lang w:val="bs-Latn-BA"/>
        </w:rPr>
        <w:t>ti</w:t>
      </w:r>
      <w:r w:rsidRPr="008924E0">
        <w:rPr>
          <w:lang w:val="bs-Latn-BA"/>
        </w:rPr>
        <w:t xml:space="preserve"> Integrirani nacionalni energetski i klimatski plan (NECP) u skladu s preporukom Ministarskog vijeća EU 2018/1/MC-EnC. Plan obuhvata</w:t>
      </w:r>
      <w:r w:rsidR="00E03291">
        <w:rPr>
          <w:lang w:val="bs-Latn-BA"/>
        </w:rPr>
        <w:t xml:space="preserve"> pet</w:t>
      </w:r>
      <w:r w:rsidRPr="008924E0">
        <w:rPr>
          <w:lang w:val="bs-Latn-BA"/>
        </w:rPr>
        <w:t xml:space="preserve"> </w:t>
      </w:r>
      <w:r w:rsidR="00E03291">
        <w:rPr>
          <w:lang w:val="bs-Latn-BA"/>
        </w:rPr>
        <w:t>(</w:t>
      </w:r>
      <w:r w:rsidRPr="008924E0">
        <w:rPr>
          <w:lang w:val="bs-Latn-BA"/>
        </w:rPr>
        <w:t>5</w:t>
      </w:r>
      <w:r w:rsidR="00E03291">
        <w:rPr>
          <w:lang w:val="bs-Latn-BA"/>
        </w:rPr>
        <w:t>)</w:t>
      </w:r>
      <w:r w:rsidRPr="008924E0">
        <w:rPr>
          <w:lang w:val="bs-Latn-BA"/>
        </w:rPr>
        <w:t xml:space="preserve"> različit</w:t>
      </w:r>
      <w:r w:rsidR="00E03291">
        <w:rPr>
          <w:lang w:val="bs-Latn-BA"/>
        </w:rPr>
        <w:t>ih</w:t>
      </w:r>
      <w:r w:rsidRPr="008924E0">
        <w:rPr>
          <w:lang w:val="bs-Latn-BA"/>
        </w:rPr>
        <w:t xml:space="preserve"> oblasti/dimenzija, a to su: </w:t>
      </w:r>
    </w:p>
    <w:p w14:paraId="6A19D855" w14:textId="48F6043B" w:rsidR="00055321" w:rsidRPr="008924E0" w:rsidRDefault="00010793">
      <w:pPr>
        <w:numPr>
          <w:ilvl w:val="0"/>
          <w:numId w:val="25"/>
        </w:numPr>
        <w:pBdr>
          <w:top w:val="nil"/>
          <w:left w:val="nil"/>
          <w:bottom w:val="nil"/>
          <w:right w:val="nil"/>
          <w:between w:val="nil"/>
        </w:pBdr>
        <w:spacing w:after="0"/>
        <w:rPr>
          <w:lang w:val="bs-Latn-BA"/>
        </w:rPr>
      </w:pPr>
      <w:r>
        <w:rPr>
          <w:color w:val="000000"/>
          <w:lang w:val="bs-Latn-BA"/>
        </w:rPr>
        <w:t>energ</w:t>
      </w:r>
      <w:r w:rsidR="008D2164">
        <w:rPr>
          <w:color w:val="000000"/>
          <w:lang w:val="bs-Latn-BA"/>
        </w:rPr>
        <w:t>etska</w:t>
      </w:r>
      <w:r w:rsidR="00740D4F" w:rsidRPr="008924E0">
        <w:rPr>
          <w:color w:val="000000"/>
          <w:lang w:val="bs-Latn-BA"/>
        </w:rPr>
        <w:t xml:space="preserve"> sigurnost,</w:t>
      </w:r>
    </w:p>
    <w:p w14:paraId="7C8D1B87" w14:textId="77777777" w:rsidR="00055321" w:rsidRPr="008924E0" w:rsidRDefault="00740D4F">
      <w:pPr>
        <w:numPr>
          <w:ilvl w:val="0"/>
          <w:numId w:val="25"/>
        </w:numPr>
        <w:pBdr>
          <w:top w:val="nil"/>
          <w:left w:val="nil"/>
          <w:bottom w:val="nil"/>
          <w:right w:val="nil"/>
          <w:between w:val="nil"/>
        </w:pBdr>
        <w:spacing w:after="0"/>
        <w:rPr>
          <w:lang w:val="bs-Latn-BA"/>
        </w:rPr>
      </w:pPr>
      <w:r w:rsidRPr="008924E0">
        <w:rPr>
          <w:color w:val="000000"/>
          <w:lang w:val="bs-Latn-BA"/>
        </w:rPr>
        <w:t>puna integracija unutrašnjeg tržišta energije,</w:t>
      </w:r>
    </w:p>
    <w:p w14:paraId="4C660467" w14:textId="77777777" w:rsidR="00055321" w:rsidRPr="008924E0" w:rsidRDefault="00740D4F">
      <w:pPr>
        <w:numPr>
          <w:ilvl w:val="0"/>
          <w:numId w:val="25"/>
        </w:numPr>
        <w:pBdr>
          <w:top w:val="nil"/>
          <w:left w:val="nil"/>
          <w:bottom w:val="nil"/>
          <w:right w:val="nil"/>
          <w:between w:val="nil"/>
        </w:pBdr>
        <w:spacing w:after="0"/>
        <w:rPr>
          <w:lang w:val="bs-Latn-BA"/>
        </w:rPr>
      </w:pPr>
      <w:r w:rsidRPr="008924E0">
        <w:rPr>
          <w:color w:val="000000"/>
          <w:lang w:val="bs-Latn-BA"/>
        </w:rPr>
        <w:t xml:space="preserve">energijska efikasnost, </w:t>
      </w:r>
    </w:p>
    <w:p w14:paraId="00C3AEBA" w14:textId="77777777" w:rsidR="00055321" w:rsidRPr="008924E0" w:rsidRDefault="00740D4F">
      <w:pPr>
        <w:numPr>
          <w:ilvl w:val="0"/>
          <w:numId w:val="25"/>
        </w:numPr>
        <w:pBdr>
          <w:top w:val="nil"/>
          <w:left w:val="nil"/>
          <w:bottom w:val="nil"/>
          <w:right w:val="nil"/>
          <w:between w:val="nil"/>
        </w:pBdr>
        <w:spacing w:after="0"/>
        <w:rPr>
          <w:lang w:val="bs-Latn-BA"/>
        </w:rPr>
      </w:pPr>
      <w:r w:rsidRPr="008924E0">
        <w:rPr>
          <w:color w:val="000000"/>
          <w:lang w:val="bs-Latn-BA"/>
        </w:rPr>
        <w:t xml:space="preserve">dekarbonizacija, </w:t>
      </w:r>
    </w:p>
    <w:p w14:paraId="6E12B7BC" w14:textId="77777777" w:rsidR="00055321" w:rsidRPr="008924E0" w:rsidRDefault="00740D4F">
      <w:pPr>
        <w:numPr>
          <w:ilvl w:val="0"/>
          <w:numId w:val="25"/>
        </w:numPr>
        <w:pBdr>
          <w:top w:val="nil"/>
          <w:left w:val="nil"/>
          <w:bottom w:val="nil"/>
          <w:right w:val="nil"/>
          <w:between w:val="nil"/>
        </w:pBdr>
        <w:rPr>
          <w:lang w:val="bs-Latn-BA"/>
        </w:rPr>
      </w:pPr>
      <w:r w:rsidRPr="008924E0">
        <w:rPr>
          <w:color w:val="000000"/>
          <w:lang w:val="bs-Latn-BA"/>
        </w:rPr>
        <w:t xml:space="preserve">istraživanje, inovacije i konkurentnost. </w:t>
      </w:r>
    </w:p>
    <w:p w14:paraId="5F1FA0E8" w14:textId="77777777" w:rsidR="00055321" w:rsidRPr="008924E0" w:rsidRDefault="00740D4F">
      <w:pPr>
        <w:rPr>
          <w:color w:val="FF0000"/>
          <w:lang w:val="bs-Latn-BA"/>
        </w:rPr>
      </w:pPr>
      <w:r w:rsidRPr="008924E0">
        <w:rPr>
          <w:lang w:val="bs-Latn-BA"/>
        </w:rPr>
        <w:t>Uredbom EU 2018/1999 o upravljanju energetskom unijom i djelovanjem u području klime, utvrđuje se potrebni zakonodavni temelj za pouzdano, uključivo, troškovno efikasno, transparentno i predvidljivo upravljanje energetskom unijom i djelovanjem u području klime („mehanizam upravljanja”), kojim se osigurava ostvarivanje ciljeva energetske unije za 2030. godinu i dugoročnih ciljeva u skladu s Pariškim sporazumom o promjeni klime.</w:t>
      </w:r>
    </w:p>
    <w:p w14:paraId="7661B5F2" w14:textId="665DEC45" w:rsidR="00055321" w:rsidRPr="008924E0" w:rsidRDefault="00740D4F" w:rsidP="007900F2">
      <w:pPr>
        <w:rPr>
          <w:lang w:val="bs-Latn-BA"/>
        </w:rPr>
      </w:pPr>
      <w:r w:rsidRPr="008924E0">
        <w:rPr>
          <w:lang w:val="bs-Latn-BA"/>
        </w:rPr>
        <w:t xml:space="preserve">Trenutno je u procesu izrada Integriranog energetskog i klimatskog plana BiH za period 2021-2030. Implementacija NECP-a će omogućiti BiH integraciju energetskih i klimatskih ciljeva kao i odgovarajućih politika i mjera, čime će doprinijeti usklađivanju energetskih politika s politikama Europske unije.  </w:t>
      </w:r>
    </w:p>
    <w:p w14:paraId="1D8E0C50" w14:textId="14982042" w:rsidR="00055321" w:rsidRPr="008924E0" w:rsidRDefault="00740D4F" w:rsidP="00B254A7">
      <w:pPr>
        <w:pStyle w:val="Heading3"/>
        <w:numPr>
          <w:ilvl w:val="2"/>
          <w:numId w:val="33"/>
        </w:numPr>
      </w:pPr>
      <w:bookmarkStart w:id="17" w:name="_Toc134011751"/>
      <w:r w:rsidRPr="008924E0">
        <w:t>Kontekst politike energijske efikasnosti u Bosni i Hercegovini</w:t>
      </w:r>
      <w:bookmarkEnd w:id="17"/>
    </w:p>
    <w:p w14:paraId="6D7B153A" w14:textId="77777777" w:rsidR="00055321" w:rsidRPr="008924E0" w:rsidRDefault="00740D4F">
      <w:pPr>
        <w:shd w:val="clear" w:color="auto" w:fill="FFFFFF"/>
        <w:spacing w:after="120" w:line="276" w:lineRule="auto"/>
        <w:rPr>
          <w:color w:val="0D0D0D"/>
          <w:lang w:val="bs-Latn-BA"/>
        </w:rPr>
      </w:pPr>
      <w:r w:rsidRPr="008924E0">
        <w:rPr>
          <w:color w:val="0D0D0D"/>
          <w:lang w:val="bs-Latn-BA"/>
        </w:rPr>
        <w:t>Bosna i Hercegovina je kompleksno ustrojena demokratska zemlja. Ustavom BiH uspostavljen je multietnički sistem vlasti sa asimetričnom i složenom upravnom strukturom.</w:t>
      </w:r>
    </w:p>
    <w:p w14:paraId="25EA4CCE" w14:textId="77777777" w:rsidR="00055321" w:rsidRPr="008924E0" w:rsidRDefault="00740D4F">
      <w:pPr>
        <w:shd w:val="clear" w:color="auto" w:fill="FFFFFF"/>
        <w:spacing w:after="120" w:line="276" w:lineRule="auto"/>
        <w:rPr>
          <w:color w:val="0D0D0D"/>
          <w:lang w:val="bs-Latn-BA"/>
        </w:rPr>
      </w:pPr>
      <w:r w:rsidRPr="008924E0">
        <w:rPr>
          <w:b/>
          <w:color w:val="0D0D0D"/>
          <w:highlight w:val="white"/>
          <w:lang w:val="bs-Latn-BA"/>
        </w:rPr>
        <w:t>Bosna i Hercegovina</w:t>
      </w:r>
      <w:r w:rsidRPr="008924E0">
        <w:rPr>
          <w:color w:val="0D0D0D"/>
          <w:lang w:val="bs-Latn-BA"/>
        </w:rPr>
        <w:t xml:space="preserve"> se sastoji od dva entiteta</w:t>
      </w:r>
      <w:r w:rsidR="00D314FF" w:rsidRPr="008924E0">
        <w:rPr>
          <w:color w:val="0D0D0D"/>
          <w:lang w:val="bs-Latn-BA"/>
        </w:rPr>
        <w:t xml:space="preserve"> i jednog distrikta</w:t>
      </w:r>
      <w:r w:rsidRPr="008924E0">
        <w:rPr>
          <w:color w:val="0D0D0D"/>
          <w:lang w:val="bs-Latn-BA"/>
        </w:rPr>
        <w:t>: Federacije Bosne i Hercegovine (FBiH) i Republike Srpske (RS), i Brčko distrikta Bosne i Hercegovine. Oba entiteta imaju svoje ustave, vlade kao izvršnu vlast i parlamente kao zakonodavnu vlast, dok Brčko distrikt Bosne i Hercegovine ima svoj Statut.</w:t>
      </w:r>
    </w:p>
    <w:p w14:paraId="289142B2" w14:textId="2ABF2EDC" w:rsidR="00055321" w:rsidRPr="008924E0" w:rsidRDefault="00740D4F">
      <w:pPr>
        <w:shd w:val="clear" w:color="auto" w:fill="FFFFFF"/>
        <w:spacing w:after="120" w:line="276" w:lineRule="auto"/>
        <w:rPr>
          <w:color w:val="0D0D0D"/>
          <w:lang w:val="bs-Latn-BA"/>
        </w:rPr>
      </w:pPr>
      <w:r w:rsidRPr="008924E0">
        <w:rPr>
          <w:b/>
          <w:color w:val="0D0D0D"/>
          <w:lang w:val="bs-Latn-BA"/>
        </w:rPr>
        <w:t>Federacija BiH</w:t>
      </w:r>
      <w:r w:rsidRPr="008924E0">
        <w:rPr>
          <w:color w:val="0D0D0D"/>
          <w:lang w:val="bs-Latn-BA"/>
        </w:rPr>
        <w:t xml:space="preserve"> se sastoji od deset (10) federalnih jedinica, kantona, od kojih svaki ima vlastiti ustav, </w:t>
      </w:r>
      <w:r w:rsidR="00701AC3" w:rsidRPr="008924E0">
        <w:rPr>
          <w:color w:val="0D0D0D"/>
          <w:lang w:val="bs-Latn-BA"/>
        </w:rPr>
        <w:t>skupštinu</w:t>
      </w:r>
      <w:r w:rsidRPr="008924E0">
        <w:rPr>
          <w:color w:val="0D0D0D"/>
          <w:lang w:val="bs-Latn-BA"/>
        </w:rPr>
        <w:t xml:space="preserve">, vladu i sudske nadležnosti. U FBiH postoji ukupno jedanaest ustava, vlada i zakonodavnih tijela (deset kantonalnih i jedan na nivou entiteta). Pored toga, </w:t>
      </w:r>
      <w:r w:rsidRPr="008924E0">
        <w:rPr>
          <w:color w:val="0D0D0D"/>
          <w:highlight w:val="white"/>
          <w:lang w:val="bs-Latn-BA"/>
        </w:rPr>
        <w:t>dalje su podijeljeni na sedamdeset devet (79) općina i gradova, odnosno jedinica lokalne samouprave koje imaju izvršne i zakonodavne nadležnosti.</w:t>
      </w:r>
    </w:p>
    <w:p w14:paraId="5A1B8A6B" w14:textId="32E9A027" w:rsidR="00055321" w:rsidRPr="008924E0" w:rsidRDefault="00740D4F" w:rsidP="00A26966">
      <w:pPr>
        <w:spacing w:after="120" w:line="276" w:lineRule="auto"/>
        <w:rPr>
          <w:lang w:val="bs-Latn-BA"/>
        </w:rPr>
      </w:pPr>
      <w:r w:rsidRPr="008924E0">
        <w:rPr>
          <w:lang w:val="bs-Latn-BA"/>
        </w:rPr>
        <w:t>Na državnom nivou u BiH ne postoji zakon o energijskoj efikasnosti. Trenutno važeći entitetski zakoni o EE su uspostavljeni paralelno, u trenutku kada je primarni cilj bilo preuzimanje prethodne pravne stečevine iz oblasti energijske efikasnosti u okviru EnZ – odnosno već zastarjele Direktive 2006/32/EC</w:t>
      </w:r>
      <w:r w:rsidR="00A26966">
        <w:rPr>
          <w:lang w:val="bs-Latn-BA"/>
        </w:rPr>
        <w:t xml:space="preserve"> </w:t>
      </w:r>
      <w:r w:rsidRPr="008924E0">
        <w:rPr>
          <w:lang w:val="bs-Latn-BA"/>
        </w:rPr>
        <w:t>o energetskim uslugama (ESD)</w:t>
      </w:r>
      <w:r w:rsidR="008D2164">
        <w:rPr>
          <w:lang w:val="bs-Latn-BA"/>
        </w:rPr>
        <w:t xml:space="preserve"> </w:t>
      </w:r>
      <w:r w:rsidR="00542067">
        <w:rPr>
          <w:lang w:val="bs-Latn-BA"/>
        </w:rPr>
        <w:t xml:space="preserve">i </w:t>
      </w:r>
      <w:r w:rsidR="00FD7A6E">
        <w:rPr>
          <w:lang w:val="bs-Latn-BA"/>
        </w:rPr>
        <w:t xml:space="preserve"> dijelom </w:t>
      </w:r>
      <w:r w:rsidR="00542067">
        <w:rPr>
          <w:lang w:val="bs-Latn-BA"/>
        </w:rPr>
        <w:t>Direktive o energijskim karakteristikam zgrada</w:t>
      </w:r>
      <w:r w:rsidR="00FD7A6E">
        <w:rPr>
          <w:lang w:val="bs-Latn-BA"/>
        </w:rPr>
        <w:t xml:space="preserve"> 2010/31/EC</w:t>
      </w:r>
      <w:r w:rsidR="00A26966">
        <w:rPr>
          <w:lang w:val="bs-Latn-BA"/>
        </w:rPr>
        <w:t>.</w:t>
      </w:r>
    </w:p>
    <w:p w14:paraId="6D9A0E39" w14:textId="77777777" w:rsidR="00055321" w:rsidRPr="008924E0" w:rsidRDefault="00740D4F">
      <w:pPr>
        <w:spacing w:after="120" w:line="276" w:lineRule="auto"/>
        <w:rPr>
          <w:lang w:val="bs-Latn-BA"/>
        </w:rPr>
      </w:pPr>
      <w:r w:rsidRPr="008924E0">
        <w:rPr>
          <w:lang w:val="bs-Latn-BA"/>
        </w:rPr>
        <w:t>U Federaciji BiH su to:</w:t>
      </w:r>
    </w:p>
    <w:p w14:paraId="4A209B5D" w14:textId="519EDBA0" w:rsidR="00055321" w:rsidRPr="008924E0" w:rsidRDefault="00740D4F">
      <w:pPr>
        <w:widowControl w:val="0"/>
        <w:numPr>
          <w:ilvl w:val="0"/>
          <w:numId w:val="15"/>
        </w:numPr>
        <w:spacing w:after="120" w:line="276" w:lineRule="auto"/>
        <w:rPr>
          <w:color w:val="333333"/>
          <w:lang w:val="bs-Latn-BA"/>
        </w:rPr>
      </w:pPr>
      <w:r w:rsidRPr="008924E0">
        <w:rPr>
          <w:i/>
          <w:color w:val="333333"/>
          <w:lang w:val="bs-Latn-BA"/>
        </w:rPr>
        <w:t>Zakon o energijskoj efikasnosti</w:t>
      </w:r>
      <w:r w:rsidRPr="008924E0">
        <w:rPr>
          <w:color w:val="333333"/>
          <w:lang w:val="bs-Latn-BA"/>
        </w:rPr>
        <w:t xml:space="preserve"> (</w:t>
      </w:r>
      <w:r w:rsidR="00CF273E" w:rsidRPr="00CF273E">
        <w:rPr>
          <w:color w:val="333333"/>
          <w:lang w:val="bs-Latn-BA"/>
        </w:rPr>
        <w:t xml:space="preserve">„Službene novine Federacije BiH“, </w:t>
      </w:r>
      <w:r w:rsidR="00CF273E">
        <w:rPr>
          <w:color w:val="333333"/>
          <w:lang w:val="bs-Latn-BA"/>
        </w:rPr>
        <w:t xml:space="preserve">broj </w:t>
      </w:r>
      <w:r w:rsidRPr="008924E0">
        <w:rPr>
          <w:color w:val="333333"/>
          <w:lang w:val="bs-Latn-BA"/>
        </w:rPr>
        <w:t xml:space="preserve">22/17), kojim su </w:t>
      </w:r>
      <w:r w:rsidRPr="008924E0">
        <w:rPr>
          <w:lang w:val="bs-Latn-BA"/>
        </w:rPr>
        <w:t xml:space="preserve">preuzete Direktiva 2006/32/EC o EE u krajnjoj potrošnji i energetskim uslugama, Direktiva 2010/30/EU o označavanju proizvoda koji koriste energiju i Direktiva 2010/31/EU o </w:t>
      </w:r>
      <w:r w:rsidRPr="008924E0">
        <w:rPr>
          <w:lang w:val="bs-Latn-BA"/>
        </w:rPr>
        <w:lastRenderedPageBreak/>
        <w:t>energijskim karakteristikama zgrada;</w:t>
      </w:r>
    </w:p>
    <w:p w14:paraId="5FF525F6" w14:textId="0C8DEEA7" w:rsidR="00055321" w:rsidRPr="008924E0" w:rsidRDefault="00740D4F">
      <w:pPr>
        <w:widowControl w:val="0"/>
        <w:numPr>
          <w:ilvl w:val="0"/>
          <w:numId w:val="15"/>
        </w:numPr>
        <w:spacing w:after="120" w:line="276" w:lineRule="auto"/>
        <w:rPr>
          <w:color w:val="333333"/>
          <w:lang w:val="bs-Latn-BA"/>
        </w:rPr>
      </w:pPr>
      <w:r w:rsidRPr="008924E0">
        <w:rPr>
          <w:i/>
          <w:lang w:val="bs-Latn-BA"/>
        </w:rPr>
        <w:t>Zakon o korištenju obnovljivih izvora energije i efikasne kogeneracije</w:t>
      </w:r>
      <w:r w:rsidRPr="008924E0">
        <w:rPr>
          <w:lang w:val="bs-Latn-BA"/>
        </w:rPr>
        <w:t xml:space="preserve"> (</w:t>
      </w:r>
      <w:r w:rsidR="00CF273E" w:rsidRPr="00CF273E">
        <w:rPr>
          <w:color w:val="333333"/>
          <w:lang w:val="bs-Latn-BA"/>
        </w:rPr>
        <w:t xml:space="preserve">„Službene novine Federacije BiH“, </w:t>
      </w:r>
      <w:r w:rsidR="00CF273E">
        <w:rPr>
          <w:color w:val="333333"/>
          <w:lang w:val="bs-Latn-BA"/>
        </w:rPr>
        <w:t>br</w:t>
      </w:r>
      <w:r w:rsidR="00E03291">
        <w:rPr>
          <w:color w:val="333333"/>
          <w:lang w:val="bs-Latn-BA"/>
        </w:rPr>
        <w:t>. 7</w:t>
      </w:r>
      <w:r w:rsidR="00E03291">
        <w:rPr>
          <w:i/>
          <w:color w:val="333333"/>
          <w:lang w:val="bs-Latn-BA"/>
        </w:rPr>
        <w:t>0</w:t>
      </w:r>
      <w:r w:rsidRPr="008924E0">
        <w:rPr>
          <w:lang w:val="bs-Latn-BA"/>
        </w:rPr>
        <w:t>/13 i 5/14);</w:t>
      </w:r>
    </w:p>
    <w:p w14:paraId="5ABE2CC7" w14:textId="6D9A18D0" w:rsidR="00055321" w:rsidRPr="008924E0" w:rsidRDefault="00740D4F">
      <w:pPr>
        <w:widowControl w:val="0"/>
        <w:numPr>
          <w:ilvl w:val="0"/>
          <w:numId w:val="15"/>
        </w:numPr>
        <w:spacing w:after="120" w:line="276" w:lineRule="auto"/>
        <w:rPr>
          <w:color w:val="333333"/>
          <w:lang w:val="bs-Latn-BA"/>
        </w:rPr>
      </w:pPr>
      <w:r w:rsidRPr="008924E0">
        <w:rPr>
          <w:color w:val="333333"/>
          <w:lang w:val="bs-Latn-BA"/>
        </w:rPr>
        <w:t>Zakon o prostornom planiranju i korištenju zemljišta na razini FBiH (</w:t>
      </w:r>
      <w:r w:rsidR="00F53B27" w:rsidRPr="008924E0">
        <w:rPr>
          <w:color w:val="333333"/>
          <w:lang w:val="bs-Latn-BA"/>
        </w:rPr>
        <w:t>„</w:t>
      </w:r>
      <w:r w:rsidRPr="008924E0">
        <w:rPr>
          <w:color w:val="333333"/>
          <w:lang w:val="bs-Latn-BA"/>
        </w:rPr>
        <w:t>Službene novine F</w:t>
      </w:r>
      <w:r w:rsidR="00CF273E">
        <w:rPr>
          <w:color w:val="333333"/>
          <w:lang w:val="bs-Latn-BA"/>
        </w:rPr>
        <w:t xml:space="preserve">ederacije </w:t>
      </w:r>
      <w:r w:rsidRPr="008924E0">
        <w:rPr>
          <w:color w:val="333333"/>
          <w:lang w:val="bs-Latn-BA"/>
        </w:rPr>
        <w:t>BiH”, b</w:t>
      </w:r>
      <w:r w:rsidR="00CF273E">
        <w:rPr>
          <w:color w:val="333333"/>
          <w:lang w:val="bs-Latn-BA"/>
        </w:rPr>
        <w:t xml:space="preserve">r. </w:t>
      </w:r>
      <w:r w:rsidRPr="008924E0">
        <w:rPr>
          <w:color w:val="333333"/>
          <w:lang w:val="bs-Latn-BA"/>
        </w:rPr>
        <w:t xml:space="preserve"> 2/06, 72/07, 32/08, 4/10, 13/10, 45/10, 85/21 i 92/2</w:t>
      </w:r>
      <w:r w:rsidR="003E414D" w:rsidRPr="008924E0">
        <w:rPr>
          <w:color w:val="333333"/>
          <w:lang w:val="bs-Latn-BA"/>
        </w:rPr>
        <w:t>1</w:t>
      </w:r>
      <w:r w:rsidRPr="008924E0">
        <w:rPr>
          <w:color w:val="333333"/>
          <w:lang w:val="bs-Latn-BA"/>
        </w:rPr>
        <w:t>);</w:t>
      </w:r>
      <w:r w:rsidRPr="008924E0">
        <w:rPr>
          <w:color w:val="333333"/>
          <w:lang w:val="bs-Latn-BA"/>
        </w:rPr>
        <w:tab/>
      </w:r>
    </w:p>
    <w:p w14:paraId="4CC8A309" w14:textId="77777777" w:rsidR="00055321" w:rsidRPr="008924E0" w:rsidRDefault="00740D4F">
      <w:pPr>
        <w:widowControl w:val="0"/>
        <w:numPr>
          <w:ilvl w:val="0"/>
          <w:numId w:val="15"/>
        </w:numPr>
        <w:spacing w:after="120" w:line="276" w:lineRule="auto"/>
        <w:rPr>
          <w:color w:val="333333"/>
          <w:lang w:val="bs-Latn-BA"/>
        </w:rPr>
      </w:pPr>
      <w:r w:rsidRPr="008924E0">
        <w:rPr>
          <w:color w:val="333333"/>
          <w:lang w:val="bs-Latn-BA"/>
        </w:rPr>
        <w:t>Kantonalni zakoni u oblasti prostornog uređenja i građenja.</w:t>
      </w:r>
    </w:p>
    <w:p w14:paraId="23D93513" w14:textId="505F96F0" w:rsidR="00055321" w:rsidRPr="008924E0" w:rsidRDefault="00740D4F">
      <w:pPr>
        <w:spacing w:after="120" w:line="276" w:lineRule="auto"/>
        <w:rPr>
          <w:lang w:val="bs-Latn-BA"/>
        </w:rPr>
      </w:pPr>
      <w:bookmarkStart w:id="18" w:name="_heading=h.35nkun2" w:colFirst="0" w:colLast="0"/>
      <w:bookmarkEnd w:id="18"/>
      <w:r w:rsidRPr="008924E0">
        <w:rPr>
          <w:lang w:val="bs-Latn-BA"/>
        </w:rPr>
        <w:t xml:space="preserve">U kontekstu izrade Strategije obnove zgrada, Ministarsko vijeće EnZ je u okviru 4.3. Izdanja Pravnog okvira, definiralo </w:t>
      </w:r>
      <w:r w:rsidR="00F03625">
        <w:rPr>
          <w:lang w:val="bs-Latn-BA"/>
        </w:rPr>
        <w:t>obvez</w:t>
      </w:r>
      <w:r w:rsidRPr="008924E0">
        <w:rPr>
          <w:lang w:val="bs-Latn-BA"/>
        </w:rPr>
        <w:t>u implementacije odredbi Uredbe 2018/1999/EU o upravljanju energetskom unijom i djelovanjem u području klime, odnosno člana 2a Direktive 2010/31/EU o energijskim karakteristikama zgrada za ugovorne strane EnZ.</w:t>
      </w:r>
    </w:p>
    <w:p w14:paraId="09F71787" w14:textId="65E10012" w:rsidR="00055321" w:rsidRPr="008924E0" w:rsidRDefault="00740D4F" w:rsidP="007900F2">
      <w:pPr>
        <w:spacing w:after="120" w:line="276" w:lineRule="auto"/>
        <w:rPr>
          <w:lang w:val="bs-Latn-BA"/>
        </w:rPr>
      </w:pPr>
      <w:r w:rsidRPr="008924E0">
        <w:rPr>
          <w:lang w:val="bs-Latn-BA"/>
        </w:rPr>
        <w:t xml:space="preserve">Prema članu 2a EPBD 2010/31/EU, svaka ugovorna strana EnZ utvrđuje dugoročnu strategiju obnove za podsticanje obnove nacionalnog fonda stambenih i nestambenih zgrada, javnih i privatnih, u energijski visokoefikasan i dekarboniziran fond zgrada do 2050. godine, olakšavajući troškovno efikasnu pretvorbu postojećih zgrada u zgrade gotovo nulte energije. </w:t>
      </w:r>
    </w:p>
    <w:p w14:paraId="674E4432" w14:textId="0B27D0BE" w:rsidR="00055321" w:rsidRPr="008924E0" w:rsidRDefault="00740D4F">
      <w:pPr>
        <w:spacing w:after="120" w:line="276" w:lineRule="auto"/>
        <w:rPr>
          <w:lang w:val="bs-Latn-BA"/>
        </w:rPr>
      </w:pPr>
      <w:r w:rsidRPr="008924E0">
        <w:rPr>
          <w:lang w:val="bs-Latn-BA"/>
        </w:rPr>
        <w:t xml:space="preserve">U okviru dugoročne strategije obnove utvrđuje se plan s mjerama i mjerljivim pokazateljima napretka utvrđenima na nacionalnom nivou s obzirom na dugoročni cilj smanjenja emisija stakleničkih plinova u EU za 80-95 % do 2050. godine, u usporedbi s 1990. godinom, kako bi se osigurao energijski visokoefikasan i dekarboniziran nacionalni fond zgrada i kako bi se olakšalo troškovno efikasnu pretvorbu postojećih zgrada u zgrade gotovo nulte energije. Plan treba sadržavati okvirne </w:t>
      </w:r>
      <w:r w:rsidR="00286222" w:rsidRPr="008924E0">
        <w:rPr>
          <w:lang w:val="bs-Latn-BA"/>
        </w:rPr>
        <w:t>važeće</w:t>
      </w:r>
      <w:r w:rsidRPr="008924E0">
        <w:rPr>
          <w:lang w:val="bs-Latn-BA"/>
        </w:rPr>
        <w:t xml:space="preserve"> ključne tačke za 2030., 2040. i 2050., te definirati kako će se njima doprinijeti postizanju ciljeva EU u pogledu EE u skladu s Direktivom 2012/27/EU.</w:t>
      </w:r>
    </w:p>
    <w:p w14:paraId="0B571C16" w14:textId="3E8CD71D" w:rsidR="00055321" w:rsidRPr="008924E0" w:rsidRDefault="00740D4F">
      <w:pPr>
        <w:spacing w:after="120" w:line="276" w:lineRule="auto"/>
        <w:rPr>
          <w:lang w:val="bs-Latn-BA"/>
        </w:rPr>
      </w:pPr>
      <w:r w:rsidRPr="008924E0">
        <w:rPr>
          <w:lang w:val="bs-Latn-BA"/>
        </w:rPr>
        <w:t xml:space="preserve">Dugoročnu strategiju obnove, Ugovorne strane EnZ dostavljaju kao dio konačnog Integriranog nacionalnog energetskog i klimatskog plana iz člana 3 Uredbe 2018/1999/EU. Prema članu 15 ove Uredbe (koji se odnosi na izradu dugoročnih strategija), svakih 10 godina nakon januara 2029. godine, svaka Ugovorna strana će pripremiti i podnijeti Sekretarijatu EnZ svoju dugoročnu strategiju s perspektivom od 30 godina, u skladu s ciljem EnZ o klimatskoj neutralnosti. Ugovorne strane EnZ bi također trebale, ukoliko je potrebno, ažurirati svoje strategije svakih pet </w:t>
      </w:r>
      <w:r w:rsidR="00E03291">
        <w:rPr>
          <w:lang w:val="bs-Latn-BA"/>
        </w:rPr>
        <w:t xml:space="preserve">(5) </w:t>
      </w:r>
      <w:r w:rsidRPr="008924E0">
        <w:rPr>
          <w:lang w:val="bs-Latn-BA"/>
        </w:rPr>
        <w:t>godina.</w:t>
      </w:r>
    </w:p>
    <w:p w14:paraId="27DD22C7" w14:textId="77777777" w:rsidR="00055321" w:rsidRPr="008924E0" w:rsidRDefault="00740D4F" w:rsidP="0086410E">
      <w:pPr>
        <w:pStyle w:val="Heading3"/>
        <w:numPr>
          <w:ilvl w:val="2"/>
          <w:numId w:val="33"/>
        </w:numPr>
        <w:ind w:left="1440" w:hanging="648"/>
      </w:pPr>
      <w:bookmarkStart w:id="19" w:name="_Toc134011752"/>
      <w:r w:rsidRPr="008924E0">
        <w:t>Kontekst politike energijske efikasnosti u Federaciji Bosne i Hercegovine</w:t>
      </w:r>
      <w:bookmarkEnd w:id="19"/>
      <w:r w:rsidRPr="008924E0">
        <w:t xml:space="preserve"> </w:t>
      </w:r>
    </w:p>
    <w:p w14:paraId="3A334AC7" w14:textId="0FB15CB6" w:rsidR="00055321" w:rsidRPr="008924E0" w:rsidRDefault="00740D4F">
      <w:pPr>
        <w:widowControl w:val="0"/>
        <w:spacing w:after="120" w:line="276" w:lineRule="auto"/>
        <w:rPr>
          <w:lang w:val="bs-Latn-BA"/>
        </w:rPr>
      </w:pPr>
      <w:r w:rsidRPr="008924E0">
        <w:rPr>
          <w:lang w:val="bs-Latn-BA"/>
        </w:rPr>
        <w:t>U kontekstu energijske efikasnosti, Federalno ministarstvo energije, rudarstva i industrije nadležno je za kreiranje politike u oblasti energijske efikasnosti u FBiH</w:t>
      </w:r>
      <w:r w:rsidR="00873CB7" w:rsidRPr="008924E0">
        <w:rPr>
          <w:lang w:val="bs-Latn-BA"/>
        </w:rPr>
        <w:t>.</w:t>
      </w:r>
    </w:p>
    <w:p w14:paraId="08753BB1" w14:textId="51D12EC2" w:rsidR="00136239" w:rsidRPr="008924E0" w:rsidRDefault="00740D4F">
      <w:pPr>
        <w:widowControl w:val="0"/>
        <w:spacing w:after="120" w:line="276" w:lineRule="auto"/>
        <w:rPr>
          <w:lang w:val="bs-Latn-BA"/>
        </w:rPr>
      </w:pPr>
      <w:r w:rsidRPr="008924E0">
        <w:rPr>
          <w:lang w:val="bs-Latn-BA"/>
        </w:rPr>
        <w:t>Federalno ministarstvo prostornog uređenja Bosne i Hercegovine (FMPU)</w:t>
      </w:r>
      <w:r w:rsidR="00136239" w:rsidRPr="008924E0">
        <w:rPr>
          <w:lang w:val="bs-Latn-BA"/>
        </w:rPr>
        <w:t>, zajedno sa Kantonalnim ministarstvima prostornog uređenja i/ili građenja</w:t>
      </w:r>
      <w:r w:rsidRPr="008924E0">
        <w:rPr>
          <w:lang w:val="bs-Latn-BA"/>
        </w:rPr>
        <w:t xml:space="preserve"> </w:t>
      </w:r>
      <w:r w:rsidR="00136239" w:rsidRPr="008924E0">
        <w:rPr>
          <w:lang w:val="bs-Latn-BA"/>
        </w:rPr>
        <w:t xml:space="preserve">i/ili zaštite okoliša (u zavisnosti od naziva u određenom kantonu), </w:t>
      </w:r>
      <w:r w:rsidRPr="008924E0">
        <w:rPr>
          <w:lang w:val="bs-Latn-BA"/>
        </w:rPr>
        <w:t xml:space="preserve">nadležno </w:t>
      </w:r>
      <w:r w:rsidR="00136239" w:rsidRPr="008924E0">
        <w:rPr>
          <w:lang w:val="bs-Latn-BA"/>
        </w:rPr>
        <w:t xml:space="preserve">je </w:t>
      </w:r>
      <w:r w:rsidRPr="008924E0">
        <w:rPr>
          <w:lang w:val="bs-Latn-BA"/>
        </w:rPr>
        <w:t>za implementaciju Direktive 2010/31/EU</w:t>
      </w:r>
      <w:r w:rsidR="00136239" w:rsidRPr="008924E0">
        <w:rPr>
          <w:lang w:val="bs-Latn-BA"/>
        </w:rPr>
        <w:t xml:space="preserve">. Navedeno se posebno odnosi na </w:t>
      </w:r>
      <w:r w:rsidR="00F03625">
        <w:rPr>
          <w:lang w:val="bs-Latn-BA"/>
        </w:rPr>
        <w:t>obvez</w:t>
      </w:r>
      <w:r w:rsidR="00136239" w:rsidRPr="008924E0">
        <w:rPr>
          <w:lang w:val="bs-Latn-BA"/>
        </w:rPr>
        <w:t xml:space="preserve">u uspostavljanja energijskog certificiranja i </w:t>
      </w:r>
      <w:r w:rsidR="00AB786E">
        <w:rPr>
          <w:lang w:val="bs-Latn-BA"/>
        </w:rPr>
        <w:t>definiranje</w:t>
      </w:r>
      <w:r w:rsidR="00136239" w:rsidRPr="008924E0">
        <w:rPr>
          <w:lang w:val="bs-Latn-BA"/>
        </w:rPr>
        <w:t xml:space="preserve"> minimalnih zahtjeva za energijskim karakteristikama zgrada. FMPU je u skladu sa Zakonom o energijskog efikasnosti FBiH donijelo Pravilnik o minimalnim zahtjevima za energijskim karateristikama zgrada</w:t>
      </w:r>
      <w:r w:rsidRPr="008924E0">
        <w:rPr>
          <w:lang w:val="bs-Latn-BA"/>
        </w:rPr>
        <w:t xml:space="preserve"> </w:t>
      </w:r>
      <w:r w:rsidR="00136239" w:rsidRPr="008924E0">
        <w:rPr>
          <w:lang w:val="bs-Latn-BA"/>
        </w:rPr>
        <w:t>koji je potrebno da Kantonalna ministarstva prostornog uređenja i/ili građenja i/ili zaštite okoliša preuzmu, odnosno izrade svoje Pravilnike</w:t>
      </w:r>
      <w:r w:rsidR="00523888">
        <w:rPr>
          <w:lang w:val="bs-Latn-BA"/>
        </w:rPr>
        <w:t xml:space="preserve">, primjenjujući </w:t>
      </w:r>
      <w:r w:rsidR="00136239" w:rsidRPr="008924E0">
        <w:rPr>
          <w:lang w:val="bs-Latn-BA"/>
        </w:rPr>
        <w:t xml:space="preserve"> tehničke zahtjeve</w:t>
      </w:r>
      <w:r w:rsidR="00523888">
        <w:rPr>
          <w:lang w:val="bs-Latn-BA"/>
        </w:rPr>
        <w:t>, i granične vrijednosti pojedinih parametara iz Pravilnika o minimalnim zahtjevima za energijskim</w:t>
      </w:r>
      <w:r w:rsidR="00513E3A">
        <w:rPr>
          <w:lang w:val="bs-Latn-BA"/>
        </w:rPr>
        <w:t xml:space="preserve"> </w:t>
      </w:r>
      <w:r w:rsidR="00523888">
        <w:rPr>
          <w:lang w:val="bs-Latn-BA"/>
        </w:rPr>
        <w:t>karakteristikama zgrada  i Priloga (</w:t>
      </w:r>
      <w:r w:rsidR="00CF273E" w:rsidRPr="00CF273E">
        <w:rPr>
          <w:lang w:val="bs-Latn-BA"/>
        </w:rPr>
        <w:t>„Službene novine Federacije BiH“, br</w:t>
      </w:r>
      <w:r w:rsidR="00CF273E">
        <w:rPr>
          <w:lang w:val="bs-Latn-BA"/>
        </w:rPr>
        <w:t xml:space="preserve">. </w:t>
      </w:r>
      <w:r w:rsidR="00523888">
        <w:rPr>
          <w:lang w:val="bs-Latn-BA"/>
        </w:rPr>
        <w:t>81/19/ i 85/19)</w:t>
      </w:r>
      <w:r w:rsidR="00136239" w:rsidRPr="008924E0">
        <w:rPr>
          <w:lang w:val="bs-Latn-BA"/>
        </w:rPr>
        <w:t xml:space="preserve"> </w:t>
      </w:r>
    </w:p>
    <w:p w14:paraId="7A98B257" w14:textId="30441276" w:rsidR="00055321" w:rsidRPr="008924E0" w:rsidRDefault="00740D4F">
      <w:pPr>
        <w:widowControl w:val="0"/>
        <w:spacing w:after="120" w:line="276" w:lineRule="auto"/>
        <w:rPr>
          <w:lang w:val="bs-Latn-BA"/>
        </w:rPr>
      </w:pPr>
      <w:r w:rsidRPr="008924E0">
        <w:rPr>
          <w:lang w:val="bs-Latn-BA"/>
        </w:rPr>
        <w:lastRenderedPageBreak/>
        <w:t xml:space="preserve">Osnovno polazište za resor </w:t>
      </w:r>
      <w:r w:rsidRPr="005D794A">
        <w:rPr>
          <w:lang w:val="bs-Latn-BA"/>
        </w:rPr>
        <w:t xml:space="preserve">energijske efikasnosti u Federaciji Bosne i Hercegovine je Zakon o energijskoj efikasnosti u Federaciji BiH </w:t>
      </w:r>
      <w:r w:rsidR="00513E3A" w:rsidRPr="005D794A">
        <w:rPr>
          <w:lang w:val="bs-Latn-BA"/>
        </w:rPr>
        <w:t>(</w:t>
      </w:r>
      <w:r w:rsidR="00523888" w:rsidRPr="005D794A">
        <w:rPr>
          <w:lang w:val="bs-Latn-BA"/>
        </w:rPr>
        <w:t xml:space="preserve">„Službene </w:t>
      </w:r>
      <w:r w:rsidR="00513E3A" w:rsidRPr="005D794A">
        <w:rPr>
          <w:lang w:val="bs-Latn-BA"/>
        </w:rPr>
        <w:t>no</w:t>
      </w:r>
      <w:r w:rsidR="00523888" w:rsidRPr="005D794A">
        <w:rPr>
          <w:lang w:val="bs-Latn-BA"/>
        </w:rPr>
        <w:t>vine Federacije BiH“</w:t>
      </w:r>
      <w:r w:rsidR="00CF273E" w:rsidRPr="005D794A">
        <w:rPr>
          <w:lang w:val="bs-Latn-BA"/>
        </w:rPr>
        <w:t>,</w:t>
      </w:r>
      <w:r w:rsidR="00523888" w:rsidRPr="005D794A">
        <w:rPr>
          <w:lang w:val="bs-Latn-BA"/>
        </w:rPr>
        <w:t xml:space="preserve"> </w:t>
      </w:r>
      <w:r w:rsidR="00CF273E" w:rsidRPr="005D794A">
        <w:rPr>
          <w:lang w:val="bs-Latn-BA"/>
        </w:rPr>
        <w:t xml:space="preserve">broj </w:t>
      </w:r>
      <w:r w:rsidRPr="005D794A">
        <w:rPr>
          <w:lang w:val="bs-Latn-BA"/>
        </w:rPr>
        <w:t xml:space="preserve">22/17) kao i međunarodno preuzete </w:t>
      </w:r>
      <w:r w:rsidR="00F03625">
        <w:rPr>
          <w:lang w:val="bs-Latn-BA"/>
        </w:rPr>
        <w:t>obvez</w:t>
      </w:r>
      <w:r w:rsidRPr="005D794A">
        <w:rPr>
          <w:lang w:val="bs-Latn-BA"/>
        </w:rPr>
        <w:t>e kroz Ugovor o uspostavi Energetske zajednice (</w:t>
      </w:r>
      <w:r w:rsidR="00CF273E" w:rsidRPr="005D794A">
        <w:rPr>
          <w:lang w:val="bs-Latn-BA"/>
        </w:rPr>
        <w:t>„</w:t>
      </w:r>
      <w:r w:rsidRPr="005D794A">
        <w:rPr>
          <w:lang w:val="bs-Latn-BA"/>
        </w:rPr>
        <w:t>Sl</w:t>
      </w:r>
      <w:r w:rsidR="008037F7" w:rsidRPr="005D794A">
        <w:rPr>
          <w:lang w:val="bs-Latn-BA"/>
        </w:rPr>
        <w:t>užbeni</w:t>
      </w:r>
      <w:r w:rsidRPr="005D794A">
        <w:rPr>
          <w:lang w:val="bs-Latn-BA"/>
        </w:rPr>
        <w:t xml:space="preserve"> </w:t>
      </w:r>
      <w:r w:rsidR="008037F7" w:rsidRPr="005D794A">
        <w:rPr>
          <w:lang w:val="bs-Latn-BA"/>
        </w:rPr>
        <w:t>l</w:t>
      </w:r>
      <w:r w:rsidRPr="005D794A">
        <w:rPr>
          <w:lang w:val="bs-Latn-BA"/>
        </w:rPr>
        <w:t>ist BiH</w:t>
      </w:r>
      <w:r w:rsidR="00CF273E" w:rsidRPr="005D794A">
        <w:rPr>
          <w:lang w:val="bs-Latn-BA"/>
        </w:rPr>
        <w:t xml:space="preserve">“, </w:t>
      </w:r>
      <w:r w:rsidR="00CF273E">
        <w:rPr>
          <w:lang w:val="bs-Latn-BA"/>
        </w:rPr>
        <w:t>broj</w:t>
      </w:r>
      <w:r w:rsidRPr="008924E0">
        <w:rPr>
          <w:lang w:val="bs-Latn-BA"/>
        </w:rPr>
        <w:t xml:space="preserve"> 9/06, međunarodni ugovori). </w:t>
      </w:r>
      <w:r w:rsidR="0025720B" w:rsidRPr="008924E0">
        <w:rPr>
          <w:noProof/>
          <w:lang w:val="bs-Latn-BA"/>
        </w:rPr>
        <mc:AlternateContent>
          <mc:Choice Requires="wps">
            <w:drawing>
              <wp:anchor distT="0" distB="0" distL="114300" distR="114300" simplePos="0" relativeHeight="251673600" behindDoc="0" locked="0" layoutInCell="1" allowOverlap="1" wp14:anchorId="4F589719" wp14:editId="4AB5C12E">
                <wp:simplePos x="0" y="0"/>
                <wp:positionH relativeFrom="column">
                  <wp:posOffset>12700</wp:posOffset>
                </wp:positionH>
                <wp:positionV relativeFrom="paragraph">
                  <wp:posOffset>2048510</wp:posOffset>
                </wp:positionV>
                <wp:extent cx="5744210" cy="297815"/>
                <wp:effectExtent l="0" t="0" r="0" b="0"/>
                <wp:wrapTopAndBottom/>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4210" cy="297815"/>
                        </a:xfrm>
                        <a:prstGeom prst="rect">
                          <a:avLst/>
                        </a:prstGeom>
                        <a:solidFill>
                          <a:prstClr val="white"/>
                        </a:solidFill>
                        <a:ln>
                          <a:noFill/>
                        </a:ln>
                      </wps:spPr>
                      <wps:txbx>
                        <w:txbxContent>
                          <w:p w14:paraId="75742756" w14:textId="0A115F1E" w:rsidR="00973648" w:rsidRPr="000365CB" w:rsidRDefault="00973648" w:rsidP="00973648">
                            <w:pPr>
                              <w:pStyle w:val="Caption"/>
                              <w:jc w:val="center"/>
                              <w:rPr>
                                <w:lang w:val="hr-BA"/>
                              </w:rPr>
                            </w:pPr>
                            <w:bookmarkStart w:id="20" w:name="_Toc118193234"/>
                            <w:bookmarkStart w:id="21" w:name="_Toc132038122"/>
                            <w:bookmarkStart w:id="22" w:name="_Toc133499363"/>
                            <w:r>
                              <w:t xml:space="preserve">Slika </w:t>
                            </w:r>
                            <w:fldSimple w:instr=" STYLEREF 1 \s ">
                              <w:r w:rsidR="00695AEF">
                                <w:rPr>
                                  <w:noProof/>
                                </w:rPr>
                                <w:t>2</w:t>
                              </w:r>
                            </w:fldSimple>
                            <w:r w:rsidR="00B82F4B">
                              <w:t>.</w:t>
                            </w:r>
                            <w:fldSimple w:instr=" SEQ Slika \* ARABIC \s 1 ">
                              <w:r w:rsidR="00695AEF">
                                <w:rPr>
                                  <w:noProof/>
                                </w:rPr>
                                <w:t>1</w:t>
                              </w:r>
                            </w:fldSimple>
                            <w:r>
                              <w:t xml:space="preserve"> </w:t>
                            </w:r>
                            <w:r w:rsidRPr="003319E5">
                              <w:rPr>
                                <w:color w:val="000000"/>
                                <w:lang w:val="hr-BA"/>
                              </w:rPr>
                              <w:t xml:space="preserve">Pregled Direktiva EU </w:t>
                            </w:r>
                            <w:r w:rsidR="00BD5354">
                              <w:rPr>
                                <w:color w:val="000000"/>
                                <w:lang w:val="hr-BA"/>
                              </w:rPr>
                              <w:t>relevantnih za oblast</w:t>
                            </w:r>
                            <w:r w:rsidRPr="003319E5">
                              <w:rPr>
                                <w:color w:val="000000"/>
                                <w:lang w:val="hr-BA"/>
                              </w:rPr>
                              <w:t xml:space="preserve"> EE u FBiH</w:t>
                            </w:r>
                            <w:bookmarkEnd w:id="20"/>
                            <w:bookmarkEnd w:id="21"/>
                            <w:bookmarkEnd w:id="2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589719" id="Text Box 47" o:spid="_x0000_s1052" type="#_x0000_t202" style="position:absolute;left:0;text-align:left;margin-left:1pt;margin-top:161.3pt;width:452.3pt;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" stroked="f">
                <v:textbox style="mso-fit-shape-to-text:t" inset="0,0,0,0">
                  <w:txbxContent>
                    <w:p w14:paraId="75742756" w14:textId="0A115F1E" w:rsidR="00973648" w:rsidRPr="000365CB" w:rsidRDefault="00973648" w:rsidP="00973648">
                      <w:pPr>
                        <w:pStyle w:val="Caption"/>
                        <w:jc w:val="center"/>
                        <w:rPr>
                          <w:lang w:val="hr-BA"/>
                        </w:rPr>
                      </w:pPr>
                      <w:bookmarkStart w:id="26" w:name="_Toc118193234"/>
                      <w:bookmarkStart w:id="27" w:name="_Toc132038122"/>
                      <w:bookmarkStart w:id="28" w:name="_Toc133499363"/>
                      <w:r>
                        <w:t xml:space="preserve">Slika </w:t>
                      </w:r>
                      <w:fldSimple w:instr=" STYLEREF 1 \s ">
                        <w:r w:rsidR="00695AEF">
                          <w:rPr>
                            <w:noProof/>
                          </w:rPr>
                          <w:t>2</w:t>
                        </w:r>
                      </w:fldSimple>
                      <w:r w:rsidR="00B82F4B">
                        <w:t>.</w:t>
                      </w:r>
                      <w:fldSimple w:instr=" SEQ Slika \* ARABIC \s 1 ">
                        <w:r w:rsidR="00695AEF">
                          <w:rPr>
                            <w:noProof/>
                          </w:rPr>
                          <w:t>1</w:t>
                        </w:r>
                      </w:fldSimple>
                      <w:r>
                        <w:t xml:space="preserve"> </w:t>
                      </w:r>
                      <w:r w:rsidRPr="003319E5">
                        <w:rPr>
                          <w:color w:val="000000"/>
                          <w:lang w:val="hr-BA"/>
                        </w:rPr>
                        <w:t xml:space="preserve">Pregled Direktiva EU </w:t>
                      </w:r>
                      <w:r w:rsidR="00BD5354">
                        <w:rPr>
                          <w:color w:val="000000"/>
                          <w:lang w:val="hr-BA"/>
                        </w:rPr>
                        <w:t>relevantnih za oblast</w:t>
                      </w:r>
                      <w:r w:rsidRPr="003319E5">
                        <w:rPr>
                          <w:color w:val="000000"/>
                          <w:lang w:val="hr-BA"/>
                        </w:rPr>
                        <w:t xml:space="preserve"> EE u FBiH</w:t>
                      </w:r>
                      <w:bookmarkEnd w:id="26"/>
                      <w:bookmarkEnd w:id="27"/>
                      <w:bookmarkEnd w:id="28"/>
                    </w:p>
                  </w:txbxContent>
                </v:textbox>
                <w10:wrap type="topAndBottom"/>
              </v:shape>
            </w:pict>
          </mc:Fallback>
        </mc:AlternateContent>
      </w:r>
      <w:r w:rsidR="0025720B" w:rsidRPr="008924E0">
        <w:rPr>
          <w:noProof/>
          <w:lang w:val="bs-Latn-BA"/>
        </w:rPr>
        <mc:AlternateContent>
          <mc:Choice Requires="wpg">
            <w:drawing>
              <wp:anchor distT="0" distB="0" distL="114300" distR="114300" simplePos="0" relativeHeight="251662336" behindDoc="0" locked="0" layoutInCell="1" allowOverlap="1" wp14:anchorId="7AB1B443" wp14:editId="048F080E">
                <wp:simplePos x="0" y="0"/>
                <wp:positionH relativeFrom="column">
                  <wp:posOffset>12700</wp:posOffset>
                </wp:positionH>
                <wp:positionV relativeFrom="paragraph">
                  <wp:posOffset>977900</wp:posOffset>
                </wp:positionV>
                <wp:extent cx="5744210" cy="1013460"/>
                <wp:effectExtent l="0" t="0" r="0" b="0"/>
                <wp:wrapTopAndBottom/>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4210" cy="1013460"/>
                          <a:chOff x="2473895" y="3273270"/>
                          <a:chExt cx="5744210" cy="1013460"/>
                        </a:xfrm>
                      </wpg:grpSpPr>
                      <wpg:grpSp>
                        <wpg:cNvPr id="29" name="Group 6"/>
                        <wpg:cNvGrpSpPr/>
                        <wpg:grpSpPr>
                          <a:xfrm>
                            <a:off x="2473895" y="3273270"/>
                            <a:ext cx="5744210" cy="1013460"/>
                            <a:chOff x="2473895" y="3273270"/>
                            <a:chExt cx="5744210" cy="1013460"/>
                          </a:xfrm>
                        </wpg:grpSpPr>
                        <wps:wsp>
                          <wps:cNvPr id="31" name="Rectangle 7"/>
                          <wps:cNvSpPr/>
                          <wps:spPr>
                            <a:xfrm>
                              <a:off x="2473895" y="3273270"/>
                              <a:ext cx="5744200" cy="1013450"/>
                            </a:xfrm>
                            <a:prstGeom prst="rect">
                              <a:avLst/>
                            </a:prstGeom>
                            <a:noFill/>
                            <a:ln>
                              <a:noFill/>
                            </a:ln>
                          </wps:spPr>
                          <wps:txbx>
                            <w:txbxContent>
                              <w:p w14:paraId="523CD3C8" w14:textId="77777777" w:rsidR="00055321" w:rsidRDefault="00055321">
                                <w:pPr>
                                  <w:spacing w:after="0" w:line="240" w:lineRule="auto"/>
                                  <w:jc w:val="left"/>
                                  <w:textDirection w:val="btLr"/>
                                </w:pPr>
                              </w:p>
                            </w:txbxContent>
                          </wps:txbx>
                          <wps:bodyPr spcFirstLastPara="1" wrap="square" lIns="91425" tIns="91425" rIns="91425" bIns="91425" anchor="ctr" anchorCtr="0">
                            <a:noAutofit/>
                          </wps:bodyPr>
                        </wps:wsp>
                        <wpg:grpSp>
                          <wpg:cNvPr id="34" name="Group 8"/>
                          <wpg:cNvGrpSpPr/>
                          <wpg:grpSpPr>
                            <a:xfrm>
                              <a:off x="2473895" y="3273270"/>
                              <a:ext cx="5744210" cy="1013460"/>
                              <a:chOff x="0" y="0"/>
                              <a:chExt cx="6557619" cy="980170"/>
                            </a:xfrm>
                          </wpg:grpSpPr>
                          <wps:wsp>
                            <wps:cNvPr id="38" name="Rectangle 9"/>
                            <wps:cNvSpPr/>
                            <wps:spPr>
                              <a:xfrm>
                                <a:off x="0" y="0"/>
                                <a:ext cx="6557600" cy="980150"/>
                              </a:xfrm>
                              <a:prstGeom prst="rect">
                                <a:avLst/>
                              </a:prstGeom>
                              <a:noFill/>
                              <a:ln>
                                <a:noFill/>
                              </a:ln>
                            </wps:spPr>
                            <wps:txbx>
                              <w:txbxContent>
                                <w:p w14:paraId="3BE428FD" w14:textId="77777777" w:rsidR="00055321" w:rsidRDefault="00055321">
                                  <w:pPr>
                                    <w:spacing w:after="0" w:line="240" w:lineRule="auto"/>
                                    <w:jc w:val="left"/>
                                    <w:textDirection w:val="btLr"/>
                                  </w:pPr>
                                </w:p>
                              </w:txbxContent>
                            </wps:txbx>
                            <wps:bodyPr spcFirstLastPara="1" wrap="square" lIns="91425" tIns="91425" rIns="91425" bIns="91425" anchor="ctr" anchorCtr="0">
                              <a:noAutofit/>
                            </wps:bodyPr>
                          </wps:wsp>
                          <wps:wsp>
                            <wps:cNvPr id="44" name="Free-form: Shape 10"/>
                            <wps:cNvSpPr/>
                            <wps:spPr>
                              <a:xfrm>
                                <a:off x="0" y="0"/>
                                <a:ext cx="1983492" cy="980170"/>
                              </a:xfrm>
                              <a:custGeom>
                                <a:avLst/>
                                <a:gdLst/>
                                <a:ahLst/>
                                <a:cxnLst/>
                                <a:rect l="l" t="t" r="r" b="b"/>
                                <a:pathLst>
                                  <a:path w="1633617" h="980170" extrusionOk="0">
                                    <a:moveTo>
                                      <a:pt x="0" y="98017"/>
                                    </a:moveTo>
                                    <a:cubicBezTo>
                                      <a:pt x="0" y="43884"/>
                                      <a:pt x="43884" y="0"/>
                                      <a:pt x="98017" y="0"/>
                                    </a:cubicBezTo>
                                    <a:lnTo>
                                      <a:pt x="1535600" y="0"/>
                                    </a:lnTo>
                                    <a:cubicBezTo>
                                      <a:pt x="1589733" y="0"/>
                                      <a:pt x="1633617" y="43884"/>
                                      <a:pt x="1633617" y="98017"/>
                                    </a:cubicBezTo>
                                    <a:lnTo>
                                      <a:pt x="1633617" y="882153"/>
                                    </a:lnTo>
                                    <a:cubicBezTo>
                                      <a:pt x="1633617" y="936286"/>
                                      <a:pt x="1589733" y="980170"/>
                                      <a:pt x="1535600" y="980170"/>
                                    </a:cubicBezTo>
                                    <a:lnTo>
                                      <a:pt x="98017" y="980170"/>
                                    </a:lnTo>
                                    <a:cubicBezTo>
                                      <a:pt x="43884" y="980170"/>
                                      <a:pt x="0" y="936286"/>
                                      <a:pt x="0" y="882153"/>
                                    </a:cubicBezTo>
                                    <a:lnTo>
                                      <a:pt x="0" y="98017"/>
                                    </a:lnTo>
                                    <a:close/>
                                  </a:path>
                                </a:pathLst>
                              </a:custGeom>
                              <a:solidFill>
                                <a:srgbClr val="006432"/>
                              </a:solidFill>
                              <a:ln>
                                <a:noFill/>
                              </a:ln>
                            </wps:spPr>
                            <wps:txbx>
                              <w:txbxContent>
                                <w:p w14:paraId="561B0335" w14:textId="77777777" w:rsidR="00055321" w:rsidRPr="001972F5" w:rsidRDefault="00740D4F">
                                  <w:pPr>
                                    <w:spacing w:after="101" w:line="215" w:lineRule="auto"/>
                                    <w:jc w:val="center"/>
                                    <w:textDirection w:val="btLr"/>
                                    <w:rPr>
                                      <w:lang w:val="fi-FI"/>
                                    </w:rPr>
                                  </w:pPr>
                                  <w:r w:rsidRPr="001972F5">
                                    <w:rPr>
                                      <w:rFonts w:eastAsia="Calibri"/>
                                      <w:color w:val="FFFFFF"/>
                                      <w:lang w:val="fi-FI"/>
                                    </w:rPr>
                                    <w:t xml:space="preserve">Direktiva 2010/31/EU </w:t>
                                  </w:r>
                                </w:p>
                                <w:p w14:paraId="6556EC48" w14:textId="77777777" w:rsidR="00055321" w:rsidRPr="001972F5" w:rsidRDefault="00740D4F">
                                  <w:pPr>
                                    <w:spacing w:after="101" w:line="215" w:lineRule="auto"/>
                                    <w:jc w:val="center"/>
                                    <w:textDirection w:val="btLr"/>
                                    <w:rPr>
                                      <w:lang w:val="fi-FI"/>
                                    </w:rPr>
                                  </w:pPr>
                                  <w:r w:rsidRPr="001972F5">
                                    <w:rPr>
                                      <w:rFonts w:eastAsia="Calibri"/>
                                      <w:color w:val="FFFFFF"/>
                                      <w:lang w:val="fi-FI"/>
                                    </w:rPr>
                                    <w:t>o energijskim karakteristikama zgrada (EPBD)</w:t>
                                  </w:r>
                                </w:p>
                              </w:txbxContent>
                            </wps:txbx>
                            <wps:bodyPr spcFirstLastPara="1" wrap="square" lIns="74425" tIns="74425" rIns="74425" bIns="74425" anchor="ctr" anchorCtr="0">
                              <a:noAutofit/>
                            </wps:bodyPr>
                          </wps:wsp>
                          <wps:wsp>
                            <wps:cNvPr id="45" name="Free-form: Shape 11"/>
                            <wps:cNvSpPr/>
                            <wps:spPr>
                              <a:xfrm>
                                <a:off x="2287064" y="0"/>
                                <a:ext cx="1983492" cy="980170"/>
                              </a:xfrm>
                              <a:custGeom>
                                <a:avLst/>
                                <a:gdLst/>
                                <a:ahLst/>
                                <a:cxnLst/>
                                <a:rect l="l" t="t" r="r" b="b"/>
                                <a:pathLst>
                                  <a:path w="1633617" h="980170" extrusionOk="0">
                                    <a:moveTo>
                                      <a:pt x="0" y="98017"/>
                                    </a:moveTo>
                                    <a:cubicBezTo>
                                      <a:pt x="0" y="43884"/>
                                      <a:pt x="43884" y="0"/>
                                      <a:pt x="98017" y="0"/>
                                    </a:cubicBezTo>
                                    <a:lnTo>
                                      <a:pt x="1535600" y="0"/>
                                    </a:lnTo>
                                    <a:cubicBezTo>
                                      <a:pt x="1589733" y="0"/>
                                      <a:pt x="1633617" y="43884"/>
                                      <a:pt x="1633617" y="98017"/>
                                    </a:cubicBezTo>
                                    <a:lnTo>
                                      <a:pt x="1633617" y="882153"/>
                                    </a:lnTo>
                                    <a:cubicBezTo>
                                      <a:pt x="1633617" y="936286"/>
                                      <a:pt x="1589733" y="980170"/>
                                      <a:pt x="1535600" y="980170"/>
                                    </a:cubicBezTo>
                                    <a:lnTo>
                                      <a:pt x="98017" y="980170"/>
                                    </a:lnTo>
                                    <a:cubicBezTo>
                                      <a:pt x="43884" y="980170"/>
                                      <a:pt x="0" y="936286"/>
                                      <a:pt x="0" y="882153"/>
                                    </a:cubicBezTo>
                                    <a:lnTo>
                                      <a:pt x="0" y="98017"/>
                                    </a:lnTo>
                                    <a:close/>
                                  </a:path>
                                </a:pathLst>
                              </a:custGeom>
                              <a:solidFill>
                                <a:srgbClr val="006432"/>
                              </a:solidFill>
                              <a:ln>
                                <a:noFill/>
                              </a:ln>
                            </wps:spPr>
                            <wps:txbx>
                              <w:txbxContent>
                                <w:p w14:paraId="49480AD9" w14:textId="77777777" w:rsidR="00055321" w:rsidRPr="001972F5" w:rsidRDefault="00740D4F">
                                  <w:pPr>
                                    <w:spacing w:line="258" w:lineRule="auto"/>
                                    <w:jc w:val="center"/>
                                    <w:textDirection w:val="btLr"/>
                                    <w:rPr>
                                      <w:lang w:val="fi-FI"/>
                                    </w:rPr>
                                  </w:pPr>
                                  <w:r w:rsidRPr="001972F5">
                                    <w:rPr>
                                      <w:rFonts w:eastAsia="Calibri"/>
                                      <w:color w:val="FFFFFF"/>
                                      <w:lang w:val="fi-FI"/>
                                    </w:rPr>
                                    <w:t xml:space="preserve">Direktiva 2012/27/EU </w:t>
                                  </w:r>
                                </w:p>
                                <w:p w14:paraId="6BD501A5" w14:textId="77777777" w:rsidR="00055321" w:rsidRPr="001972F5" w:rsidRDefault="00740D4F">
                                  <w:pPr>
                                    <w:spacing w:line="258" w:lineRule="auto"/>
                                    <w:jc w:val="center"/>
                                    <w:textDirection w:val="btLr"/>
                                    <w:rPr>
                                      <w:lang w:val="fi-FI"/>
                                    </w:rPr>
                                  </w:pPr>
                                  <w:r w:rsidRPr="001972F5">
                                    <w:rPr>
                                      <w:rFonts w:eastAsia="Calibri"/>
                                      <w:color w:val="FFFFFF"/>
                                      <w:lang w:val="fi-FI"/>
                                    </w:rPr>
                                    <w:t xml:space="preserve">o energijskoj efikasnosti (EED) </w:t>
                                  </w:r>
                                </w:p>
                              </w:txbxContent>
                            </wps:txbx>
                            <wps:bodyPr spcFirstLastPara="1" wrap="square" lIns="74425" tIns="74425" rIns="74425" bIns="74425" anchor="ctr" anchorCtr="0">
                              <a:noAutofit/>
                            </wps:bodyPr>
                          </wps:wsp>
                          <wps:wsp>
                            <wps:cNvPr id="46" name="Free-form: Shape 12"/>
                            <wps:cNvSpPr/>
                            <wps:spPr>
                              <a:xfrm>
                                <a:off x="4574128" y="0"/>
                                <a:ext cx="1983491" cy="980170"/>
                              </a:xfrm>
                              <a:custGeom>
                                <a:avLst/>
                                <a:gdLst/>
                                <a:ahLst/>
                                <a:cxnLst/>
                                <a:rect l="l" t="t" r="r" b="b"/>
                                <a:pathLst>
                                  <a:path w="1633617" h="980170" extrusionOk="0">
                                    <a:moveTo>
                                      <a:pt x="0" y="98017"/>
                                    </a:moveTo>
                                    <a:cubicBezTo>
                                      <a:pt x="0" y="43884"/>
                                      <a:pt x="43884" y="0"/>
                                      <a:pt x="98017" y="0"/>
                                    </a:cubicBezTo>
                                    <a:lnTo>
                                      <a:pt x="1535600" y="0"/>
                                    </a:lnTo>
                                    <a:cubicBezTo>
                                      <a:pt x="1589733" y="0"/>
                                      <a:pt x="1633617" y="43884"/>
                                      <a:pt x="1633617" y="98017"/>
                                    </a:cubicBezTo>
                                    <a:lnTo>
                                      <a:pt x="1633617" y="882153"/>
                                    </a:lnTo>
                                    <a:cubicBezTo>
                                      <a:pt x="1633617" y="936286"/>
                                      <a:pt x="1589733" y="980170"/>
                                      <a:pt x="1535600" y="980170"/>
                                    </a:cubicBezTo>
                                    <a:lnTo>
                                      <a:pt x="98017" y="980170"/>
                                    </a:lnTo>
                                    <a:cubicBezTo>
                                      <a:pt x="43884" y="980170"/>
                                      <a:pt x="0" y="936286"/>
                                      <a:pt x="0" y="882153"/>
                                    </a:cubicBezTo>
                                    <a:lnTo>
                                      <a:pt x="0" y="98017"/>
                                    </a:lnTo>
                                    <a:close/>
                                  </a:path>
                                </a:pathLst>
                              </a:custGeom>
                              <a:solidFill>
                                <a:srgbClr val="006432"/>
                              </a:solidFill>
                              <a:ln>
                                <a:noFill/>
                              </a:ln>
                            </wps:spPr>
                            <wps:txbx>
                              <w:txbxContent>
                                <w:p w14:paraId="37787093" w14:textId="77777777" w:rsidR="00055321" w:rsidRDefault="00740D4F">
                                  <w:pPr>
                                    <w:spacing w:line="258" w:lineRule="auto"/>
                                    <w:jc w:val="center"/>
                                    <w:textDirection w:val="btLr"/>
                                  </w:pPr>
                                  <w:r>
                                    <w:rPr>
                                      <w:rFonts w:eastAsia="Calibri"/>
                                      <w:color w:val="FFFFFF"/>
                                    </w:rPr>
                                    <w:t xml:space="preserve">Uredba 2017/1369/EU </w:t>
                                  </w:r>
                                </w:p>
                                <w:p w14:paraId="22839178" w14:textId="37E17236" w:rsidR="00055321" w:rsidRPr="00421D43" w:rsidRDefault="00740D4F">
                                  <w:pPr>
                                    <w:spacing w:line="258" w:lineRule="auto"/>
                                    <w:jc w:val="center"/>
                                    <w:textDirection w:val="btLr"/>
                                    <w:rPr>
                                      <w:color w:val="FFFFFF" w:themeColor="background1"/>
                                    </w:rPr>
                                  </w:pPr>
                                  <w:r>
                                    <w:rPr>
                                      <w:rFonts w:eastAsia="Calibri"/>
                                      <w:color w:val="FFFFFF"/>
                                    </w:rPr>
                                    <w:t xml:space="preserve">o utvrđivanju okvira za označavanje energijske </w:t>
                                  </w:r>
                                  <w:r w:rsidRPr="004B2CDF">
                                    <w:rPr>
                                      <w:rFonts w:eastAsia="Calibri"/>
                                      <w:color w:val="FFFFFF" w:themeColor="background1"/>
                                    </w:rPr>
                                    <w:t>efikasnost</w:t>
                                  </w:r>
                                  <w:r w:rsidR="004B2CDF" w:rsidRPr="004B2CDF">
                                    <w:rPr>
                                      <w:rFonts w:eastAsia="Calibri"/>
                                      <w:color w:val="FFFFFF" w:themeColor="background1"/>
                                    </w:rPr>
                                    <w:t>i</w:t>
                                  </w:r>
                                </w:p>
                              </w:txbxContent>
                            </wps:txbx>
                            <wps:bodyPr spcFirstLastPara="1" wrap="square" lIns="74425" tIns="74425" rIns="74425" bIns="74425" anchor="ctr" anchorCtr="0">
                              <a:noAutofit/>
                            </wps:bodyPr>
                          </wps:wsp>
                        </wpg:grpSp>
                      </wpg:grpSp>
                    </wpg:wgp>
                  </a:graphicData>
                </a:graphic>
                <wp14:sizeRelH relativeFrom="page">
                  <wp14:pctWidth>0</wp14:pctWidth>
                </wp14:sizeRelH>
                <wp14:sizeRelV relativeFrom="page">
                  <wp14:pctHeight>0</wp14:pctHeight>
                </wp14:sizeRelV>
              </wp:anchor>
            </w:drawing>
          </mc:Choice>
          <mc:Fallback>
            <w:pict>
              <v:group w14:anchorId="7AB1B443" id="Group 28" o:spid="_x0000_s1053" style="position:absolute;left:0;text-align:left;margin-left:1pt;margin-top:77pt;width:452.3pt;height:79.8pt;z-index:251662336" coordorigin="24738,32732" coordsize="57442,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">
                <v:group id="Group 6" o:spid="_x0000_s1054" style="position:absolute;left:24738;top:32732;width:57443;height:10135" coordorigin="24738,32732" coordsize="57442,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7" o:spid="_x0000_s1055" style="position:absolute;left:24738;top:32732;width:57442;height:10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523CD3C8" w14:textId="77777777" w:rsidR="00055321" w:rsidRDefault="00055321">
                          <w:pPr>
                            <w:spacing w:after="0" w:line="240" w:lineRule="auto"/>
                            <w:jc w:val="left"/>
                            <w:textDirection w:val="btLr"/>
                          </w:pPr>
                        </w:p>
                      </w:txbxContent>
                    </v:textbox>
                  </v:rect>
                  <v:group id="Group 8" o:spid="_x0000_s1056" style="position:absolute;left:24738;top:32732;width:57443;height:10135" coordsize="65576,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9" o:spid="_x0000_s1057" style="position:absolute;width:65576;height:9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3BE428FD" w14:textId="77777777" w:rsidR="00055321" w:rsidRDefault="00055321">
                            <w:pPr>
                              <w:spacing w:after="0" w:line="240" w:lineRule="auto"/>
                              <w:jc w:val="left"/>
                              <w:textDirection w:val="btLr"/>
                            </w:pPr>
                          </w:p>
                        </w:txbxContent>
                      </v:textbox>
                    </v:rect>
                    <v:shape id="Free-form: Shape 10" o:spid="_x0000_s1058" style="position:absolute;width:19834;height:9801;visibility:visible;mso-wrap-style:square;v-text-anchor:middle" coordsize="1633617,980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" adj="-11796480,,5400" path="m,98017c,43884,43884,,98017,l1535600,v54133,,98017,43884,98017,98017l1633617,882153v,54133,-43884,98017,-98017,98017l98017,980170c43884,980170,,936286,,882153l,98017xe" fillcolor="#006432" stroked="f">
                      <v:stroke joinstyle="miter"/>
                      <v:formulas/>
                      <v:path arrowok="t" o:extrusionok="f" o:connecttype="custom" textboxrect="0,0,1633617,980170"/>
                      <v:textbox inset="2.06736mm,2.06736mm,2.06736mm,2.06736mm">
                        <w:txbxContent>
                          <w:p w14:paraId="561B0335" w14:textId="77777777" w:rsidR="00055321" w:rsidRPr="001972F5" w:rsidRDefault="00740D4F">
                            <w:pPr>
                              <w:spacing w:after="101" w:line="215" w:lineRule="auto"/>
                              <w:jc w:val="center"/>
                              <w:textDirection w:val="btLr"/>
                              <w:rPr>
                                <w:lang w:val="fi-FI"/>
                              </w:rPr>
                            </w:pPr>
                            <w:r w:rsidRPr="001972F5">
                              <w:rPr>
                                <w:rFonts w:eastAsia="Calibri"/>
                                <w:color w:val="FFFFFF"/>
                                <w:lang w:val="fi-FI"/>
                              </w:rPr>
                              <w:t xml:space="preserve">Direktiva 2010/31/EU </w:t>
                            </w:r>
                          </w:p>
                          <w:p w14:paraId="6556EC48" w14:textId="77777777" w:rsidR="00055321" w:rsidRPr="001972F5" w:rsidRDefault="00740D4F">
                            <w:pPr>
                              <w:spacing w:after="101" w:line="215" w:lineRule="auto"/>
                              <w:jc w:val="center"/>
                              <w:textDirection w:val="btLr"/>
                              <w:rPr>
                                <w:lang w:val="fi-FI"/>
                              </w:rPr>
                            </w:pPr>
                            <w:r w:rsidRPr="001972F5">
                              <w:rPr>
                                <w:rFonts w:eastAsia="Calibri"/>
                                <w:color w:val="FFFFFF"/>
                                <w:lang w:val="fi-FI"/>
                              </w:rPr>
                              <w:t>o energijskim karakteristikama zgrada (EPBD)</w:t>
                            </w:r>
                          </w:p>
                        </w:txbxContent>
                      </v:textbox>
                    </v:shape>
                    <v:shape id="Free-form: Shape 11" o:spid="_x0000_s1059" style="position:absolute;left:22870;width:19835;height:9801;visibility:visible;mso-wrap-style:square;v-text-anchor:middle" coordsize="1633617,980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" adj="-11796480,,5400" path="m,98017c,43884,43884,,98017,l1535600,v54133,,98017,43884,98017,98017l1633617,882153v,54133,-43884,98017,-98017,98017l98017,980170c43884,980170,,936286,,882153l,98017xe" fillcolor="#006432" stroked="f">
                      <v:stroke joinstyle="miter"/>
                      <v:formulas/>
                      <v:path arrowok="t" o:extrusionok="f" o:connecttype="custom" textboxrect="0,0,1633617,980170"/>
                      <v:textbox inset="2.06736mm,2.06736mm,2.06736mm,2.06736mm">
                        <w:txbxContent>
                          <w:p w14:paraId="49480AD9" w14:textId="77777777" w:rsidR="00055321" w:rsidRPr="001972F5" w:rsidRDefault="00740D4F">
                            <w:pPr>
                              <w:spacing w:line="258" w:lineRule="auto"/>
                              <w:jc w:val="center"/>
                              <w:textDirection w:val="btLr"/>
                              <w:rPr>
                                <w:lang w:val="fi-FI"/>
                              </w:rPr>
                            </w:pPr>
                            <w:r w:rsidRPr="001972F5">
                              <w:rPr>
                                <w:rFonts w:eastAsia="Calibri"/>
                                <w:color w:val="FFFFFF"/>
                                <w:lang w:val="fi-FI"/>
                              </w:rPr>
                              <w:t xml:space="preserve">Direktiva 2012/27/EU </w:t>
                            </w:r>
                          </w:p>
                          <w:p w14:paraId="6BD501A5" w14:textId="77777777" w:rsidR="00055321" w:rsidRPr="001972F5" w:rsidRDefault="00740D4F">
                            <w:pPr>
                              <w:spacing w:line="258" w:lineRule="auto"/>
                              <w:jc w:val="center"/>
                              <w:textDirection w:val="btLr"/>
                              <w:rPr>
                                <w:lang w:val="fi-FI"/>
                              </w:rPr>
                            </w:pPr>
                            <w:r w:rsidRPr="001972F5">
                              <w:rPr>
                                <w:rFonts w:eastAsia="Calibri"/>
                                <w:color w:val="FFFFFF"/>
                                <w:lang w:val="fi-FI"/>
                              </w:rPr>
                              <w:t xml:space="preserve">o energijskoj efikasnosti (EED) </w:t>
                            </w:r>
                          </w:p>
                        </w:txbxContent>
                      </v:textbox>
                    </v:shape>
                    <v:shape id="Free-form: Shape 12" o:spid="_x0000_s1060" style="position:absolute;left:45741;width:19835;height:9801;visibility:visible;mso-wrap-style:square;v-text-anchor:middle" coordsize="1633617,980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" adj="-11796480,,5400" path="m,98017c,43884,43884,,98017,l1535600,v54133,,98017,43884,98017,98017l1633617,882153v,54133,-43884,98017,-98017,98017l98017,980170c43884,980170,,936286,,882153l,98017xe" fillcolor="#006432" stroked="f">
                      <v:stroke joinstyle="miter"/>
                      <v:formulas/>
                      <v:path arrowok="t" o:extrusionok="f" o:connecttype="custom" textboxrect="0,0,1633617,980170"/>
                      <v:textbox inset="2.06736mm,2.06736mm,2.06736mm,2.06736mm">
                        <w:txbxContent>
                          <w:p w14:paraId="37787093" w14:textId="77777777" w:rsidR="00055321" w:rsidRDefault="00740D4F">
                            <w:pPr>
                              <w:spacing w:line="258" w:lineRule="auto"/>
                              <w:jc w:val="center"/>
                              <w:textDirection w:val="btLr"/>
                            </w:pPr>
                            <w:r>
                              <w:rPr>
                                <w:rFonts w:eastAsia="Calibri"/>
                                <w:color w:val="FFFFFF"/>
                              </w:rPr>
                              <w:t xml:space="preserve">Uredba 2017/1369/EU </w:t>
                            </w:r>
                          </w:p>
                          <w:p w14:paraId="22839178" w14:textId="37E17236" w:rsidR="00055321" w:rsidRPr="00421D43" w:rsidRDefault="00740D4F">
                            <w:pPr>
                              <w:spacing w:line="258" w:lineRule="auto"/>
                              <w:jc w:val="center"/>
                              <w:textDirection w:val="btLr"/>
                              <w:rPr>
                                <w:color w:val="FFFFFF" w:themeColor="background1"/>
                              </w:rPr>
                            </w:pPr>
                            <w:r>
                              <w:rPr>
                                <w:rFonts w:eastAsia="Calibri"/>
                                <w:color w:val="FFFFFF"/>
                              </w:rPr>
                              <w:t xml:space="preserve">o utvrđivanju okvira za označavanje energijske </w:t>
                            </w:r>
                            <w:r w:rsidRPr="004B2CDF">
                              <w:rPr>
                                <w:rFonts w:eastAsia="Calibri"/>
                                <w:color w:val="FFFFFF" w:themeColor="background1"/>
                              </w:rPr>
                              <w:t>efikasnost</w:t>
                            </w:r>
                            <w:r w:rsidR="004B2CDF" w:rsidRPr="004B2CDF">
                              <w:rPr>
                                <w:rFonts w:eastAsia="Calibri"/>
                                <w:color w:val="FFFFFF" w:themeColor="background1"/>
                              </w:rPr>
                              <w:t>i</w:t>
                            </w:r>
                          </w:p>
                        </w:txbxContent>
                      </v:textbox>
                    </v:shape>
                  </v:group>
                </v:group>
                <w10:wrap type="topAndBottom"/>
              </v:group>
            </w:pict>
          </mc:Fallback>
        </mc:AlternateContent>
      </w:r>
    </w:p>
    <w:p w14:paraId="1AEECD43" w14:textId="7793ED1F" w:rsidR="00055321" w:rsidRPr="008924E0" w:rsidRDefault="00740D4F">
      <w:pPr>
        <w:widowControl w:val="0"/>
        <w:spacing w:after="120" w:line="276" w:lineRule="auto"/>
        <w:rPr>
          <w:lang w:val="bs-Latn-BA"/>
        </w:rPr>
      </w:pPr>
      <w:bookmarkStart w:id="23" w:name="_heading=h.44sinio" w:colFirst="0" w:colLast="0"/>
      <w:bookmarkEnd w:id="23"/>
      <w:r w:rsidRPr="008924E0">
        <w:rPr>
          <w:lang w:val="bs-Latn-BA"/>
        </w:rPr>
        <w:t xml:space="preserve">Zakonom se uređuje energijska efikasnost u krajnjoj potrošnji čije je povećanje djelatnost od općeg interesa, donošenje i provođenje planova za unapređenje energijske efikasnosti, mjere za poboljšanje energijske efikasnosti uključujući energijske usluge i energijske audite, </w:t>
      </w:r>
      <w:r w:rsidR="00F03625">
        <w:rPr>
          <w:lang w:val="bs-Latn-BA"/>
        </w:rPr>
        <w:t>obvez</w:t>
      </w:r>
      <w:r w:rsidRPr="008924E0">
        <w:rPr>
          <w:lang w:val="bs-Latn-BA"/>
        </w:rPr>
        <w:t xml:space="preserve">e javnog sektora, </w:t>
      </w:r>
      <w:r w:rsidR="00F03625">
        <w:rPr>
          <w:lang w:val="bs-Latn-BA"/>
        </w:rPr>
        <w:t>obvez</w:t>
      </w:r>
      <w:r w:rsidRPr="008924E0">
        <w:rPr>
          <w:lang w:val="bs-Latn-BA"/>
        </w:rPr>
        <w:t xml:space="preserve">e velikih potrošača, prava i </w:t>
      </w:r>
      <w:r w:rsidR="00F03625">
        <w:rPr>
          <w:lang w:val="bs-Latn-BA"/>
        </w:rPr>
        <w:t>obvez</w:t>
      </w:r>
      <w:r w:rsidRPr="008924E0">
        <w:rPr>
          <w:lang w:val="bs-Latn-BA"/>
        </w:rPr>
        <w:t xml:space="preserve">e krajnjih potrošača, uključujući javni, stambeni i komercijalni sektor u pogledu primjene mjera energijske efikasnosti, način </w:t>
      </w:r>
      <w:r w:rsidR="007B690C">
        <w:rPr>
          <w:lang w:val="bs-Latn-BA"/>
        </w:rPr>
        <w:t>financ</w:t>
      </w:r>
      <w:r w:rsidRPr="008924E0">
        <w:rPr>
          <w:lang w:val="bs-Latn-BA"/>
        </w:rPr>
        <w:t>iranja poboljšanja energijske efikasnosti i druga pitanja od značaja za energijsku efikasnost u Federaciji Bosne i Hercegovine.</w:t>
      </w:r>
    </w:p>
    <w:p w14:paraId="4C2E662B" w14:textId="7A8E33B3" w:rsidR="00AF7DEB" w:rsidRPr="008924E0" w:rsidRDefault="00740D4F">
      <w:pPr>
        <w:spacing w:after="120" w:line="276" w:lineRule="auto"/>
        <w:rPr>
          <w:lang w:val="bs-Latn-BA"/>
        </w:rPr>
      </w:pPr>
      <w:r w:rsidRPr="008924E0">
        <w:rPr>
          <w:lang w:val="bs-Latn-BA"/>
        </w:rPr>
        <w:t xml:space="preserve">Podzakonskim aktima propisana je i ažurirana </w:t>
      </w:r>
      <w:r w:rsidR="00F03625">
        <w:rPr>
          <w:lang w:val="bs-Latn-BA"/>
        </w:rPr>
        <w:t>obvez</w:t>
      </w:r>
      <w:r w:rsidRPr="008924E0">
        <w:rPr>
          <w:lang w:val="bs-Latn-BA"/>
        </w:rPr>
        <w:t>a obavljanja energijskih audita, obezbjeđenja energijskog certificiranja zgrade i osiguranja energijskih karakteristika zgrade. Zahtjev energijskog certificiranja zgrada u potpunosti se primjenjuje za nove zgrade, ali samo djelomično za zgrade koje s</w:t>
      </w:r>
      <w:r w:rsidR="00286222" w:rsidRPr="008924E0">
        <w:rPr>
          <w:lang w:val="bs-Latn-BA"/>
        </w:rPr>
        <w:t>u na tržištu</w:t>
      </w:r>
      <w:r w:rsidRPr="008924E0">
        <w:rPr>
          <w:lang w:val="bs-Latn-BA"/>
        </w:rPr>
        <w:t>.</w:t>
      </w:r>
    </w:p>
    <w:p w14:paraId="0B559F9A" w14:textId="77777777" w:rsidR="00055321" w:rsidRPr="008924E0" w:rsidRDefault="00740D4F">
      <w:pPr>
        <w:spacing w:after="120" w:line="276" w:lineRule="auto"/>
        <w:rPr>
          <w:lang w:val="bs-Latn-BA"/>
        </w:rPr>
      </w:pPr>
      <w:bookmarkStart w:id="24" w:name="_heading=h.2jxsxqh" w:colFirst="0" w:colLast="0"/>
      <w:bookmarkEnd w:id="24"/>
      <w:r w:rsidRPr="008924E0">
        <w:rPr>
          <w:lang w:val="bs-Latn-BA"/>
        </w:rPr>
        <w:t>Uzimajući u obzir status u oblasti EE u zgradarstvu u FBiH, a u kontekstu Strategije obnove zgrada u FBiH, identificirano je sljedeće:</w:t>
      </w:r>
    </w:p>
    <w:p w14:paraId="6ED89E6D" w14:textId="2E20E9EA" w:rsidR="00055321" w:rsidRPr="008924E0" w:rsidRDefault="00740D4F">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Ciljevi u okviru Integriranog energetskog i klimatskog plana za BiH do 2030 (NECP 2030) još uvijek se usklađuju sa Sekretarijatom EnZ (prema Odluci Ministarskog vijeća 2021/14/MC-EnC, novi rok za izradu nacrta NECP-a za Ugovorne strane EnZ je 30</w:t>
      </w:r>
      <w:r w:rsidR="00E03291">
        <w:rPr>
          <w:color w:val="000000"/>
          <w:lang w:val="bs-Latn-BA"/>
        </w:rPr>
        <w:t>.</w:t>
      </w:r>
      <w:r w:rsidRPr="008924E0">
        <w:rPr>
          <w:color w:val="000000"/>
          <w:lang w:val="bs-Latn-BA"/>
        </w:rPr>
        <w:t xml:space="preserve"> juni 2023. godine);</w:t>
      </w:r>
    </w:p>
    <w:p w14:paraId="0742A061" w14:textId="487409D1" w:rsidR="00055321" w:rsidRPr="008924E0" w:rsidRDefault="00740D4F">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 xml:space="preserve">Transpozicija direktiva EU vezano za EE u </w:t>
      </w:r>
      <w:r w:rsidR="0056518C" w:rsidRPr="008924E0">
        <w:rPr>
          <w:color w:val="000000"/>
          <w:lang w:val="bs-Latn-BA"/>
        </w:rPr>
        <w:t>zakonodavstvo</w:t>
      </w:r>
      <w:r w:rsidRPr="008924E0">
        <w:rPr>
          <w:color w:val="000000"/>
          <w:lang w:val="bs-Latn-BA"/>
        </w:rPr>
        <w:t xml:space="preserve"> FBiH nije u potpunosti izvršena;</w:t>
      </w:r>
    </w:p>
    <w:p w14:paraId="26A97663" w14:textId="22E9C4A6" w:rsidR="00AF7DEB" w:rsidRPr="00421D43" w:rsidRDefault="00AF7DEB">
      <w:pPr>
        <w:numPr>
          <w:ilvl w:val="0"/>
          <w:numId w:val="10"/>
        </w:numPr>
        <w:pBdr>
          <w:top w:val="nil"/>
          <w:left w:val="nil"/>
          <w:bottom w:val="nil"/>
          <w:right w:val="nil"/>
          <w:between w:val="nil"/>
        </w:pBdr>
        <w:spacing w:after="120" w:line="240" w:lineRule="auto"/>
        <w:rPr>
          <w:color w:val="000000" w:themeColor="text1"/>
          <w:lang w:val="bs-Latn-BA"/>
        </w:rPr>
      </w:pPr>
      <w:r w:rsidRPr="00421D43">
        <w:rPr>
          <w:color w:val="000000" w:themeColor="text1"/>
          <w:lang w:val="bs-Latn-BA"/>
        </w:rPr>
        <w:t>Kantonalni zakoni o prostornom uređenju nisu usklađeni kako međusobno, tako i sa Federalnim zakonom o prostornom uređenju</w:t>
      </w:r>
      <w:r w:rsidR="00A377CC">
        <w:rPr>
          <w:color w:val="000000" w:themeColor="text1"/>
          <w:lang w:val="bs-Latn-BA"/>
        </w:rPr>
        <w:t xml:space="preserve"> </w:t>
      </w:r>
      <w:r w:rsidR="007A5AF0">
        <w:rPr>
          <w:color w:val="000000"/>
          <w:lang w:val="bs-Latn-BA"/>
        </w:rPr>
        <w:t>i Zakonom o energijskoj efikasnosti</w:t>
      </w:r>
      <w:r w:rsidR="00A377CC">
        <w:rPr>
          <w:color w:val="000000"/>
          <w:lang w:val="bs-Latn-BA"/>
        </w:rPr>
        <w:t xml:space="preserve"> FBiH;</w:t>
      </w:r>
    </w:p>
    <w:p w14:paraId="220F688E" w14:textId="1604415C" w:rsidR="00055321" w:rsidRPr="00421D43" w:rsidRDefault="00740D4F">
      <w:pPr>
        <w:numPr>
          <w:ilvl w:val="0"/>
          <w:numId w:val="10"/>
        </w:numPr>
        <w:pBdr>
          <w:top w:val="nil"/>
          <w:left w:val="nil"/>
          <w:bottom w:val="nil"/>
          <w:right w:val="nil"/>
          <w:between w:val="nil"/>
        </w:pBdr>
        <w:spacing w:after="120" w:line="240" w:lineRule="auto"/>
        <w:rPr>
          <w:color w:val="000000" w:themeColor="text1"/>
          <w:lang w:val="bs-Latn-BA"/>
        </w:rPr>
      </w:pPr>
      <w:r w:rsidRPr="00421D43">
        <w:rPr>
          <w:color w:val="000000" w:themeColor="text1"/>
          <w:lang w:val="bs-Latn-BA"/>
        </w:rPr>
        <w:t xml:space="preserve">Novi Zakon o prostornom uređenju u nadležnosti Federacije BiH, a koji </w:t>
      </w:r>
      <w:r w:rsidR="007A5AF0">
        <w:rPr>
          <w:color w:val="000000"/>
          <w:lang w:val="bs-Latn-BA"/>
        </w:rPr>
        <w:t>je u potpun</w:t>
      </w:r>
      <w:r w:rsidR="00523888">
        <w:rPr>
          <w:color w:val="000000"/>
          <w:lang w:val="bs-Latn-BA"/>
        </w:rPr>
        <w:t>o</w:t>
      </w:r>
      <w:r w:rsidR="007A5AF0">
        <w:rPr>
          <w:color w:val="000000"/>
          <w:lang w:val="bs-Latn-BA"/>
        </w:rPr>
        <w:t>sti usklađen sa Zakonom o energijskoj  efikasnosti</w:t>
      </w:r>
      <w:r w:rsidRPr="00421D43">
        <w:rPr>
          <w:color w:val="000000" w:themeColor="text1"/>
          <w:lang w:val="bs-Latn-BA"/>
        </w:rPr>
        <w:t xml:space="preserve"> EE u zgradarstvu je u formi nacrta (2021.) i još uvijek nije usvojen;</w:t>
      </w:r>
    </w:p>
    <w:p w14:paraId="442AD5B8" w14:textId="77777777" w:rsidR="00055321" w:rsidRPr="008924E0" w:rsidRDefault="00740D4F">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 xml:space="preserve">Harmoniziranje propisa </w:t>
      </w:r>
      <w:r w:rsidRPr="00421D43">
        <w:rPr>
          <w:lang w:val="bs-Latn-BA"/>
        </w:rPr>
        <w:t>relevantnih</w:t>
      </w:r>
      <w:r w:rsidRPr="008924E0">
        <w:rPr>
          <w:color w:val="000000"/>
          <w:lang w:val="bs-Latn-BA"/>
        </w:rPr>
        <w:t xml:space="preserve"> za EE na svim nivoima vlasti u FBiH nije u potpunosti izvršeno;</w:t>
      </w:r>
    </w:p>
    <w:p w14:paraId="3A55CE48" w14:textId="1F8DBB40" w:rsidR="00055321" w:rsidRPr="008924E0" w:rsidRDefault="00740D4F">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 xml:space="preserve">Akcioni planovi EE na nivou kantona, kao i Programi poboljšanja EE na nivou općina i/ili gradova (jedinica lokalne samouprave), nisu doneseni u svim kantonima odnosno </w:t>
      </w:r>
      <w:r w:rsidRPr="00421D43">
        <w:rPr>
          <w:lang w:val="bs-Latn-BA"/>
        </w:rPr>
        <w:t>općinama</w:t>
      </w:r>
      <w:r w:rsidR="00357FD6">
        <w:rPr>
          <w:lang w:val="bs-Latn-BA"/>
        </w:rPr>
        <w:t xml:space="preserve"> i gradovima</w:t>
      </w:r>
      <w:r w:rsidRPr="00421D43">
        <w:rPr>
          <w:lang w:val="bs-Latn-BA"/>
        </w:rPr>
        <w:t>;</w:t>
      </w:r>
    </w:p>
    <w:p w14:paraId="08D78337" w14:textId="18773B2E" w:rsidR="00055321" w:rsidRPr="008924E0" w:rsidRDefault="00740D4F">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 xml:space="preserve">Dugoročni i održivi modeli </w:t>
      </w:r>
      <w:r w:rsidR="007B690C">
        <w:rPr>
          <w:color w:val="000000"/>
          <w:lang w:val="bs-Latn-BA"/>
        </w:rPr>
        <w:t>financ</w:t>
      </w:r>
      <w:r w:rsidRPr="008924E0">
        <w:rPr>
          <w:color w:val="000000"/>
          <w:lang w:val="bs-Latn-BA"/>
        </w:rPr>
        <w:t>iranja EE nisu uspostavljeni u FBiH</w:t>
      </w:r>
      <w:r w:rsidR="00831A3E" w:rsidRPr="008924E0">
        <w:rPr>
          <w:color w:val="000000"/>
          <w:lang w:val="bs-Latn-BA"/>
        </w:rPr>
        <w:t xml:space="preserve"> (osim Revolving fonda za energijsku efikasnost javnih zgrada u Federaciji BiH pri FMPU)</w:t>
      </w:r>
      <w:r w:rsidRPr="008924E0">
        <w:rPr>
          <w:color w:val="000000"/>
          <w:lang w:val="bs-Latn-BA"/>
        </w:rPr>
        <w:t>;</w:t>
      </w:r>
    </w:p>
    <w:p w14:paraId="4ED18D67" w14:textId="77777777" w:rsidR="00055321" w:rsidRPr="008924E0" w:rsidRDefault="00740D4F">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Agencija za EE FBiH kao institucija nadležna za sve aktivnosti u oblasti EE u FBiH, nije uspostavljena.</w:t>
      </w:r>
    </w:p>
    <w:p w14:paraId="6138906F" w14:textId="77777777" w:rsidR="00055321" w:rsidRPr="008924E0" w:rsidRDefault="00740D4F" w:rsidP="00B254A7">
      <w:pPr>
        <w:pStyle w:val="Heading2"/>
        <w:numPr>
          <w:ilvl w:val="1"/>
          <w:numId w:val="33"/>
        </w:numPr>
        <w:rPr>
          <w:lang w:val="bs-Latn-BA"/>
        </w:rPr>
      </w:pPr>
      <w:bookmarkStart w:id="25" w:name="_heading=h.3j2qqm3" w:colFirst="0" w:colLast="0"/>
      <w:bookmarkStart w:id="26" w:name="_Toc134011753"/>
      <w:bookmarkEnd w:id="25"/>
      <w:r w:rsidRPr="008924E0">
        <w:rPr>
          <w:lang w:val="bs-Latn-BA"/>
        </w:rPr>
        <w:lastRenderedPageBreak/>
        <w:t>Opis postojećeg stanja građevinskog fonda</w:t>
      </w:r>
      <w:bookmarkEnd w:id="26"/>
    </w:p>
    <w:p w14:paraId="5209CD83" w14:textId="045C4FD9" w:rsidR="00055321" w:rsidRPr="008924E0" w:rsidRDefault="00740D4F" w:rsidP="00B254A7">
      <w:pPr>
        <w:pStyle w:val="Heading3"/>
        <w:numPr>
          <w:ilvl w:val="2"/>
          <w:numId w:val="33"/>
        </w:numPr>
      </w:pPr>
      <w:r w:rsidRPr="008924E0">
        <w:t xml:space="preserve"> </w:t>
      </w:r>
      <w:bookmarkStart w:id="27" w:name="_Toc134011754"/>
      <w:r w:rsidRPr="008924E0">
        <w:t>Pregled dosadašnjih aktivnosti na energ</w:t>
      </w:r>
      <w:r w:rsidR="00010793">
        <w:t>ij</w:t>
      </w:r>
      <w:r w:rsidRPr="008924E0">
        <w:t>skoj obnovi zgrada u FBiH</w:t>
      </w:r>
      <w:bookmarkEnd w:id="27"/>
    </w:p>
    <w:p w14:paraId="5D1DF69A" w14:textId="1B6468CF" w:rsidR="00055321" w:rsidRPr="008924E0" w:rsidRDefault="00740D4F">
      <w:pPr>
        <w:widowControl w:val="0"/>
        <w:spacing w:after="120" w:line="276" w:lineRule="auto"/>
        <w:rPr>
          <w:lang w:val="bs-Latn-BA"/>
        </w:rPr>
      </w:pPr>
      <w:r w:rsidRPr="008924E0">
        <w:rPr>
          <w:lang w:val="bs-Latn-BA"/>
        </w:rPr>
        <w:t xml:space="preserve">Dosadašnje aktivnosti na </w:t>
      </w:r>
      <w:r w:rsidR="00010793">
        <w:rPr>
          <w:lang w:val="bs-Latn-BA"/>
        </w:rPr>
        <w:t>energij</w:t>
      </w:r>
      <w:r w:rsidRPr="008924E0">
        <w:rPr>
          <w:lang w:val="bs-Latn-BA"/>
        </w:rPr>
        <w:t>skoj obnovi zgrada u FBiH uglavnom su se fokusirale na javne zgrade</w:t>
      </w:r>
      <w:r w:rsidR="00502CEF">
        <w:rPr>
          <w:lang w:val="bs-Latn-BA"/>
        </w:rPr>
        <w:t xml:space="preserve">, koje </w:t>
      </w:r>
      <w:r w:rsidR="00A377CC">
        <w:rPr>
          <w:lang w:val="bs-Latn-BA"/>
        </w:rPr>
        <w:t>su</w:t>
      </w:r>
      <w:r w:rsidR="00502CEF">
        <w:rPr>
          <w:lang w:val="bs-Latn-BA"/>
        </w:rPr>
        <w:t xml:space="preserve"> prema EPBD </w:t>
      </w:r>
      <w:r w:rsidR="00A377CC">
        <w:rPr>
          <w:lang w:val="bs-Latn-BA"/>
        </w:rPr>
        <w:t xml:space="preserve">direktivi </w:t>
      </w:r>
      <w:r w:rsidR="00502CEF">
        <w:rPr>
          <w:lang w:val="bs-Latn-BA"/>
        </w:rPr>
        <w:t xml:space="preserve">trebale </w:t>
      </w:r>
      <w:r w:rsidR="00A377CC">
        <w:rPr>
          <w:lang w:val="bs-Latn-BA"/>
        </w:rPr>
        <w:t>biti</w:t>
      </w:r>
      <w:r w:rsidR="00502CEF">
        <w:rPr>
          <w:lang w:val="bs-Latn-BA"/>
        </w:rPr>
        <w:t xml:space="preserve"> pozitivan primjer </w:t>
      </w:r>
      <w:r w:rsidR="00A377CC">
        <w:rPr>
          <w:lang w:val="bs-Latn-BA"/>
        </w:rPr>
        <w:t xml:space="preserve">unaprijeđenja </w:t>
      </w:r>
      <w:r w:rsidR="00502CEF">
        <w:rPr>
          <w:lang w:val="bs-Latn-BA"/>
        </w:rPr>
        <w:t>energijske efikasnosti</w:t>
      </w:r>
      <w:r w:rsidR="009A7972">
        <w:rPr>
          <w:lang w:val="bs-Latn-BA"/>
        </w:rPr>
        <w:t xml:space="preserve"> u zgradarstvu, te su stoga </w:t>
      </w:r>
      <w:r w:rsidRPr="008924E0">
        <w:rPr>
          <w:lang w:val="bs-Latn-BA"/>
        </w:rPr>
        <w:t xml:space="preserve">sredstva stranih  donatora uglavnom bila usmjerena na javni sektor. </w:t>
      </w:r>
      <w:r w:rsidR="007B690C">
        <w:rPr>
          <w:lang w:val="bs-Latn-BA"/>
        </w:rPr>
        <w:t>Financ</w:t>
      </w:r>
      <w:r w:rsidRPr="008924E0">
        <w:rPr>
          <w:lang w:val="bs-Latn-BA"/>
        </w:rPr>
        <w:t>ijske institucije i organizacije koje podržavaju projekte energijske efikasnosti zadnjih  10-ak godina u sektoru javnih zgrada u FBiH su:</w:t>
      </w:r>
    </w:p>
    <w:p w14:paraId="618A4DE1" w14:textId="77777777" w:rsidR="00055321" w:rsidRPr="008924E0" w:rsidRDefault="00740D4F">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Svjetska banka (World Bank)</w:t>
      </w:r>
    </w:p>
    <w:p w14:paraId="11DAAC13" w14:textId="77777777" w:rsidR="00055321" w:rsidRPr="008924E0" w:rsidRDefault="00740D4F">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Europska banka za obnovu i razvoj (EBRD)</w:t>
      </w:r>
    </w:p>
    <w:p w14:paraId="0D0807A2" w14:textId="7BFD0EA8" w:rsidR="00055321" w:rsidRDefault="00740D4F">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Green for Growth Fund for South-eastern Europe (GGF)</w:t>
      </w:r>
    </w:p>
    <w:p w14:paraId="36284C4D" w14:textId="7CF7A3FD" w:rsidR="00502CEF" w:rsidRPr="008924E0" w:rsidRDefault="00502CEF">
      <w:pPr>
        <w:widowControl w:val="0"/>
        <w:numPr>
          <w:ilvl w:val="0"/>
          <w:numId w:val="22"/>
        </w:numPr>
        <w:pBdr>
          <w:top w:val="nil"/>
          <w:left w:val="nil"/>
          <w:bottom w:val="nil"/>
          <w:right w:val="nil"/>
          <w:between w:val="nil"/>
        </w:pBdr>
        <w:spacing w:after="0" w:line="276" w:lineRule="auto"/>
        <w:rPr>
          <w:color w:val="000000"/>
          <w:lang w:val="bs-Latn-BA"/>
        </w:rPr>
      </w:pPr>
      <w:r>
        <w:rPr>
          <w:color w:val="000000"/>
          <w:lang w:val="bs-Latn-BA"/>
        </w:rPr>
        <w:t>Zeleni klimatski fond (GCF)</w:t>
      </w:r>
    </w:p>
    <w:p w14:paraId="08198435" w14:textId="77777777" w:rsidR="00055321" w:rsidRPr="008924E0" w:rsidRDefault="00740D4F">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Europska investicijska banka (EIB)</w:t>
      </w:r>
    </w:p>
    <w:p w14:paraId="55F19B20" w14:textId="77777777" w:rsidR="00055321" w:rsidRPr="008924E0" w:rsidRDefault="00740D4F">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Kreditanstalt für Wiederaufbau (KfW)</w:t>
      </w:r>
    </w:p>
    <w:p w14:paraId="30D90B78" w14:textId="77777777" w:rsidR="00055321" w:rsidRPr="008924E0" w:rsidRDefault="00740D4F">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Program Ujedinjenih naroda za razvoj (UNDP)</w:t>
      </w:r>
    </w:p>
    <w:p w14:paraId="1199C334" w14:textId="77777777" w:rsidR="00055321" w:rsidRPr="008924E0" w:rsidRDefault="00740D4F">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Švedska agencija za međunarodni razvoj i suradnju (SIDA)</w:t>
      </w:r>
    </w:p>
    <w:p w14:paraId="52E255BD" w14:textId="77777777" w:rsidR="00055321" w:rsidRPr="008924E0" w:rsidRDefault="00740D4F">
      <w:pPr>
        <w:widowControl w:val="0"/>
        <w:numPr>
          <w:ilvl w:val="0"/>
          <w:numId w:val="22"/>
        </w:numPr>
        <w:pBdr>
          <w:top w:val="nil"/>
          <w:left w:val="nil"/>
          <w:bottom w:val="nil"/>
          <w:right w:val="nil"/>
          <w:between w:val="nil"/>
        </w:pBdr>
        <w:spacing w:after="120" w:line="276" w:lineRule="auto"/>
        <w:rPr>
          <w:color w:val="000000"/>
          <w:lang w:val="bs-Latn-BA"/>
        </w:rPr>
      </w:pPr>
      <w:bookmarkStart w:id="28" w:name="_heading=h.2xcytpi" w:colFirst="0" w:colLast="0"/>
      <w:bookmarkEnd w:id="28"/>
      <w:r w:rsidRPr="008924E0">
        <w:rPr>
          <w:color w:val="000000"/>
          <w:lang w:val="bs-Latn-BA"/>
        </w:rPr>
        <w:t>Njemačko drušvo za međunarodnu saradnju – GIZ (Deutsche Gesellschaft für Internationale Zusammenarbeit GmbH).</w:t>
      </w:r>
    </w:p>
    <w:p w14:paraId="6FAB7F13" w14:textId="6F159677" w:rsidR="00055321" w:rsidRPr="00F931DE" w:rsidRDefault="00740D4F" w:rsidP="00F931DE">
      <w:pPr>
        <w:spacing w:after="120" w:line="276" w:lineRule="auto"/>
        <w:rPr>
          <w:lang w:val="bs-Latn-BA"/>
        </w:rPr>
      </w:pPr>
      <w:r w:rsidRPr="008924E0">
        <w:rPr>
          <w:lang w:val="bs-Latn-BA"/>
        </w:rPr>
        <w:t xml:space="preserve">Na nivou BiH nije uspostavljen nijedan održiv program ili mehanizam za implementaciju mjera EE u stambenom sektoru. Na kantonalnom nivou postoje pokušaji od strane Kantona Sarajevo i Grada Tuzle. Obligacione šeme za energijsku efikasnost (koje zahtijevaju podršku EE od strane distributera energije) do danas nisu uspostavljene, niti su kantoni, gradovi i općine bili uključeni u bilo kakve </w:t>
      </w:r>
      <w:r w:rsidR="007B690C">
        <w:rPr>
          <w:lang w:val="bs-Latn-BA"/>
        </w:rPr>
        <w:t>financ</w:t>
      </w:r>
      <w:r w:rsidRPr="008924E0">
        <w:rPr>
          <w:lang w:val="bs-Latn-BA"/>
        </w:rPr>
        <w:t xml:space="preserve">ijske programe podrške za svoje akcione planove EE. U oblasti </w:t>
      </w:r>
      <w:r w:rsidR="007B690C">
        <w:rPr>
          <w:lang w:val="bs-Latn-BA"/>
        </w:rPr>
        <w:t>financ</w:t>
      </w:r>
      <w:r w:rsidRPr="008924E0">
        <w:rPr>
          <w:lang w:val="bs-Latn-BA"/>
        </w:rPr>
        <w:t xml:space="preserve">iranja stambenog sektora, samo su dostupna kreditna sredstva komercijalnih banaka, a vlasnici stanova i individualnih stambenih zgrada uglavnom se oslanjaju na vlastitu </w:t>
      </w:r>
      <w:r w:rsidR="007B690C">
        <w:rPr>
          <w:lang w:val="bs-Latn-BA"/>
        </w:rPr>
        <w:t>financ</w:t>
      </w:r>
      <w:r w:rsidRPr="008924E0">
        <w:rPr>
          <w:lang w:val="bs-Latn-BA"/>
        </w:rPr>
        <w:t>ijsku sposobnost.</w:t>
      </w:r>
      <w:bookmarkStart w:id="29" w:name="_heading=h.1ci93xb" w:colFirst="0" w:colLast="0"/>
      <w:bookmarkEnd w:id="29"/>
    </w:p>
    <w:p w14:paraId="3551A888" w14:textId="3C37DAAB" w:rsidR="00055321" w:rsidRDefault="00740D4F" w:rsidP="00B254A7">
      <w:pPr>
        <w:pStyle w:val="Heading3"/>
        <w:numPr>
          <w:ilvl w:val="2"/>
          <w:numId w:val="33"/>
        </w:numPr>
      </w:pPr>
      <w:bookmarkStart w:id="30" w:name="_Toc134011755"/>
      <w:r w:rsidRPr="008924E0">
        <w:t>Pregled fonda zgrada u FBiH</w:t>
      </w:r>
      <w:bookmarkEnd w:id="30"/>
      <w:r w:rsidRPr="008924E0">
        <w:t xml:space="preserve"> </w:t>
      </w:r>
    </w:p>
    <w:p w14:paraId="45CC9914" w14:textId="51610A11" w:rsidR="00F931DE" w:rsidRPr="00F931DE" w:rsidRDefault="00C05470" w:rsidP="00F931DE">
      <w:pPr>
        <w:rPr>
          <w:lang w:val="bs-Latn-BA"/>
        </w:rPr>
      </w:pPr>
      <w:r w:rsidRPr="001972F5">
        <w:rPr>
          <w:lang w:val="bs-Latn-BA"/>
        </w:rPr>
        <w:t>Struktura fonda zgrada FBiH se kontinuirano mijenja i aktualni pregled fonda zgrada temelji se na postojećim podacima iz raspoloživih dokumenta te planova i programa, kao i pretpostavkama o budućim kretanjima fonda zgrada zasnovanim na privrednim i raspoloživim statističkim ulaznim podacima.</w:t>
      </w:r>
    </w:p>
    <w:p w14:paraId="18BB3144" w14:textId="77777777" w:rsidR="00055321" w:rsidRPr="008924E0" w:rsidRDefault="00740D4F" w:rsidP="00045BB4">
      <w:pPr>
        <w:pStyle w:val="Heading4"/>
        <w:numPr>
          <w:ilvl w:val="3"/>
          <w:numId w:val="33"/>
        </w:numPr>
        <w:ind w:left="1980" w:hanging="900"/>
        <w:rPr>
          <w:lang w:val="bs-Latn-BA"/>
        </w:rPr>
      </w:pPr>
      <w:bookmarkStart w:id="31" w:name="_Toc134011756"/>
      <w:r w:rsidRPr="008924E0">
        <w:rPr>
          <w:lang w:val="bs-Latn-BA"/>
        </w:rPr>
        <w:t>Kategorizacija fonda zgrada prema namjeni</w:t>
      </w:r>
      <w:bookmarkEnd w:id="31"/>
    </w:p>
    <w:p w14:paraId="605DB898" w14:textId="77777777" w:rsidR="00055321" w:rsidRPr="008924E0" w:rsidRDefault="00740D4F">
      <w:pPr>
        <w:rPr>
          <w:lang w:val="bs-Latn-BA"/>
        </w:rPr>
      </w:pPr>
      <w:r w:rsidRPr="008924E0">
        <w:rPr>
          <w:lang w:val="bs-Latn-BA"/>
        </w:rPr>
        <w:t>Fond zgrada Federacije BiH prema namjeni se klasificira u slijedeće kategorije:</w:t>
      </w:r>
    </w:p>
    <w:p w14:paraId="067F9695" w14:textId="77777777" w:rsidR="00055321" w:rsidRPr="008924E0" w:rsidRDefault="00740D4F">
      <w:pPr>
        <w:numPr>
          <w:ilvl w:val="0"/>
          <w:numId w:val="21"/>
        </w:numPr>
        <w:pBdr>
          <w:top w:val="nil"/>
          <w:left w:val="nil"/>
          <w:bottom w:val="nil"/>
          <w:right w:val="nil"/>
          <w:between w:val="nil"/>
        </w:pBdr>
        <w:spacing w:after="120" w:line="240" w:lineRule="auto"/>
        <w:ind w:hanging="357"/>
        <w:rPr>
          <w:lang w:val="bs-Latn-BA"/>
        </w:rPr>
      </w:pPr>
      <w:r w:rsidRPr="008924E0">
        <w:rPr>
          <w:color w:val="000000"/>
          <w:lang w:val="bs-Latn-BA"/>
        </w:rPr>
        <w:t>Stambene zgrade</w:t>
      </w:r>
    </w:p>
    <w:p w14:paraId="67C0932A" w14:textId="77777777" w:rsidR="00055321" w:rsidRPr="008924E0" w:rsidRDefault="00740D4F">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Zgrade individualnog stanovanja</w:t>
      </w:r>
    </w:p>
    <w:p w14:paraId="61DAA592" w14:textId="77777777" w:rsidR="00055321" w:rsidRPr="008924E0" w:rsidRDefault="00740D4F">
      <w:pPr>
        <w:numPr>
          <w:ilvl w:val="0"/>
          <w:numId w:val="1"/>
        </w:numPr>
        <w:pBdr>
          <w:top w:val="nil"/>
          <w:left w:val="nil"/>
          <w:bottom w:val="nil"/>
          <w:right w:val="nil"/>
          <w:between w:val="nil"/>
        </w:pBdr>
        <w:spacing w:after="120" w:line="240" w:lineRule="auto"/>
        <w:ind w:hanging="355"/>
        <w:rPr>
          <w:lang w:val="bs-Latn-BA"/>
        </w:rPr>
      </w:pPr>
      <w:r w:rsidRPr="008924E0">
        <w:rPr>
          <w:color w:val="000000"/>
          <w:lang w:val="bs-Latn-BA"/>
        </w:rPr>
        <w:t>Samostojeće porodične kuće (SH)</w:t>
      </w:r>
    </w:p>
    <w:p w14:paraId="1C0EC0C9" w14:textId="77777777" w:rsidR="00055321" w:rsidRPr="008924E0" w:rsidRDefault="00740D4F">
      <w:pPr>
        <w:numPr>
          <w:ilvl w:val="0"/>
          <w:numId w:val="1"/>
        </w:numPr>
        <w:pBdr>
          <w:top w:val="nil"/>
          <w:left w:val="nil"/>
          <w:bottom w:val="nil"/>
          <w:right w:val="nil"/>
          <w:between w:val="nil"/>
        </w:pBdr>
        <w:spacing w:after="120" w:line="240" w:lineRule="auto"/>
        <w:ind w:hanging="355"/>
        <w:rPr>
          <w:lang w:val="bs-Latn-BA"/>
        </w:rPr>
      </w:pPr>
      <w:r w:rsidRPr="008924E0">
        <w:rPr>
          <w:color w:val="000000"/>
          <w:lang w:val="bs-Latn-BA"/>
        </w:rPr>
        <w:t>Kuće u nizu (TH)</w:t>
      </w:r>
    </w:p>
    <w:p w14:paraId="7D06A453" w14:textId="77777777" w:rsidR="00055321" w:rsidRPr="008924E0" w:rsidRDefault="00740D4F">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Zgrade kolektivnog stanovanja</w:t>
      </w:r>
    </w:p>
    <w:p w14:paraId="02DB0508" w14:textId="77777777" w:rsidR="00055321" w:rsidRPr="008924E0" w:rsidRDefault="00740D4F">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t xml:space="preserve"> Manje stambene zgrade (MH)</w:t>
      </w:r>
    </w:p>
    <w:p w14:paraId="275CC791" w14:textId="77777777" w:rsidR="00055321" w:rsidRPr="008924E0" w:rsidRDefault="00740D4F">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t>Stambene zgrade u nizu (AB1)</w:t>
      </w:r>
    </w:p>
    <w:p w14:paraId="2D60E058" w14:textId="77777777" w:rsidR="00055321" w:rsidRPr="008924E0" w:rsidRDefault="00740D4F">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t xml:space="preserve">Veliki stambeni blokovi (AB2) </w:t>
      </w:r>
    </w:p>
    <w:p w14:paraId="788B5234" w14:textId="2FFD113C" w:rsidR="00055321" w:rsidRPr="008924E0" w:rsidRDefault="00740D4F">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lastRenderedPageBreak/>
        <w:t xml:space="preserve">Neboderi (H) </w:t>
      </w:r>
      <w:r w:rsidRPr="008924E0">
        <w:rPr>
          <w:color w:val="000000"/>
          <w:vertAlign w:val="superscript"/>
          <w:lang w:val="bs-Latn-BA"/>
        </w:rPr>
        <w:footnoteReference w:id="13"/>
      </w:r>
    </w:p>
    <w:p w14:paraId="13DD849D" w14:textId="77777777" w:rsidR="00055321" w:rsidRPr="008924E0" w:rsidRDefault="00740D4F">
      <w:pPr>
        <w:numPr>
          <w:ilvl w:val="0"/>
          <w:numId w:val="21"/>
        </w:numPr>
        <w:pBdr>
          <w:top w:val="nil"/>
          <w:left w:val="nil"/>
          <w:bottom w:val="nil"/>
          <w:right w:val="nil"/>
          <w:between w:val="nil"/>
        </w:pBdr>
        <w:spacing w:after="120" w:line="240" w:lineRule="auto"/>
        <w:ind w:hanging="357"/>
        <w:rPr>
          <w:lang w:val="bs-Latn-BA"/>
        </w:rPr>
      </w:pPr>
      <w:r w:rsidRPr="008924E0">
        <w:rPr>
          <w:color w:val="000000"/>
          <w:lang w:val="bs-Latn-BA"/>
        </w:rPr>
        <w:t>Nestambene zgrade</w:t>
      </w:r>
    </w:p>
    <w:p w14:paraId="343527EB" w14:textId="77777777" w:rsidR="00055321" w:rsidRPr="008924E0" w:rsidRDefault="00740D4F">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 xml:space="preserve">Javne zgrade </w:t>
      </w:r>
    </w:p>
    <w:p w14:paraId="764934A4" w14:textId="77777777" w:rsidR="00055321" w:rsidRPr="008924E0" w:rsidRDefault="00740D4F">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predškolski odgoj (vrtići/obdaništa),</w:t>
      </w:r>
    </w:p>
    <w:p w14:paraId="71756259" w14:textId="77777777" w:rsidR="00055321" w:rsidRPr="008924E0" w:rsidRDefault="00740D4F">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obrazovanje (osnovne, srednje i visokoškolske ustanove),</w:t>
      </w:r>
    </w:p>
    <w:p w14:paraId="3F4AEA64" w14:textId="77777777" w:rsidR="00055321" w:rsidRPr="008924E0" w:rsidRDefault="00740D4F">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u zdravstvenom sektoru (domovi zdravlja, ambulante, apoteke i duge zgrade bez stacionara),</w:t>
      </w:r>
    </w:p>
    <w:p w14:paraId="380ED41F" w14:textId="77777777" w:rsidR="00055321" w:rsidRPr="008924E0" w:rsidRDefault="00740D4F">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sportske djelatnosti (gradske sportske dvorane, fiskulturne dvorane obrazovnih objekata),</w:t>
      </w:r>
    </w:p>
    <w:p w14:paraId="2BEC8247" w14:textId="77777777" w:rsidR="00055321" w:rsidRPr="008924E0" w:rsidRDefault="00740D4F">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kulturne djelatnosti (domovi kulture, pozorišta/kazališta, bioskopi, biblioteke),</w:t>
      </w:r>
    </w:p>
    <w:p w14:paraId="2B4EAF8B" w14:textId="77777777" w:rsidR="00055321" w:rsidRPr="008924E0" w:rsidRDefault="00740D4F">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administrativne djelatnosti (kancelarijske zgrade),</w:t>
      </w:r>
    </w:p>
    <w:p w14:paraId="04B1217F" w14:textId="77777777" w:rsidR="00055321" w:rsidRPr="008924E0" w:rsidRDefault="00740D4F">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 xml:space="preserve">Zgrade za cjelodnevni boravak (bolnice, banje, studentski domovi itd.). </w:t>
      </w:r>
    </w:p>
    <w:p w14:paraId="1A5EA8E1" w14:textId="77777777" w:rsidR="00055321" w:rsidRPr="008924E0" w:rsidRDefault="00740D4F">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Komercijalne zgrade.</w:t>
      </w:r>
    </w:p>
    <w:p w14:paraId="50DF8C1A" w14:textId="22131790" w:rsidR="00993FEC" w:rsidRPr="00421D43" w:rsidRDefault="00740D4F" w:rsidP="00993FEC">
      <w:pPr>
        <w:rPr>
          <w:color w:val="000000" w:themeColor="text1"/>
          <w:lang w:val="bs-Latn-BA"/>
        </w:rPr>
      </w:pPr>
      <w:r w:rsidRPr="008924E0">
        <w:rPr>
          <w:lang w:val="bs-Latn-BA"/>
        </w:rPr>
        <w:t>Fond postojećih stambenih zgrada u FBiH, prema rezultatima iz Popisa stanovništva 2013. godine obuhvata ukupnu korisnu površinu od 45.779.938 m</w:t>
      </w:r>
      <w:r w:rsidRPr="008924E0">
        <w:rPr>
          <w:vertAlign w:val="superscript"/>
          <w:lang w:val="bs-Latn-BA"/>
        </w:rPr>
        <w:t>2</w:t>
      </w:r>
      <w:r w:rsidRPr="008924E0">
        <w:rPr>
          <w:lang w:val="bs-Latn-BA"/>
        </w:rPr>
        <w:t>. Prema podacima iz Tipologije javnih zgrada BiH, korisna površina javnih zgrada u FBiH je 2016. godine iznosila 5.161.287 m</w:t>
      </w:r>
      <w:r w:rsidRPr="008924E0">
        <w:rPr>
          <w:vertAlign w:val="superscript"/>
          <w:lang w:val="bs-Latn-BA"/>
        </w:rPr>
        <w:t>2</w:t>
      </w:r>
      <w:r w:rsidRPr="008924E0">
        <w:rPr>
          <w:lang w:val="bs-Latn-BA"/>
        </w:rPr>
        <w:t>, a prema podacima u NECP</w:t>
      </w:r>
      <w:r w:rsidRPr="008924E0">
        <w:rPr>
          <w:vertAlign w:val="superscript"/>
          <w:lang w:val="bs-Latn-BA"/>
        </w:rPr>
        <w:footnoteReference w:id="14"/>
      </w:r>
      <w:r w:rsidRPr="008924E0">
        <w:rPr>
          <w:lang w:val="bs-Latn-BA"/>
        </w:rPr>
        <w:t xml:space="preserve"> korisna površina komercijalnih zgrada je iznosila 7.568.713 m</w:t>
      </w:r>
      <w:r w:rsidRPr="008924E0">
        <w:rPr>
          <w:vertAlign w:val="superscript"/>
          <w:lang w:val="bs-Latn-BA"/>
        </w:rPr>
        <w:t>2</w:t>
      </w:r>
      <w:r w:rsidRPr="008924E0">
        <w:rPr>
          <w:lang w:val="bs-Latn-BA"/>
        </w:rPr>
        <w:t xml:space="preserve">. Korisna površina fonda zgrada FBiH data je </w:t>
      </w:r>
      <w:r w:rsidRPr="00421D43">
        <w:rPr>
          <w:color w:val="000000" w:themeColor="text1"/>
          <w:lang w:val="bs-Latn-BA"/>
        </w:rPr>
        <w:t xml:space="preserve">u Tabeli </w:t>
      </w:r>
      <w:r w:rsidR="00FE5AB8">
        <w:rPr>
          <w:color w:val="000000" w:themeColor="text1"/>
          <w:lang w:val="bs-Latn-BA"/>
        </w:rPr>
        <w:t>2.1</w:t>
      </w:r>
      <w:r w:rsidRPr="00421D43">
        <w:rPr>
          <w:color w:val="000000" w:themeColor="text1"/>
          <w:lang w:val="bs-Latn-BA"/>
        </w:rPr>
        <w:t>.</w:t>
      </w:r>
      <w:bookmarkStart w:id="32" w:name="_heading=h.1pxezwc" w:colFirst="0" w:colLast="0"/>
      <w:bookmarkEnd w:id="32"/>
      <w:r w:rsidR="00004409">
        <w:rPr>
          <w:color w:val="000000" w:themeColor="text1"/>
          <w:lang w:val="bs-Latn-BA"/>
        </w:rPr>
        <w:t xml:space="preserve"> </w:t>
      </w:r>
    </w:p>
    <w:p w14:paraId="6D338B78" w14:textId="4C21BBC7" w:rsidR="00973648" w:rsidRPr="008924E0" w:rsidRDefault="00973648" w:rsidP="00973648">
      <w:pPr>
        <w:pStyle w:val="Caption"/>
        <w:keepNext/>
      </w:pPr>
      <w:bookmarkStart w:id="33" w:name="_Toc133499536"/>
      <w:r w:rsidRPr="008924E0">
        <w:t xml:space="preserve">Tabela </w:t>
      </w:r>
      <w:r w:rsidR="00000000">
        <w:fldChar w:fldCharType="begin"/>
      </w:r>
      <w:r w:rsidR="00000000">
        <w:instrText xml:space="preserve"> STYLEREF 1 \s </w:instrText>
      </w:r>
      <w:r w:rsidR="00000000">
        <w:fldChar w:fldCharType="separate"/>
      </w:r>
      <w:r w:rsidR="004A246B">
        <w:rPr>
          <w:noProof/>
        </w:rPr>
        <w:t>2</w:t>
      </w:r>
      <w:r w:rsidR="00000000">
        <w:rPr>
          <w:noProof/>
        </w:rPr>
        <w:fldChar w:fldCharType="end"/>
      </w:r>
      <w:r w:rsidR="004A246B">
        <w:t>.</w:t>
      </w:r>
      <w:fldSimple w:instr=" SEQ Tabela \* ARABIC \s 1 ">
        <w:r w:rsidR="004A246B">
          <w:rPr>
            <w:noProof/>
          </w:rPr>
          <w:t>1</w:t>
        </w:r>
      </w:fldSimple>
      <w:r w:rsidRPr="008924E0">
        <w:rPr>
          <w:color w:val="000000"/>
        </w:rPr>
        <w:t xml:space="preserve"> Ukupna korisna površina fonda zgrada FBiH</w:t>
      </w:r>
      <w:bookmarkEnd w:id="33"/>
    </w:p>
    <w:tbl>
      <w:tblPr>
        <w:tblStyle w:val="26"/>
        <w:tblW w:w="9027"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513"/>
        <w:gridCol w:w="4514"/>
      </w:tblGrid>
      <w:tr w:rsidR="00055321" w:rsidRPr="008924E0" w14:paraId="24C1D59F" w14:textId="77777777" w:rsidTr="00421D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439DFF24" w14:textId="77777777" w:rsidR="00055321" w:rsidRPr="008924E0" w:rsidRDefault="00740D4F">
            <w:pPr>
              <w:rPr>
                <w:lang w:val="bs-Latn-BA"/>
              </w:rPr>
            </w:pPr>
            <w:r w:rsidRPr="008924E0">
              <w:rPr>
                <w:lang w:val="bs-Latn-BA"/>
              </w:rPr>
              <w:t>Fond zgrada FBiH</w:t>
            </w:r>
          </w:p>
        </w:tc>
        <w:tc>
          <w:tcPr>
            <w:tcW w:w="0" w:type="dxa"/>
          </w:tcPr>
          <w:p w14:paraId="1F51EB6F" w14:textId="77777777" w:rsidR="00055321" w:rsidRPr="008924E0" w:rsidRDefault="00740D4F">
            <w:pPr>
              <w:jc w:val="right"/>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Površina (m</w:t>
            </w:r>
            <w:r w:rsidRPr="008924E0">
              <w:rPr>
                <w:vertAlign w:val="superscript"/>
                <w:lang w:val="bs-Latn-BA"/>
              </w:rPr>
              <w:t>2</w:t>
            </w:r>
            <w:r w:rsidRPr="008924E0">
              <w:rPr>
                <w:lang w:val="bs-Latn-BA"/>
              </w:rPr>
              <w:t>)</w:t>
            </w:r>
          </w:p>
        </w:tc>
      </w:tr>
      <w:tr w:rsidR="00055321" w:rsidRPr="008924E0" w14:paraId="28BE246B" w14:textId="77777777" w:rsidTr="00421D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3B2CF580" w14:textId="77777777" w:rsidR="00055321" w:rsidRPr="008924E0" w:rsidRDefault="00740D4F">
            <w:pPr>
              <w:rPr>
                <w:lang w:val="bs-Latn-BA"/>
              </w:rPr>
            </w:pPr>
            <w:r w:rsidRPr="008924E0">
              <w:rPr>
                <w:lang w:val="bs-Latn-BA"/>
              </w:rPr>
              <w:t>Stambene zgrade</w:t>
            </w:r>
          </w:p>
        </w:tc>
        <w:tc>
          <w:tcPr>
            <w:tcW w:w="0" w:type="dxa"/>
          </w:tcPr>
          <w:p w14:paraId="46D306F1" w14:textId="77777777" w:rsidR="00055321" w:rsidRPr="008924E0" w:rsidRDefault="00740D4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45.779.938</w:t>
            </w:r>
          </w:p>
        </w:tc>
      </w:tr>
      <w:tr w:rsidR="00055321" w:rsidRPr="008924E0" w14:paraId="05A603EC" w14:textId="77777777" w:rsidTr="00421D4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2187E0AF" w14:textId="77777777" w:rsidR="00055321" w:rsidRPr="008924E0" w:rsidRDefault="00740D4F">
            <w:pPr>
              <w:jc w:val="right"/>
              <w:rPr>
                <w:i/>
                <w:lang w:val="bs-Latn-BA"/>
              </w:rPr>
            </w:pPr>
            <w:r w:rsidRPr="008924E0">
              <w:rPr>
                <w:b w:val="0"/>
                <w:i/>
                <w:lang w:val="bs-Latn-BA"/>
              </w:rPr>
              <w:t>Zgrade individualnog stanovanja</w:t>
            </w:r>
          </w:p>
        </w:tc>
        <w:tc>
          <w:tcPr>
            <w:tcW w:w="0" w:type="dxa"/>
          </w:tcPr>
          <w:p w14:paraId="74C35BCF" w14:textId="77777777" w:rsidR="00055321" w:rsidRPr="008924E0" w:rsidRDefault="00740D4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33.668.509</w:t>
            </w:r>
          </w:p>
        </w:tc>
      </w:tr>
      <w:tr w:rsidR="00055321" w:rsidRPr="008924E0" w14:paraId="6FF296E4" w14:textId="77777777" w:rsidTr="00421D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4CF1219E" w14:textId="77777777" w:rsidR="00055321" w:rsidRPr="008924E0" w:rsidRDefault="00740D4F">
            <w:pPr>
              <w:jc w:val="right"/>
              <w:rPr>
                <w:i/>
                <w:lang w:val="bs-Latn-BA"/>
              </w:rPr>
            </w:pPr>
            <w:r w:rsidRPr="008924E0">
              <w:rPr>
                <w:b w:val="0"/>
                <w:i/>
                <w:lang w:val="bs-Latn-BA"/>
              </w:rPr>
              <w:t>Zgrade kolektivnog stanovanja</w:t>
            </w:r>
          </w:p>
        </w:tc>
        <w:tc>
          <w:tcPr>
            <w:tcW w:w="0" w:type="dxa"/>
          </w:tcPr>
          <w:p w14:paraId="59A37CAB" w14:textId="77777777" w:rsidR="00055321" w:rsidRPr="008924E0" w:rsidRDefault="00740D4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12.111.4297</w:t>
            </w:r>
          </w:p>
        </w:tc>
      </w:tr>
      <w:tr w:rsidR="00055321" w:rsidRPr="008924E0" w14:paraId="59B2D73B" w14:textId="77777777" w:rsidTr="00421D4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4893A2D0" w14:textId="77777777" w:rsidR="00055321" w:rsidRPr="008924E0" w:rsidRDefault="00740D4F">
            <w:pPr>
              <w:rPr>
                <w:lang w:val="bs-Latn-BA"/>
              </w:rPr>
            </w:pPr>
            <w:r w:rsidRPr="008924E0">
              <w:rPr>
                <w:lang w:val="bs-Latn-BA"/>
              </w:rPr>
              <w:t>Nestambene zgrade</w:t>
            </w:r>
          </w:p>
        </w:tc>
        <w:tc>
          <w:tcPr>
            <w:tcW w:w="0" w:type="dxa"/>
          </w:tcPr>
          <w:p w14:paraId="62D9D44F" w14:textId="77777777" w:rsidR="00055321" w:rsidRPr="008924E0" w:rsidRDefault="00740D4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12.730.000</w:t>
            </w:r>
          </w:p>
        </w:tc>
      </w:tr>
      <w:tr w:rsidR="00055321" w:rsidRPr="008924E0" w14:paraId="7079A02C" w14:textId="77777777" w:rsidTr="00421D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3CF7C7ED" w14:textId="77777777" w:rsidR="00055321" w:rsidRPr="008924E0" w:rsidRDefault="00740D4F">
            <w:pPr>
              <w:jc w:val="right"/>
              <w:rPr>
                <w:i/>
                <w:lang w:val="bs-Latn-BA"/>
              </w:rPr>
            </w:pPr>
            <w:r w:rsidRPr="008924E0">
              <w:rPr>
                <w:b w:val="0"/>
                <w:i/>
                <w:lang w:val="bs-Latn-BA"/>
              </w:rPr>
              <w:t>Javne zgrade</w:t>
            </w:r>
          </w:p>
        </w:tc>
        <w:tc>
          <w:tcPr>
            <w:tcW w:w="0" w:type="dxa"/>
          </w:tcPr>
          <w:p w14:paraId="08BDB29B" w14:textId="77777777" w:rsidR="00055321" w:rsidRPr="008924E0" w:rsidRDefault="00740D4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5.161.287</w:t>
            </w:r>
          </w:p>
        </w:tc>
      </w:tr>
      <w:tr w:rsidR="00055321" w:rsidRPr="008924E0" w14:paraId="7F3610F9" w14:textId="77777777" w:rsidTr="00421D4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dxa"/>
          </w:tcPr>
          <w:p w14:paraId="0502BD36" w14:textId="77777777" w:rsidR="00055321" w:rsidRPr="008924E0" w:rsidRDefault="00740D4F">
            <w:pPr>
              <w:jc w:val="right"/>
              <w:rPr>
                <w:i/>
                <w:lang w:val="bs-Latn-BA"/>
              </w:rPr>
            </w:pPr>
            <w:r w:rsidRPr="008924E0">
              <w:rPr>
                <w:b w:val="0"/>
                <w:i/>
                <w:lang w:val="bs-Latn-BA"/>
              </w:rPr>
              <w:t xml:space="preserve">Komercijalne zgrade </w:t>
            </w:r>
          </w:p>
        </w:tc>
        <w:tc>
          <w:tcPr>
            <w:tcW w:w="0" w:type="dxa"/>
          </w:tcPr>
          <w:p w14:paraId="55217298" w14:textId="77777777" w:rsidR="00055321" w:rsidRPr="008924E0" w:rsidRDefault="00740D4F">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xml:space="preserve">7.568.713 </w:t>
            </w:r>
          </w:p>
        </w:tc>
      </w:tr>
    </w:tbl>
    <w:p w14:paraId="3FCCD353" w14:textId="77777777" w:rsidR="00055321" w:rsidRPr="008924E0" w:rsidRDefault="00055321">
      <w:pPr>
        <w:spacing w:after="0" w:line="240" w:lineRule="auto"/>
        <w:rPr>
          <w:color w:val="000000"/>
          <w:lang w:val="bs-Latn-BA"/>
        </w:rPr>
      </w:pPr>
      <w:bookmarkStart w:id="34" w:name="_heading=h.2p2csry" w:colFirst="0" w:colLast="0"/>
      <w:bookmarkStart w:id="35" w:name="_heading=h.147n2zr" w:colFirst="0" w:colLast="0"/>
      <w:bookmarkEnd w:id="34"/>
      <w:bookmarkEnd w:id="35"/>
    </w:p>
    <w:p w14:paraId="2FD3F5F0" w14:textId="77777777" w:rsidR="00055321" w:rsidRPr="008924E0" w:rsidRDefault="00740D4F" w:rsidP="00045BB4">
      <w:pPr>
        <w:pStyle w:val="Heading4"/>
        <w:numPr>
          <w:ilvl w:val="3"/>
          <w:numId w:val="33"/>
        </w:numPr>
        <w:ind w:left="1890" w:hanging="810"/>
        <w:rPr>
          <w:lang w:val="bs-Latn-BA"/>
        </w:rPr>
      </w:pPr>
      <w:bookmarkStart w:id="36" w:name="_Toc134011757"/>
      <w:r w:rsidRPr="008924E0">
        <w:rPr>
          <w:lang w:val="bs-Latn-BA"/>
        </w:rPr>
        <w:t>Projekcija kretanja fonda zgrada do 2050. godine</w:t>
      </w:r>
      <w:bookmarkEnd w:id="36"/>
    </w:p>
    <w:p w14:paraId="718EC968" w14:textId="77777777" w:rsidR="00055321" w:rsidRPr="008924E0" w:rsidRDefault="00740D4F">
      <w:pPr>
        <w:pStyle w:val="Heading5"/>
        <w:rPr>
          <w:lang w:val="bs-Latn-BA"/>
        </w:rPr>
      </w:pPr>
      <w:bookmarkStart w:id="37" w:name="_Toc116978340"/>
      <w:r w:rsidRPr="008924E0">
        <w:rPr>
          <w:lang w:val="bs-Latn-BA"/>
        </w:rPr>
        <w:t>Stambene zgrade</w:t>
      </w:r>
      <w:bookmarkEnd w:id="37"/>
    </w:p>
    <w:p w14:paraId="0DD19717" w14:textId="566A6E60" w:rsidR="00055321" w:rsidRPr="008924E0" w:rsidRDefault="00740D4F">
      <w:pPr>
        <w:rPr>
          <w:lang w:val="bs-Latn-BA"/>
        </w:rPr>
      </w:pPr>
      <w:r w:rsidRPr="008924E0">
        <w:rPr>
          <w:lang w:val="bs-Latn-BA"/>
        </w:rPr>
        <w:t xml:space="preserve">Podaci o broju i površinama zgrada iz Popisa stanovništva BiH se odnose na period do 2014. godine. Bazna godina za analizu je 2020. godina te je </w:t>
      </w:r>
      <w:r w:rsidR="00E03291">
        <w:rPr>
          <w:lang w:val="bs-Latn-BA"/>
        </w:rPr>
        <w:t xml:space="preserve">bilo </w:t>
      </w:r>
      <w:r w:rsidRPr="008924E0">
        <w:rPr>
          <w:lang w:val="bs-Latn-BA"/>
        </w:rPr>
        <w:t>potrebno izvršiti procjenu porasta broja zgrada i karakterističnih površina stambenog fonda za period 2014</w:t>
      </w:r>
      <w:r w:rsidR="00FC223E" w:rsidRPr="008924E0">
        <w:rPr>
          <w:lang w:val="bs-Latn-BA"/>
        </w:rPr>
        <w:t>.</w:t>
      </w:r>
      <w:r w:rsidRPr="008924E0">
        <w:rPr>
          <w:lang w:val="bs-Latn-BA"/>
        </w:rPr>
        <w:t>-2020. godina. Za te potrebe je izvršeno modeliranje porasta korištenjem regresionih modela predviđanja, na bazi historijskih podataka.</w:t>
      </w:r>
    </w:p>
    <w:p w14:paraId="3C9E0E05" w14:textId="148C31D7" w:rsidR="00055321" w:rsidRPr="008924E0" w:rsidRDefault="00740D4F">
      <w:pPr>
        <w:rPr>
          <w:color w:val="000000"/>
          <w:lang w:val="bs-Latn-BA"/>
        </w:rPr>
      </w:pPr>
      <w:r w:rsidRPr="008924E0">
        <w:rPr>
          <w:lang w:val="bs-Latn-BA"/>
        </w:rPr>
        <w:t>Prvi korišteni model je linearni model, prema kojem je izvršena procjena broja rasta broj zgrada za periode od po 10 godin</w:t>
      </w:r>
      <w:r w:rsidR="002A7CA3">
        <w:rPr>
          <w:lang w:val="bs-Latn-BA"/>
        </w:rPr>
        <w:t>a</w:t>
      </w:r>
      <w:r w:rsidRPr="008924E0">
        <w:rPr>
          <w:lang w:val="bs-Latn-BA"/>
        </w:rPr>
        <w:t xml:space="preserve">, uobzirujući periode izgradnje od 1946. godine. Prema ovoj analizi porast </w:t>
      </w:r>
      <w:r w:rsidRPr="008924E0">
        <w:rPr>
          <w:lang w:val="bs-Latn-BA"/>
        </w:rPr>
        <w:lastRenderedPageBreak/>
        <w:t>broja zgrada u periodu 2014</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godina iznosi </w:t>
      </w:r>
      <w:r w:rsidRPr="008924E0">
        <w:rPr>
          <w:color w:val="000000"/>
          <w:lang w:val="bs-Latn-BA"/>
        </w:rPr>
        <w:t xml:space="preserve">64.102 i ukupan broj zgrada u 2020. godini iznosi 688.864. </w:t>
      </w:r>
    </w:p>
    <w:p w14:paraId="168CA64B" w14:textId="031F6547" w:rsidR="00055321" w:rsidRPr="008924E0" w:rsidRDefault="00740D4F">
      <w:pPr>
        <w:rPr>
          <w:color w:val="000000"/>
          <w:lang w:val="bs-Latn-BA"/>
        </w:rPr>
      </w:pPr>
      <w:r w:rsidRPr="008924E0">
        <w:rPr>
          <w:lang w:val="bs-Latn-BA"/>
        </w:rPr>
        <w:t>Drugi korišteni model je linearni model, prema kojem je izvršena procjena broja rasta broj zgrada za periode od po 10 godina, uobzirujući periode izgradnje od 1981. godine. Prema ovoj analizi porast broja zgrada u periodu 2014</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godina iznosi </w:t>
      </w:r>
      <w:r w:rsidRPr="008924E0">
        <w:rPr>
          <w:color w:val="000000"/>
          <w:lang w:val="bs-Latn-BA"/>
        </w:rPr>
        <w:t>86.828 zgrade i ukupan broj zgrada u 2020. godini iznosi 711.590.</w:t>
      </w:r>
    </w:p>
    <w:p w14:paraId="2CD441DF" w14:textId="6CAB8A9A" w:rsidR="00055321" w:rsidRPr="008924E0" w:rsidRDefault="00740D4F">
      <w:pPr>
        <w:rPr>
          <w:color w:val="000000"/>
          <w:lang w:val="bs-Latn-BA"/>
        </w:rPr>
      </w:pPr>
      <w:r w:rsidRPr="008924E0">
        <w:rPr>
          <w:color w:val="000000"/>
          <w:lang w:val="bs-Latn-BA"/>
        </w:rPr>
        <w:t xml:space="preserve">Treći pristup je računanje porasta broja zgrada korištenjem podataka iz softvera </w:t>
      </w:r>
      <w:r w:rsidRPr="00327108">
        <w:rPr>
          <w:color w:val="000000"/>
          <w:lang w:val="bs-Latn-BA"/>
        </w:rPr>
        <w:t>LEAP</w:t>
      </w:r>
      <w:r w:rsidR="00E03291" w:rsidRPr="007F1ECE">
        <w:rPr>
          <w:i/>
          <w:iCs/>
          <w:color w:val="000000"/>
          <w:lang w:val="bs-Latn-BA"/>
        </w:rPr>
        <w:t xml:space="preserve"> (Long-range Energy Alternatives Planning System)</w:t>
      </w:r>
      <w:r w:rsidRPr="008924E0">
        <w:rPr>
          <w:vertAlign w:val="superscript"/>
          <w:lang w:val="bs-Latn-BA"/>
        </w:rPr>
        <w:footnoteReference w:id="15"/>
      </w:r>
      <w:r w:rsidRPr="008924E0">
        <w:rPr>
          <w:color w:val="000000"/>
          <w:lang w:val="bs-Latn-BA"/>
        </w:rPr>
        <w:t xml:space="preserve">, gdje je </w:t>
      </w:r>
      <w:r w:rsidRPr="008924E0">
        <w:rPr>
          <w:lang w:val="bs-Latn-BA"/>
        </w:rPr>
        <w:t>data dugoročna procjena porasta korisne površine stambenih zgrada za period od 2014. do 2050. godine. Prema podacima iz dokumenta, za period 2014</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porast korisne grijane površine iznosi </w:t>
      </w:r>
      <w:r w:rsidRPr="008924E0">
        <w:rPr>
          <w:color w:val="000000"/>
          <w:lang w:val="bs-Latn-BA"/>
        </w:rPr>
        <w:t xml:space="preserve">1.498.080 </w:t>
      </w:r>
      <w:r w:rsidRPr="008924E0">
        <w:rPr>
          <w:lang w:val="bs-Latn-BA"/>
        </w:rPr>
        <w:t>m</w:t>
      </w:r>
      <w:r w:rsidRPr="008924E0">
        <w:rPr>
          <w:vertAlign w:val="superscript"/>
          <w:lang w:val="bs-Latn-BA"/>
        </w:rPr>
        <w:t>2</w:t>
      </w:r>
      <w:r w:rsidRPr="008924E0">
        <w:rPr>
          <w:lang w:val="bs-Latn-BA"/>
        </w:rPr>
        <w:t>. Korištenjem podataka o udjelu tipova zgrada u ukupnom fondu zgrada te prosječnoj korisnoj grijanoj površini pojedinih tipova zgrada izračunat je porast broja zgrada koji odgovara porastu površine date u navedenom programu. Prema ovoj analizi porast broja zgrada u periodu 2014</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godina iznosi</w:t>
      </w:r>
      <w:r w:rsidRPr="008924E0">
        <w:rPr>
          <w:color w:val="000000"/>
          <w:lang w:val="bs-Latn-BA"/>
        </w:rPr>
        <w:t xml:space="preserve"> 19.755 zgrade i ukupan broj zgrada u 2020. godini iznosi 644.517.</w:t>
      </w:r>
    </w:p>
    <w:p w14:paraId="65EFCB72" w14:textId="1DD86875" w:rsidR="00055321" w:rsidRPr="008924E0" w:rsidRDefault="00740D4F">
      <w:pPr>
        <w:rPr>
          <w:lang w:val="bs-Latn-BA"/>
        </w:rPr>
      </w:pPr>
      <w:r w:rsidRPr="008924E0">
        <w:rPr>
          <w:lang w:val="bs-Latn-BA"/>
        </w:rPr>
        <w:t xml:space="preserve">Stvarni broj zgrada može varirati u zavisnosti od udjela individualnih stambenih zgrada i zgrada kolektivnog stanovanja, koji imaju različite površine. Tačan broj novoizgrađenih zgrada i bruto, tipove zgrada i korisne grijane površine prema godinama izgradnje je potrebno precizno evidentirati radi što preciznijeg kratkoročnog i dugoročnog </w:t>
      </w:r>
      <w:r w:rsidR="00010793">
        <w:rPr>
          <w:lang w:val="bs-Latn-BA"/>
        </w:rPr>
        <w:t>energij</w:t>
      </w:r>
      <w:r w:rsidRPr="008924E0">
        <w:rPr>
          <w:lang w:val="bs-Latn-BA"/>
        </w:rPr>
        <w:t>skog planiranja.</w:t>
      </w:r>
    </w:p>
    <w:p w14:paraId="3B5CC089" w14:textId="038E789A" w:rsidR="00055321" w:rsidRPr="008924E0" w:rsidRDefault="00740D4F">
      <w:pPr>
        <w:rPr>
          <w:lang w:val="bs-Latn-BA"/>
        </w:rPr>
      </w:pPr>
      <w:r w:rsidRPr="008924E0">
        <w:rPr>
          <w:lang w:val="bs-Latn-BA"/>
        </w:rPr>
        <w:t xml:space="preserve">Koristeći modelirane brojeve zgrada u FBiH u 2020. godini, te koristeći podatke o udjelu zgrada u ukupnom stambenom fondu i prosječnoj korisnoj površini zgrada, izračunata je korisna grijana površina za dva linearna modela i prikazana na Slici </w:t>
      </w:r>
      <w:r w:rsidR="00D64A0E">
        <w:rPr>
          <w:lang w:val="bs-Latn-BA"/>
        </w:rPr>
        <w:t>2.2</w:t>
      </w:r>
      <w:r w:rsidRPr="008924E0">
        <w:rPr>
          <w:lang w:val="bs-Latn-BA"/>
        </w:rPr>
        <w:t xml:space="preserve">. zajedno sa podacima o procjeni porasta korisne površine prema LEAP modelu.  Prema izračunatim podacima, porast korisne grijane površine za period od kraja 2013. godine do kraja 2020. godine iznosi </w:t>
      </w:r>
      <w:r w:rsidRPr="008924E0">
        <w:rPr>
          <w:color w:val="000000"/>
          <w:lang w:val="bs-Latn-BA"/>
        </w:rPr>
        <w:t xml:space="preserve">1.498.080 </w:t>
      </w:r>
      <w:r w:rsidRPr="008924E0">
        <w:rPr>
          <w:lang w:val="bs-Latn-BA"/>
        </w:rPr>
        <w:t>m</w:t>
      </w:r>
      <w:r w:rsidRPr="008924E0">
        <w:rPr>
          <w:vertAlign w:val="superscript"/>
          <w:lang w:val="bs-Latn-BA"/>
        </w:rPr>
        <w:t>2</w:t>
      </w:r>
      <w:r w:rsidRPr="008924E0">
        <w:rPr>
          <w:lang w:val="bs-Latn-BA"/>
        </w:rPr>
        <w:t xml:space="preserve"> za LEAP model, 4.697.139 m</w:t>
      </w:r>
      <w:r w:rsidRPr="008924E0">
        <w:rPr>
          <w:vertAlign w:val="superscript"/>
          <w:lang w:val="bs-Latn-BA"/>
        </w:rPr>
        <w:t>2</w:t>
      </w:r>
      <w:r w:rsidRPr="008924E0">
        <w:rPr>
          <w:lang w:val="bs-Latn-BA"/>
        </w:rPr>
        <w:t xml:space="preserve"> za linearni model 1 i </w:t>
      </w:r>
      <w:r w:rsidRPr="008924E0">
        <w:rPr>
          <w:color w:val="000000"/>
          <w:lang w:val="bs-Latn-BA"/>
        </w:rPr>
        <w:t xml:space="preserve">6.362.405 </w:t>
      </w:r>
      <w:r w:rsidRPr="008924E0">
        <w:rPr>
          <w:lang w:val="bs-Latn-BA"/>
        </w:rPr>
        <w:t>m</w:t>
      </w:r>
      <w:r w:rsidRPr="008924E0">
        <w:rPr>
          <w:vertAlign w:val="superscript"/>
          <w:lang w:val="bs-Latn-BA"/>
        </w:rPr>
        <w:t>2</w:t>
      </w:r>
      <w:r w:rsidRPr="008924E0">
        <w:rPr>
          <w:lang w:val="bs-Latn-BA"/>
        </w:rPr>
        <w:t xml:space="preserve"> za linearni model 2.</w:t>
      </w:r>
    </w:p>
    <w:p w14:paraId="705325BA" w14:textId="417CA8ED" w:rsidR="00055321" w:rsidRPr="008924E0" w:rsidRDefault="00DA3B6C">
      <w:pPr>
        <w:rPr>
          <w:lang w:val="bs-Latn-BA"/>
        </w:rPr>
      </w:pPr>
      <w:r w:rsidRPr="008924E0">
        <w:rPr>
          <w:noProof/>
          <w:lang w:val="bs-Latn-BA"/>
        </w:rPr>
        <w:drawing>
          <wp:inline distT="0" distB="0" distL="0" distR="0" wp14:anchorId="666952D4" wp14:editId="6CE825C3">
            <wp:extent cx="5473065" cy="2339975"/>
            <wp:effectExtent l="0" t="0" r="0" b="3175"/>
            <wp:docPr id="41" name="Chart 41">
              <a:extLst xmlns:a="http://schemas.openxmlformats.org/drawingml/2006/main">
                <a:ext uri="{FF2B5EF4-FFF2-40B4-BE49-F238E27FC236}">
                  <a16:creationId xmlns:a16="http://schemas.microsoft.com/office/drawing/2014/main" id="{C5A056CD-0343-44D2-8DEC-7D1890A60D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3E147AE" w14:textId="3A591E97" w:rsidR="00973648" w:rsidRPr="008924E0" w:rsidRDefault="00973648" w:rsidP="00973648">
      <w:pPr>
        <w:pBdr>
          <w:top w:val="nil"/>
          <w:left w:val="nil"/>
          <w:bottom w:val="nil"/>
          <w:right w:val="nil"/>
          <w:between w:val="nil"/>
        </w:pBdr>
        <w:spacing w:after="200" w:line="240" w:lineRule="auto"/>
        <w:jc w:val="center"/>
        <w:rPr>
          <w:i/>
          <w:iCs/>
          <w:color w:val="000000"/>
          <w:lang w:val="bs-Latn-BA"/>
        </w:rPr>
      </w:pPr>
      <w:bookmarkStart w:id="38" w:name="_Toc133499364"/>
      <w:r w:rsidRPr="008924E0">
        <w:rPr>
          <w:i/>
          <w:iCs/>
          <w:lang w:val="bs-Latn-BA"/>
        </w:rPr>
        <w:t xml:space="preserve">Slika </w:t>
      </w:r>
      <w:r w:rsidR="00B82F4B" w:rsidRPr="008924E0">
        <w:rPr>
          <w:i/>
          <w:iCs/>
          <w:lang w:val="bs-Latn-BA"/>
        </w:rPr>
        <w:fldChar w:fldCharType="begin"/>
      </w:r>
      <w:r w:rsidR="00B82F4B" w:rsidRPr="008924E0">
        <w:rPr>
          <w:i/>
          <w:iCs/>
          <w:lang w:val="bs-Latn-BA"/>
        </w:rPr>
        <w:instrText xml:space="preserve"> STYLEREF 1 \s </w:instrText>
      </w:r>
      <w:r w:rsidR="00B82F4B" w:rsidRPr="008924E0">
        <w:rPr>
          <w:i/>
          <w:iCs/>
          <w:lang w:val="bs-Latn-BA"/>
        </w:rPr>
        <w:fldChar w:fldCharType="separate"/>
      </w:r>
      <w:r w:rsidR="00695AEF">
        <w:rPr>
          <w:i/>
          <w:iCs/>
          <w:noProof/>
          <w:lang w:val="bs-Latn-BA"/>
        </w:rPr>
        <w:t>2</w:t>
      </w:r>
      <w:r w:rsidR="00B82F4B" w:rsidRPr="008924E0">
        <w:rPr>
          <w:i/>
          <w:iCs/>
          <w:lang w:val="bs-Latn-BA"/>
        </w:rPr>
        <w:fldChar w:fldCharType="end"/>
      </w:r>
      <w:r w:rsidR="00B82F4B" w:rsidRPr="008924E0">
        <w:rPr>
          <w:i/>
          <w:iCs/>
          <w:lang w:val="bs-Latn-BA"/>
        </w:rPr>
        <w:t>.</w:t>
      </w:r>
      <w:r w:rsidR="00B82F4B" w:rsidRPr="008924E0">
        <w:rPr>
          <w:i/>
          <w:iCs/>
          <w:lang w:val="bs-Latn-BA"/>
        </w:rPr>
        <w:fldChar w:fldCharType="begin"/>
      </w:r>
      <w:r w:rsidR="00B82F4B" w:rsidRPr="008924E0">
        <w:rPr>
          <w:i/>
          <w:iCs/>
          <w:lang w:val="bs-Latn-BA"/>
        </w:rPr>
        <w:instrText xml:space="preserve"> SEQ Slika \* ARABIC \s 1 </w:instrText>
      </w:r>
      <w:r w:rsidR="00B82F4B" w:rsidRPr="008924E0">
        <w:rPr>
          <w:i/>
          <w:iCs/>
          <w:lang w:val="bs-Latn-BA"/>
        </w:rPr>
        <w:fldChar w:fldCharType="separate"/>
      </w:r>
      <w:r w:rsidR="00695AEF">
        <w:rPr>
          <w:i/>
          <w:iCs/>
          <w:noProof/>
          <w:lang w:val="bs-Latn-BA"/>
        </w:rPr>
        <w:t>2</w:t>
      </w:r>
      <w:r w:rsidR="00B82F4B" w:rsidRPr="008924E0">
        <w:rPr>
          <w:i/>
          <w:iCs/>
          <w:lang w:val="bs-Latn-BA"/>
        </w:rPr>
        <w:fldChar w:fldCharType="end"/>
      </w:r>
      <w:r w:rsidRPr="008924E0">
        <w:rPr>
          <w:i/>
          <w:iCs/>
          <w:color w:val="000000"/>
          <w:lang w:val="bs-Latn-BA"/>
        </w:rPr>
        <w:t xml:space="preserve"> Korisna grijana površina stambenog fonda u FBiH za period do 2021.</w:t>
      </w:r>
      <w:bookmarkEnd w:id="38"/>
    </w:p>
    <w:p w14:paraId="330ADEAC" w14:textId="0623D65C" w:rsidR="00055321" w:rsidRPr="008924E0" w:rsidRDefault="00740D4F">
      <w:pPr>
        <w:rPr>
          <w:lang w:val="bs-Latn-BA"/>
        </w:rPr>
      </w:pPr>
      <w:bookmarkStart w:id="39" w:name="_heading=h.23ckvvd" w:colFirst="0" w:colLast="0"/>
      <w:bookmarkEnd w:id="39"/>
      <w:r w:rsidRPr="008924E0">
        <w:rPr>
          <w:lang w:val="bs-Latn-BA"/>
        </w:rPr>
        <w:t xml:space="preserve">Koristeći navedene modele predviđanja može se napraviti procjena rasta broja zgrada i površine </w:t>
      </w:r>
      <w:r w:rsidRPr="004A6E65">
        <w:rPr>
          <w:color w:val="000000" w:themeColor="text1"/>
          <w:lang w:val="bs-Latn-BA"/>
        </w:rPr>
        <w:t xml:space="preserve">zgrada za period do 2050. godine. Na Slici </w:t>
      </w:r>
      <w:r w:rsidR="00D64A0E">
        <w:rPr>
          <w:color w:val="000000" w:themeColor="text1"/>
          <w:lang w:val="bs-Latn-BA"/>
        </w:rPr>
        <w:t>2.3</w:t>
      </w:r>
      <w:r w:rsidRPr="004A6E65">
        <w:rPr>
          <w:color w:val="000000" w:themeColor="text1"/>
          <w:lang w:val="bs-Latn-BA"/>
        </w:rPr>
        <w:t xml:space="preserve">. je prikazana procjena porasta broja zgrada sa korištenim </w:t>
      </w:r>
      <w:r w:rsidRPr="004A6E65">
        <w:rPr>
          <w:color w:val="000000" w:themeColor="text1"/>
          <w:lang w:val="bs-Latn-BA"/>
        </w:rPr>
        <w:lastRenderedPageBreak/>
        <w:t>linearnim i logističkim modelima predviđanja. Za što tačniju procjenu neophodno je da se obezb</w:t>
      </w:r>
      <w:r w:rsidR="00993FEC" w:rsidRPr="004A6E65">
        <w:rPr>
          <w:color w:val="000000" w:themeColor="text1"/>
          <w:lang w:val="bs-Latn-BA"/>
        </w:rPr>
        <w:t>i</w:t>
      </w:r>
      <w:r w:rsidRPr="004A6E65">
        <w:rPr>
          <w:color w:val="000000" w:themeColor="text1"/>
          <w:lang w:val="bs-Latn-BA"/>
        </w:rPr>
        <w:t xml:space="preserve">jede </w:t>
      </w:r>
      <w:r w:rsidRPr="008924E0">
        <w:rPr>
          <w:lang w:val="bs-Latn-BA"/>
        </w:rPr>
        <w:t xml:space="preserve">tačni historijski podaci o novoizgrađenim zgradama, razvrstani po godinama ili periodima izgradnje. </w:t>
      </w:r>
    </w:p>
    <w:p w14:paraId="38BEE908" w14:textId="6A312843" w:rsidR="00BC112D" w:rsidRPr="008924E0" w:rsidRDefault="00BC112D">
      <w:pPr>
        <w:rPr>
          <w:lang w:val="bs-Latn-BA"/>
        </w:rPr>
      </w:pPr>
      <w:r w:rsidRPr="008924E0">
        <w:rPr>
          <w:noProof/>
          <w:lang w:val="bs-Latn-BA"/>
        </w:rPr>
        <w:drawing>
          <wp:inline distT="0" distB="0" distL="0" distR="0" wp14:anchorId="7AE272C5" wp14:editId="20A3826F">
            <wp:extent cx="5400000" cy="2160000"/>
            <wp:effectExtent l="0" t="0" r="0" b="0"/>
            <wp:docPr id="42" name="Chart 4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0D323E" w14:textId="584B9B20" w:rsidR="00055321" w:rsidRPr="008924E0" w:rsidRDefault="00973648" w:rsidP="00973648">
      <w:pPr>
        <w:pStyle w:val="Caption"/>
        <w:jc w:val="center"/>
      </w:pPr>
      <w:bookmarkStart w:id="40" w:name="_Toc133499365"/>
      <w:r w:rsidRPr="008924E0">
        <w:t xml:space="preserve">Slika </w:t>
      </w:r>
      <w:fldSimple w:instr=" STYLEREF 1 \s ">
        <w:r w:rsidR="00695AEF">
          <w:rPr>
            <w:noProof/>
          </w:rPr>
          <w:t>2</w:t>
        </w:r>
      </w:fldSimple>
      <w:r w:rsidR="00B82F4B" w:rsidRPr="008924E0">
        <w:t>.</w:t>
      </w:r>
      <w:r w:rsidR="00000000">
        <w:fldChar w:fldCharType="begin"/>
      </w:r>
      <w:r w:rsidR="00000000">
        <w:instrText xml:space="preserve"> SEQ Slika \* ARABIC \s 1 </w:instrText>
      </w:r>
      <w:r w:rsidR="00000000">
        <w:fldChar w:fldCharType="separate"/>
      </w:r>
      <w:r w:rsidR="00695AEF">
        <w:rPr>
          <w:noProof/>
        </w:rPr>
        <w:t>3</w:t>
      </w:r>
      <w:r w:rsidR="00000000">
        <w:rPr>
          <w:noProof/>
        </w:rPr>
        <w:fldChar w:fldCharType="end"/>
      </w:r>
      <w:r w:rsidRPr="008924E0">
        <w:t xml:space="preserve"> </w:t>
      </w:r>
      <w:r w:rsidRPr="008924E0">
        <w:rPr>
          <w:color w:val="000000"/>
        </w:rPr>
        <w:t>Modeli za predviđanje rasta broja zgrada u FBiH do 2050. godine</w:t>
      </w:r>
      <w:bookmarkEnd w:id="40"/>
    </w:p>
    <w:p w14:paraId="6D623057" w14:textId="77777777" w:rsidR="00055321" w:rsidRPr="008924E0" w:rsidRDefault="00740D4F">
      <w:pPr>
        <w:rPr>
          <w:lang w:val="bs-Latn-BA"/>
        </w:rPr>
      </w:pPr>
      <w:bookmarkStart w:id="41" w:name="_heading=h.ihv636" w:colFirst="0" w:colLast="0"/>
      <w:bookmarkEnd w:id="41"/>
      <w:r w:rsidRPr="008924E0">
        <w:rPr>
          <w:lang w:val="bs-Latn-BA"/>
        </w:rPr>
        <w:t xml:space="preserve">Koristeći podatke o broju zgrada, moguće je napraviti procjenu porasta korisne grijane površine zgrada i bruto površine stambenog fonda FBiH do 2050. godine. </w:t>
      </w:r>
    </w:p>
    <w:p w14:paraId="6AE57CF4" w14:textId="77777777" w:rsidR="00055321" w:rsidRPr="008924E0" w:rsidRDefault="00740D4F">
      <w:pPr>
        <w:pStyle w:val="Heading5"/>
        <w:rPr>
          <w:lang w:val="bs-Latn-BA"/>
        </w:rPr>
      </w:pPr>
      <w:bookmarkStart w:id="42" w:name="_Toc116978341"/>
      <w:r w:rsidRPr="008924E0">
        <w:rPr>
          <w:lang w:val="bs-Latn-BA"/>
        </w:rPr>
        <w:t>Procjena rasta broja stambenih zgrada u Kantonima FBiH</w:t>
      </w:r>
      <w:bookmarkEnd w:id="42"/>
    </w:p>
    <w:p w14:paraId="32F042C1" w14:textId="50D70363" w:rsidR="00993FEC" w:rsidRPr="00306519" w:rsidRDefault="00740D4F">
      <w:pPr>
        <w:rPr>
          <w:color w:val="FF0000"/>
          <w:lang w:val="bs-Latn-BA"/>
        </w:rPr>
      </w:pPr>
      <w:r w:rsidRPr="008924E0">
        <w:rPr>
          <w:lang w:val="bs-Latn-BA"/>
        </w:rPr>
        <w:t xml:space="preserve">Za procjenu broja zgrada po Kantonima korišteni su podaci o ukupnom broju zgrada individualnog stanovanja i zgrada kolektivnog stanovanja za period do 2014. godine, predstavljenih u prethodnom poglavlju i podaci o novoizgrađenim zgradama prema linearnom modelu rasta 2. Prema podacima o procentualnim udjelima zgrada po kantonima u ukupnom fondu zgrada, izračunat je ukupan broj zgrada po kantonima i predstavljen </w:t>
      </w:r>
      <w:r w:rsidRPr="00306519">
        <w:rPr>
          <w:color w:val="000000" w:themeColor="text1"/>
          <w:lang w:val="bs-Latn-BA"/>
        </w:rPr>
        <w:t xml:space="preserve">u Tabeli </w:t>
      </w:r>
      <w:r w:rsidR="00FE5AB8">
        <w:rPr>
          <w:color w:val="000000" w:themeColor="text1"/>
          <w:lang w:val="bs-Latn-BA"/>
        </w:rPr>
        <w:t>2.2</w:t>
      </w:r>
      <w:r w:rsidRPr="00306519">
        <w:rPr>
          <w:color w:val="000000" w:themeColor="text1"/>
          <w:lang w:val="bs-Latn-BA"/>
        </w:rPr>
        <w:t xml:space="preserve">. </w:t>
      </w:r>
    </w:p>
    <w:p w14:paraId="77EE5DC1" w14:textId="2C487A7A" w:rsidR="00973648" w:rsidRPr="008924E0" w:rsidRDefault="00973648" w:rsidP="00973648">
      <w:pPr>
        <w:pStyle w:val="Caption"/>
        <w:keepNext/>
      </w:pPr>
      <w:bookmarkStart w:id="43" w:name="_heading=h.32hioqz" w:colFirst="0" w:colLast="0"/>
      <w:bookmarkStart w:id="44" w:name="_Toc133499537"/>
      <w:bookmarkEnd w:id="43"/>
      <w:r w:rsidRPr="008924E0">
        <w:t xml:space="preserve">Tabela </w:t>
      </w:r>
      <w:r w:rsidR="00000000">
        <w:fldChar w:fldCharType="begin"/>
      </w:r>
      <w:r w:rsidR="00000000">
        <w:instrText xml:space="preserve"> STYLEREF 1 \s </w:instrText>
      </w:r>
      <w:r w:rsidR="00000000">
        <w:fldChar w:fldCharType="separate"/>
      </w:r>
      <w:r w:rsidR="004A246B">
        <w:rPr>
          <w:noProof/>
        </w:rPr>
        <w:t>2</w:t>
      </w:r>
      <w:r w:rsidR="00000000">
        <w:rPr>
          <w:noProof/>
        </w:rPr>
        <w:fldChar w:fldCharType="end"/>
      </w:r>
      <w:r w:rsidR="004A246B">
        <w:t>.</w:t>
      </w:r>
      <w:fldSimple w:instr=" SEQ Tabela \* ARABIC \s 1 ">
        <w:r w:rsidR="004A246B">
          <w:rPr>
            <w:noProof/>
          </w:rPr>
          <w:t>2</w:t>
        </w:r>
      </w:fldSimple>
      <w:r w:rsidRPr="008924E0">
        <w:rPr>
          <w:color w:val="000000"/>
        </w:rPr>
        <w:t xml:space="preserve"> Procjena broja zgrada po Kantonima prema modelu linearnog rasta 2 za period do 2021. godine</w:t>
      </w:r>
      <w:bookmarkEnd w:id="44"/>
    </w:p>
    <w:tbl>
      <w:tblPr>
        <w:tblStyle w:val="24"/>
        <w:tblW w:w="8931"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2977"/>
        <w:gridCol w:w="2977"/>
        <w:gridCol w:w="2977"/>
      </w:tblGrid>
      <w:tr w:rsidR="00055321" w:rsidRPr="008924E0" w14:paraId="034CBA4B" w14:textId="77777777" w:rsidTr="00306519">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4B0524C9" w14:textId="77777777" w:rsidR="00055321" w:rsidRPr="008924E0" w:rsidRDefault="00740D4F">
            <w:pPr>
              <w:rPr>
                <w:lang w:val="bs-Latn-BA"/>
              </w:rPr>
            </w:pPr>
            <w:r w:rsidRPr="008924E0">
              <w:rPr>
                <w:lang w:val="bs-Latn-BA"/>
              </w:rPr>
              <w:t>Kanton</w:t>
            </w:r>
          </w:p>
        </w:tc>
        <w:tc>
          <w:tcPr>
            <w:tcW w:w="0" w:type="dxa"/>
          </w:tcPr>
          <w:p w14:paraId="1F611B79" w14:textId="77777777" w:rsidR="00055321" w:rsidRPr="008924E0" w:rsidRDefault="00740D4F">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Broj zgrada individualnog stanovanja</w:t>
            </w:r>
          </w:p>
        </w:tc>
        <w:tc>
          <w:tcPr>
            <w:tcW w:w="0" w:type="dxa"/>
          </w:tcPr>
          <w:p w14:paraId="6B67AC5F" w14:textId="77777777" w:rsidR="00055321" w:rsidRPr="008924E0" w:rsidRDefault="00740D4F">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Broj zgrada kolektivnog stanovanja</w:t>
            </w:r>
          </w:p>
        </w:tc>
      </w:tr>
      <w:tr w:rsidR="00055321" w:rsidRPr="008924E0" w14:paraId="594CE025" w14:textId="77777777" w:rsidTr="0030651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31937370" w14:textId="77777777" w:rsidR="00055321" w:rsidRPr="008924E0" w:rsidRDefault="00740D4F">
            <w:pPr>
              <w:rPr>
                <w:lang w:val="bs-Latn-BA"/>
              </w:rPr>
            </w:pPr>
            <w:r w:rsidRPr="008924E0">
              <w:rPr>
                <w:lang w:val="bs-Latn-BA"/>
              </w:rPr>
              <w:t>Unsko-sanski kanton</w:t>
            </w:r>
          </w:p>
        </w:tc>
        <w:tc>
          <w:tcPr>
            <w:tcW w:w="0" w:type="dxa"/>
            <w:vAlign w:val="center"/>
          </w:tcPr>
          <w:p w14:paraId="00C05F45"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96.959</w:t>
            </w:r>
          </w:p>
        </w:tc>
        <w:tc>
          <w:tcPr>
            <w:tcW w:w="0" w:type="dxa"/>
            <w:vAlign w:val="center"/>
          </w:tcPr>
          <w:p w14:paraId="6F137A6F"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905</w:t>
            </w:r>
          </w:p>
        </w:tc>
      </w:tr>
      <w:tr w:rsidR="00055321" w:rsidRPr="008924E0" w14:paraId="6F39FCF9" w14:textId="77777777" w:rsidTr="0030651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753FDF81" w14:textId="77777777" w:rsidR="00055321" w:rsidRPr="008924E0" w:rsidRDefault="00740D4F">
            <w:pPr>
              <w:rPr>
                <w:lang w:val="bs-Latn-BA"/>
              </w:rPr>
            </w:pPr>
            <w:r w:rsidRPr="008924E0">
              <w:rPr>
                <w:lang w:val="bs-Latn-BA"/>
              </w:rPr>
              <w:t>Posavski kanton</w:t>
            </w:r>
          </w:p>
        </w:tc>
        <w:tc>
          <w:tcPr>
            <w:tcW w:w="0" w:type="dxa"/>
            <w:vAlign w:val="center"/>
          </w:tcPr>
          <w:p w14:paraId="2E6E3F91"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18.318</w:t>
            </w:r>
          </w:p>
        </w:tc>
        <w:tc>
          <w:tcPr>
            <w:tcW w:w="0" w:type="dxa"/>
            <w:vAlign w:val="center"/>
          </w:tcPr>
          <w:p w14:paraId="56896023"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96</w:t>
            </w:r>
          </w:p>
        </w:tc>
      </w:tr>
      <w:tr w:rsidR="00055321" w:rsidRPr="008924E0" w14:paraId="5FC1694A" w14:textId="77777777" w:rsidTr="0030651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1EAAC9A1" w14:textId="77777777" w:rsidR="00055321" w:rsidRPr="008924E0" w:rsidRDefault="00740D4F">
            <w:pPr>
              <w:rPr>
                <w:lang w:val="bs-Latn-BA"/>
              </w:rPr>
            </w:pPr>
            <w:r w:rsidRPr="008924E0">
              <w:rPr>
                <w:lang w:val="bs-Latn-BA"/>
              </w:rPr>
              <w:t>Tuzlanski kanton</w:t>
            </w:r>
          </w:p>
        </w:tc>
        <w:tc>
          <w:tcPr>
            <w:tcW w:w="0" w:type="dxa"/>
            <w:vAlign w:val="center"/>
          </w:tcPr>
          <w:p w14:paraId="1905F1FE"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160.263</w:t>
            </w:r>
          </w:p>
        </w:tc>
        <w:tc>
          <w:tcPr>
            <w:tcW w:w="0" w:type="dxa"/>
            <w:vAlign w:val="center"/>
          </w:tcPr>
          <w:p w14:paraId="14216236"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2.273</w:t>
            </w:r>
          </w:p>
        </w:tc>
      </w:tr>
      <w:tr w:rsidR="00055321" w:rsidRPr="008924E0" w14:paraId="7F139BF4" w14:textId="77777777" w:rsidTr="0030651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19F11427" w14:textId="77777777" w:rsidR="00055321" w:rsidRPr="008924E0" w:rsidRDefault="00740D4F">
            <w:pPr>
              <w:rPr>
                <w:lang w:val="bs-Latn-BA"/>
              </w:rPr>
            </w:pPr>
            <w:r w:rsidRPr="008924E0">
              <w:rPr>
                <w:lang w:val="bs-Latn-BA"/>
              </w:rPr>
              <w:t>Zeničko-dobojski kanton</w:t>
            </w:r>
          </w:p>
        </w:tc>
        <w:tc>
          <w:tcPr>
            <w:tcW w:w="0" w:type="dxa"/>
            <w:vAlign w:val="center"/>
          </w:tcPr>
          <w:p w14:paraId="509ECE98"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115.787</w:t>
            </w:r>
          </w:p>
        </w:tc>
        <w:tc>
          <w:tcPr>
            <w:tcW w:w="0" w:type="dxa"/>
            <w:vAlign w:val="center"/>
          </w:tcPr>
          <w:p w14:paraId="7768806C"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2.353</w:t>
            </w:r>
          </w:p>
        </w:tc>
      </w:tr>
      <w:tr w:rsidR="00055321" w:rsidRPr="008924E0" w14:paraId="2734974B" w14:textId="77777777" w:rsidTr="0030651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2E52CF0F" w14:textId="77777777" w:rsidR="00055321" w:rsidRPr="008924E0" w:rsidRDefault="00740D4F">
            <w:pPr>
              <w:rPr>
                <w:lang w:val="bs-Latn-BA"/>
              </w:rPr>
            </w:pPr>
            <w:r w:rsidRPr="008924E0">
              <w:rPr>
                <w:lang w:val="bs-Latn-BA"/>
              </w:rPr>
              <w:t>Bosansko-podrinjski kanton</w:t>
            </w:r>
          </w:p>
        </w:tc>
        <w:tc>
          <w:tcPr>
            <w:tcW w:w="0" w:type="dxa"/>
            <w:vAlign w:val="center"/>
          </w:tcPr>
          <w:p w14:paraId="39DE502F"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9.598</w:t>
            </w:r>
          </w:p>
        </w:tc>
        <w:tc>
          <w:tcPr>
            <w:tcW w:w="0" w:type="dxa"/>
            <w:vAlign w:val="center"/>
          </w:tcPr>
          <w:p w14:paraId="20B6FDD5"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263</w:t>
            </w:r>
          </w:p>
        </w:tc>
      </w:tr>
      <w:tr w:rsidR="00055321" w:rsidRPr="008924E0" w14:paraId="0B2DA382" w14:textId="77777777" w:rsidTr="0030651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279CD397" w14:textId="77777777" w:rsidR="00055321" w:rsidRPr="008924E0" w:rsidRDefault="00740D4F">
            <w:pPr>
              <w:rPr>
                <w:lang w:val="bs-Latn-BA"/>
              </w:rPr>
            </w:pPr>
            <w:r w:rsidRPr="008924E0">
              <w:rPr>
                <w:lang w:val="bs-Latn-BA"/>
              </w:rPr>
              <w:t>Srednjobosanski kanton</w:t>
            </w:r>
          </w:p>
        </w:tc>
        <w:tc>
          <w:tcPr>
            <w:tcW w:w="0" w:type="dxa"/>
            <w:vAlign w:val="center"/>
          </w:tcPr>
          <w:p w14:paraId="466E1C4D"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86.188</w:t>
            </w:r>
          </w:p>
        </w:tc>
        <w:tc>
          <w:tcPr>
            <w:tcW w:w="0" w:type="dxa"/>
            <w:vAlign w:val="center"/>
          </w:tcPr>
          <w:p w14:paraId="094084A7"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1.391</w:t>
            </w:r>
          </w:p>
        </w:tc>
      </w:tr>
      <w:tr w:rsidR="00055321" w:rsidRPr="008924E0" w14:paraId="439BC761" w14:textId="77777777" w:rsidTr="0030651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70E6657A" w14:textId="77777777" w:rsidR="00055321" w:rsidRPr="008924E0" w:rsidRDefault="00740D4F">
            <w:pPr>
              <w:rPr>
                <w:lang w:val="bs-Latn-BA"/>
              </w:rPr>
            </w:pPr>
            <w:r w:rsidRPr="008924E0">
              <w:rPr>
                <w:lang w:val="bs-Latn-BA"/>
              </w:rPr>
              <w:t>Hercegovačko-neretvanski kanton</w:t>
            </w:r>
          </w:p>
        </w:tc>
        <w:tc>
          <w:tcPr>
            <w:tcW w:w="0" w:type="dxa"/>
            <w:vAlign w:val="center"/>
          </w:tcPr>
          <w:p w14:paraId="51CFDC73"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65.114</w:t>
            </w:r>
          </w:p>
        </w:tc>
        <w:tc>
          <w:tcPr>
            <w:tcW w:w="0" w:type="dxa"/>
            <w:vAlign w:val="center"/>
          </w:tcPr>
          <w:p w14:paraId="2E490D9B"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2.846</w:t>
            </w:r>
          </w:p>
        </w:tc>
      </w:tr>
      <w:tr w:rsidR="00055321" w:rsidRPr="008924E0" w14:paraId="4B704D4F" w14:textId="77777777" w:rsidTr="0030651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4A3CA66F" w14:textId="77777777" w:rsidR="00055321" w:rsidRPr="008924E0" w:rsidRDefault="00740D4F">
            <w:pPr>
              <w:rPr>
                <w:lang w:val="bs-Latn-BA"/>
              </w:rPr>
            </w:pPr>
            <w:r w:rsidRPr="008924E0">
              <w:rPr>
                <w:lang w:val="bs-Latn-BA"/>
              </w:rPr>
              <w:t>Zapadnohercegovački kanton</w:t>
            </w:r>
          </w:p>
        </w:tc>
        <w:tc>
          <w:tcPr>
            <w:tcW w:w="0" w:type="dxa"/>
            <w:vAlign w:val="center"/>
          </w:tcPr>
          <w:p w14:paraId="13C9D422"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28.805</w:t>
            </w:r>
          </w:p>
        </w:tc>
        <w:tc>
          <w:tcPr>
            <w:tcW w:w="0" w:type="dxa"/>
            <w:vAlign w:val="center"/>
          </w:tcPr>
          <w:p w14:paraId="40DBCDBB"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293</w:t>
            </w:r>
          </w:p>
        </w:tc>
      </w:tr>
      <w:tr w:rsidR="00055321" w:rsidRPr="008924E0" w14:paraId="0063BAE5" w14:textId="77777777" w:rsidTr="0030651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2E52A964" w14:textId="77777777" w:rsidR="00055321" w:rsidRPr="008924E0" w:rsidRDefault="00740D4F">
            <w:pPr>
              <w:rPr>
                <w:lang w:val="bs-Latn-BA"/>
              </w:rPr>
            </w:pPr>
            <w:r w:rsidRPr="008924E0">
              <w:rPr>
                <w:lang w:val="bs-Latn-BA"/>
              </w:rPr>
              <w:t>Kanton Sarajevo</w:t>
            </w:r>
          </w:p>
        </w:tc>
        <w:tc>
          <w:tcPr>
            <w:tcW w:w="0" w:type="dxa"/>
            <w:vAlign w:val="center"/>
          </w:tcPr>
          <w:p w14:paraId="34392510"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85.489</w:t>
            </w:r>
          </w:p>
        </w:tc>
        <w:tc>
          <w:tcPr>
            <w:tcW w:w="0" w:type="dxa"/>
            <w:vAlign w:val="center"/>
          </w:tcPr>
          <w:p w14:paraId="0F4FB873"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7.390</w:t>
            </w:r>
          </w:p>
        </w:tc>
      </w:tr>
      <w:tr w:rsidR="00055321" w:rsidRPr="008924E0" w14:paraId="7411DD12" w14:textId="77777777" w:rsidTr="00306519">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0D058FA1" w14:textId="77777777" w:rsidR="00055321" w:rsidRPr="008924E0" w:rsidRDefault="00740D4F">
            <w:pPr>
              <w:rPr>
                <w:lang w:val="bs-Latn-BA"/>
              </w:rPr>
            </w:pPr>
            <w:r w:rsidRPr="008924E0">
              <w:rPr>
                <w:lang w:val="bs-Latn-BA"/>
              </w:rPr>
              <w:t>Kanton 10</w:t>
            </w:r>
          </w:p>
        </w:tc>
        <w:tc>
          <w:tcPr>
            <w:tcW w:w="0" w:type="dxa"/>
            <w:vAlign w:val="center"/>
          </w:tcPr>
          <w:p w14:paraId="2963BBF4"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26.785</w:t>
            </w:r>
          </w:p>
        </w:tc>
        <w:tc>
          <w:tcPr>
            <w:tcW w:w="0" w:type="dxa"/>
            <w:vAlign w:val="center"/>
          </w:tcPr>
          <w:p w14:paraId="722E44CA" w14:textId="77777777" w:rsidR="00055321" w:rsidRPr="008924E0" w:rsidRDefault="00740D4F">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474</w:t>
            </w:r>
          </w:p>
        </w:tc>
      </w:tr>
      <w:tr w:rsidR="00055321" w:rsidRPr="008924E0" w14:paraId="05581266" w14:textId="77777777" w:rsidTr="00306519">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0" w:type="dxa"/>
          </w:tcPr>
          <w:p w14:paraId="6C5B027C" w14:textId="77777777" w:rsidR="00055321" w:rsidRPr="008924E0" w:rsidRDefault="00740D4F">
            <w:pPr>
              <w:rPr>
                <w:lang w:val="bs-Latn-BA"/>
              </w:rPr>
            </w:pPr>
            <w:r w:rsidRPr="008924E0">
              <w:rPr>
                <w:lang w:val="bs-Latn-BA"/>
              </w:rPr>
              <w:t>Ukupno</w:t>
            </w:r>
          </w:p>
        </w:tc>
        <w:tc>
          <w:tcPr>
            <w:tcW w:w="0" w:type="dxa"/>
            <w:vAlign w:val="center"/>
          </w:tcPr>
          <w:p w14:paraId="7A7B2E21"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693.306</w:t>
            </w:r>
          </w:p>
        </w:tc>
        <w:tc>
          <w:tcPr>
            <w:tcW w:w="0" w:type="dxa"/>
            <w:vAlign w:val="center"/>
          </w:tcPr>
          <w:p w14:paraId="62A59528" w14:textId="77777777" w:rsidR="00055321" w:rsidRPr="008924E0" w:rsidRDefault="00740D4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18.284</w:t>
            </w:r>
          </w:p>
        </w:tc>
      </w:tr>
    </w:tbl>
    <w:p w14:paraId="1EC697FE" w14:textId="77777777" w:rsidR="00055321" w:rsidRPr="008924E0" w:rsidRDefault="00055321">
      <w:pPr>
        <w:rPr>
          <w:lang w:val="bs-Latn-BA"/>
        </w:rPr>
      </w:pPr>
    </w:p>
    <w:p w14:paraId="43C1A2F2" w14:textId="4421A337" w:rsidR="00055321" w:rsidRPr="008924E0" w:rsidRDefault="00740D4F">
      <w:pPr>
        <w:rPr>
          <w:lang w:val="bs-Latn-BA"/>
        </w:rPr>
      </w:pPr>
      <w:r w:rsidRPr="008924E0">
        <w:rPr>
          <w:lang w:val="bs-Latn-BA"/>
        </w:rPr>
        <w:t xml:space="preserve">Predstavljena analiza je </w:t>
      </w:r>
      <w:r w:rsidR="00004409">
        <w:rPr>
          <w:color w:val="000000" w:themeColor="text1"/>
          <w:lang w:val="bs-Latn-BA"/>
        </w:rPr>
        <w:t>približno određena</w:t>
      </w:r>
      <w:r w:rsidRPr="00306519">
        <w:rPr>
          <w:lang w:val="bs-Latn-BA"/>
        </w:rPr>
        <w:t>,</w:t>
      </w:r>
      <w:r w:rsidRPr="008924E0">
        <w:rPr>
          <w:lang w:val="bs-Latn-BA"/>
        </w:rPr>
        <w:t xml:space="preserve"> te je neophodno izvršiti tačnu evidenciju broja novoizgrađenih zgrada po godinama izgradnje, mjestu izgradnje, bruto i korisnoj površini zgrade. Korektna evidencija će omogućiti tačnu kratkoročnu ili dugoročnu procjenu rasta stambenog fonda.</w:t>
      </w:r>
    </w:p>
    <w:p w14:paraId="7694F62D" w14:textId="77777777" w:rsidR="00055321" w:rsidRPr="008924E0" w:rsidRDefault="00740D4F">
      <w:pPr>
        <w:pStyle w:val="Heading5"/>
        <w:rPr>
          <w:lang w:val="bs-Latn-BA"/>
        </w:rPr>
      </w:pPr>
      <w:bookmarkStart w:id="45" w:name="_Toc116978342"/>
      <w:r w:rsidRPr="008924E0">
        <w:rPr>
          <w:lang w:val="bs-Latn-BA"/>
        </w:rPr>
        <w:lastRenderedPageBreak/>
        <w:t>Nestambene zgrade</w:t>
      </w:r>
      <w:bookmarkEnd w:id="45"/>
    </w:p>
    <w:p w14:paraId="4BB51B80" w14:textId="3711F9A7" w:rsidR="00055321" w:rsidRPr="008924E0" w:rsidRDefault="00740D4F">
      <w:pPr>
        <w:rPr>
          <w:lang w:val="bs-Latn-BA"/>
        </w:rPr>
      </w:pPr>
      <w:r w:rsidRPr="008924E0">
        <w:rPr>
          <w:lang w:val="bs-Latn-BA"/>
        </w:rPr>
        <w:t>Tipologija javnih zgrada je obuhvatila zgrade izgrađene u periodu do 2017. godine. Podaci o broju javnih zgrada iz Tipologije javnih zgrada su dopunjeni podacima o novoizgrađenim javnim zgradama u periodu 2017</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kako je prikazano na Slici </w:t>
      </w:r>
      <w:r w:rsidR="00FE5AB8">
        <w:rPr>
          <w:lang w:val="bs-Latn-BA"/>
        </w:rPr>
        <w:t>2.4</w:t>
      </w:r>
      <w:r w:rsidRPr="008924E0">
        <w:rPr>
          <w:lang w:val="bs-Latn-BA"/>
        </w:rPr>
        <w:t xml:space="preserve">. </w:t>
      </w:r>
    </w:p>
    <w:p w14:paraId="7DECE0C7" w14:textId="2CE48B16" w:rsidR="00055321" w:rsidRPr="008924E0" w:rsidRDefault="00740D4F">
      <w:pPr>
        <w:rPr>
          <w:color w:val="000000"/>
          <w:lang w:val="bs-Latn-BA"/>
        </w:rPr>
      </w:pPr>
      <w:r w:rsidRPr="008924E0">
        <w:rPr>
          <w:lang w:val="bs-Latn-BA"/>
        </w:rPr>
        <w:t>Prvi korišteni model je linearni model, prema kojem je izvršena procjena broja rasta broj zgrada za periode izgradnje nakon 1987. godine. Prema ovoj analizi porast broja javnih zgrada u periodu 2017</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godina iznosi </w:t>
      </w:r>
      <w:r w:rsidRPr="008924E0">
        <w:rPr>
          <w:color w:val="000000"/>
          <w:lang w:val="bs-Latn-BA"/>
        </w:rPr>
        <w:t xml:space="preserve">189 i ukupan broj zgrada u 2020. godini iznosi 4.608. </w:t>
      </w:r>
    </w:p>
    <w:p w14:paraId="037825FC" w14:textId="0065416C" w:rsidR="00055321" w:rsidRPr="008924E0" w:rsidRDefault="00740D4F">
      <w:pPr>
        <w:rPr>
          <w:color w:val="000000"/>
          <w:lang w:val="bs-Latn-BA"/>
        </w:rPr>
      </w:pPr>
      <w:r w:rsidRPr="008924E0">
        <w:rPr>
          <w:lang w:val="bs-Latn-BA"/>
        </w:rPr>
        <w:t>Drugi korišteni model je logistički model, prema kojem je izvršena procjena broja rasta broj zgrada za periode izgradnje nakon 1987. godine. Prema ovoj analizi porast broja javnih zgrada u periodu 2017</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godina iznosi </w:t>
      </w:r>
      <w:r w:rsidRPr="008924E0">
        <w:rPr>
          <w:color w:val="000000"/>
          <w:lang w:val="bs-Latn-BA"/>
        </w:rPr>
        <w:t>140 i ukupan broj zgrada u 2020. godini iznosi 4.559.</w:t>
      </w:r>
    </w:p>
    <w:p w14:paraId="3355F968" w14:textId="76BD9C28" w:rsidR="00055321" w:rsidRPr="008924E0" w:rsidRDefault="00740D4F">
      <w:pPr>
        <w:rPr>
          <w:color w:val="000000"/>
          <w:lang w:val="bs-Latn-BA"/>
        </w:rPr>
      </w:pPr>
      <w:r w:rsidRPr="008924E0">
        <w:rPr>
          <w:color w:val="000000"/>
          <w:lang w:val="bs-Latn-BA"/>
        </w:rPr>
        <w:t>Treći pristup je računanje porasta broja zgrada korištenjem podataka iz LEAP</w:t>
      </w:r>
      <w:r w:rsidRPr="008924E0">
        <w:rPr>
          <w:vertAlign w:val="superscript"/>
          <w:lang w:val="bs-Latn-BA"/>
        </w:rPr>
        <w:footnoteReference w:id="16"/>
      </w:r>
      <w:r w:rsidRPr="008924E0">
        <w:rPr>
          <w:color w:val="000000"/>
          <w:lang w:val="bs-Latn-BA"/>
        </w:rPr>
        <w:t xml:space="preserve">, gdje je </w:t>
      </w:r>
      <w:r w:rsidRPr="008924E0">
        <w:rPr>
          <w:lang w:val="bs-Latn-BA"/>
        </w:rPr>
        <w:t>data dugoročna procjena porasta korisne površine javnih zgrada za period od 2014. do 2050. godine. Prema podacima iz LEAP-a, za period 2017</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porast korisne grijane površine iznosi </w:t>
      </w:r>
      <w:r w:rsidRPr="008924E0">
        <w:rPr>
          <w:color w:val="000000"/>
          <w:lang w:val="bs-Latn-BA"/>
        </w:rPr>
        <w:t>396.81</w:t>
      </w:r>
      <w:r w:rsidRPr="008924E0">
        <w:rPr>
          <w:lang w:val="bs-Latn-BA"/>
        </w:rPr>
        <w:t>7</w:t>
      </w:r>
      <w:r w:rsidRPr="008924E0">
        <w:rPr>
          <w:color w:val="000000"/>
          <w:lang w:val="bs-Latn-BA"/>
        </w:rPr>
        <w:t xml:space="preserve"> </w:t>
      </w:r>
      <w:r w:rsidRPr="008924E0">
        <w:rPr>
          <w:lang w:val="bs-Latn-BA"/>
        </w:rPr>
        <w:t>m</w:t>
      </w:r>
      <w:r w:rsidRPr="008924E0">
        <w:rPr>
          <w:vertAlign w:val="superscript"/>
          <w:lang w:val="bs-Latn-BA"/>
        </w:rPr>
        <w:t>2</w:t>
      </w:r>
      <w:r w:rsidRPr="008924E0">
        <w:rPr>
          <w:lang w:val="bs-Latn-BA"/>
        </w:rPr>
        <w:t>. Korištenjem podataka o udjelu zgrada različite namjene u ukupnom fondu javnih zgrada te prosječnoj korisnoj grijanoj površini pojedinih tipova zgrada izračunat je porast broja javnih zgrada koji odgovara porastu površine date u LEAP. Prema ovoj analizi porast broja zgrada u periodu 2017</w:t>
      </w:r>
      <w:r w:rsidR="00FC223E" w:rsidRPr="008924E0">
        <w:rPr>
          <w:lang w:val="bs-Latn-BA"/>
        </w:rPr>
        <w:t>.</w:t>
      </w:r>
      <w:r w:rsidRPr="008924E0">
        <w:rPr>
          <w:lang w:val="bs-Latn-BA"/>
        </w:rPr>
        <w:t>-2020</w:t>
      </w:r>
      <w:r w:rsidR="00FC223E" w:rsidRPr="008924E0">
        <w:rPr>
          <w:lang w:val="bs-Latn-BA"/>
        </w:rPr>
        <w:t>.</w:t>
      </w:r>
      <w:r w:rsidRPr="008924E0">
        <w:rPr>
          <w:lang w:val="bs-Latn-BA"/>
        </w:rPr>
        <w:t xml:space="preserve"> godina iznosi</w:t>
      </w:r>
      <w:r w:rsidRPr="008924E0">
        <w:rPr>
          <w:color w:val="000000"/>
          <w:lang w:val="bs-Latn-BA"/>
        </w:rPr>
        <w:t xml:space="preserve"> 330 zgrad</w:t>
      </w:r>
      <w:r w:rsidR="00611BF0">
        <w:rPr>
          <w:color w:val="000000"/>
          <w:lang w:val="bs-Latn-BA"/>
        </w:rPr>
        <w:t>a</w:t>
      </w:r>
      <w:r w:rsidRPr="008924E0">
        <w:rPr>
          <w:color w:val="000000"/>
          <w:lang w:val="bs-Latn-BA"/>
        </w:rPr>
        <w:t xml:space="preserve"> i ukupan broj zgrada u 2020. godini iznosi 4.749.</w:t>
      </w:r>
    </w:p>
    <w:p w14:paraId="044DE1DA" w14:textId="422AD19C" w:rsidR="00055321" w:rsidRPr="008924E0" w:rsidRDefault="00740D4F">
      <w:pPr>
        <w:rPr>
          <w:lang w:val="bs-Latn-BA"/>
        </w:rPr>
      </w:pPr>
      <w:r w:rsidRPr="008924E0">
        <w:rPr>
          <w:lang w:val="bs-Latn-BA"/>
        </w:rPr>
        <w:t xml:space="preserve">Tačan broj novoizgrađenih zgrada i bruto i korisne grijane površine prema godinama izgradnje je potrebno precizno evidentirati radi što preciznijeg kratkoročnog i dugoročnog </w:t>
      </w:r>
      <w:r w:rsidR="00010793">
        <w:rPr>
          <w:lang w:val="bs-Latn-BA"/>
        </w:rPr>
        <w:t>energij</w:t>
      </w:r>
      <w:r w:rsidRPr="008924E0">
        <w:rPr>
          <w:lang w:val="bs-Latn-BA"/>
        </w:rPr>
        <w:t>skog planiranja.</w:t>
      </w:r>
    </w:p>
    <w:p w14:paraId="4D06AA34" w14:textId="09A7B7D2" w:rsidR="00973648" w:rsidRPr="008924E0" w:rsidRDefault="008C15E7" w:rsidP="00973648">
      <w:pPr>
        <w:keepNext/>
        <w:rPr>
          <w:lang w:val="bs-Latn-BA"/>
        </w:rPr>
      </w:pPr>
      <w:r w:rsidRPr="008924E0">
        <w:rPr>
          <w:noProof/>
          <w:lang w:val="bs-Latn-BA"/>
        </w:rPr>
        <w:drawing>
          <wp:inline distT="0" distB="0" distL="0" distR="0" wp14:anchorId="3E58849A" wp14:editId="0243B647">
            <wp:extent cx="5732145" cy="2092325"/>
            <wp:effectExtent l="0" t="0" r="1905" b="3175"/>
            <wp:docPr id="40" name="Chart 40">
              <a:extLst xmlns:a="http://schemas.openxmlformats.org/drawingml/2006/main">
                <a:ext uri="{FF2B5EF4-FFF2-40B4-BE49-F238E27FC236}">
                  <a16:creationId xmlns:a16="http://schemas.microsoft.com/office/drawing/2014/main" id="{B401CFFA-4749-4B86-9669-6BCECA74B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8924E0">
        <w:rPr>
          <w:noProof/>
          <w:sz w:val="20"/>
          <w:szCs w:val="20"/>
          <w:lang w:val="bs-Latn-BA"/>
        </w:rPr>
        <w:t xml:space="preserve"> </w:t>
      </w:r>
    </w:p>
    <w:p w14:paraId="3ADE1E38" w14:textId="7ECC76BD" w:rsidR="00055321" w:rsidRPr="008924E0" w:rsidRDefault="00973648" w:rsidP="00973648">
      <w:pPr>
        <w:pStyle w:val="Caption"/>
        <w:jc w:val="center"/>
      </w:pPr>
      <w:bookmarkStart w:id="46" w:name="_Toc133499366"/>
      <w:r w:rsidRPr="008924E0">
        <w:t xml:space="preserve">Slika </w:t>
      </w:r>
      <w:fldSimple w:instr=" STYLEREF 1 \s ">
        <w:r w:rsidR="00695AEF">
          <w:rPr>
            <w:noProof/>
          </w:rPr>
          <w:t>2</w:t>
        </w:r>
      </w:fldSimple>
      <w:r w:rsidR="00B82F4B" w:rsidRPr="008924E0">
        <w:t>.</w:t>
      </w:r>
      <w:r w:rsidR="00000000">
        <w:fldChar w:fldCharType="begin"/>
      </w:r>
      <w:r w:rsidR="00000000">
        <w:instrText xml:space="preserve"> SEQ Slika \* ARABIC \s 1 </w:instrText>
      </w:r>
      <w:r w:rsidR="00000000">
        <w:fldChar w:fldCharType="separate"/>
      </w:r>
      <w:r w:rsidR="00695AEF">
        <w:rPr>
          <w:noProof/>
        </w:rPr>
        <w:t>4</w:t>
      </w:r>
      <w:r w:rsidR="00000000">
        <w:rPr>
          <w:noProof/>
        </w:rPr>
        <w:fldChar w:fldCharType="end"/>
      </w:r>
      <w:r w:rsidRPr="008924E0">
        <w:rPr>
          <w:color w:val="000000"/>
        </w:rPr>
        <w:t xml:space="preserve"> Broj javnih zgrada u FBiH za period do 2021. godine</w:t>
      </w:r>
      <w:bookmarkEnd w:id="46"/>
    </w:p>
    <w:p w14:paraId="2F545334" w14:textId="552A3EA7" w:rsidR="00055321" w:rsidRPr="008924E0" w:rsidRDefault="00740D4F">
      <w:pPr>
        <w:rPr>
          <w:lang w:val="bs-Latn-BA"/>
        </w:rPr>
      </w:pPr>
      <w:r w:rsidRPr="008924E0">
        <w:rPr>
          <w:lang w:val="bs-Latn-BA"/>
        </w:rPr>
        <w:t xml:space="preserve">Za predviđanje rasta broja zgrada i korisne površine zgrada korištena su dva modela predviđanja: linearni i logistički model. Prema podacima datim na Slici </w:t>
      </w:r>
      <w:r w:rsidR="00FE5AB8">
        <w:rPr>
          <w:lang w:val="bs-Latn-BA"/>
        </w:rPr>
        <w:t>2.5</w:t>
      </w:r>
      <w:r w:rsidRPr="008924E0">
        <w:rPr>
          <w:lang w:val="bs-Latn-BA"/>
        </w:rPr>
        <w:t xml:space="preserve">. je vidljivo da se odgovarajućim modelima predviđanja može predvidjeti porast broja javnih zgrada, ali je potrebno da se obezbjede tačni historijski podaci o novoizgrađenim zgradama, razvrstani po godinama ili periodima izgradnje. </w:t>
      </w:r>
    </w:p>
    <w:p w14:paraId="0813BFAD" w14:textId="08C50B95" w:rsidR="00FE66C8" w:rsidRPr="008924E0" w:rsidRDefault="00FE66C8">
      <w:pPr>
        <w:rPr>
          <w:lang w:val="bs-Latn-BA"/>
        </w:rPr>
      </w:pPr>
      <w:r w:rsidRPr="008924E0">
        <w:rPr>
          <w:noProof/>
          <w:lang w:val="bs-Latn-BA"/>
        </w:rPr>
        <w:lastRenderedPageBreak/>
        <w:drawing>
          <wp:inline distT="0" distB="0" distL="0" distR="0" wp14:anchorId="0A5A130C" wp14:editId="3D594300">
            <wp:extent cx="5732145" cy="2224405"/>
            <wp:effectExtent l="0" t="0" r="1905" b="4445"/>
            <wp:docPr id="37" name="Chart 37">
              <a:extLst xmlns:a="http://schemas.openxmlformats.org/drawingml/2006/main">
                <a:ext uri="{FF2B5EF4-FFF2-40B4-BE49-F238E27FC236}">
                  <a16:creationId xmlns:a16="http://schemas.microsoft.com/office/drawing/2014/main" id="{00A1F20B-8960-467E-A269-C928DE196D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049A647" w14:textId="714D272A" w:rsidR="00973648" w:rsidRPr="008924E0" w:rsidRDefault="00973648" w:rsidP="00973648">
      <w:pPr>
        <w:pBdr>
          <w:top w:val="nil"/>
          <w:left w:val="nil"/>
          <w:bottom w:val="nil"/>
          <w:right w:val="nil"/>
          <w:between w:val="nil"/>
        </w:pBdr>
        <w:spacing w:after="200" w:line="240" w:lineRule="auto"/>
        <w:jc w:val="center"/>
        <w:rPr>
          <w:i/>
          <w:iCs/>
          <w:color w:val="000000"/>
          <w:lang w:val="bs-Latn-BA"/>
        </w:rPr>
      </w:pPr>
      <w:bookmarkStart w:id="47" w:name="_Toc133499367"/>
      <w:r w:rsidRPr="00331355">
        <w:rPr>
          <w:i/>
          <w:iCs/>
          <w:szCs w:val="18"/>
          <w:lang w:val="bs-Latn-BA"/>
        </w:rPr>
        <w:t xml:space="preserve">Slika </w:t>
      </w:r>
      <w:r w:rsidR="00B82F4B" w:rsidRPr="00331355">
        <w:rPr>
          <w:i/>
          <w:iCs/>
          <w:szCs w:val="18"/>
          <w:lang w:val="bs-Latn-BA"/>
        </w:rPr>
        <w:fldChar w:fldCharType="begin"/>
      </w:r>
      <w:r w:rsidR="00B82F4B" w:rsidRPr="00331355">
        <w:rPr>
          <w:i/>
          <w:iCs/>
          <w:szCs w:val="18"/>
          <w:lang w:val="bs-Latn-BA"/>
        </w:rPr>
        <w:instrText xml:space="preserve"> STYLEREF 1 \s </w:instrText>
      </w:r>
      <w:r w:rsidR="00B82F4B" w:rsidRPr="00331355">
        <w:rPr>
          <w:i/>
          <w:iCs/>
          <w:szCs w:val="18"/>
          <w:lang w:val="bs-Latn-BA"/>
        </w:rPr>
        <w:fldChar w:fldCharType="separate"/>
      </w:r>
      <w:r w:rsidR="00695AEF">
        <w:rPr>
          <w:i/>
          <w:iCs/>
          <w:noProof/>
          <w:szCs w:val="18"/>
          <w:lang w:val="bs-Latn-BA"/>
        </w:rPr>
        <w:t>2</w:t>
      </w:r>
      <w:r w:rsidR="00B82F4B" w:rsidRPr="00331355">
        <w:rPr>
          <w:i/>
          <w:iCs/>
          <w:szCs w:val="18"/>
          <w:lang w:val="bs-Latn-BA"/>
        </w:rPr>
        <w:fldChar w:fldCharType="end"/>
      </w:r>
      <w:r w:rsidR="00B82F4B" w:rsidRPr="00331355">
        <w:rPr>
          <w:i/>
          <w:iCs/>
          <w:szCs w:val="18"/>
          <w:lang w:val="bs-Latn-BA"/>
        </w:rPr>
        <w:t>.</w:t>
      </w:r>
      <w:r w:rsidR="00B82F4B" w:rsidRPr="00331355">
        <w:rPr>
          <w:i/>
          <w:iCs/>
          <w:szCs w:val="18"/>
          <w:lang w:val="bs-Latn-BA"/>
        </w:rPr>
        <w:fldChar w:fldCharType="begin"/>
      </w:r>
      <w:r w:rsidR="00B82F4B" w:rsidRPr="00331355">
        <w:rPr>
          <w:i/>
          <w:iCs/>
          <w:szCs w:val="18"/>
          <w:lang w:val="bs-Latn-BA"/>
        </w:rPr>
        <w:instrText xml:space="preserve"> SEQ Slika \* ARABIC \s 1 </w:instrText>
      </w:r>
      <w:r w:rsidR="00B82F4B" w:rsidRPr="00331355">
        <w:rPr>
          <w:i/>
          <w:iCs/>
          <w:szCs w:val="18"/>
          <w:lang w:val="bs-Latn-BA"/>
        </w:rPr>
        <w:fldChar w:fldCharType="separate"/>
      </w:r>
      <w:r w:rsidR="00695AEF">
        <w:rPr>
          <w:i/>
          <w:iCs/>
          <w:noProof/>
          <w:szCs w:val="18"/>
          <w:lang w:val="bs-Latn-BA"/>
        </w:rPr>
        <w:t>5</w:t>
      </w:r>
      <w:r w:rsidR="00B82F4B" w:rsidRPr="00331355">
        <w:rPr>
          <w:i/>
          <w:iCs/>
          <w:szCs w:val="18"/>
          <w:lang w:val="bs-Latn-BA"/>
        </w:rPr>
        <w:fldChar w:fldCharType="end"/>
      </w:r>
      <w:r w:rsidRPr="008924E0">
        <w:rPr>
          <w:i/>
          <w:iCs/>
          <w:color w:val="000000"/>
          <w:lang w:val="bs-Latn-BA"/>
        </w:rPr>
        <w:t xml:space="preserve"> Porast broja javnih zgrada u FBiH za period do 2050. godine</w:t>
      </w:r>
      <w:bookmarkEnd w:id="47"/>
    </w:p>
    <w:p w14:paraId="3B911593" w14:textId="3C0943ED" w:rsidR="0007275F" w:rsidRPr="008924E0" w:rsidRDefault="00E920ED" w:rsidP="0007275F">
      <w:pPr>
        <w:pBdr>
          <w:top w:val="nil"/>
          <w:left w:val="nil"/>
          <w:bottom w:val="nil"/>
          <w:right w:val="nil"/>
          <w:between w:val="nil"/>
        </w:pBdr>
        <w:spacing w:after="200" w:line="240" w:lineRule="auto"/>
        <w:rPr>
          <w:iCs/>
          <w:color w:val="000000"/>
          <w:lang w:val="bs-Latn-BA"/>
        </w:rPr>
      </w:pPr>
      <w:r w:rsidRPr="008924E0">
        <w:rPr>
          <w:iCs/>
          <w:color w:val="000000"/>
          <w:lang w:val="bs-Latn-BA"/>
        </w:rPr>
        <w:t>Podatke o nekomercijalnim zgradama u trenutku p</w:t>
      </w:r>
      <w:r w:rsidR="00327108">
        <w:rPr>
          <w:iCs/>
          <w:color w:val="000000"/>
          <w:lang w:val="bs-Latn-BA"/>
        </w:rPr>
        <w:t>ripreme</w:t>
      </w:r>
      <w:r w:rsidRPr="008924E0">
        <w:rPr>
          <w:iCs/>
          <w:color w:val="000000"/>
          <w:lang w:val="bs-Latn-BA"/>
        </w:rPr>
        <w:t xml:space="preserve"> strateške platforme (juli-oktobar 2022.) nije bilo moguće prikupiti jer nijedna institucija ne vodi evidenciju o njima. </w:t>
      </w:r>
      <w:r w:rsidR="0007275F" w:rsidRPr="008924E0">
        <w:rPr>
          <w:iCs/>
          <w:color w:val="000000"/>
          <w:lang w:val="bs-Latn-BA"/>
        </w:rPr>
        <w:t>P</w:t>
      </w:r>
      <w:r w:rsidRPr="008924E0">
        <w:rPr>
          <w:iCs/>
          <w:color w:val="000000"/>
          <w:lang w:val="bs-Latn-BA"/>
        </w:rPr>
        <w:t>rocjen</w:t>
      </w:r>
      <w:r w:rsidR="0007275F" w:rsidRPr="008924E0">
        <w:rPr>
          <w:iCs/>
          <w:color w:val="000000"/>
          <w:lang w:val="bs-Latn-BA"/>
        </w:rPr>
        <w:t>u</w:t>
      </w:r>
      <w:r w:rsidRPr="008924E0">
        <w:rPr>
          <w:iCs/>
          <w:color w:val="000000"/>
          <w:lang w:val="bs-Latn-BA"/>
        </w:rPr>
        <w:t xml:space="preserve"> </w:t>
      </w:r>
      <w:r w:rsidR="0007275F" w:rsidRPr="008924E0">
        <w:rPr>
          <w:iCs/>
          <w:color w:val="000000"/>
          <w:lang w:val="bs-Latn-BA"/>
        </w:rPr>
        <w:t xml:space="preserve">broja i </w:t>
      </w:r>
      <w:r w:rsidRPr="008924E0">
        <w:rPr>
          <w:iCs/>
          <w:color w:val="000000"/>
          <w:lang w:val="bs-Latn-BA"/>
        </w:rPr>
        <w:t>površin</w:t>
      </w:r>
      <w:r w:rsidR="0007275F" w:rsidRPr="008924E0">
        <w:rPr>
          <w:iCs/>
          <w:color w:val="000000"/>
          <w:lang w:val="bs-Latn-BA"/>
        </w:rPr>
        <w:t>e</w:t>
      </w:r>
      <w:r w:rsidRPr="008924E0">
        <w:rPr>
          <w:iCs/>
          <w:color w:val="000000"/>
          <w:lang w:val="bs-Latn-BA"/>
        </w:rPr>
        <w:t xml:space="preserve"> fonda komercijalnih zgrada moguće je izvršiti na osnovu podatka  iz poreskih prijava tj. korisne površine.</w:t>
      </w:r>
      <w:r w:rsidR="0007275F" w:rsidRPr="008924E0">
        <w:rPr>
          <w:iCs/>
          <w:color w:val="000000"/>
          <w:lang w:val="bs-Latn-BA"/>
        </w:rPr>
        <w:t xml:space="preserve"> Od objekata, ovdje se kao kategorije javljaju: </w:t>
      </w:r>
    </w:p>
    <w:p w14:paraId="47F58803" w14:textId="77777777" w:rsidR="0007275F" w:rsidRPr="008924E0" w:rsidRDefault="0007275F" w:rsidP="008A246A">
      <w:pPr>
        <w:pStyle w:val="ListParagraph"/>
        <w:numPr>
          <w:ilvl w:val="1"/>
          <w:numId w:val="2"/>
        </w:numPr>
        <w:pBdr>
          <w:top w:val="nil"/>
          <w:left w:val="nil"/>
          <w:bottom w:val="nil"/>
          <w:right w:val="nil"/>
          <w:between w:val="nil"/>
        </w:pBdr>
        <w:spacing w:after="0"/>
        <w:jc w:val="left"/>
        <w:rPr>
          <w:iCs/>
          <w:color w:val="000000"/>
        </w:rPr>
      </w:pPr>
      <w:r w:rsidRPr="008924E0">
        <w:rPr>
          <w:iCs/>
          <w:color w:val="000000"/>
        </w:rPr>
        <w:t>kuća, zgrada ili stan</w:t>
      </w:r>
    </w:p>
    <w:p w14:paraId="316FAC3D" w14:textId="77777777" w:rsidR="0007275F" w:rsidRPr="008924E0" w:rsidRDefault="0007275F" w:rsidP="008A246A">
      <w:pPr>
        <w:pStyle w:val="ListParagraph"/>
        <w:numPr>
          <w:ilvl w:val="1"/>
          <w:numId w:val="2"/>
        </w:numPr>
        <w:pBdr>
          <w:top w:val="nil"/>
          <w:left w:val="nil"/>
          <w:bottom w:val="nil"/>
          <w:right w:val="nil"/>
          <w:between w:val="nil"/>
        </w:pBdr>
        <w:spacing w:after="0"/>
        <w:jc w:val="left"/>
        <w:rPr>
          <w:iCs/>
          <w:color w:val="000000"/>
        </w:rPr>
      </w:pPr>
      <w:r w:rsidRPr="008924E0">
        <w:rPr>
          <w:iCs/>
          <w:color w:val="000000"/>
        </w:rPr>
        <w:t>poslovna prostorija</w:t>
      </w:r>
    </w:p>
    <w:p w14:paraId="242F6F23" w14:textId="77777777" w:rsidR="0007275F" w:rsidRPr="008924E0" w:rsidRDefault="0007275F" w:rsidP="008A246A">
      <w:pPr>
        <w:pStyle w:val="ListParagraph"/>
        <w:numPr>
          <w:ilvl w:val="1"/>
          <w:numId w:val="2"/>
        </w:numPr>
        <w:pBdr>
          <w:top w:val="nil"/>
          <w:left w:val="nil"/>
          <w:bottom w:val="nil"/>
          <w:right w:val="nil"/>
          <w:between w:val="nil"/>
        </w:pBdr>
        <w:spacing w:after="0"/>
        <w:jc w:val="left"/>
        <w:rPr>
          <w:iCs/>
          <w:color w:val="000000"/>
        </w:rPr>
      </w:pPr>
      <w:r w:rsidRPr="008924E0">
        <w:rPr>
          <w:iCs/>
          <w:color w:val="000000"/>
        </w:rPr>
        <w:t>zgrada ili stan za odmor i rekreaciju</w:t>
      </w:r>
    </w:p>
    <w:p w14:paraId="4AC7566C" w14:textId="77777777" w:rsidR="0007275F" w:rsidRPr="008924E0" w:rsidRDefault="0007275F" w:rsidP="007F1ECE">
      <w:pPr>
        <w:pStyle w:val="ListParagraph"/>
        <w:numPr>
          <w:ilvl w:val="1"/>
          <w:numId w:val="2"/>
        </w:numPr>
        <w:pBdr>
          <w:top w:val="nil"/>
          <w:left w:val="nil"/>
          <w:bottom w:val="nil"/>
          <w:right w:val="nil"/>
          <w:between w:val="nil"/>
        </w:pBdr>
        <w:spacing w:after="120" w:line="276" w:lineRule="auto"/>
        <w:jc w:val="left"/>
        <w:rPr>
          <w:iCs/>
          <w:color w:val="000000"/>
        </w:rPr>
      </w:pPr>
      <w:r w:rsidRPr="008924E0">
        <w:rPr>
          <w:iCs/>
          <w:color w:val="000000"/>
        </w:rPr>
        <w:t>garaža koja se izdaje.</w:t>
      </w:r>
    </w:p>
    <w:p w14:paraId="12DD5784" w14:textId="717B0F91" w:rsidR="0007275F" w:rsidRPr="008924E0" w:rsidRDefault="0007275F" w:rsidP="0007275F">
      <w:pPr>
        <w:pBdr>
          <w:top w:val="nil"/>
          <w:left w:val="nil"/>
          <w:bottom w:val="nil"/>
          <w:right w:val="nil"/>
          <w:between w:val="nil"/>
        </w:pBdr>
        <w:spacing w:after="200" w:line="240" w:lineRule="auto"/>
        <w:rPr>
          <w:iCs/>
          <w:color w:val="000000"/>
          <w:lang w:val="bs-Latn-BA"/>
        </w:rPr>
      </w:pPr>
      <w:r w:rsidRPr="008924E0">
        <w:rPr>
          <w:iCs/>
          <w:color w:val="000000"/>
          <w:lang w:val="bs-Latn-BA"/>
        </w:rPr>
        <w:t xml:space="preserve">Međutim, Porezna uprava Federacije BiH, kao nadležna ustanova za prikupljanje ovih podataka, nije dostavila navedene podatke kako bi se oni analizirali i uvrstili u ovaj dokument. </w:t>
      </w:r>
    </w:p>
    <w:p w14:paraId="0016B463" w14:textId="77777777" w:rsidR="00055321" w:rsidRPr="008924E0" w:rsidRDefault="00740D4F" w:rsidP="00045BB4">
      <w:pPr>
        <w:pStyle w:val="Heading4"/>
        <w:numPr>
          <w:ilvl w:val="3"/>
          <w:numId w:val="33"/>
        </w:numPr>
        <w:ind w:left="1890" w:hanging="810"/>
        <w:rPr>
          <w:lang w:val="bs-Latn-BA"/>
        </w:rPr>
      </w:pPr>
      <w:bookmarkStart w:id="48" w:name="_heading=h.vx1227" w:colFirst="0" w:colLast="0"/>
      <w:bookmarkStart w:id="49" w:name="_heading=h.av6atii7e9pm" w:colFirst="0" w:colLast="0"/>
      <w:bookmarkStart w:id="50" w:name="_heading=h.3fwokq0" w:colFirst="0" w:colLast="0"/>
      <w:bookmarkStart w:id="51" w:name="_heading=h.1v1yuxt" w:colFirst="0" w:colLast="0"/>
      <w:bookmarkStart w:id="52" w:name="_Toc134011758"/>
      <w:bookmarkEnd w:id="48"/>
      <w:bookmarkEnd w:id="49"/>
      <w:bookmarkEnd w:id="50"/>
      <w:bookmarkEnd w:id="51"/>
      <w:r w:rsidRPr="008924E0">
        <w:rPr>
          <w:lang w:val="bs-Latn-BA"/>
        </w:rPr>
        <w:t>Energijske karakteristike zgrada</w:t>
      </w:r>
      <w:bookmarkEnd w:id="52"/>
    </w:p>
    <w:p w14:paraId="0212E9C6" w14:textId="77777777" w:rsidR="00055321" w:rsidRPr="008924E0" w:rsidRDefault="00740D4F">
      <w:pPr>
        <w:pStyle w:val="Heading5"/>
        <w:rPr>
          <w:lang w:val="bs-Latn-BA"/>
        </w:rPr>
      </w:pPr>
      <w:bookmarkStart w:id="53" w:name="_Toc116978348"/>
      <w:bookmarkStart w:id="54" w:name="_Toc118295906"/>
      <w:r w:rsidRPr="008924E0">
        <w:rPr>
          <w:lang w:val="bs-Latn-BA"/>
        </w:rPr>
        <w:t>Energijski razredi zgrada</w:t>
      </w:r>
      <w:bookmarkEnd w:id="53"/>
      <w:bookmarkEnd w:id="54"/>
    </w:p>
    <w:p w14:paraId="2A9F0010" w14:textId="77777777" w:rsidR="00055321" w:rsidRPr="008924E0" w:rsidRDefault="00740D4F">
      <w:pPr>
        <w:pStyle w:val="Heading5"/>
        <w:rPr>
          <w:b w:val="0"/>
          <w:i/>
          <w:lang w:val="bs-Latn-BA"/>
        </w:rPr>
      </w:pPr>
      <w:bookmarkStart w:id="55" w:name="_Toc116978349"/>
      <w:bookmarkStart w:id="56" w:name="_Toc118295907"/>
      <w:r w:rsidRPr="008924E0">
        <w:rPr>
          <w:b w:val="0"/>
          <w:i/>
          <w:lang w:val="bs-Latn-BA"/>
        </w:rPr>
        <w:t>Stambene</w:t>
      </w:r>
      <w:r w:rsidRPr="008924E0">
        <w:rPr>
          <w:b w:val="0"/>
          <w:lang w:val="bs-Latn-BA"/>
        </w:rPr>
        <w:t xml:space="preserve"> </w:t>
      </w:r>
      <w:r w:rsidRPr="008924E0">
        <w:rPr>
          <w:b w:val="0"/>
          <w:i/>
          <w:lang w:val="bs-Latn-BA"/>
        </w:rPr>
        <w:t>zgrade</w:t>
      </w:r>
      <w:bookmarkEnd w:id="55"/>
      <w:bookmarkEnd w:id="56"/>
    </w:p>
    <w:p w14:paraId="30D2309C" w14:textId="350596E2" w:rsidR="00055321" w:rsidRPr="008924E0" w:rsidRDefault="00740D4F">
      <w:pPr>
        <w:rPr>
          <w:lang w:val="bs-Latn-BA"/>
        </w:rPr>
      </w:pPr>
      <w:r w:rsidRPr="008924E0">
        <w:rPr>
          <w:lang w:val="bs-Latn-BA"/>
        </w:rPr>
        <w:t xml:space="preserve">Potrošnja stambenih i javnih zgrada je </w:t>
      </w:r>
      <w:r w:rsidR="00C75461" w:rsidRPr="008924E0">
        <w:rPr>
          <w:lang w:val="bs-Latn-BA"/>
        </w:rPr>
        <w:t xml:space="preserve">izračunata i upoređena sa </w:t>
      </w:r>
      <w:r w:rsidRPr="008924E0">
        <w:rPr>
          <w:lang w:val="bs-Latn-BA"/>
        </w:rPr>
        <w:t>podacima iz EUROSTAT-a</w:t>
      </w:r>
      <w:r w:rsidR="00C75461" w:rsidRPr="008924E0">
        <w:rPr>
          <w:lang w:val="bs-Latn-BA"/>
        </w:rPr>
        <w:t xml:space="preserve"> za 2019. godinu</w:t>
      </w:r>
      <w:r w:rsidRPr="008924E0">
        <w:rPr>
          <w:lang w:val="bs-Latn-BA"/>
        </w:rPr>
        <w:t xml:space="preserve">, u kojem su dati godišnji podaci o finalnoj potrošnji sektora izraženoj u toni ekvivalenta nafte (toe) na nivou </w:t>
      </w:r>
      <w:r w:rsidRPr="00054D93">
        <w:rPr>
          <w:color w:val="000000" w:themeColor="text1"/>
          <w:lang w:val="bs-Latn-BA"/>
        </w:rPr>
        <w:t>države</w:t>
      </w:r>
      <w:r w:rsidR="00C75461" w:rsidRPr="00054D93">
        <w:rPr>
          <w:color w:val="000000" w:themeColor="text1"/>
          <w:lang w:val="bs-Latn-BA"/>
        </w:rPr>
        <w:t xml:space="preserve"> (</w:t>
      </w:r>
      <w:r w:rsidRPr="00054D93">
        <w:rPr>
          <w:color w:val="000000" w:themeColor="text1"/>
          <w:lang w:val="bs-Latn-BA"/>
        </w:rPr>
        <w:t>Tabel</w:t>
      </w:r>
      <w:r w:rsidR="00C75461" w:rsidRPr="00054D93">
        <w:rPr>
          <w:color w:val="000000" w:themeColor="text1"/>
          <w:lang w:val="bs-Latn-BA"/>
        </w:rPr>
        <w:t>a</w:t>
      </w:r>
      <w:r w:rsidRPr="00054D93">
        <w:rPr>
          <w:color w:val="000000" w:themeColor="text1"/>
          <w:lang w:val="bs-Latn-BA"/>
        </w:rPr>
        <w:t xml:space="preserve"> </w:t>
      </w:r>
      <w:r w:rsidR="00FE5AB8">
        <w:rPr>
          <w:color w:val="000000" w:themeColor="text1"/>
          <w:lang w:val="bs-Latn-BA"/>
        </w:rPr>
        <w:t>2.3</w:t>
      </w:r>
      <w:r w:rsidRPr="00054D93">
        <w:rPr>
          <w:color w:val="000000" w:themeColor="text1"/>
          <w:lang w:val="bs-Latn-BA"/>
        </w:rPr>
        <w:t>.</w:t>
      </w:r>
      <w:r w:rsidR="00C75461" w:rsidRPr="00054D93">
        <w:rPr>
          <w:color w:val="000000" w:themeColor="text1"/>
          <w:lang w:val="bs-Latn-BA"/>
        </w:rPr>
        <w:t>).</w:t>
      </w:r>
      <w:r w:rsidRPr="00054D93">
        <w:rPr>
          <w:color w:val="000000" w:themeColor="text1"/>
          <w:lang w:val="bs-Latn-BA"/>
        </w:rPr>
        <w:t xml:space="preserve"> </w:t>
      </w:r>
      <w:r w:rsidRPr="008924E0">
        <w:rPr>
          <w:lang w:val="bs-Latn-BA"/>
        </w:rPr>
        <w:t>Odstupanja ukupne potrošnje finalne energije od podataka EUROSTAT-a iznose 1,2 %. U Tabeli su označene kategorije zgrada koje su najveći apsolutni potrošači finalne energije za grijanje. Kategorija SH iz perioda izgradnje 1971</w:t>
      </w:r>
      <w:r w:rsidR="00FC223E" w:rsidRPr="008924E0">
        <w:rPr>
          <w:lang w:val="bs-Latn-BA"/>
        </w:rPr>
        <w:t>.</w:t>
      </w:r>
      <w:r w:rsidRPr="008924E0">
        <w:rPr>
          <w:lang w:val="bs-Latn-BA"/>
        </w:rPr>
        <w:t>-1980</w:t>
      </w:r>
      <w:r w:rsidR="00FC223E" w:rsidRPr="008924E0">
        <w:rPr>
          <w:lang w:val="bs-Latn-BA"/>
        </w:rPr>
        <w:t>.</w:t>
      </w:r>
      <w:r w:rsidRPr="008924E0">
        <w:rPr>
          <w:lang w:val="bs-Latn-BA"/>
        </w:rPr>
        <w:t xml:space="preserve"> predstavlja kategoriju sa najvećom apsolutnom potrošnjom finalne energije za grijanje. Naredna je kategorija SH 1992</w:t>
      </w:r>
      <w:r w:rsidR="00FC223E" w:rsidRPr="008924E0">
        <w:rPr>
          <w:lang w:val="bs-Latn-BA"/>
        </w:rPr>
        <w:t>.</w:t>
      </w:r>
      <w:r w:rsidRPr="008924E0">
        <w:rPr>
          <w:lang w:val="bs-Latn-BA"/>
        </w:rPr>
        <w:t>-2013</w:t>
      </w:r>
      <w:r w:rsidR="00FC223E" w:rsidRPr="008924E0">
        <w:rPr>
          <w:lang w:val="bs-Latn-BA"/>
        </w:rPr>
        <w:t>.</w:t>
      </w:r>
      <w:r w:rsidRPr="008924E0">
        <w:rPr>
          <w:lang w:val="bs-Latn-BA"/>
        </w:rPr>
        <w:t xml:space="preserve"> koja obuhvata značajno duži period izgradnje i veći broj zgrada, te kategorija SH 1981</w:t>
      </w:r>
      <w:r w:rsidR="00FC223E" w:rsidRPr="008924E0">
        <w:rPr>
          <w:lang w:val="bs-Latn-BA"/>
        </w:rPr>
        <w:t>.</w:t>
      </w:r>
      <w:r w:rsidRPr="008924E0">
        <w:rPr>
          <w:lang w:val="bs-Latn-BA"/>
        </w:rPr>
        <w:t>-1991. Od zgrada kolektivnog stanovanja izdvaja se kategorija AB2 sa periodima izgradnje 1971</w:t>
      </w:r>
      <w:r w:rsidR="00FC223E" w:rsidRPr="008924E0">
        <w:rPr>
          <w:lang w:val="bs-Latn-BA"/>
        </w:rPr>
        <w:t>.</w:t>
      </w:r>
      <w:r w:rsidRPr="008924E0">
        <w:rPr>
          <w:lang w:val="bs-Latn-BA"/>
        </w:rPr>
        <w:t>-1980</w:t>
      </w:r>
      <w:r w:rsidR="00FC223E" w:rsidRPr="008924E0">
        <w:rPr>
          <w:lang w:val="bs-Latn-BA"/>
        </w:rPr>
        <w:t>.</w:t>
      </w:r>
      <w:r w:rsidRPr="008924E0">
        <w:rPr>
          <w:lang w:val="bs-Latn-BA"/>
        </w:rPr>
        <w:t xml:space="preserve"> i 1961</w:t>
      </w:r>
      <w:r w:rsidR="00FC223E" w:rsidRPr="008924E0">
        <w:rPr>
          <w:lang w:val="bs-Latn-BA"/>
        </w:rPr>
        <w:t>.</w:t>
      </w:r>
      <w:r w:rsidRPr="008924E0">
        <w:rPr>
          <w:lang w:val="bs-Latn-BA"/>
        </w:rPr>
        <w:t>-1970</w:t>
      </w:r>
      <w:r w:rsidR="00FC223E" w:rsidRPr="008924E0">
        <w:rPr>
          <w:lang w:val="bs-Latn-BA"/>
        </w:rPr>
        <w:t>.</w:t>
      </w:r>
      <w:r w:rsidRPr="008924E0">
        <w:rPr>
          <w:lang w:val="bs-Latn-BA"/>
        </w:rPr>
        <w:t xml:space="preserve"> te MH, takođe</w:t>
      </w:r>
      <w:r w:rsidR="008A246A" w:rsidRPr="008924E0">
        <w:rPr>
          <w:lang w:val="bs-Latn-BA"/>
        </w:rPr>
        <w:t>r</w:t>
      </w:r>
      <w:r w:rsidRPr="008924E0">
        <w:rPr>
          <w:lang w:val="bs-Latn-BA"/>
        </w:rPr>
        <w:t xml:space="preserve"> u ovim periodima izgradnje. </w:t>
      </w:r>
    </w:p>
    <w:p w14:paraId="2FD8E5CD" w14:textId="63D31CB1" w:rsidR="00973648" w:rsidRPr="008924E0" w:rsidRDefault="00973648" w:rsidP="00973648">
      <w:pPr>
        <w:pStyle w:val="Caption"/>
        <w:keepNext/>
      </w:pPr>
      <w:bookmarkStart w:id="57" w:name="_heading=h.3tbugp1" w:colFirst="0" w:colLast="0"/>
      <w:bookmarkStart w:id="58" w:name="_Toc133499538"/>
      <w:bookmarkEnd w:id="57"/>
      <w:r w:rsidRPr="008924E0">
        <w:t xml:space="preserve">Tabela </w:t>
      </w:r>
      <w:fldSimple w:instr=" STYLEREF 1 \s ">
        <w:r w:rsidR="004A246B">
          <w:rPr>
            <w:noProof/>
          </w:rPr>
          <w:t>2</w:t>
        </w:r>
      </w:fldSimple>
      <w:r w:rsidR="004A246B">
        <w:t>.</w:t>
      </w:r>
      <w:r w:rsidR="00000000">
        <w:fldChar w:fldCharType="begin"/>
      </w:r>
      <w:r w:rsidR="00000000">
        <w:instrText xml:space="preserve"> SEQ Tabela \* ARABIC \s 1 </w:instrText>
      </w:r>
      <w:r w:rsidR="00000000">
        <w:fldChar w:fldCharType="separate"/>
      </w:r>
      <w:r w:rsidR="004A246B">
        <w:rPr>
          <w:noProof/>
        </w:rPr>
        <w:t>3</w:t>
      </w:r>
      <w:r w:rsidR="00000000">
        <w:rPr>
          <w:noProof/>
        </w:rPr>
        <w:fldChar w:fldCharType="end"/>
      </w:r>
      <w:r w:rsidRPr="008924E0">
        <w:rPr>
          <w:color w:val="000000"/>
        </w:rPr>
        <w:t xml:space="preserve"> Finalna potrošnja energija za grijanje stambenih zgrada u FBiH, MWh/god.</w:t>
      </w:r>
      <w:bookmarkEnd w:id="58"/>
    </w:p>
    <w:tbl>
      <w:tblPr>
        <w:tblStyle w:val="23"/>
        <w:tblW w:w="7660" w:type="dxa"/>
        <w:tblLayout w:type="fixed"/>
        <w:tblLook w:val="0400" w:firstRow="0" w:lastRow="0" w:firstColumn="0" w:lastColumn="0" w:noHBand="0" w:noVBand="1"/>
      </w:tblPr>
      <w:tblGrid>
        <w:gridCol w:w="1395"/>
        <w:gridCol w:w="1136"/>
        <w:gridCol w:w="1181"/>
        <w:gridCol w:w="973"/>
        <w:gridCol w:w="973"/>
        <w:gridCol w:w="1127"/>
        <w:gridCol w:w="875"/>
      </w:tblGrid>
      <w:tr w:rsidR="00FB0871" w:rsidRPr="008924E0" w14:paraId="1336AFD3" w14:textId="77777777" w:rsidTr="00FB0871">
        <w:trPr>
          <w:trHeight w:val="552"/>
        </w:trPr>
        <w:tc>
          <w:tcPr>
            <w:tcW w:w="1395" w:type="dxa"/>
            <w:vMerge w:val="restart"/>
            <w:tcBorders>
              <w:top w:val="single" w:sz="12" w:space="0" w:color="FFFFFF"/>
              <w:left w:val="single" w:sz="12" w:space="0" w:color="FFFFFF"/>
              <w:bottom w:val="single" w:sz="12" w:space="0" w:color="FFFFFF"/>
              <w:right w:val="single" w:sz="12" w:space="0" w:color="FFFFFF"/>
            </w:tcBorders>
            <w:shd w:val="clear" w:color="auto" w:fill="006432"/>
            <w:vAlign w:val="center"/>
          </w:tcPr>
          <w:p w14:paraId="2AC7907A"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Period izgradnje </w:t>
            </w:r>
          </w:p>
        </w:tc>
        <w:tc>
          <w:tcPr>
            <w:tcW w:w="2317" w:type="dxa"/>
            <w:gridSpan w:val="2"/>
            <w:tcBorders>
              <w:top w:val="single" w:sz="12" w:space="0" w:color="FFFFFF"/>
              <w:left w:val="nil"/>
              <w:bottom w:val="single" w:sz="12" w:space="0" w:color="FFFFFF"/>
              <w:right w:val="single" w:sz="12" w:space="0" w:color="FFFFFF"/>
            </w:tcBorders>
            <w:shd w:val="clear" w:color="auto" w:fill="006432"/>
            <w:vAlign w:val="center"/>
          </w:tcPr>
          <w:p w14:paraId="44FE72AF"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Individualno stanovanje</w:t>
            </w:r>
          </w:p>
        </w:tc>
        <w:tc>
          <w:tcPr>
            <w:tcW w:w="3948" w:type="dxa"/>
            <w:gridSpan w:val="4"/>
            <w:tcBorders>
              <w:top w:val="single" w:sz="12" w:space="0" w:color="FFFFFF"/>
              <w:left w:val="nil"/>
              <w:bottom w:val="single" w:sz="12" w:space="0" w:color="FFFFFF"/>
              <w:right w:val="single" w:sz="12" w:space="0" w:color="FFFFFF"/>
            </w:tcBorders>
            <w:shd w:val="clear" w:color="auto" w:fill="006432"/>
            <w:vAlign w:val="center"/>
          </w:tcPr>
          <w:p w14:paraId="70827FA9"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Kolektivno stanovanje</w:t>
            </w:r>
          </w:p>
        </w:tc>
      </w:tr>
      <w:tr w:rsidR="00FB0871" w:rsidRPr="008924E0" w14:paraId="221B108F" w14:textId="77777777" w:rsidTr="00FB0871">
        <w:trPr>
          <w:trHeight w:val="312"/>
        </w:trPr>
        <w:tc>
          <w:tcPr>
            <w:tcW w:w="1395" w:type="dxa"/>
            <w:vMerge/>
            <w:tcBorders>
              <w:top w:val="single" w:sz="12" w:space="0" w:color="FFFFFF"/>
              <w:left w:val="single" w:sz="12" w:space="0" w:color="FFFFFF"/>
              <w:bottom w:val="single" w:sz="12" w:space="0" w:color="FFFFFF"/>
              <w:right w:val="single" w:sz="12" w:space="0" w:color="FFFFFF"/>
            </w:tcBorders>
            <w:shd w:val="clear" w:color="auto" w:fill="006432"/>
            <w:vAlign w:val="center"/>
          </w:tcPr>
          <w:p w14:paraId="3403E4C1" w14:textId="77777777" w:rsidR="00FB0871" w:rsidRPr="008924E0" w:rsidRDefault="00FB0871">
            <w:pPr>
              <w:widowControl w:val="0"/>
              <w:pBdr>
                <w:top w:val="nil"/>
                <w:left w:val="nil"/>
                <w:bottom w:val="nil"/>
                <w:right w:val="nil"/>
                <w:between w:val="nil"/>
              </w:pBdr>
              <w:spacing w:after="0" w:line="276" w:lineRule="auto"/>
              <w:jc w:val="left"/>
              <w:rPr>
                <w:b/>
                <w:color w:val="FFFFFF"/>
                <w:sz w:val="20"/>
                <w:szCs w:val="20"/>
                <w:lang w:val="bs-Latn-BA"/>
              </w:rPr>
            </w:pPr>
          </w:p>
        </w:tc>
        <w:tc>
          <w:tcPr>
            <w:tcW w:w="1136" w:type="dxa"/>
            <w:tcBorders>
              <w:top w:val="nil"/>
              <w:left w:val="nil"/>
              <w:bottom w:val="single" w:sz="12" w:space="0" w:color="FFFFFF"/>
              <w:right w:val="single" w:sz="12" w:space="0" w:color="FFFFFF"/>
            </w:tcBorders>
            <w:shd w:val="clear" w:color="auto" w:fill="006432"/>
            <w:vAlign w:val="center"/>
          </w:tcPr>
          <w:p w14:paraId="146B954F"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SH</w:t>
            </w:r>
          </w:p>
        </w:tc>
        <w:tc>
          <w:tcPr>
            <w:tcW w:w="1181" w:type="dxa"/>
            <w:tcBorders>
              <w:top w:val="nil"/>
              <w:left w:val="nil"/>
              <w:bottom w:val="single" w:sz="12" w:space="0" w:color="FFFFFF"/>
              <w:right w:val="single" w:sz="12" w:space="0" w:color="FFFFFF"/>
            </w:tcBorders>
            <w:shd w:val="clear" w:color="auto" w:fill="006432"/>
            <w:vAlign w:val="center"/>
          </w:tcPr>
          <w:p w14:paraId="7E4BBF54"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TH</w:t>
            </w:r>
          </w:p>
        </w:tc>
        <w:tc>
          <w:tcPr>
            <w:tcW w:w="973" w:type="dxa"/>
            <w:tcBorders>
              <w:top w:val="nil"/>
              <w:left w:val="nil"/>
              <w:bottom w:val="single" w:sz="12" w:space="0" w:color="FFFFFF"/>
              <w:right w:val="single" w:sz="12" w:space="0" w:color="FFFFFF"/>
            </w:tcBorders>
            <w:shd w:val="clear" w:color="auto" w:fill="006432"/>
            <w:vAlign w:val="center"/>
          </w:tcPr>
          <w:p w14:paraId="3AF7EC3B"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MH</w:t>
            </w:r>
          </w:p>
        </w:tc>
        <w:tc>
          <w:tcPr>
            <w:tcW w:w="973" w:type="dxa"/>
            <w:tcBorders>
              <w:top w:val="nil"/>
              <w:left w:val="nil"/>
              <w:bottom w:val="single" w:sz="12" w:space="0" w:color="FFFFFF"/>
              <w:right w:val="single" w:sz="12" w:space="0" w:color="FFFFFF"/>
            </w:tcBorders>
            <w:shd w:val="clear" w:color="auto" w:fill="006432"/>
            <w:vAlign w:val="center"/>
          </w:tcPr>
          <w:p w14:paraId="542E70DE"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AB1</w:t>
            </w:r>
          </w:p>
        </w:tc>
        <w:tc>
          <w:tcPr>
            <w:tcW w:w="1127" w:type="dxa"/>
            <w:tcBorders>
              <w:top w:val="nil"/>
              <w:left w:val="nil"/>
              <w:bottom w:val="single" w:sz="12" w:space="0" w:color="FFFFFF"/>
              <w:right w:val="single" w:sz="12" w:space="0" w:color="FFFFFF"/>
            </w:tcBorders>
            <w:shd w:val="clear" w:color="auto" w:fill="006432"/>
            <w:vAlign w:val="center"/>
          </w:tcPr>
          <w:p w14:paraId="14ACE1E6"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AB2</w:t>
            </w:r>
          </w:p>
        </w:tc>
        <w:tc>
          <w:tcPr>
            <w:tcW w:w="875" w:type="dxa"/>
            <w:tcBorders>
              <w:top w:val="nil"/>
              <w:left w:val="nil"/>
              <w:bottom w:val="single" w:sz="12" w:space="0" w:color="FFFFFF"/>
              <w:right w:val="single" w:sz="12" w:space="0" w:color="FFFFFF"/>
            </w:tcBorders>
            <w:shd w:val="clear" w:color="auto" w:fill="006432"/>
            <w:vAlign w:val="center"/>
          </w:tcPr>
          <w:p w14:paraId="4762E196" w14:textId="77777777" w:rsidR="00FB0871" w:rsidRPr="008924E0" w:rsidRDefault="00FB0871">
            <w:pPr>
              <w:spacing w:after="0" w:line="240" w:lineRule="auto"/>
              <w:jc w:val="center"/>
              <w:rPr>
                <w:b/>
                <w:color w:val="FFFFFF"/>
                <w:sz w:val="20"/>
                <w:szCs w:val="20"/>
                <w:lang w:val="bs-Latn-BA"/>
              </w:rPr>
            </w:pPr>
            <w:r w:rsidRPr="008924E0">
              <w:rPr>
                <w:b/>
                <w:color w:val="FFFFFF"/>
                <w:sz w:val="20"/>
                <w:szCs w:val="20"/>
                <w:lang w:val="bs-Latn-BA"/>
              </w:rPr>
              <w:t>H</w:t>
            </w:r>
          </w:p>
        </w:tc>
      </w:tr>
      <w:tr w:rsidR="00FB0871" w:rsidRPr="008924E0" w14:paraId="3E04EF5E" w14:textId="77777777" w:rsidTr="00FB0871">
        <w:trPr>
          <w:trHeight w:val="312"/>
        </w:trPr>
        <w:tc>
          <w:tcPr>
            <w:tcW w:w="1395" w:type="dxa"/>
            <w:tcBorders>
              <w:top w:val="nil"/>
              <w:left w:val="nil"/>
              <w:bottom w:val="single" w:sz="12" w:space="0" w:color="FFFFFF"/>
              <w:right w:val="single" w:sz="12" w:space="0" w:color="FFFFFF"/>
            </w:tcBorders>
            <w:shd w:val="clear" w:color="auto" w:fill="E9E9E9"/>
            <w:vAlign w:val="center"/>
          </w:tcPr>
          <w:p w14:paraId="03571253" w14:textId="08DB75C6"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t>do 1945.</w:t>
            </w:r>
          </w:p>
        </w:tc>
        <w:tc>
          <w:tcPr>
            <w:tcW w:w="1136" w:type="dxa"/>
            <w:tcBorders>
              <w:top w:val="nil"/>
              <w:left w:val="nil"/>
              <w:bottom w:val="single" w:sz="12" w:space="0" w:color="FFFFFF"/>
              <w:right w:val="single" w:sz="12" w:space="0" w:color="FFFFFF"/>
            </w:tcBorders>
            <w:shd w:val="clear" w:color="auto" w:fill="FFE884"/>
            <w:vAlign w:val="center"/>
          </w:tcPr>
          <w:p w14:paraId="3E669B7F"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117.100</w:t>
            </w:r>
          </w:p>
        </w:tc>
        <w:tc>
          <w:tcPr>
            <w:tcW w:w="1181" w:type="dxa"/>
            <w:tcBorders>
              <w:top w:val="nil"/>
              <w:left w:val="nil"/>
              <w:bottom w:val="single" w:sz="12" w:space="0" w:color="FFFFFF"/>
              <w:right w:val="single" w:sz="12" w:space="0" w:color="FFFFFF"/>
            </w:tcBorders>
            <w:shd w:val="clear" w:color="auto" w:fill="69BF7B"/>
            <w:vAlign w:val="center"/>
          </w:tcPr>
          <w:p w14:paraId="01682A76"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1.590</w:t>
            </w:r>
          </w:p>
        </w:tc>
        <w:tc>
          <w:tcPr>
            <w:tcW w:w="973" w:type="dxa"/>
            <w:tcBorders>
              <w:top w:val="nil"/>
              <w:left w:val="nil"/>
              <w:bottom w:val="single" w:sz="12" w:space="0" w:color="FFFFFF"/>
              <w:right w:val="single" w:sz="12" w:space="0" w:color="FFFFFF"/>
            </w:tcBorders>
            <w:shd w:val="clear" w:color="auto" w:fill="BCD780"/>
            <w:vAlign w:val="center"/>
          </w:tcPr>
          <w:p w14:paraId="1431A3BF"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20.583</w:t>
            </w:r>
          </w:p>
        </w:tc>
        <w:tc>
          <w:tcPr>
            <w:tcW w:w="973" w:type="dxa"/>
            <w:tcBorders>
              <w:top w:val="nil"/>
              <w:left w:val="nil"/>
              <w:bottom w:val="single" w:sz="12" w:space="0" w:color="FFFFFF"/>
              <w:right w:val="single" w:sz="12" w:space="0" w:color="FFFFFF"/>
            </w:tcBorders>
            <w:shd w:val="clear" w:color="auto" w:fill="BAD780"/>
            <w:vAlign w:val="center"/>
          </w:tcPr>
          <w:p w14:paraId="4F6396AD"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20.143</w:t>
            </w:r>
          </w:p>
        </w:tc>
        <w:tc>
          <w:tcPr>
            <w:tcW w:w="1127" w:type="dxa"/>
            <w:tcBorders>
              <w:top w:val="nil"/>
              <w:left w:val="nil"/>
              <w:bottom w:val="single" w:sz="12" w:space="0" w:color="FFFFFF"/>
              <w:right w:val="single" w:sz="12" w:space="0" w:color="FFFFFF"/>
            </w:tcBorders>
            <w:shd w:val="clear" w:color="auto" w:fill="63BE7B"/>
            <w:vAlign w:val="center"/>
          </w:tcPr>
          <w:p w14:paraId="3A984A58"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0</w:t>
            </w:r>
          </w:p>
        </w:tc>
        <w:tc>
          <w:tcPr>
            <w:tcW w:w="875" w:type="dxa"/>
            <w:tcBorders>
              <w:top w:val="nil"/>
              <w:left w:val="nil"/>
              <w:bottom w:val="single" w:sz="12" w:space="0" w:color="FFFFFF"/>
              <w:right w:val="single" w:sz="12" w:space="0" w:color="FFFFFF"/>
            </w:tcBorders>
            <w:shd w:val="clear" w:color="auto" w:fill="63BE7B"/>
            <w:vAlign w:val="center"/>
          </w:tcPr>
          <w:p w14:paraId="7F68EBE1"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2D6F78BB" w14:textId="77777777" w:rsidTr="00FB0871">
        <w:trPr>
          <w:trHeight w:val="312"/>
        </w:trPr>
        <w:tc>
          <w:tcPr>
            <w:tcW w:w="1395" w:type="dxa"/>
            <w:tcBorders>
              <w:top w:val="nil"/>
              <w:left w:val="nil"/>
              <w:bottom w:val="single" w:sz="12" w:space="0" w:color="FFFFFF"/>
              <w:right w:val="single" w:sz="12" w:space="0" w:color="FFFFFF"/>
            </w:tcBorders>
            <w:shd w:val="clear" w:color="auto" w:fill="E9E9E9"/>
            <w:vAlign w:val="center"/>
          </w:tcPr>
          <w:p w14:paraId="5E5FBECA" w14:textId="52CEAE7C"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t>1946.-1960.</w:t>
            </w:r>
          </w:p>
        </w:tc>
        <w:tc>
          <w:tcPr>
            <w:tcW w:w="1136" w:type="dxa"/>
            <w:tcBorders>
              <w:top w:val="nil"/>
              <w:left w:val="nil"/>
              <w:bottom w:val="single" w:sz="12" w:space="0" w:color="FFFFFF"/>
              <w:right w:val="single" w:sz="12" w:space="0" w:color="FFFFFF"/>
            </w:tcBorders>
            <w:shd w:val="clear" w:color="auto" w:fill="FFDD82"/>
            <w:vAlign w:val="center"/>
          </w:tcPr>
          <w:p w14:paraId="1A273CD4"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334.027</w:t>
            </w:r>
          </w:p>
        </w:tc>
        <w:tc>
          <w:tcPr>
            <w:tcW w:w="1181" w:type="dxa"/>
            <w:tcBorders>
              <w:top w:val="nil"/>
              <w:left w:val="nil"/>
              <w:bottom w:val="single" w:sz="12" w:space="0" w:color="FFFFFF"/>
              <w:right w:val="single" w:sz="12" w:space="0" w:color="FFFFFF"/>
            </w:tcBorders>
            <w:shd w:val="clear" w:color="auto" w:fill="BBD780"/>
            <w:vAlign w:val="center"/>
          </w:tcPr>
          <w:p w14:paraId="6E5544A4"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20.365</w:t>
            </w:r>
          </w:p>
        </w:tc>
        <w:tc>
          <w:tcPr>
            <w:tcW w:w="973" w:type="dxa"/>
            <w:tcBorders>
              <w:top w:val="nil"/>
              <w:left w:val="nil"/>
              <w:bottom w:val="single" w:sz="12" w:space="0" w:color="FFFFFF"/>
              <w:right w:val="single" w:sz="12" w:space="0" w:color="FFFFFF"/>
            </w:tcBorders>
            <w:shd w:val="clear" w:color="auto" w:fill="FFE884"/>
            <w:vAlign w:val="center"/>
          </w:tcPr>
          <w:p w14:paraId="5837272F"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100.654</w:t>
            </w:r>
          </w:p>
        </w:tc>
        <w:tc>
          <w:tcPr>
            <w:tcW w:w="973" w:type="dxa"/>
            <w:tcBorders>
              <w:top w:val="nil"/>
              <w:left w:val="nil"/>
              <w:bottom w:val="single" w:sz="12" w:space="0" w:color="FFFFFF"/>
              <w:right w:val="single" w:sz="12" w:space="0" w:color="FFFFFF"/>
            </w:tcBorders>
            <w:shd w:val="clear" w:color="auto" w:fill="D3DE81"/>
            <w:vAlign w:val="center"/>
          </w:tcPr>
          <w:p w14:paraId="56E72D95"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25.978</w:t>
            </w:r>
          </w:p>
        </w:tc>
        <w:tc>
          <w:tcPr>
            <w:tcW w:w="1127" w:type="dxa"/>
            <w:tcBorders>
              <w:top w:val="nil"/>
              <w:left w:val="nil"/>
              <w:bottom w:val="single" w:sz="12" w:space="0" w:color="FFFFFF"/>
              <w:right w:val="single" w:sz="12" w:space="0" w:color="FFFFFF"/>
            </w:tcBorders>
            <w:shd w:val="clear" w:color="auto" w:fill="FFEB84"/>
            <w:vAlign w:val="center"/>
          </w:tcPr>
          <w:p w14:paraId="7DCCA277"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36.889</w:t>
            </w:r>
          </w:p>
        </w:tc>
        <w:tc>
          <w:tcPr>
            <w:tcW w:w="875" w:type="dxa"/>
            <w:tcBorders>
              <w:top w:val="nil"/>
              <w:left w:val="nil"/>
              <w:bottom w:val="single" w:sz="12" w:space="0" w:color="FFFFFF"/>
              <w:right w:val="single" w:sz="12" w:space="0" w:color="FFFFFF"/>
            </w:tcBorders>
            <w:shd w:val="clear" w:color="auto" w:fill="63BE7B"/>
            <w:vAlign w:val="center"/>
          </w:tcPr>
          <w:p w14:paraId="2E819A4E"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2A267495" w14:textId="77777777" w:rsidTr="00FB0871">
        <w:trPr>
          <w:trHeight w:val="300"/>
        </w:trPr>
        <w:tc>
          <w:tcPr>
            <w:tcW w:w="1395" w:type="dxa"/>
            <w:tcBorders>
              <w:top w:val="nil"/>
              <w:left w:val="nil"/>
              <w:bottom w:val="single" w:sz="12" w:space="0" w:color="FFFFFF"/>
              <w:right w:val="single" w:sz="12" w:space="0" w:color="FFFFFF"/>
            </w:tcBorders>
            <w:shd w:val="clear" w:color="auto" w:fill="E9E9E9"/>
            <w:vAlign w:val="center"/>
          </w:tcPr>
          <w:p w14:paraId="2877717B" w14:textId="5E08B42B"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t>1961.-1970.</w:t>
            </w:r>
          </w:p>
        </w:tc>
        <w:tc>
          <w:tcPr>
            <w:tcW w:w="1136" w:type="dxa"/>
            <w:tcBorders>
              <w:top w:val="nil"/>
              <w:left w:val="nil"/>
              <w:bottom w:val="single" w:sz="12" w:space="0" w:color="FFFFFF"/>
              <w:right w:val="single" w:sz="12" w:space="0" w:color="FFFFFF"/>
            </w:tcBorders>
            <w:shd w:val="clear" w:color="auto" w:fill="FDB67A"/>
            <w:vAlign w:val="center"/>
          </w:tcPr>
          <w:p w14:paraId="09494378"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1.156.741</w:t>
            </w:r>
          </w:p>
        </w:tc>
        <w:tc>
          <w:tcPr>
            <w:tcW w:w="1181" w:type="dxa"/>
            <w:tcBorders>
              <w:top w:val="nil"/>
              <w:left w:val="nil"/>
              <w:bottom w:val="single" w:sz="12" w:space="0" w:color="FFFFFF"/>
              <w:right w:val="single" w:sz="12" w:space="0" w:color="FFFFFF"/>
            </w:tcBorders>
            <w:shd w:val="clear" w:color="auto" w:fill="FFEA84"/>
            <w:vAlign w:val="center"/>
          </w:tcPr>
          <w:p w14:paraId="5AAE0685"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73.505</w:t>
            </w:r>
          </w:p>
        </w:tc>
        <w:tc>
          <w:tcPr>
            <w:tcW w:w="973" w:type="dxa"/>
            <w:tcBorders>
              <w:top w:val="nil"/>
              <w:left w:val="nil"/>
              <w:bottom w:val="single" w:sz="12" w:space="0" w:color="FFFFFF"/>
              <w:right w:val="single" w:sz="12" w:space="0" w:color="FFFFFF"/>
            </w:tcBorders>
            <w:shd w:val="clear" w:color="auto" w:fill="FFE483"/>
            <w:vAlign w:val="center"/>
          </w:tcPr>
          <w:p w14:paraId="613CF16F"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199.202</w:t>
            </w:r>
          </w:p>
        </w:tc>
        <w:tc>
          <w:tcPr>
            <w:tcW w:w="973" w:type="dxa"/>
            <w:tcBorders>
              <w:top w:val="nil"/>
              <w:left w:val="nil"/>
              <w:bottom w:val="single" w:sz="12" w:space="0" w:color="FFFFFF"/>
              <w:right w:val="single" w:sz="12" w:space="0" w:color="FFFFFF"/>
            </w:tcBorders>
            <w:shd w:val="clear" w:color="auto" w:fill="FFE984"/>
            <w:vAlign w:val="center"/>
          </w:tcPr>
          <w:p w14:paraId="7A071659"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88.372</w:t>
            </w:r>
          </w:p>
        </w:tc>
        <w:tc>
          <w:tcPr>
            <w:tcW w:w="1127" w:type="dxa"/>
            <w:tcBorders>
              <w:top w:val="nil"/>
              <w:left w:val="nil"/>
              <w:bottom w:val="single" w:sz="12" w:space="0" w:color="FFFFFF"/>
              <w:right w:val="single" w:sz="12" w:space="0" w:color="FFFFFF"/>
            </w:tcBorders>
            <w:shd w:val="clear" w:color="auto" w:fill="FFDF82"/>
            <w:vAlign w:val="center"/>
          </w:tcPr>
          <w:p w14:paraId="7CF14B2A"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297.792</w:t>
            </w:r>
          </w:p>
        </w:tc>
        <w:tc>
          <w:tcPr>
            <w:tcW w:w="875" w:type="dxa"/>
            <w:tcBorders>
              <w:top w:val="nil"/>
              <w:left w:val="nil"/>
              <w:bottom w:val="single" w:sz="12" w:space="0" w:color="FFFFFF"/>
              <w:right w:val="single" w:sz="12" w:space="0" w:color="FFFFFF"/>
            </w:tcBorders>
            <w:shd w:val="clear" w:color="auto" w:fill="FFEB84"/>
            <w:vAlign w:val="center"/>
          </w:tcPr>
          <w:p w14:paraId="4FDD8DC2"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47.489</w:t>
            </w:r>
          </w:p>
        </w:tc>
      </w:tr>
      <w:tr w:rsidR="00FB0871" w:rsidRPr="008924E0" w14:paraId="774BA505" w14:textId="77777777" w:rsidTr="00FB0871">
        <w:trPr>
          <w:trHeight w:val="300"/>
        </w:trPr>
        <w:tc>
          <w:tcPr>
            <w:tcW w:w="1395" w:type="dxa"/>
            <w:tcBorders>
              <w:top w:val="nil"/>
              <w:left w:val="nil"/>
              <w:bottom w:val="single" w:sz="12" w:space="0" w:color="FFFFFF"/>
              <w:right w:val="single" w:sz="12" w:space="0" w:color="FFFFFF"/>
            </w:tcBorders>
            <w:shd w:val="clear" w:color="auto" w:fill="E9E9E9"/>
            <w:vAlign w:val="center"/>
          </w:tcPr>
          <w:p w14:paraId="205352B8" w14:textId="0EF4CFC2"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lastRenderedPageBreak/>
              <w:t>1971.-1980.</w:t>
            </w:r>
          </w:p>
        </w:tc>
        <w:tc>
          <w:tcPr>
            <w:tcW w:w="1136" w:type="dxa"/>
            <w:tcBorders>
              <w:top w:val="nil"/>
              <w:left w:val="nil"/>
              <w:bottom w:val="single" w:sz="12" w:space="0" w:color="FFFFFF"/>
              <w:right w:val="single" w:sz="12" w:space="0" w:color="FFFFFF"/>
            </w:tcBorders>
            <w:shd w:val="clear" w:color="auto" w:fill="F8696B"/>
            <w:vAlign w:val="center"/>
          </w:tcPr>
          <w:p w14:paraId="379932FA"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2.758.563</w:t>
            </w:r>
          </w:p>
        </w:tc>
        <w:tc>
          <w:tcPr>
            <w:tcW w:w="1181" w:type="dxa"/>
            <w:tcBorders>
              <w:top w:val="nil"/>
              <w:left w:val="nil"/>
              <w:bottom w:val="single" w:sz="12" w:space="0" w:color="FFFFFF"/>
              <w:right w:val="single" w:sz="12" w:space="0" w:color="FFFFFF"/>
            </w:tcBorders>
            <w:shd w:val="clear" w:color="auto" w:fill="FFE884"/>
            <w:vAlign w:val="center"/>
          </w:tcPr>
          <w:p w14:paraId="0B455FA7"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103.729</w:t>
            </w:r>
          </w:p>
        </w:tc>
        <w:tc>
          <w:tcPr>
            <w:tcW w:w="973" w:type="dxa"/>
            <w:tcBorders>
              <w:top w:val="nil"/>
              <w:left w:val="nil"/>
              <w:bottom w:val="single" w:sz="12" w:space="0" w:color="FFFFFF"/>
              <w:right w:val="single" w:sz="12" w:space="0" w:color="FFFFFF"/>
            </w:tcBorders>
            <w:shd w:val="clear" w:color="auto" w:fill="FFE583"/>
            <w:vAlign w:val="center"/>
          </w:tcPr>
          <w:p w14:paraId="7F7335B9"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169.694</w:t>
            </w:r>
          </w:p>
        </w:tc>
        <w:tc>
          <w:tcPr>
            <w:tcW w:w="973" w:type="dxa"/>
            <w:tcBorders>
              <w:top w:val="nil"/>
              <w:left w:val="nil"/>
              <w:bottom w:val="single" w:sz="12" w:space="0" w:color="FFFFFF"/>
              <w:right w:val="single" w:sz="12" w:space="0" w:color="FFFFFF"/>
            </w:tcBorders>
            <w:shd w:val="clear" w:color="auto" w:fill="63BE7B"/>
            <w:vAlign w:val="center"/>
          </w:tcPr>
          <w:p w14:paraId="01E0F2EC"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0</w:t>
            </w:r>
          </w:p>
        </w:tc>
        <w:tc>
          <w:tcPr>
            <w:tcW w:w="1127" w:type="dxa"/>
            <w:tcBorders>
              <w:top w:val="nil"/>
              <w:left w:val="nil"/>
              <w:bottom w:val="single" w:sz="12" w:space="0" w:color="FFFFFF"/>
              <w:right w:val="single" w:sz="12" w:space="0" w:color="FFFFFF"/>
            </w:tcBorders>
            <w:shd w:val="clear" w:color="auto" w:fill="FED380"/>
            <w:vAlign w:val="center"/>
          </w:tcPr>
          <w:p w14:paraId="2DD3ECD3"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554.194</w:t>
            </w:r>
          </w:p>
        </w:tc>
        <w:tc>
          <w:tcPr>
            <w:tcW w:w="875" w:type="dxa"/>
            <w:tcBorders>
              <w:top w:val="nil"/>
              <w:left w:val="nil"/>
              <w:bottom w:val="single" w:sz="12" w:space="0" w:color="FFFFFF"/>
              <w:right w:val="single" w:sz="12" w:space="0" w:color="FFFFFF"/>
            </w:tcBorders>
            <w:shd w:val="clear" w:color="auto" w:fill="E2E282"/>
            <w:vAlign w:val="center"/>
          </w:tcPr>
          <w:p w14:paraId="3631311F"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29.308</w:t>
            </w:r>
          </w:p>
        </w:tc>
      </w:tr>
      <w:tr w:rsidR="00FB0871" w:rsidRPr="008924E0" w14:paraId="61916F04" w14:textId="77777777" w:rsidTr="00FB0871">
        <w:trPr>
          <w:trHeight w:val="300"/>
        </w:trPr>
        <w:tc>
          <w:tcPr>
            <w:tcW w:w="1395" w:type="dxa"/>
            <w:tcBorders>
              <w:top w:val="nil"/>
              <w:left w:val="nil"/>
              <w:bottom w:val="single" w:sz="12" w:space="0" w:color="FFFFFF"/>
              <w:right w:val="single" w:sz="12" w:space="0" w:color="FFFFFF"/>
            </w:tcBorders>
            <w:shd w:val="clear" w:color="auto" w:fill="E9E9E9"/>
            <w:vAlign w:val="center"/>
          </w:tcPr>
          <w:p w14:paraId="2C06955F" w14:textId="60D2FBCC"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t>1981.-1991.</w:t>
            </w:r>
          </w:p>
        </w:tc>
        <w:tc>
          <w:tcPr>
            <w:tcW w:w="1136" w:type="dxa"/>
            <w:tcBorders>
              <w:top w:val="nil"/>
              <w:left w:val="nil"/>
              <w:bottom w:val="single" w:sz="12" w:space="0" w:color="FFFFFF"/>
              <w:right w:val="single" w:sz="12" w:space="0" w:color="FFFFFF"/>
            </w:tcBorders>
            <w:shd w:val="clear" w:color="auto" w:fill="FBA076"/>
            <w:vAlign w:val="center"/>
          </w:tcPr>
          <w:p w14:paraId="139D2E5D"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1.609.510</w:t>
            </w:r>
          </w:p>
        </w:tc>
        <w:tc>
          <w:tcPr>
            <w:tcW w:w="1181" w:type="dxa"/>
            <w:tcBorders>
              <w:top w:val="nil"/>
              <w:left w:val="nil"/>
              <w:bottom w:val="single" w:sz="12" w:space="0" w:color="FFFFFF"/>
              <w:right w:val="single" w:sz="12" w:space="0" w:color="FFFFFF"/>
            </w:tcBorders>
            <w:shd w:val="clear" w:color="auto" w:fill="FFE984"/>
            <w:vAlign w:val="center"/>
          </w:tcPr>
          <w:p w14:paraId="100858E4"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78.107</w:t>
            </w:r>
          </w:p>
        </w:tc>
        <w:tc>
          <w:tcPr>
            <w:tcW w:w="973" w:type="dxa"/>
            <w:tcBorders>
              <w:top w:val="nil"/>
              <w:left w:val="nil"/>
              <w:bottom w:val="single" w:sz="12" w:space="0" w:color="FFFFFF"/>
              <w:right w:val="single" w:sz="12" w:space="0" w:color="FFFFFF"/>
            </w:tcBorders>
            <w:shd w:val="clear" w:color="auto" w:fill="FFEA84"/>
            <w:vAlign w:val="center"/>
          </w:tcPr>
          <w:p w14:paraId="2B46D1A9"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66.673</w:t>
            </w:r>
          </w:p>
        </w:tc>
        <w:tc>
          <w:tcPr>
            <w:tcW w:w="973" w:type="dxa"/>
            <w:tcBorders>
              <w:top w:val="nil"/>
              <w:left w:val="nil"/>
              <w:bottom w:val="single" w:sz="12" w:space="0" w:color="FFFFFF"/>
              <w:right w:val="single" w:sz="12" w:space="0" w:color="FFFFFF"/>
            </w:tcBorders>
            <w:shd w:val="clear" w:color="auto" w:fill="6FC17B"/>
            <w:vAlign w:val="center"/>
          </w:tcPr>
          <w:p w14:paraId="56E60806"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2.770</w:t>
            </w:r>
          </w:p>
        </w:tc>
        <w:tc>
          <w:tcPr>
            <w:tcW w:w="1127" w:type="dxa"/>
            <w:tcBorders>
              <w:top w:val="nil"/>
              <w:left w:val="nil"/>
              <w:bottom w:val="single" w:sz="12" w:space="0" w:color="FFFFFF"/>
              <w:right w:val="single" w:sz="12" w:space="0" w:color="FFFFFF"/>
            </w:tcBorders>
            <w:shd w:val="clear" w:color="auto" w:fill="FFE884"/>
            <w:vAlign w:val="center"/>
          </w:tcPr>
          <w:p w14:paraId="51CEC0E5"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102.937</w:t>
            </w:r>
          </w:p>
        </w:tc>
        <w:tc>
          <w:tcPr>
            <w:tcW w:w="875" w:type="dxa"/>
            <w:tcBorders>
              <w:top w:val="nil"/>
              <w:left w:val="nil"/>
              <w:bottom w:val="single" w:sz="12" w:space="0" w:color="FFFFFF"/>
              <w:right w:val="single" w:sz="12" w:space="0" w:color="FFFFFF"/>
            </w:tcBorders>
            <w:shd w:val="clear" w:color="auto" w:fill="63BE7B"/>
            <w:vAlign w:val="center"/>
          </w:tcPr>
          <w:p w14:paraId="03CAEE8E"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1819E1A0" w14:textId="77777777" w:rsidTr="00FB0871">
        <w:trPr>
          <w:trHeight w:val="300"/>
        </w:trPr>
        <w:tc>
          <w:tcPr>
            <w:tcW w:w="1395" w:type="dxa"/>
            <w:tcBorders>
              <w:top w:val="nil"/>
              <w:left w:val="nil"/>
              <w:bottom w:val="single" w:sz="12" w:space="0" w:color="FFFFFF"/>
              <w:right w:val="single" w:sz="12" w:space="0" w:color="FFFFFF"/>
            </w:tcBorders>
            <w:shd w:val="clear" w:color="auto" w:fill="E9E9E9"/>
            <w:vAlign w:val="center"/>
          </w:tcPr>
          <w:p w14:paraId="235CCC4A" w14:textId="1912B567"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t>1992.-2013.</w:t>
            </w:r>
          </w:p>
        </w:tc>
        <w:tc>
          <w:tcPr>
            <w:tcW w:w="1136" w:type="dxa"/>
            <w:tcBorders>
              <w:top w:val="nil"/>
              <w:left w:val="nil"/>
              <w:bottom w:val="single" w:sz="12" w:space="0" w:color="FFFFFF"/>
              <w:right w:val="single" w:sz="12" w:space="0" w:color="FFFFFF"/>
            </w:tcBorders>
            <w:shd w:val="clear" w:color="auto" w:fill="FB9B75"/>
            <w:vAlign w:val="center"/>
          </w:tcPr>
          <w:p w14:paraId="3A15F293"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1.725.587</w:t>
            </w:r>
          </w:p>
        </w:tc>
        <w:tc>
          <w:tcPr>
            <w:tcW w:w="1181" w:type="dxa"/>
            <w:tcBorders>
              <w:top w:val="nil"/>
              <w:left w:val="nil"/>
              <w:bottom w:val="single" w:sz="12" w:space="0" w:color="FFFFFF"/>
              <w:right w:val="single" w:sz="12" w:space="0" w:color="FFFFFF"/>
            </w:tcBorders>
            <w:shd w:val="clear" w:color="auto" w:fill="63BE7B"/>
            <w:vAlign w:val="center"/>
          </w:tcPr>
          <w:p w14:paraId="7707B403"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0</w:t>
            </w:r>
          </w:p>
        </w:tc>
        <w:tc>
          <w:tcPr>
            <w:tcW w:w="973" w:type="dxa"/>
            <w:tcBorders>
              <w:top w:val="nil"/>
              <w:left w:val="nil"/>
              <w:bottom w:val="single" w:sz="12" w:space="0" w:color="FFFFFF"/>
              <w:right w:val="single" w:sz="12" w:space="0" w:color="FFFFFF"/>
            </w:tcBorders>
            <w:shd w:val="clear" w:color="auto" w:fill="FFEA84"/>
            <w:vAlign w:val="center"/>
          </w:tcPr>
          <w:p w14:paraId="7D91C348"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57.900</w:t>
            </w:r>
          </w:p>
        </w:tc>
        <w:tc>
          <w:tcPr>
            <w:tcW w:w="973" w:type="dxa"/>
            <w:tcBorders>
              <w:top w:val="nil"/>
              <w:left w:val="nil"/>
              <w:bottom w:val="single" w:sz="12" w:space="0" w:color="FFFFFF"/>
              <w:right w:val="single" w:sz="12" w:space="0" w:color="FFFFFF"/>
            </w:tcBorders>
            <w:shd w:val="clear" w:color="auto" w:fill="76C37C"/>
            <w:vAlign w:val="center"/>
          </w:tcPr>
          <w:p w14:paraId="5BFDAC72"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4.484</w:t>
            </w:r>
          </w:p>
        </w:tc>
        <w:tc>
          <w:tcPr>
            <w:tcW w:w="1127" w:type="dxa"/>
            <w:tcBorders>
              <w:top w:val="nil"/>
              <w:left w:val="nil"/>
              <w:bottom w:val="single" w:sz="12" w:space="0" w:color="FFFFFF"/>
              <w:right w:val="single" w:sz="12" w:space="0" w:color="FFFFFF"/>
            </w:tcBorders>
            <w:shd w:val="clear" w:color="auto" w:fill="D4DE81"/>
            <w:vAlign w:val="center"/>
          </w:tcPr>
          <w:p w14:paraId="2DCD8508"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26.151</w:t>
            </w:r>
          </w:p>
        </w:tc>
        <w:tc>
          <w:tcPr>
            <w:tcW w:w="875" w:type="dxa"/>
            <w:tcBorders>
              <w:top w:val="nil"/>
              <w:left w:val="nil"/>
              <w:bottom w:val="single" w:sz="12" w:space="0" w:color="FFFFFF"/>
              <w:right w:val="single" w:sz="12" w:space="0" w:color="FFFFFF"/>
            </w:tcBorders>
            <w:shd w:val="clear" w:color="auto" w:fill="63BE7B"/>
            <w:vAlign w:val="center"/>
          </w:tcPr>
          <w:p w14:paraId="407541CC"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0710B58D" w14:textId="77777777" w:rsidTr="00FB0871">
        <w:trPr>
          <w:trHeight w:val="300"/>
        </w:trPr>
        <w:tc>
          <w:tcPr>
            <w:tcW w:w="1395" w:type="dxa"/>
            <w:tcBorders>
              <w:top w:val="nil"/>
              <w:left w:val="nil"/>
              <w:bottom w:val="single" w:sz="12" w:space="0" w:color="FFFFFF"/>
              <w:right w:val="single" w:sz="12" w:space="0" w:color="FFFFFF"/>
            </w:tcBorders>
            <w:shd w:val="clear" w:color="auto" w:fill="E9E9E9"/>
            <w:vAlign w:val="center"/>
          </w:tcPr>
          <w:p w14:paraId="33F16CB3" w14:textId="7DC5E04B"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t>2014.-2020.*</w:t>
            </w:r>
          </w:p>
        </w:tc>
        <w:tc>
          <w:tcPr>
            <w:tcW w:w="1136" w:type="dxa"/>
            <w:tcBorders>
              <w:top w:val="nil"/>
              <w:left w:val="nil"/>
              <w:bottom w:val="single" w:sz="12" w:space="0" w:color="FFFFFF"/>
              <w:right w:val="single" w:sz="12" w:space="0" w:color="FFFFFF"/>
            </w:tcBorders>
            <w:shd w:val="clear" w:color="auto" w:fill="FED781"/>
            <w:vAlign w:val="center"/>
          </w:tcPr>
          <w:p w14:paraId="4FE3E3FF"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457.560</w:t>
            </w:r>
          </w:p>
        </w:tc>
        <w:tc>
          <w:tcPr>
            <w:tcW w:w="1181" w:type="dxa"/>
            <w:tcBorders>
              <w:top w:val="nil"/>
              <w:left w:val="nil"/>
              <w:bottom w:val="single" w:sz="12" w:space="0" w:color="FFFFFF"/>
              <w:right w:val="single" w:sz="12" w:space="0" w:color="FFFFFF"/>
            </w:tcBorders>
            <w:shd w:val="clear" w:color="auto" w:fill="C5DA80"/>
            <w:vAlign w:val="center"/>
          </w:tcPr>
          <w:p w14:paraId="74AE86B9"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22.618</w:t>
            </w:r>
          </w:p>
        </w:tc>
        <w:tc>
          <w:tcPr>
            <w:tcW w:w="973" w:type="dxa"/>
            <w:tcBorders>
              <w:top w:val="nil"/>
              <w:left w:val="nil"/>
              <w:bottom w:val="single" w:sz="12" w:space="0" w:color="FFFFFF"/>
              <w:right w:val="single" w:sz="12" w:space="0" w:color="FFFFFF"/>
            </w:tcBorders>
            <w:shd w:val="clear" w:color="auto" w:fill="B2D47F"/>
            <w:vAlign w:val="center"/>
          </w:tcPr>
          <w:p w14:paraId="66736649"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18.348</w:t>
            </w:r>
          </w:p>
        </w:tc>
        <w:tc>
          <w:tcPr>
            <w:tcW w:w="973" w:type="dxa"/>
            <w:tcBorders>
              <w:top w:val="nil"/>
              <w:left w:val="nil"/>
              <w:bottom w:val="single" w:sz="12" w:space="0" w:color="FFFFFF"/>
              <w:right w:val="single" w:sz="12" w:space="0" w:color="FFFFFF"/>
            </w:tcBorders>
            <w:shd w:val="clear" w:color="auto" w:fill="7FC67C"/>
            <w:vAlign w:val="center"/>
          </w:tcPr>
          <w:p w14:paraId="7427DAC1"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6.487</w:t>
            </w:r>
          </w:p>
        </w:tc>
        <w:tc>
          <w:tcPr>
            <w:tcW w:w="1127" w:type="dxa"/>
            <w:tcBorders>
              <w:top w:val="nil"/>
              <w:left w:val="nil"/>
              <w:bottom w:val="single" w:sz="12" w:space="0" w:color="FFFFFF"/>
              <w:right w:val="single" w:sz="12" w:space="0" w:color="FFFFFF"/>
            </w:tcBorders>
            <w:shd w:val="clear" w:color="auto" w:fill="FAE983"/>
            <w:vAlign w:val="center"/>
          </w:tcPr>
          <w:p w14:paraId="38000EF5"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34.944</w:t>
            </w:r>
          </w:p>
        </w:tc>
        <w:tc>
          <w:tcPr>
            <w:tcW w:w="875" w:type="dxa"/>
            <w:tcBorders>
              <w:top w:val="nil"/>
              <w:left w:val="nil"/>
              <w:bottom w:val="single" w:sz="12" w:space="0" w:color="FFFFFF"/>
              <w:right w:val="single" w:sz="12" w:space="0" w:color="FFFFFF"/>
            </w:tcBorders>
            <w:shd w:val="clear" w:color="auto" w:fill="6EC17B"/>
            <w:vAlign w:val="center"/>
          </w:tcPr>
          <w:p w14:paraId="754A95C2" w14:textId="77777777" w:rsidR="00FB0871" w:rsidRPr="008924E0" w:rsidRDefault="00FB0871">
            <w:pPr>
              <w:spacing w:after="0" w:line="240" w:lineRule="auto"/>
              <w:jc w:val="right"/>
              <w:rPr>
                <w:color w:val="000000"/>
                <w:sz w:val="20"/>
                <w:szCs w:val="20"/>
                <w:lang w:val="bs-Latn-BA"/>
              </w:rPr>
            </w:pPr>
            <w:r w:rsidRPr="008924E0">
              <w:rPr>
                <w:color w:val="000000"/>
                <w:sz w:val="20"/>
                <w:szCs w:val="20"/>
                <w:lang w:val="bs-Latn-BA"/>
              </w:rPr>
              <w:t>2.550</w:t>
            </w:r>
          </w:p>
        </w:tc>
      </w:tr>
      <w:tr w:rsidR="00FB0871" w:rsidRPr="008924E0" w14:paraId="77CBA52E" w14:textId="77777777" w:rsidTr="00FB0871">
        <w:trPr>
          <w:trHeight w:val="300"/>
        </w:trPr>
        <w:tc>
          <w:tcPr>
            <w:tcW w:w="1395" w:type="dxa"/>
            <w:tcBorders>
              <w:top w:val="nil"/>
              <w:left w:val="nil"/>
              <w:bottom w:val="single" w:sz="12" w:space="0" w:color="FFFFFF"/>
              <w:right w:val="single" w:sz="12" w:space="0" w:color="FFFFFF"/>
            </w:tcBorders>
            <w:shd w:val="clear" w:color="auto" w:fill="E9E9E9"/>
            <w:vAlign w:val="center"/>
          </w:tcPr>
          <w:p w14:paraId="27118F55" w14:textId="77777777" w:rsidR="00FB0871" w:rsidRPr="008924E0" w:rsidRDefault="00FB0871">
            <w:pPr>
              <w:spacing w:after="0" w:line="240" w:lineRule="auto"/>
              <w:jc w:val="center"/>
              <w:rPr>
                <w:b/>
                <w:color w:val="000000"/>
                <w:sz w:val="20"/>
                <w:szCs w:val="20"/>
                <w:lang w:val="bs-Latn-BA"/>
              </w:rPr>
            </w:pPr>
            <w:r w:rsidRPr="008924E0">
              <w:rPr>
                <w:b/>
                <w:color w:val="000000"/>
                <w:sz w:val="20"/>
                <w:szCs w:val="20"/>
                <w:lang w:val="bs-Latn-BA"/>
              </w:rPr>
              <w:t>Ukupno</w:t>
            </w:r>
          </w:p>
        </w:tc>
        <w:tc>
          <w:tcPr>
            <w:tcW w:w="1136" w:type="dxa"/>
            <w:tcBorders>
              <w:top w:val="nil"/>
              <w:left w:val="nil"/>
              <w:bottom w:val="single" w:sz="12" w:space="0" w:color="FFFFFF"/>
              <w:right w:val="single" w:sz="12" w:space="0" w:color="FFFFFF"/>
            </w:tcBorders>
            <w:shd w:val="clear" w:color="auto" w:fill="F8696B"/>
            <w:vAlign w:val="center"/>
          </w:tcPr>
          <w:p w14:paraId="67B470B1" w14:textId="77777777" w:rsidR="00FB0871" w:rsidRPr="008924E0" w:rsidRDefault="00FB0871">
            <w:pPr>
              <w:spacing w:after="0" w:line="240" w:lineRule="auto"/>
              <w:jc w:val="right"/>
              <w:rPr>
                <w:b/>
                <w:color w:val="000000"/>
                <w:sz w:val="20"/>
                <w:szCs w:val="20"/>
                <w:lang w:val="bs-Latn-BA"/>
              </w:rPr>
            </w:pPr>
            <w:r w:rsidRPr="008924E0">
              <w:rPr>
                <w:b/>
                <w:color w:val="000000"/>
                <w:sz w:val="20"/>
                <w:szCs w:val="20"/>
                <w:lang w:val="bs-Latn-BA"/>
              </w:rPr>
              <w:t>8.159.087</w:t>
            </w:r>
          </w:p>
        </w:tc>
        <w:tc>
          <w:tcPr>
            <w:tcW w:w="1181" w:type="dxa"/>
            <w:tcBorders>
              <w:top w:val="nil"/>
              <w:left w:val="nil"/>
              <w:bottom w:val="single" w:sz="12" w:space="0" w:color="FFFFFF"/>
              <w:right w:val="single" w:sz="12" w:space="0" w:color="FFFFFF"/>
            </w:tcBorders>
            <w:shd w:val="clear" w:color="auto" w:fill="BBD780"/>
            <w:vAlign w:val="center"/>
          </w:tcPr>
          <w:p w14:paraId="105414B7" w14:textId="77777777" w:rsidR="00FB0871" w:rsidRPr="00054D93" w:rsidRDefault="00FB0871">
            <w:pPr>
              <w:spacing w:after="0" w:line="240" w:lineRule="auto"/>
              <w:jc w:val="right"/>
              <w:rPr>
                <w:b/>
                <w:bCs/>
                <w:color w:val="000000"/>
                <w:sz w:val="20"/>
                <w:szCs w:val="20"/>
                <w:lang w:val="bs-Latn-BA"/>
              </w:rPr>
            </w:pPr>
            <w:r w:rsidRPr="00054D93">
              <w:rPr>
                <w:b/>
                <w:bCs/>
                <w:color w:val="000000"/>
                <w:sz w:val="20"/>
                <w:szCs w:val="20"/>
                <w:lang w:val="bs-Latn-BA"/>
              </w:rPr>
              <w:t>299.914</w:t>
            </w:r>
          </w:p>
        </w:tc>
        <w:tc>
          <w:tcPr>
            <w:tcW w:w="973" w:type="dxa"/>
            <w:tcBorders>
              <w:top w:val="nil"/>
              <w:left w:val="nil"/>
              <w:bottom w:val="single" w:sz="12" w:space="0" w:color="FFFFFF"/>
              <w:right w:val="single" w:sz="12" w:space="0" w:color="FFFFFF"/>
            </w:tcBorders>
            <w:shd w:val="clear" w:color="auto" w:fill="FFE984"/>
            <w:vAlign w:val="center"/>
          </w:tcPr>
          <w:p w14:paraId="04AB5EDD" w14:textId="77777777" w:rsidR="00FB0871" w:rsidRPr="00054D93" w:rsidRDefault="00FB0871">
            <w:pPr>
              <w:spacing w:after="0" w:line="240" w:lineRule="auto"/>
              <w:jc w:val="right"/>
              <w:rPr>
                <w:b/>
                <w:bCs/>
                <w:color w:val="000000"/>
                <w:sz w:val="20"/>
                <w:szCs w:val="20"/>
                <w:lang w:val="bs-Latn-BA"/>
              </w:rPr>
            </w:pPr>
            <w:r w:rsidRPr="00054D93">
              <w:rPr>
                <w:b/>
                <w:bCs/>
                <w:color w:val="000000"/>
                <w:sz w:val="20"/>
                <w:szCs w:val="20"/>
                <w:lang w:val="bs-Latn-BA"/>
              </w:rPr>
              <w:t>633.054</w:t>
            </w:r>
          </w:p>
        </w:tc>
        <w:tc>
          <w:tcPr>
            <w:tcW w:w="973" w:type="dxa"/>
            <w:tcBorders>
              <w:top w:val="nil"/>
              <w:left w:val="nil"/>
              <w:bottom w:val="single" w:sz="12" w:space="0" w:color="FFFFFF"/>
              <w:right w:val="single" w:sz="12" w:space="0" w:color="FFFFFF"/>
            </w:tcBorders>
            <w:shd w:val="clear" w:color="auto" w:fill="7EC67C"/>
            <w:vAlign w:val="center"/>
          </w:tcPr>
          <w:p w14:paraId="3D630878" w14:textId="77777777" w:rsidR="00FB0871" w:rsidRPr="00054D93" w:rsidRDefault="00FB0871">
            <w:pPr>
              <w:spacing w:after="0" w:line="240" w:lineRule="auto"/>
              <w:jc w:val="right"/>
              <w:rPr>
                <w:b/>
                <w:bCs/>
                <w:color w:val="000000"/>
                <w:sz w:val="20"/>
                <w:szCs w:val="20"/>
                <w:lang w:val="bs-Latn-BA"/>
              </w:rPr>
            </w:pPr>
            <w:r w:rsidRPr="00054D93">
              <w:rPr>
                <w:b/>
                <w:bCs/>
                <w:color w:val="000000"/>
                <w:sz w:val="20"/>
                <w:szCs w:val="20"/>
                <w:lang w:val="bs-Latn-BA"/>
              </w:rPr>
              <w:t>148.234</w:t>
            </w:r>
          </w:p>
        </w:tc>
        <w:tc>
          <w:tcPr>
            <w:tcW w:w="1127" w:type="dxa"/>
            <w:tcBorders>
              <w:top w:val="nil"/>
              <w:left w:val="nil"/>
              <w:bottom w:val="single" w:sz="12" w:space="0" w:color="FFFFFF"/>
              <w:right w:val="single" w:sz="12" w:space="0" w:color="FFFFFF"/>
            </w:tcBorders>
            <w:shd w:val="clear" w:color="auto" w:fill="FFE283"/>
            <w:vAlign w:val="center"/>
          </w:tcPr>
          <w:p w14:paraId="1B48C8AD" w14:textId="77777777" w:rsidR="00FB0871" w:rsidRPr="00054D93" w:rsidRDefault="00FB0871">
            <w:pPr>
              <w:spacing w:after="0" w:line="240" w:lineRule="auto"/>
              <w:jc w:val="right"/>
              <w:rPr>
                <w:b/>
                <w:bCs/>
                <w:color w:val="000000"/>
                <w:sz w:val="20"/>
                <w:szCs w:val="20"/>
                <w:lang w:val="bs-Latn-BA"/>
              </w:rPr>
            </w:pPr>
            <w:r w:rsidRPr="00054D93">
              <w:rPr>
                <w:b/>
                <w:bCs/>
                <w:color w:val="000000"/>
                <w:sz w:val="20"/>
                <w:szCs w:val="20"/>
                <w:lang w:val="bs-Latn-BA"/>
              </w:rPr>
              <w:t>1.052.906</w:t>
            </w:r>
          </w:p>
        </w:tc>
        <w:tc>
          <w:tcPr>
            <w:tcW w:w="875" w:type="dxa"/>
            <w:tcBorders>
              <w:top w:val="nil"/>
              <w:left w:val="nil"/>
              <w:bottom w:val="single" w:sz="12" w:space="0" w:color="FFFFFF"/>
              <w:right w:val="single" w:sz="12" w:space="0" w:color="FFFFFF"/>
            </w:tcBorders>
            <w:shd w:val="clear" w:color="auto" w:fill="63BE7B"/>
            <w:vAlign w:val="center"/>
          </w:tcPr>
          <w:p w14:paraId="52474999" w14:textId="77777777" w:rsidR="00FB0871" w:rsidRPr="00054D93" w:rsidRDefault="00FB0871">
            <w:pPr>
              <w:spacing w:after="0" w:line="240" w:lineRule="auto"/>
              <w:jc w:val="right"/>
              <w:rPr>
                <w:b/>
                <w:bCs/>
                <w:color w:val="000000"/>
                <w:sz w:val="20"/>
                <w:szCs w:val="20"/>
                <w:lang w:val="bs-Latn-BA"/>
              </w:rPr>
            </w:pPr>
            <w:r w:rsidRPr="00054D93">
              <w:rPr>
                <w:b/>
                <w:bCs/>
                <w:color w:val="000000"/>
                <w:sz w:val="20"/>
                <w:szCs w:val="20"/>
                <w:lang w:val="bs-Latn-BA"/>
              </w:rPr>
              <w:t>79.348</w:t>
            </w:r>
          </w:p>
        </w:tc>
      </w:tr>
    </w:tbl>
    <w:p w14:paraId="5A8CD0AB" w14:textId="77777777" w:rsidR="00055321" w:rsidRPr="008924E0" w:rsidRDefault="00740D4F">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672E0CCE" w14:textId="4C3DF136" w:rsidR="00055321" w:rsidRPr="008924E0" w:rsidRDefault="00740D4F">
      <w:pPr>
        <w:rPr>
          <w:lang w:val="bs-Latn-BA"/>
        </w:rPr>
      </w:pPr>
      <w:r w:rsidRPr="008924E0">
        <w:rPr>
          <w:lang w:val="bs-Latn-BA"/>
        </w:rPr>
        <w:t xml:space="preserve">Energijski razredi zgrada u FBiH nisu bazirani na finalnoj energiji za grijanje, ali je veoma korisno iskazati energijske karakteristike stambenog fonda preko specifične finalne energije za grijanje, kao što je dato u </w:t>
      </w:r>
      <w:r w:rsidRPr="00054D93">
        <w:rPr>
          <w:color w:val="000000" w:themeColor="text1"/>
          <w:lang w:val="bs-Latn-BA"/>
        </w:rPr>
        <w:t xml:space="preserve">Tabeli </w:t>
      </w:r>
      <w:r w:rsidR="00FE5AB8">
        <w:rPr>
          <w:color w:val="000000" w:themeColor="text1"/>
          <w:lang w:val="bs-Latn-BA"/>
        </w:rPr>
        <w:t>2.4</w:t>
      </w:r>
      <w:r w:rsidRPr="00054D93">
        <w:rPr>
          <w:color w:val="000000" w:themeColor="text1"/>
          <w:lang w:val="bs-Latn-BA"/>
        </w:rPr>
        <w:t xml:space="preserve">. </w:t>
      </w:r>
      <w:r w:rsidRPr="008924E0">
        <w:rPr>
          <w:lang w:val="bs-Latn-BA"/>
        </w:rPr>
        <w:t xml:space="preserve">Kako je vidljivo iz prikazanih podataka, najveću specifičnu finalnu potrošnju energije imaju kategorije SH izgrađene do 1981. godine, iako i ostale kategorije imaju veoma velike vrijednosti specifične finalne potrošnje energije. Ovo je rezultat niske energijske efikasnosti zgrada i niske efikasnosti termotehničkih sistema. </w:t>
      </w:r>
    </w:p>
    <w:p w14:paraId="57C0F5DB" w14:textId="0DFBCCD0" w:rsidR="00973648" w:rsidRPr="008924E0" w:rsidRDefault="00973648" w:rsidP="00973648">
      <w:pPr>
        <w:pStyle w:val="Caption"/>
        <w:keepNext/>
      </w:pPr>
      <w:bookmarkStart w:id="59" w:name="_heading=h.2u6wntf" w:colFirst="0" w:colLast="0"/>
      <w:bookmarkStart w:id="60" w:name="_Toc133499539"/>
      <w:bookmarkEnd w:id="59"/>
      <w:r w:rsidRPr="008924E0">
        <w:t xml:space="preserve">Tabela </w:t>
      </w:r>
      <w:r w:rsidR="00000000">
        <w:fldChar w:fldCharType="begin"/>
      </w:r>
      <w:r w:rsidR="00000000">
        <w:instrText xml:space="preserve"> STYLEREF 1 \s </w:instrText>
      </w:r>
      <w:r w:rsidR="00000000">
        <w:fldChar w:fldCharType="separate"/>
      </w:r>
      <w:r w:rsidR="004A246B">
        <w:rPr>
          <w:noProof/>
        </w:rPr>
        <w:t>2</w:t>
      </w:r>
      <w:r w:rsidR="00000000">
        <w:rPr>
          <w:noProof/>
        </w:rPr>
        <w:fldChar w:fldCharType="end"/>
      </w:r>
      <w:r w:rsidR="004A246B">
        <w:t>.</w:t>
      </w:r>
      <w:fldSimple w:instr=" SEQ Tabela \* ARABIC \s 1 ">
        <w:r w:rsidR="004A246B">
          <w:rPr>
            <w:noProof/>
          </w:rPr>
          <w:t>4</w:t>
        </w:r>
      </w:fldSimple>
      <w:r w:rsidRPr="008924E0">
        <w:t xml:space="preserve"> Specifična finalna energija za grijanje stambenih zgrada u FBiH, kWh/m</w:t>
      </w:r>
      <w:r w:rsidRPr="008924E0">
        <w:rPr>
          <w:vertAlign w:val="superscript"/>
        </w:rPr>
        <w:t>2</w:t>
      </w:r>
      <w:r w:rsidRPr="008924E0">
        <w:t>god.</w:t>
      </w:r>
      <w:bookmarkEnd w:id="60"/>
    </w:p>
    <w:tbl>
      <w:tblPr>
        <w:tblStyle w:val="22"/>
        <w:tblW w:w="7878" w:type="dxa"/>
        <w:jc w:val="center"/>
        <w:tblLayout w:type="fixed"/>
        <w:tblLook w:val="0400" w:firstRow="0" w:lastRow="0" w:firstColumn="0" w:lastColumn="0" w:noHBand="0" w:noVBand="1"/>
      </w:tblPr>
      <w:tblGrid>
        <w:gridCol w:w="1723"/>
        <w:gridCol w:w="1100"/>
        <w:gridCol w:w="1215"/>
        <w:gridCol w:w="960"/>
        <w:gridCol w:w="960"/>
        <w:gridCol w:w="960"/>
        <w:gridCol w:w="960"/>
      </w:tblGrid>
      <w:tr w:rsidR="00055321" w:rsidRPr="008924E0" w14:paraId="1AF70DF5" w14:textId="77777777" w:rsidTr="00771E4B">
        <w:trPr>
          <w:trHeight w:val="432"/>
          <w:jc w:val="center"/>
        </w:trPr>
        <w:tc>
          <w:tcPr>
            <w:tcW w:w="1723" w:type="dxa"/>
            <w:vMerge w:val="restart"/>
            <w:tcBorders>
              <w:top w:val="single" w:sz="12" w:space="0" w:color="FFFFFF"/>
              <w:left w:val="single" w:sz="12" w:space="0" w:color="FFFFFF"/>
              <w:bottom w:val="single" w:sz="12" w:space="0" w:color="FFFFFF"/>
              <w:right w:val="single" w:sz="12" w:space="0" w:color="FFFFFF"/>
            </w:tcBorders>
            <w:shd w:val="clear" w:color="auto" w:fill="006432"/>
            <w:vAlign w:val="center"/>
          </w:tcPr>
          <w:p w14:paraId="7152B4DD" w14:textId="77777777" w:rsidR="00055321" w:rsidRPr="008924E0" w:rsidRDefault="00740D4F">
            <w:pPr>
              <w:spacing w:after="0" w:line="240" w:lineRule="auto"/>
              <w:jc w:val="center"/>
              <w:rPr>
                <w:b/>
                <w:color w:val="FFFFFF"/>
                <w:sz w:val="20"/>
                <w:szCs w:val="20"/>
                <w:lang w:val="bs-Latn-BA"/>
              </w:rPr>
            </w:pPr>
            <w:bookmarkStart w:id="61" w:name="_heading=h.bliwx5v7zhb7" w:colFirst="0" w:colLast="0"/>
            <w:bookmarkEnd w:id="61"/>
            <w:r w:rsidRPr="008924E0">
              <w:rPr>
                <w:b/>
                <w:color w:val="FFFFFF"/>
                <w:sz w:val="20"/>
                <w:szCs w:val="20"/>
                <w:lang w:val="bs-Latn-BA"/>
              </w:rPr>
              <w:t>Period izgradnje </w:t>
            </w:r>
          </w:p>
        </w:tc>
        <w:tc>
          <w:tcPr>
            <w:tcW w:w="2315" w:type="dxa"/>
            <w:gridSpan w:val="2"/>
            <w:tcBorders>
              <w:top w:val="single" w:sz="12" w:space="0" w:color="FFFFFF"/>
              <w:left w:val="nil"/>
              <w:bottom w:val="single" w:sz="12" w:space="0" w:color="FFFFFF"/>
              <w:right w:val="single" w:sz="12" w:space="0" w:color="FFFFFF"/>
            </w:tcBorders>
            <w:shd w:val="clear" w:color="auto" w:fill="006432"/>
            <w:vAlign w:val="center"/>
          </w:tcPr>
          <w:p w14:paraId="0CF18530"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Individualno stanovanje</w:t>
            </w:r>
          </w:p>
        </w:tc>
        <w:tc>
          <w:tcPr>
            <w:tcW w:w="3840" w:type="dxa"/>
            <w:gridSpan w:val="4"/>
            <w:tcBorders>
              <w:top w:val="single" w:sz="12" w:space="0" w:color="FFFFFF"/>
              <w:left w:val="nil"/>
              <w:bottom w:val="single" w:sz="12" w:space="0" w:color="FFFFFF"/>
              <w:right w:val="single" w:sz="12" w:space="0" w:color="FFFFFF"/>
            </w:tcBorders>
            <w:shd w:val="clear" w:color="auto" w:fill="006432"/>
            <w:vAlign w:val="center"/>
          </w:tcPr>
          <w:p w14:paraId="288F4281"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Kolektivno stanovanje</w:t>
            </w:r>
          </w:p>
        </w:tc>
      </w:tr>
      <w:tr w:rsidR="00055321" w:rsidRPr="008924E0" w14:paraId="66DAC7CD" w14:textId="77777777" w:rsidTr="00771E4B">
        <w:trPr>
          <w:trHeight w:val="312"/>
          <w:jc w:val="center"/>
        </w:trPr>
        <w:tc>
          <w:tcPr>
            <w:tcW w:w="1723" w:type="dxa"/>
            <w:vMerge/>
            <w:tcBorders>
              <w:top w:val="single" w:sz="12" w:space="0" w:color="FFFFFF"/>
              <w:left w:val="single" w:sz="12" w:space="0" w:color="FFFFFF"/>
              <w:bottom w:val="single" w:sz="12" w:space="0" w:color="FFFFFF"/>
              <w:right w:val="single" w:sz="12" w:space="0" w:color="FFFFFF"/>
            </w:tcBorders>
            <w:shd w:val="clear" w:color="auto" w:fill="006432"/>
            <w:vAlign w:val="center"/>
          </w:tcPr>
          <w:p w14:paraId="12DF213C" w14:textId="77777777" w:rsidR="00055321" w:rsidRPr="008924E0" w:rsidRDefault="00055321">
            <w:pPr>
              <w:widowControl w:val="0"/>
              <w:pBdr>
                <w:top w:val="nil"/>
                <w:left w:val="nil"/>
                <w:bottom w:val="nil"/>
                <w:right w:val="nil"/>
                <w:between w:val="nil"/>
              </w:pBdr>
              <w:spacing w:after="0" w:line="276" w:lineRule="auto"/>
              <w:jc w:val="left"/>
              <w:rPr>
                <w:b/>
                <w:color w:val="FFFFFF"/>
                <w:sz w:val="20"/>
                <w:szCs w:val="20"/>
                <w:lang w:val="bs-Latn-BA"/>
              </w:rPr>
            </w:pPr>
          </w:p>
        </w:tc>
        <w:tc>
          <w:tcPr>
            <w:tcW w:w="1100" w:type="dxa"/>
            <w:tcBorders>
              <w:top w:val="nil"/>
              <w:left w:val="nil"/>
              <w:bottom w:val="single" w:sz="12" w:space="0" w:color="FFFFFF"/>
              <w:right w:val="single" w:sz="12" w:space="0" w:color="FFFFFF"/>
            </w:tcBorders>
            <w:shd w:val="clear" w:color="auto" w:fill="006432"/>
            <w:vAlign w:val="center"/>
          </w:tcPr>
          <w:p w14:paraId="150ABB3D"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SH</w:t>
            </w:r>
          </w:p>
        </w:tc>
        <w:tc>
          <w:tcPr>
            <w:tcW w:w="1215" w:type="dxa"/>
            <w:tcBorders>
              <w:top w:val="nil"/>
              <w:left w:val="nil"/>
              <w:bottom w:val="single" w:sz="12" w:space="0" w:color="FFFFFF"/>
              <w:right w:val="single" w:sz="12" w:space="0" w:color="FFFFFF"/>
            </w:tcBorders>
            <w:shd w:val="clear" w:color="auto" w:fill="006432"/>
            <w:vAlign w:val="center"/>
          </w:tcPr>
          <w:p w14:paraId="57BDCEBA"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TH</w:t>
            </w:r>
          </w:p>
        </w:tc>
        <w:tc>
          <w:tcPr>
            <w:tcW w:w="960" w:type="dxa"/>
            <w:tcBorders>
              <w:top w:val="nil"/>
              <w:left w:val="nil"/>
              <w:bottom w:val="single" w:sz="12" w:space="0" w:color="FFFFFF"/>
              <w:right w:val="single" w:sz="12" w:space="0" w:color="FFFFFF"/>
            </w:tcBorders>
            <w:shd w:val="clear" w:color="auto" w:fill="006432"/>
            <w:vAlign w:val="center"/>
          </w:tcPr>
          <w:p w14:paraId="27B09EEC"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MH</w:t>
            </w:r>
          </w:p>
        </w:tc>
        <w:tc>
          <w:tcPr>
            <w:tcW w:w="960" w:type="dxa"/>
            <w:tcBorders>
              <w:top w:val="nil"/>
              <w:left w:val="nil"/>
              <w:bottom w:val="single" w:sz="12" w:space="0" w:color="FFFFFF"/>
              <w:right w:val="single" w:sz="12" w:space="0" w:color="FFFFFF"/>
            </w:tcBorders>
            <w:shd w:val="clear" w:color="auto" w:fill="006432"/>
            <w:vAlign w:val="center"/>
          </w:tcPr>
          <w:p w14:paraId="3DCD860C"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AB1</w:t>
            </w:r>
          </w:p>
        </w:tc>
        <w:tc>
          <w:tcPr>
            <w:tcW w:w="960" w:type="dxa"/>
            <w:tcBorders>
              <w:top w:val="nil"/>
              <w:left w:val="nil"/>
              <w:bottom w:val="single" w:sz="12" w:space="0" w:color="FFFFFF"/>
              <w:right w:val="single" w:sz="12" w:space="0" w:color="FFFFFF"/>
            </w:tcBorders>
            <w:shd w:val="clear" w:color="auto" w:fill="006432"/>
            <w:vAlign w:val="center"/>
          </w:tcPr>
          <w:p w14:paraId="109C4AB0"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AB2</w:t>
            </w:r>
          </w:p>
        </w:tc>
        <w:tc>
          <w:tcPr>
            <w:tcW w:w="960" w:type="dxa"/>
            <w:tcBorders>
              <w:top w:val="nil"/>
              <w:left w:val="nil"/>
              <w:bottom w:val="single" w:sz="12" w:space="0" w:color="FFFFFF"/>
              <w:right w:val="single" w:sz="12" w:space="0" w:color="FFFFFF"/>
            </w:tcBorders>
            <w:shd w:val="clear" w:color="auto" w:fill="006432"/>
            <w:vAlign w:val="center"/>
          </w:tcPr>
          <w:p w14:paraId="56E9EA9F" w14:textId="77777777" w:rsidR="00055321" w:rsidRPr="008924E0" w:rsidRDefault="00740D4F">
            <w:pPr>
              <w:spacing w:after="0" w:line="240" w:lineRule="auto"/>
              <w:jc w:val="center"/>
              <w:rPr>
                <w:b/>
                <w:color w:val="FFFFFF"/>
                <w:sz w:val="20"/>
                <w:szCs w:val="20"/>
                <w:lang w:val="bs-Latn-BA"/>
              </w:rPr>
            </w:pPr>
            <w:r w:rsidRPr="008924E0">
              <w:rPr>
                <w:b/>
                <w:color w:val="FFFFFF"/>
                <w:sz w:val="20"/>
                <w:szCs w:val="20"/>
                <w:lang w:val="bs-Latn-BA"/>
              </w:rPr>
              <w:t>H</w:t>
            </w:r>
          </w:p>
        </w:tc>
      </w:tr>
      <w:tr w:rsidR="00055321" w:rsidRPr="008924E0" w14:paraId="117D14FA" w14:textId="77777777" w:rsidTr="00771E4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722FEED8" w14:textId="4B6EDD16" w:rsidR="00055321" w:rsidRPr="008924E0" w:rsidRDefault="00740D4F">
            <w:pPr>
              <w:spacing w:after="0" w:line="240" w:lineRule="auto"/>
              <w:jc w:val="center"/>
              <w:rPr>
                <w:b/>
                <w:color w:val="000000"/>
                <w:sz w:val="20"/>
                <w:szCs w:val="20"/>
                <w:lang w:val="bs-Latn-BA"/>
              </w:rPr>
            </w:pPr>
            <w:r w:rsidRPr="008924E0">
              <w:rPr>
                <w:b/>
                <w:color w:val="000000"/>
                <w:sz w:val="20"/>
                <w:szCs w:val="20"/>
                <w:lang w:val="bs-Latn-BA"/>
              </w:rPr>
              <w:t>do 1945</w:t>
            </w:r>
            <w:r w:rsidR="00FC223E" w:rsidRPr="008924E0">
              <w:rPr>
                <w:b/>
                <w:color w:val="000000"/>
                <w:sz w:val="20"/>
                <w:szCs w:val="20"/>
                <w:lang w:val="bs-Latn-BA"/>
              </w:rPr>
              <w:t>.</w:t>
            </w:r>
          </w:p>
        </w:tc>
        <w:tc>
          <w:tcPr>
            <w:tcW w:w="1100" w:type="dxa"/>
            <w:tcBorders>
              <w:top w:val="nil"/>
              <w:left w:val="nil"/>
              <w:bottom w:val="single" w:sz="12" w:space="0" w:color="FFFFFF"/>
              <w:right w:val="single" w:sz="12" w:space="0" w:color="FFFFFF"/>
            </w:tcBorders>
            <w:shd w:val="clear" w:color="auto" w:fill="F9706D"/>
          </w:tcPr>
          <w:p w14:paraId="33EAB979"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508</w:t>
            </w:r>
          </w:p>
        </w:tc>
        <w:tc>
          <w:tcPr>
            <w:tcW w:w="1215" w:type="dxa"/>
            <w:tcBorders>
              <w:top w:val="nil"/>
              <w:left w:val="nil"/>
              <w:bottom w:val="single" w:sz="12" w:space="0" w:color="FFFFFF"/>
              <w:right w:val="single" w:sz="12" w:space="0" w:color="FFFFFF"/>
            </w:tcBorders>
            <w:shd w:val="clear" w:color="auto" w:fill="FECF7F"/>
          </w:tcPr>
          <w:p w14:paraId="4EDA2B1A"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206</w:t>
            </w:r>
          </w:p>
        </w:tc>
        <w:tc>
          <w:tcPr>
            <w:tcW w:w="960" w:type="dxa"/>
            <w:tcBorders>
              <w:top w:val="nil"/>
              <w:left w:val="nil"/>
              <w:bottom w:val="single" w:sz="12" w:space="0" w:color="FFFFFF"/>
              <w:right w:val="single" w:sz="12" w:space="0" w:color="FFFFFF"/>
            </w:tcBorders>
            <w:shd w:val="clear" w:color="auto" w:fill="FDBD7C"/>
          </w:tcPr>
          <w:p w14:paraId="22B45D9D"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259</w:t>
            </w:r>
          </w:p>
        </w:tc>
        <w:tc>
          <w:tcPr>
            <w:tcW w:w="960" w:type="dxa"/>
            <w:tcBorders>
              <w:top w:val="nil"/>
              <w:left w:val="nil"/>
              <w:bottom w:val="single" w:sz="12" w:space="0" w:color="FFFFFF"/>
              <w:right w:val="single" w:sz="12" w:space="0" w:color="FFFFFF"/>
            </w:tcBorders>
            <w:shd w:val="clear" w:color="auto" w:fill="FFDB81"/>
          </w:tcPr>
          <w:p w14:paraId="7C78095A"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198</w:t>
            </w:r>
          </w:p>
        </w:tc>
        <w:tc>
          <w:tcPr>
            <w:tcW w:w="960" w:type="dxa"/>
            <w:tcBorders>
              <w:top w:val="nil"/>
              <w:left w:val="nil"/>
              <w:bottom w:val="single" w:sz="12" w:space="0" w:color="FFFFFF"/>
              <w:right w:val="single" w:sz="12" w:space="0" w:color="FFFFFF"/>
            </w:tcBorders>
            <w:shd w:val="clear" w:color="auto" w:fill="63BE7B"/>
          </w:tcPr>
          <w:p w14:paraId="240BC02D"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 xml:space="preserve"> </w:t>
            </w:r>
          </w:p>
        </w:tc>
        <w:tc>
          <w:tcPr>
            <w:tcW w:w="960" w:type="dxa"/>
            <w:tcBorders>
              <w:top w:val="nil"/>
              <w:left w:val="nil"/>
              <w:bottom w:val="single" w:sz="12" w:space="0" w:color="FFFFFF"/>
              <w:right w:val="single" w:sz="12" w:space="0" w:color="FFFFFF"/>
            </w:tcBorders>
            <w:shd w:val="clear" w:color="auto" w:fill="63BE7B"/>
          </w:tcPr>
          <w:p w14:paraId="71D84933"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 xml:space="preserve"> </w:t>
            </w:r>
          </w:p>
        </w:tc>
      </w:tr>
      <w:tr w:rsidR="00055321" w:rsidRPr="008924E0" w14:paraId="7036563E" w14:textId="77777777" w:rsidTr="00771E4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069A8095" w14:textId="2B3AA013" w:rsidR="00055321" w:rsidRPr="008924E0" w:rsidRDefault="00740D4F">
            <w:pPr>
              <w:spacing w:after="0" w:line="240" w:lineRule="auto"/>
              <w:jc w:val="center"/>
              <w:rPr>
                <w:b/>
                <w:color w:val="000000"/>
                <w:sz w:val="20"/>
                <w:szCs w:val="20"/>
                <w:lang w:val="bs-Latn-BA"/>
              </w:rPr>
            </w:pPr>
            <w:r w:rsidRPr="008924E0">
              <w:rPr>
                <w:b/>
                <w:color w:val="000000"/>
                <w:sz w:val="20"/>
                <w:szCs w:val="20"/>
                <w:lang w:val="bs-Latn-BA"/>
              </w:rPr>
              <w:t>1946</w:t>
            </w:r>
            <w:r w:rsidR="00274A18" w:rsidRPr="008924E0">
              <w:rPr>
                <w:b/>
                <w:color w:val="000000"/>
                <w:sz w:val="20"/>
                <w:szCs w:val="20"/>
                <w:lang w:val="bs-Latn-BA"/>
              </w:rPr>
              <w:t>.</w:t>
            </w:r>
            <w:r w:rsidRPr="008924E0">
              <w:rPr>
                <w:b/>
                <w:color w:val="000000"/>
                <w:sz w:val="20"/>
                <w:szCs w:val="20"/>
                <w:lang w:val="bs-Latn-BA"/>
              </w:rPr>
              <w:t>-1960</w:t>
            </w:r>
            <w:r w:rsidR="00FC223E" w:rsidRPr="008924E0">
              <w:rPr>
                <w:b/>
                <w:color w:val="000000"/>
                <w:sz w:val="20"/>
                <w:szCs w:val="20"/>
                <w:lang w:val="bs-Latn-BA"/>
              </w:rPr>
              <w:t>.</w:t>
            </w:r>
          </w:p>
        </w:tc>
        <w:tc>
          <w:tcPr>
            <w:tcW w:w="1100" w:type="dxa"/>
            <w:tcBorders>
              <w:top w:val="nil"/>
              <w:left w:val="nil"/>
              <w:bottom w:val="single" w:sz="12" w:space="0" w:color="FFFFFF"/>
              <w:right w:val="single" w:sz="12" w:space="0" w:color="FFFFFF"/>
            </w:tcBorders>
            <w:shd w:val="clear" w:color="auto" w:fill="F8696B"/>
          </w:tcPr>
          <w:p w14:paraId="70438BB9"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532</w:t>
            </w:r>
          </w:p>
        </w:tc>
        <w:tc>
          <w:tcPr>
            <w:tcW w:w="1215" w:type="dxa"/>
            <w:tcBorders>
              <w:top w:val="nil"/>
              <w:left w:val="nil"/>
              <w:bottom w:val="single" w:sz="12" w:space="0" w:color="FFFFFF"/>
              <w:right w:val="single" w:sz="12" w:space="0" w:color="FFFFFF"/>
            </w:tcBorders>
            <w:shd w:val="clear" w:color="auto" w:fill="FCB279"/>
          </w:tcPr>
          <w:p w14:paraId="6A542FDE"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361</w:t>
            </w:r>
          </w:p>
        </w:tc>
        <w:tc>
          <w:tcPr>
            <w:tcW w:w="960" w:type="dxa"/>
            <w:tcBorders>
              <w:top w:val="nil"/>
              <w:left w:val="nil"/>
              <w:bottom w:val="single" w:sz="12" w:space="0" w:color="FFFFFF"/>
              <w:right w:val="single" w:sz="12" w:space="0" w:color="FFFFFF"/>
            </w:tcBorders>
            <w:shd w:val="clear" w:color="auto" w:fill="FED07F"/>
          </w:tcPr>
          <w:p w14:paraId="3ABD34A3"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243</w:t>
            </w:r>
          </w:p>
        </w:tc>
        <w:tc>
          <w:tcPr>
            <w:tcW w:w="960" w:type="dxa"/>
            <w:tcBorders>
              <w:top w:val="nil"/>
              <w:left w:val="nil"/>
              <w:bottom w:val="single" w:sz="12" w:space="0" w:color="FFFFFF"/>
              <w:right w:val="single" w:sz="12" w:space="0" w:color="FFFFFF"/>
            </w:tcBorders>
            <w:shd w:val="clear" w:color="auto" w:fill="FFDF82"/>
          </w:tcPr>
          <w:p w14:paraId="079914A7"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178</w:t>
            </w:r>
          </w:p>
        </w:tc>
        <w:tc>
          <w:tcPr>
            <w:tcW w:w="960" w:type="dxa"/>
            <w:tcBorders>
              <w:top w:val="nil"/>
              <w:left w:val="nil"/>
              <w:bottom w:val="single" w:sz="12" w:space="0" w:color="FFFFFF"/>
              <w:right w:val="single" w:sz="12" w:space="0" w:color="FFFFFF"/>
            </w:tcBorders>
            <w:shd w:val="clear" w:color="auto" w:fill="FFE583"/>
          </w:tcPr>
          <w:p w14:paraId="16BA106E"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199</w:t>
            </w:r>
          </w:p>
        </w:tc>
        <w:tc>
          <w:tcPr>
            <w:tcW w:w="960" w:type="dxa"/>
            <w:tcBorders>
              <w:top w:val="nil"/>
              <w:left w:val="nil"/>
              <w:bottom w:val="single" w:sz="12" w:space="0" w:color="FFFFFF"/>
              <w:right w:val="single" w:sz="12" w:space="0" w:color="FFFFFF"/>
            </w:tcBorders>
            <w:shd w:val="clear" w:color="auto" w:fill="63BE7B"/>
          </w:tcPr>
          <w:p w14:paraId="7B15038E"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 xml:space="preserve"> </w:t>
            </w:r>
          </w:p>
        </w:tc>
      </w:tr>
      <w:tr w:rsidR="00055321" w:rsidRPr="008924E0" w14:paraId="7F9D2C7E" w14:textId="77777777" w:rsidTr="00771E4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6F978BDF" w14:textId="031BB214" w:rsidR="00055321" w:rsidRPr="008924E0" w:rsidRDefault="00740D4F">
            <w:pPr>
              <w:spacing w:after="0" w:line="240" w:lineRule="auto"/>
              <w:jc w:val="center"/>
              <w:rPr>
                <w:b/>
                <w:color w:val="000000"/>
                <w:sz w:val="20"/>
                <w:szCs w:val="20"/>
                <w:lang w:val="bs-Latn-BA"/>
              </w:rPr>
            </w:pPr>
            <w:r w:rsidRPr="008924E0">
              <w:rPr>
                <w:b/>
                <w:color w:val="000000"/>
                <w:sz w:val="20"/>
                <w:szCs w:val="20"/>
                <w:lang w:val="bs-Latn-BA"/>
              </w:rPr>
              <w:t>1961</w:t>
            </w:r>
            <w:r w:rsidR="00274A18" w:rsidRPr="008924E0">
              <w:rPr>
                <w:b/>
                <w:color w:val="000000"/>
                <w:sz w:val="20"/>
                <w:szCs w:val="20"/>
                <w:lang w:val="bs-Latn-BA"/>
              </w:rPr>
              <w:t>.</w:t>
            </w:r>
            <w:r w:rsidRPr="008924E0">
              <w:rPr>
                <w:b/>
                <w:color w:val="000000"/>
                <w:sz w:val="20"/>
                <w:szCs w:val="20"/>
                <w:lang w:val="bs-Latn-BA"/>
              </w:rPr>
              <w:t>-1970</w:t>
            </w:r>
            <w:r w:rsidR="00FC223E" w:rsidRPr="008924E0">
              <w:rPr>
                <w:b/>
                <w:color w:val="000000"/>
                <w:sz w:val="20"/>
                <w:szCs w:val="20"/>
                <w:lang w:val="bs-Latn-BA"/>
              </w:rPr>
              <w:t>.</w:t>
            </w:r>
          </w:p>
        </w:tc>
        <w:tc>
          <w:tcPr>
            <w:tcW w:w="1100" w:type="dxa"/>
            <w:tcBorders>
              <w:top w:val="nil"/>
              <w:left w:val="nil"/>
              <w:bottom w:val="single" w:sz="12" w:space="0" w:color="FFFFFF"/>
              <w:right w:val="single" w:sz="12" w:space="0" w:color="FFFFFF"/>
            </w:tcBorders>
            <w:shd w:val="clear" w:color="auto" w:fill="F9726D"/>
          </w:tcPr>
          <w:p w14:paraId="23DDD3E3"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522</w:t>
            </w:r>
          </w:p>
        </w:tc>
        <w:tc>
          <w:tcPr>
            <w:tcW w:w="1215" w:type="dxa"/>
            <w:tcBorders>
              <w:top w:val="nil"/>
              <w:left w:val="nil"/>
              <w:bottom w:val="single" w:sz="12" w:space="0" w:color="FFFFFF"/>
              <w:right w:val="single" w:sz="12" w:space="0" w:color="FFFFFF"/>
            </w:tcBorders>
            <w:shd w:val="clear" w:color="auto" w:fill="FED881"/>
          </w:tcPr>
          <w:p w14:paraId="10167845"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221</w:t>
            </w:r>
          </w:p>
        </w:tc>
        <w:tc>
          <w:tcPr>
            <w:tcW w:w="960" w:type="dxa"/>
            <w:tcBorders>
              <w:top w:val="nil"/>
              <w:left w:val="nil"/>
              <w:bottom w:val="single" w:sz="12" w:space="0" w:color="FFFFFF"/>
              <w:right w:val="single" w:sz="12" w:space="0" w:color="FFFFFF"/>
            </w:tcBorders>
            <w:shd w:val="clear" w:color="auto" w:fill="FFDD82"/>
          </w:tcPr>
          <w:p w14:paraId="4910A983"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212</w:t>
            </w:r>
          </w:p>
        </w:tc>
        <w:tc>
          <w:tcPr>
            <w:tcW w:w="960" w:type="dxa"/>
            <w:tcBorders>
              <w:top w:val="nil"/>
              <w:left w:val="nil"/>
              <w:bottom w:val="single" w:sz="12" w:space="0" w:color="FFFFFF"/>
              <w:right w:val="single" w:sz="12" w:space="0" w:color="FFFFFF"/>
            </w:tcBorders>
            <w:shd w:val="clear" w:color="auto" w:fill="FFEB84"/>
          </w:tcPr>
          <w:p w14:paraId="1F43D425"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172</w:t>
            </w:r>
          </w:p>
        </w:tc>
        <w:tc>
          <w:tcPr>
            <w:tcW w:w="960" w:type="dxa"/>
            <w:tcBorders>
              <w:top w:val="nil"/>
              <w:left w:val="nil"/>
              <w:bottom w:val="single" w:sz="12" w:space="0" w:color="FFFFFF"/>
              <w:right w:val="single" w:sz="12" w:space="0" w:color="FFFFFF"/>
            </w:tcBorders>
            <w:shd w:val="clear" w:color="auto" w:fill="FFEA84"/>
          </w:tcPr>
          <w:p w14:paraId="082E42D9"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191</w:t>
            </w:r>
          </w:p>
        </w:tc>
        <w:tc>
          <w:tcPr>
            <w:tcW w:w="960" w:type="dxa"/>
            <w:tcBorders>
              <w:top w:val="nil"/>
              <w:left w:val="nil"/>
              <w:bottom w:val="single" w:sz="12" w:space="0" w:color="FFFFFF"/>
              <w:right w:val="single" w:sz="12" w:space="0" w:color="FFFFFF"/>
            </w:tcBorders>
            <w:shd w:val="clear" w:color="auto" w:fill="FFE683"/>
          </w:tcPr>
          <w:p w14:paraId="71C7232B"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218</w:t>
            </w:r>
          </w:p>
        </w:tc>
      </w:tr>
      <w:tr w:rsidR="00055321" w:rsidRPr="008924E0" w14:paraId="2D8B355F" w14:textId="77777777" w:rsidTr="00771E4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4BC0D1FD" w14:textId="588B4D15" w:rsidR="00055321" w:rsidRPr="008924E0" w:rsidRDefault="00740D4F">
            <w:pPr>
              <w:spacing w:after="0" w:line="240" w:lineRule="auto"/>
              <w:jc w:val="center"/>
              <w:rPr>
                <w:b/>
                <w:color w:val="000000"/>
                <w:sz w:val="20"/>
                <w:szCs w:val="20"/>
                <w:lang w:val="bs-Latn-BA"/>
              </w:rPr>
            </w:pPr>
            <w:r w:rsidRPr="008924E0">
              <w:rPr>
                <w:b/>
                <w:color w:val="000000"/>
                <w:sz w:val="20"/>
                <w:szCs w:val="20"/>
                <w:lang w:val="bs-Latn-BA"/>
              </w:rPr>
              <w:t>1971</w:t>
            </w:r>
            <w:r w:rsidR="00274A18" w:rsidRPr="008924E0">
              <w:rPr>
                <w:b/>
                <w:color w:val="000000"/>
                <w:sz w:val="20"/>
                <w:szCs w:val="20"/>
                <w:lang w:val="bs-Latn-BA"/>
              </w:rPr>
              <w:t>.</w:t>
            </w:r>
            <w:r w:rsidRPr="008924E0">
              <w:rPr>
                <w:b/>
                <w:color w:val="000000"/>
                <w:sz w:val="20"/>
                <w:szCs w:val="20"/>
                <w:lang w:val="bs-Latn-BA"/>
              </w:rPr>
              <w:t>-1980</w:t>
            </w:r>
            <w:r w:rsidR="00FC223E" w:rsidRPr="008924E0">
              <w:rPr>
                <w:b/>
                <w:color w:val="000000"/>
                <w:sz w:val="20"/>
                <w:szCs w:val="20"/>
                <w:lang w:val="bs-Latn-BA"/>
              </w:rPr>
              <w:t>.</w:t>
            </w:r>
          </w:p>
        </w:tc>
        <w:tc>
          <w:tcPr>
            <w:tcW w:w="1100" w:type="dxa"/>
            <w:tcBorders>
              <w:top w:val="nil"/>
              <w:left w:val="nil"/>
              <w:bottom w:val="single" w:sz="12" w:space="0" w:color="FFFFFF"/>
              <w:right w:val="single" w:sz="12" w:space="0" w:color="FFFFFF"/>
            </w:tcBorders>
            <w:shd w:val="clear" w:color="auto" w:fill="FB9374"/>
          </w:tcPr>
          <w:p w14:paraId="3F44A642"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429</w:t>
            </w:r>
          </w:p>
        </w:tc>
        <w:tc>
          <w:tcPr>
            <w:tcW w:w="1215" w:type="dxa"/>
            <w:tcBorders>
              <w:top w:val="nil"/>
              <w:left w:val="nil"/>
              <w:bottom w:val="single" w:sz="12" w:space="0" w:color="FFFFFF"/>
              <w:right w:val="single" w:sz="12" w:space="0" w:color="FFFFFF"/>
            </w:tcBorders>
            <w:shd w:val="clear" w:color="auto" w:fill="FED981"/>
          </w:tcPr>
          <w:p w14:paraId="47AB1987"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224</w:t>
            </w:r>
          </w:p>
        </w:tc>
        <w:tc>
          <w:tcPr>
            <w:tcW w:w="960" w:type="dxa"/>
            <w:tcBorders>
              <w:top w:val="nil"/>
              <w:left w:val="nil"/>
              <w:bottom w:val="single" w:sz="12" w:space="0" w:color="FFFFFF"/>
              <w:right w:val="single" w:sz="12" w:space="0" w:color="FFFFFF"/>
            </w:tcBorders>
            <w:shd w:val="clear" w:color="auto" w:fill="FDEA83"/>
          </w:tcPr>
          <w:p w14:paraId="09FF2AEF"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165</w:t>
            </w:r>
          </w:p>
        </w:tc>
        <w:tc>
          <w:tcPr>
            <w:tcW w:w="960" w:type="dxa"/>
            <w:tcBorders>
              <w:top w:val="nil"/>
              <w:left w:val="nil"/>
              <w:bottom w:val="single" w:sz="12" w:space="0" w:color="FFFFFF"/>
              <w:right w:val="single" w:sz="12" w:space="0" w:color="FFFFFF"/>
            </w:tcBorders>
            <w:shd w:val="clear" w:color="auto" w:fill="63BE7B"/>
          </w:tcPr>
          <w:p w14:paraId="1D1ED2F7"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 xml:space="preserve"> </w:t>
            </w:r>
          </w:p>
        </w:tc>
        <w:tc>
          <w:tcPr>
            <w:tcW w:w="960" w:type="dxa"/>
            <w:tcBorders>
              <w:top w:val="nil"/>
              <w:left w:val="nil"/>
              <w:bottom w:val="single" w:sz="12" w:space="0" w:color="FFFFFF"/>
              <w:right w:val="single" w:sz="12" w:space="0" w:color="FFFFFF"/>
            </w:tcBorders>
            <w:shd w:val="clear" w:color="auto" w:fill="DCE182"/>
          </w:tcPr>
          <w:p w14:paraId="429013CA"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146</w:t>
            </w:r>
          </w:p>
        </w:tc>
        <w:tc>
          <w:tcPr>
            <w:tcW w:w="960" w:type="dxa"/>
            <w:tcBorders>
              <w:top w:val="nil"/>
              <w:left w:val="nil"/>
              <w:bottom w:val="single" w:sz="12" w:space="0" w:color="FFFFFF"/>
              <w:right w:val="single" w:sz="12" w:space="0" w:color="FFFFFF"/>
            </w:tcBorders>
            <w:shd w:val="clear" w:color="auto" w:fill="D6DF81"/>
          </w:tcPr>
          <w:p w14:paraId="2C53FFDB"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141</w:t>
            </w:r>
          </w:p>
        </w:tc>
      </w:tr>
      <w:tr w:rsidR="00055321" w:rsidRPr="008924E0" w14:paraId="6F0F5218" w14:textId="77777777" w:rsidTr="00771E4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508B5BEC" w14:textId="7318F1B9" w:rsidR="00055321" w:rsidRPr="008924E0" w:rsidRDefault="00740D4F">
            <w:pPr>
              <w:spacing w:after="0" w:line="240" w:lineRule="auto"/>
              <w:jc w:val="center"/>
              <w:rPr>
                <w:b/>
                <w:color w:val="000000"/>
                <w:sz w:val="20"/>
                <w:szCs w:val="20"/>
                <w:lang w:val="bs-Latn-BA"/>
              </w:rPr>
            </w:pPr>
            <w:r w:rsidRPr="008924E0">
              <w:rPr>
                <w:b/>
                <w:color w:val="000000"/>
                <w:sz w:val="20"/>
                <w:szCs w:val="20"/>
                <w:lang w:val="bs-Latn-BA"/>
              </w:rPr>
              <w:t>1981</w:t>
            </w:r>
            <w:r w:rsidR="00274A18" w:rsidRPr="008924E0">
              <w:rPr>
                <w:b/>
                <w:color w:val="000000"/>
                <w:sz w:val="20"/>
                <w:szCs w:val="20"/>
                <w:lang w:val="bs-Latn-BA"/>
              </w:rPr>
              <w:t>.</w:t>
            </w:r>
            <w:r w:rsidRPr="008924E0">
              <w:rPr>
                <w:b/>
                <w:color w:val="000000"/>
                <w:sz w:val="20"/>
                <w:szCs w:val="20"/>
                <w:lang w:val="bs-Latn-BA"/>
              </w:rPr>
              <w:t>-1991</w:t>
            </w:r>
            <w:r w:rsidR="00FC223E" w:rsidRPr="008924E0">
              <w:rPr>
                <w:b/>
                <w:color w:val="000000"/>
                <w:sz w:val="20"/>
                <w:szCs w:val="20"/>
                <w:lang w:val="bs-Latn-BA"/>
              </w:rPr>
              <w:t>.</w:t>
            </w:r>
          </w:p>
        </w:tc>
        <w:tc>
          <w:tcPr>
            <w:tcW w:w="1100" w:type="dxa"/>
            <w:tcBorders>
              <w:top w:val="nil"/>
              <w:left w:val="nil"/>
              <w:bottom w:val="single" w:sz="12" w:space="0" w:color="FFFFFF"/>
              <w:right w:val="single" w:sz="12" w:space="0" w:color="FFFFFF"/>
            </w:tcBorders>
            <w:shd w:val="clear" w:color="auto" w:fill="FFE784"/>
          </w:tcPr>
          <w:p w14:paraId="0D52417B"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153</w:t>
            </w:r>
          </w:p>
        </w:tc>
        <w:tc>
          <w:tcPr>
            <w:tcW w:w="1215" w:type="dxa"/>
            <w:tcBorders>
              <w:top w:val="nil"/>
              <w:left w:val="nil"/>
              <w:bottom w:val="single" w:sz="12" w:space="0" w:color="FFFFFF"/>
              <w:right w:val="single" w:sz="12" w:space="0" w:color="FFFFFF"/>
            </w:tcBorders>
            <w:shd w:val="clear" w:color="auto" w:fill="FED380"/>
          </w:tcPr>
          <w:p w14:paraId="27A6CFDF"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246</w:t>
            </w:r>
          </w:p>
        </w:tc>
        <w:tc>
          <w:tcPr>
            <w:tcW w:w="960" w:type="dxa"/>
            <w:tcBorders>
              <w:top w:val="nil"/>
              <w:left w:val="nil"/>
              <w:bottom w:val="single" w:sz="12" w:space="0" w:color="FFFFFF"/>
              <w:right w:val="single" w:sz="12" w:space="0" w:color="FFFFFF"/>
            </w:tcBorders>
            <w:shd w:val="clear" w:color="auto" w:fill="FFE784"/>
          </w:tcPr>
          <w:p w14:paraId="45815CBA"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213</w:t>
            </w:r>
          </w:p>
        </w:tc>
        <w:tc>
          <w:tcPr>
            <w:tcW w:w="960" w:type="dxa"/>
            <w:tcBorders>
              <w:top w:val="nil"/>
              <w:left w:val="nil"/>
              <w:bottom w:val="single" w:sz="12" w:space="0" w:color="FFFFFF"/>
              <w:right w:val="single" w:sz="12" w:space="0" w:color="FFFFFF"/>
            </w:tcBorders>
            <w:shd w:val="clear" w:color="auto" w:fill="CADB80"/>
          </w:tcPr>
          <w:p w14:paraId="0ECF26B0"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105</w:t>
            </w:r>
          </w:p>
        </w:tc>
        <w:tc>
          <w:tcPr>
            <w:tcW w:w="960" w:type="dxa"/>
            <w:tcBorders>
              <w:top w:val="nil"/>
              <w:left w:val="nil"/>
              <w:bottom w:val="single" w:sz="12" w:space="0" w:color="FFFFFF"/>
              <w:right w:val="single" w:sz="12" w:space="0" w:color="FFFFFF"/>
            </w:tcBorders>
            <w:shd w:val="clear" w:color="auto" w:fill="CFDD81"/>
          </w:tcPr>
          <w:p w14:paraId="3C0BDC9E"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125</w:t>
            </w:r>
          </w:p>
        </w:tc>
        <w:tc>
          <w:tcPr>
            <w:tcW w:w="960" w:type="dxa"/>
            <w:tcBorders>
              <w:top w:val="nil"/>
              <w:left w:val="nil"/>
              <w:bottom w:val="single" w:sz="12" w:space="0" w:color="FFFFFF"/>
              <w:right w:val="single" w:sz="12" w:space="0" w:color="FFFFFF"/>
            </w:tcBorders>
            <w:shd w:val="clear" w:color="auto" w:fill="63BE7B"/>
          </w:tcPr>
          <w:p w14:paraId="2E1B7975"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 xml:space="preserve"> </w:t>
            </w:r>
          </w:p>
        </w:tc>
      </w:tr>
      <w:tr w:rsidR="00055321" w:rsidRPr="008924E0" w14:paraId="14941CEC" w14:textId="77777777" w:rsidTr="00771E4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39CD65B2" w14:textId="1EFE47E9" w:rsidR="00055321" w:rsidRPr="008924E0" w:rsidRDefault="00740D4F">
            <w:pPr>
              <w:spacing w:after="0" w:line="240" w:lineRule="auto"/>
              <w:jc w:val="center"/>
              <w:rPr>
                <w:b/>
                <w:color w:val="000000"/>
                <w:sz w:val="20"/>
                <w:szCs w:val="20"/>
                <w:lang w:val="bs-Latn-BA"/>
              </w:rPr>
            </w:pPr>
            <w:r w:rsidRPr="008924E0">
              <w:rPr>
                <w:b/>
                <w:color w:val="000000"/>
                <w:sz w:val="20"/>
                <w:szCs w:val="20"/>
                <w:lang w:val="bs-Latn-BA"/>
              </w:rPr>
              <w:t>1992</w:t>
            </w:r>
            <w:r w:rsidR="00274A18" w:rsidRPr="008924E0">
              <w:rPr>
                <w:b/>
                <w:color w:val="000000"/>
                <w:sz w:val="20"/>
                <w:szCs w:val="20"/>
                <w:lang w:val="bs-Latn-BA"/>
              </w:rPr>
              <w:t>.</w:t>
            </w:r>
            <w:r w:rsidRPr="008924E0">
              <w:rPr>
                <w:b/>
                <w:color w:val="000000"/>
                <w:sz w:val="20"/>
                <w:szCs w:val="20"/>
                <w:lang w:val="bs-Latn-BA"/>
              </w:rPr>
              <w:t>-2013</w:t>
            </w:r>
            <w:r w:rsidR="00FC223E" w:rsidRPr="008924E0">
              <w:rPr>
                <w:b/>
                <w:color w:val="000000"/>
                <w:sz w:val="20"/>
                <w:szCs w:val="20"/>
                <w:lang w:val="bs-Latn-BA"/>
              </w:rPr>
              <w:t>.</w:t>
            </w:r>
          </w:p>
        </w:tc>
        <w:tc>
          <w:tcPr>
            <w:tcW w:w="1100" w:type="dxa"/>
            <w:tcBorders>
              <w:top w:val="nil"/>
              <w:left w:val="nil"/>
              <w:bottom w:val="single" w:sz="12" w:space="0" w:color="FFFFFF"/>
              <w:right w:val="single" w:sz="12" w:space="0" w:color="FFFFFF"/>
            </w:tcBorders>
            <w:shd w:val="clear" w:color="auto" w:fill="FFEA84"/>
          </w:tcPr>
          <w:p w14:paraId="17C324A0"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143</w:t>
            </w:r>
          </w:p>
        </w:tc>
        <w:tc>
          <w:tcPr>
            <w:tcW w:w="1215" w:type="dxa"/>
            <w:tcBorders>
              <w:top w:val="nil"/>
              <w:left w:val="nil"/>
              <w:bottom w:val="single" w:sz="12" w:space="0" w:color="FFFFFF"/>
              <w:right w:val="single" w:sz="12" w:space="0" w:color="FFFFFF"/>
            </w:tcBorders>
            <w:shd w:val="clear" w:color="auto" w:fill="63BE7B"/>
          </w:tcPr>
          <w:p w14:paraId="3460C220"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 xml:space="preserve"> </w:t>
            </w:r>
          </w:p>
        </w:tc>
        <w:tc>
          <w:tcPr>
            <w:tcW w:w="960" w:type="dxa"/>
            <w:tcBorders>
              <w:top w:val="nil"/>
              <w:left w:val="nil"/>
              <w:bottom w:val="single" w:sz="12" w:space="0" w:color="FFFFFF"/>
              <w:right w:val="single" w:sz="12" w:space="0" w:color="FFFFFF"/>
            </w:tcBorders>
            <w:shd w:val="clear" w:color="auto" w:fill="A1D07E"/>
          </w:tcPr>
          <w:p w14:paraId="7F0421B5"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73</w:t>
            </w:r>
          </w:p>
        </w:tc>
        <w:tc>
          <w:tcPr>
            <w:tcW w:w="960" w:type="dxa"/>
            <w:tcBorders>
              <w:top w:val="nil"/>
              <w:left w:val="nil"/>
              <w:bottom w:val="single" w:sz="12" w:space="0" w:color="FFFFFF"/>
              <w:right w:val="single" w:sz="12" w:space="0" w:color="FFFFFF"/>
            </w:tcBorders>
            <w:shd w:val="clear" w:color="auto" w:fill="A8D27F"/>
          </w:tcPr>
          <w:p w14:paraId="5C8E2605"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77</w:t>
            </w:r>
          </w:p>
        </w:tc>
        <w:tc>
          <w:tcPr>
            <w:tcW w:w="960" w:type="dxa"/>
            <w:tcBorders>
              <w:top w:val="nil"/>
              <w:left w:val="nil"/>
              <w:bottom w:val="single" w:sz="12" w:space="0" w:color="FFFFFF"/>
              <w:right w:val="single" w:sz="12" w:space="0" w:color="FFFFFF"/>
            </w:tcBorders>
            <w:shd w:val="clear" w:color="auto" w:fill="95CC7D"/>
          </w:tcPr>
          <w:p w14:paraId="54558507"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62</w:t>
            </w:r>
          </w:p>
        </w:tc>
        <w:tc>
          <w:tcPr>
            <w:tcW w:w="960" w:type="dxa"/>
            <w:tcBorders>
              <w:top w:val="nil"/>
              <w:left w:val="nil"/>
              <w:bottom w:val="single" w:sz="12" w:space="0" w:color="FFFFFF"/>
              <w:right w:val="single" w:sz="12" w:space="0" w:color="FFFFFF"/>
            </w:tcBorders>
            <w:shd w:val="clear" w:color="auto" w:fill="63BE7B"/>
          </w:tcPr>
          <w:p w14:paraId="6FDD3701"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 xml:space="preserve"> </w:t>
            </w:r>
          </w:p>
        </w:tc>
      </w:tr>
      <w:tr w:rsidR="00055321" w:rsidRPr="008924E0" w14:paraId="7DF1B684" w14:textId="77777777" w:rsidTr="00771E4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11265172" w14:textId="1C19794F" w:rsidR="00055321" w:rsidRPr="008924E0" w:rsidRDefault="00740D4F">
            <w:pPr>
              <w:spacing w:after="0" w:line="240" w:lineRule="auto"/>
              <w:jc w:val="center"/>
              <w:rPr>
                <w:b/>
                <w:color w:val="000000"/>
                <w:sz w:val="20"/>
                <w:szCs w:val="20"/>
                <w:lang w:val="bs-Latn-BA"/>
              </w:rPr>
            </w:pPr>
            <w:r w:rsidRPr="008924E0">
              <w:rPr>
                <w:b/>
                <w:color w:val="000000"/>
                <w:sz w:val="20"/>
                <w:szCs w:val="20"/>
                <w:lang w:val="bs-Latn-BA"/>
              </w:rPr>
              <w:t>2014</w:t>
            </w:r>
            <w:r w:rsidR="00274A18" w:rsidRPr="008924E0">
              <w:rPr>
                <w:b/>
                <w:color w:val="000000"/>
                <w:sz w:val="20"/>
                <w:szCs w:val="20"/>
                <w:lang w:val="bs-Latn-BA"/>
              </w:rPr>
              <w:t>.</w:t>
            </w:r>
            <w:r w:rsidRPr="008924E0">
              <w:rPr>
                <w:b/>
                <w:color w:val="000000"/>
                <w:sz w:val="20"/>
                <w:szCs w:val="20"/>
                <w:lang w:val="bs-Latn-BA"/>
              </w:rPr>
              <w:t>-2020</w:t>
            </w:r>
            <w:r w:rsidR="00FC223E" w:rsidRPr="008924E0">
              <w:rPr>
                <w:b/>
                <w:color w:val="000000"/>
                <w:sz w:val="20"/>
                <w:szCs w:val="20"/>
                <w:lang w:val="bs-Latn-BA"/>
              </w:rPr>
              <w:t>.</w:t>
            </w:r>
            <w:r w:rsidRPr="008924E0">
              <w:rPr>
                <w:b/>
                <w:color w:val="000000"/>
                <w:sz w:val="20"/>
                <w:szCs w:val="20"/>
                <w:lang w:val="bs-Latn-BA"/>
              </w:rPr>
              <w:t>*</w:t>
            </w:r>
          </w:p>
        </w:tc>
        <w:tc>
          <w:tcPr>
            <w:tcW w:w="1100" w:type="dxa"/>
            <w:tcBorders>
              <w:top w:val="nil"/>
              <w:left w:val="nil"/>
              <w:bottom w:val="single" w:sz="12" w:space="0" w:color="FFFFFF"/>
              <w:right w:val="single" w:sz="12" w:space="0" w:color="FFFFFF"/>
            </w:tcBorders>
            <w:shd w:val="clear" w:color="auto" w:fill="D6DF81"/>
          </w:tcPr>
          <w:p w14:paraId="060F2F60"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103</w:t>
            </w:r>
          </w:p>
        </w:tc>
        <w:tc>
          <w:tcPr>
            <w:tcW w:w="1215" w:type="dxa"/>
            <w:tcBorders>
              <w:top w:val="nil"/>
              <w:left w:val="nil"/>
              <w:bottom w:val="single" w:sz="12" w:space="0" w:color="FFFFFF"/>
              <w:right w:val="single" w:sz="12" w:space="0" w:color="FFFFFF"/>
            </w:tcBorders>
            <w:shd w:val="clear" w:color="auto" w:fill="D6DF81"/>
          </w:tcPr>
          <w:p w14:paraId="0F9928C1"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103</w:t>
            </w:r>
          </w:p>
        </w:tc>
        <w:tc>
          <w:tcPr>
            <w:tcW w:w="960" w:type="dxa"/>
            <w:tcBorders>
              <w:top w:val="nil"/>
              <w:left w:val="nil"/>
              <w:bottom w:val="single" w:sz="12" w:space="0" w:color="FFFFFF"/>
              <w:right w:val="single" w:sz="12" w:space="0" w:color="FFFFFF"/>
            </w:tcBorders>
            <w:shd w:val="clear" w:color="auto" w:fill="90CA7D"/>
          </w:tcPr>
          <w:p w14:paraId="01BD3468"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37</w:t>
            </w:r>
          </w:p>
        </w:tc>
        <w:tc>
          <w:tcPr>
            <w:tcW w:w="960" w:type="dxa"/>
            <w:tcBorders>
              <w:top w:val="nil"/>
              <w:left w:val="nil"/>
              <w:bottom w:val="single" w:sz="12" w:space="0" w:color="FFFFFF"/>
              <w:right w:val="single" w:sz="12" w:space="0" w:color="FFFFFF"/>
            </w:tcBorders>
            <w:shd w:val="clear" w:color="auto" w:fill="8ECA7D"/>
          </w:tcPr>
          <w:p w14:paraId="52902769"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37</w:t>
            </w:r>
          </w:p>
        </w:tc>
        <w:tc>
          <w:tcPr>
            <w:tcW w:w="960" w:type="dxa"/>
            <w:tcBorders>
              <w:top w:val="nil"/>
              <w:left w:val="nil"/>
              <w:bottom w:val="single" w:sz="12" w:space="0" w:color="FFFFFF"/>
              <w:right w:val="single" w:sz="12" w:space="0" w:color="FFFFFF"/>
            </w:tcBorders>
            <w:shd w:val="clear" w:color="auto" w:fill="8ECA7D"/>
          </w:tcPr>
          <w:p w14:paraId="7F44D8BC"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37</w:t>
            </w:r>
          </w:p>
        </w:tc>
        <w:tc>
          <w:tcPr>
            <w:tcW w:w="960" w:type="dxa"/>
            <w:tcBorders>
              <w:top w:val="nil"/>
              <w:left w:val="nil"/>
              <w:bottom w:val="single" w:sz="12" w:space="0" w:color="FFFFFF"/>
              <w:right w:val="single" w:sz="12" w:space="0" w:color="FFFFFF"/>
            </w:tcBorders>
            <w:shd w:val="clear" w:color="auto" w:fill="8ECA7D"/>
          </w:tcPr>
          <w:p w14:paraId="0F3BA33B" w14:textId="77777777" w:rsidR="00055321" w:rsidRPr="008924E0" w:rsidRDefault="00740D4F">
            <w:pPr>
              <w:spacing w:after="0" w:line="240" w:lineRule="auto"/>
              <w:jc w:val="right"/>
              <w:rPr>
                <w:color w:val="000000"/>
                <w:sz w:val="20"/>
                <w:szCs w:val="20"/>
                <w:lang w:val="bs-Latn-BA"/>
              </w:rPr>
            </w:pPr>
            <w:r w:rsidRPr="008924E0">
              <w:rPr>
                <w:sz w:val="20"/>
                <w:szCs w:val="20"/>
                <w:lang w:val="bs-Latn-BA"/>
              </w:rPr>
              <w:t>37</w:t>
            </w:r>
          </w:p>
        </w:tc>
      </w:tr>
    </w:tbl>
    <w:p w14:paraId="3CF3ECF9" w14:textId="77777777" w:rsidR="00055321" w:rsidRPr="008924E0" w:rsidRDefault="00740D4F">
      <w:pPr>
        <w:ind w:left="720" w:hanging="360"/>
        <w:rPr>
          <w:lang w:val="bs-Latn-BA"/>
        </w:rPr>
      </w:pPr>
      <w:r w:rsidRPr="008924E0">
        <w:rPr>
          <w:sz w:val="16"/>
          <w:szCs w:val="16"/>
          <w:lang w:val="bs-Latn-BA"/>
        </w:rPr>
        <w:t xml:space="preserve">*Za analizu su korišteni podaci iz baze energijskih certifikata sa malim brojem uzoraka </w:t>
      </w:r>
    </w:p>
    <w:p w14:paraId="2D035E16" w14:textId="771755DE" w:rsidR="00973648" w:rsidRPr="008924E0" w:rsidRDefault="00973648" w:rsidP="00973648">
      <w:pPr>
        <w:pStyle w:val="Caption"/>
        <w:keepNext/>
      </w:pPr>
      <w:bookmarkStart w:id="62" w:name="_heading=h.nmf14n" w:colFirst="0" w:colLast="0"/>
      <w:bookmarkStart w:id="63" w:name="_Toc133499540"/>
      <w:bookmarkEnd w:id="62"/>
      <w:r w:rsidRPr="008924E0">
        <w:t xml:space="preserve">Tabela </w:t>
      </w:r>
      <w:fldSimple w:instr=" STYLEREF 1 \s ">
        <w:r w:rsidR="004A246B">
          <w:rPr>
            <w:noProof/>
          </w:rPr>
          <w:t>2</w:t>
        </w:r>
      </w:fldSimple>
      <w:r w:rsidR="004A246B">
        <w:t>.</w:t>
      </w:r>
      <w:r w:rsidR="00000000">
        <w:fldChar w:fldCharType="begin"/>
      </w:r>
      <w:r w:rsidR="00000000">
        <w:instrText xml:space="preserve"> SEQ Tabela \* ARABIC \s 1 </w:instrText>
      </w:r>
      <w:r w:rsidR="00000000">
        <w:fldChar w:fldCharType="separate"/>
      </w:r>
      <w:r w:rsidR="004A246B">
        <w:rPr>
          <w:noProof/>
        </w:rPr>
        <w:t>5</w:t>
      </w:r>
      <w:r w:rsidR="00000000">
        <w:rPr>
          <w:noProof/>
        </w:rPr>
        <w:fldChar w:fldCharType="end"/>
      </w:r>
      <w:r w:rsidRPr="008924E0">
        <w:rPr>
          <w:color w:val="000000"/>
        </w:rPr>
        <w:t xml:space="preserve"> Specifična potrebna energije kategorija zgrada u stambenom sektoru/indikativni energijski razred, kWh/m</w:t>
      </w:r>
      <w:r w:rsidRPr="008924E0">
        <w:rPr>
          <w:color w:val="000000"/>
          <w:vertAlign w:val="superscript"/>
        </w:rPr>
        <w:t>2</w:t>
      </w:r>
      <w:r w:rsidRPr="008924E0">
        <w:rPr>
          <w:color w:val="000000"/>
        </w:rPr>
        <w:t>god.</w:t>
      </w:r>
      <w:bookmarkEnd w:id="63"/>
    </w:p>
    <w:tbl>
      <w:tblPr>
        <w:tblStyle w:val="21"/>
        <w:tblW w:w="7863" w:type="dxa"/>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ayout w:type="fixed"/>
        <w:tblLook w:val="0400" w:firstRow="0" w:lastRow="0" w:firstColumn="0" w:lastColumn="0" w:noHBand="0" w:noVBand="1"/>
      </w:tblPr>
      <w:tblGrid>
        <w:gridCol w:w="1708"/>
        <w:gridCol w:w="1100"/>
        <w:gridCol w:w="1215"/>
        <w:gridCol w:w="960"/>
        <w:gridCol w:w="960"/>
        <w:gridCol w:w="960"/>
        <w:gridCol w:w="960"/>
      </w:tblGrid>
      <w:tr w:rsidR="00055321" w:rsidRPr="008924E0" w14:paraId="258892EA" w14:textId="77777777">
        <w:trPr>
          <w:trHeight w:val="432"/>
          <w:jc w:val="center"/>
        </w:trPr>
        <w:tc>
          <w:tcPr>
            <w:tcW w:w="1708" w:type="dxa"/>
            <w:vMerge w:val="restart"/>
            <w:tcBorders>
              <w:top w:val="single" w:sz="12" w:space="0" w:color="FFFFFF"/>
              <w:left w:val="single" w:sz="12" w:space="0" w:color="FFFFFF"/>
              <w:bottom w:val="single" w:sz="12" w:space="0" w:color="FFFFFF"/>
              <w:right w:val="single" w:sz="12" w:space="0" w:color="FFFFFF"/>
            </w:tcBorders>
            <w:shd w:val="clear" w:color="auto" w:fill="006432"/>
            <w:vAlign w:val="center"/>
          </w:tcPr>
          <w:p w14:paraId="75252E12"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Period izgradnje </w:t>
            </w:r>
          </w:p>
        </w:tc>
        <w:tc>
          <w:tcPr>
            <w:tcW w:w="2315" w:type="dxa"/>
            <w:gridSpan w:val="2"/>
            <w:tcBorders>
              <w:top w:val="single" w:sz="12" w:space="0" w:color="FFFFFF"/>
              <w:left w:val="nil"/>
              <w:bottom w:val="single" w:sz="12" w:space="0" w:color="FFFFFF"/>
              <w:right w:val="single" w:sz="12" w:space="0" w:color="FFFFFF"/>
            </w:tcBorders>
            <w:shd w:val="clear" w:color="auto" w:fill="006432"/>
            <w:vAlign w:val="center"/>
          </w:tcPr>
          <w:p w14:paraId="2E6550C4"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Individualno stanovanje</w:t>
            </w:r>
          </w:p>
        </w:tc>
        <w:tc>
          <w:tcPr>
            <w:tcW w:w="3840" w:type="dxa"/>
            <w:gridSpan w:val="4"/>
            <w:tcBorders>
              <w:top w:val="single" w:sz="12" w:space="0" w:color="FFFFFF"/>
              <w:left w:val="nil"/>
              <w:bottom w:val="single" w:sz="12" w:space="0" w:color="FFFFFF"/>
              <w:right w:val="single" w:sz="12" w:space="0" w:color="FFFFFF"/>
            </w:tcBorders>
            <w:shd w:val="clear" w:color="auto" w:fill="006432"/>
            <w:vAlign w:val="center"/>
          </w:tcPr>
          <w:p w14:paraId="7FD83C27"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Kolektivno stanovanje</w:t>
            </w:r>
          </w:p>
        </w:tc>
      </w:tr>
      <w:tr w:rsidR="00055321" w:rsidRPr="008924E0" w14:paraId="63493EF0" w14:textId="77777777">
        <w:trPr>
          <w:trHeight w:val="312"/>
          <w:jc w:val="center"/>
        </w:trPr>
        <w:tc>
          <w:tcPr>
            <w:tcW w:w="1708" w:type="dxa"/>
            <w:vMerge/>
            <w:tcBorders>
              <w:top w:val="single" w:sz="12" w:space="0" w:color="FFFFFF"/>
              <w:left w:val="single" w:sz="12" w:space="0" w:color="FFFFFF"/>
              <w:bottom w:val="single" w:sz="12" w:space="0" w:color="FFFFFF"/>
              <w:right w:val="single" w:sz="12" w:space="0" w:color="FFFFFF"/>
            </w:tcBorders>
            <w:shd w:val="clear" w:color="auto" w:fill="006432"/>
            <w:vAlign w:val="center"/>
          </w:tcPr>
          <w:p w14:paraId="0378E078" w14:textId="77777777" w:rsidR="00055321" w:rsidRPr="008924E0" w:rsidRDefault="00055321">
            <w:pPr>
              <w:widowControl w:val="0"/>
              <w:pBdr>
                <w:top w:val="nil"/>
                <w:left w:val="nil"/>
                <w:bottom w:val="nil"/>
                <w:right w:val="nil"/>
                <w:between w:val="nil"/>
              </w:pBdr>
              <w:spacing w:line="276" w:lineRule="auto"/>
              <w:rPr>
                <w:rFonts w:ascii="Calibri" w:eastAsia="Calibri" w:hAnsi="Calibri" w:cs="Calibri"/>
                <w:b/>
                <w:color w:val="FFFFFF"/>
                <w:lang w:val="bs-Latn-BA"/>
              </w:rPr>
            </w:pPr>
          </w:p>
        </w:tc>
        <w:tc>
          <w:tcPr>
            <w:tcW w:w="1100" w:type="dxa"/>
            <w:tcBorders>
              <w:top w:val="nil"/>
              <w:left w:val="nil"/>
              <w:bottom w:val="single" w:sz="12" w:space="0" w:color="FFFFFF"/>
              <w:right w:val="single" w:sz="12" w:space="0" w:color="FFFFFF"/>
            </w:tcBorders>
            <w:shd w:val="clear" w:color="auto" w:fill="006432"/>
            <w:vAlign w:val="center"/>
          </w:tcPr>
          <w:p w14:paraId="4F481DAE"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SH</w:t>
            </w:r>
          </w:p>
        </w:tc>
        <w:tc>
          <w:tcPr>
            <w:tcW w:w="1215" w:type="dxa"/>
            <w:tcBorders>
              <w:top w:val="nil"/>
              <w:left w:val="nil"/>
              <w:bottom w:val="single" w:sz="12" w:space="0" w:color="FFFFFF"/>
              <w:right w:val="single" w:sz="12" w:space="0" w:color="FFFFFF"/>
            </w:tcBorders>
            <w:shd w:val="clear" w:color="auto" w:fill="006432"/>
            <w:vAlign w:val="center"/>
          </w:tcPr>
          <w:p w14:paraId="1CA77DFF"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TH</w:t>
            </w:r>
          </w:p>
        </w:tc>
        <w:tc>
          <w:tcPr>
            <w:tcW w:w="960" w:type="dxa"/>
            <w:tcBorders>
              <w:top w:val="nil"/>
              <w:left w:val="nil"/>
              <w:bottom w:val="single" w:sz="12" w:space="0" w:color="FFFFFF"/>
              <w:right w:val="single" w:sz="12" w:space="0" w:color="FFFFFF"/>
            </w:tcBorders>
            <w:shd w:val="clear" w:color="auto" w:fill="006432"/>
            <w:vAlign w:val="center"/>
          </w:tcPr>
          <w:p w14:paraId="609954AF"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MH</w:t>
            </w:r>
          </w:p>
        </w:tc>
        <w:tc>
          <w:tcPr>
            <w:tcW w:w="960" w:type="dxa"/>
            <w:tcBorders>
              <w:top w:val="nil"/>
              <w:left w:val="nil"/>
              <w:bottom w:val="single" w:sz="12" w:space="0" w:color="FFFFFF"/>
              <w:right w:val="single" w:sz="12" w:space="0" w:color="FFFFFF"/>
            </w:tcBorders>
            <w:shd w:val="clear" w:color="auto" w:fill="006432"/>
            <w:vAlign w:val="center"/>
          </w:tcPr>
          <w:p w14:paraId="7552AE7D"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AB1</w:t>
            </w:r>
          </w:p>
        </w:tc>
        <w:tc>
          <w:tcPr>
            <w:tcW w:w="960" w:type="dxa"/>
            <w:tcBorders>
              <w:top w:val="nil"/>
              <w:left w:val="nil"/>
              <w:bottom w:val="single" w:sz="12" w:space="0" w:color="FFFFFF"/>
              <w:right w:val="single" w:sz="12" w:space="0" w:color="FFFFFF"/>
            </w:tcBorders>
            <w:shd w:val="clear" w:color="auto" w:fill="006432"/>
            <w:vAlign w:val="center"/>
          </w:tcPr>
          <w:p w14:paraId="7FFCE758"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AB2</w:t>
            </w:r>
          </w:p>
        </w:tc>
        <w:tc>
          <w:tcPr>
            <w:tcW w:w="960" w:type="dxa"/>
            <w:tcBorders>
              <w:top w:val="nil"/>
              <w:left w:val="nil"/>
              <w:bottom w:val="single" w:sz="12" w:space="0" w:color="FFFFFF"/>
              <w:right w:val="single" w:sz="12" w:space="0" w:color="FFFFFF"/>
            </w:tcBorders>
            <w:shd w:val="clear" w:color="auto" w:fill="006432"/>
            <w:vAlign w:val="center"/>
          </w:tcPr>
          <w:p w14:paraId="24441794" w14:textId="77777777" w:rsidR="00055321" w:rsidRPr="008924E0" w:rsidRDefault="00740D4F">
            <w:pPr>
              <w:jc w:val="center"/>
              <w:rPr>
                <w:rFonts w:ascii="Calibri" w:eastAsia="Calibri" w:hAnsi="Calibri" w:cs="Calibri"/>
                <w:b/>
                <w:color w:val="FFFFFF"/>
                <w:lang w:val="bs-Latn-BA"/>
              </w:rPr>
            </w:pPr>
            <w:r w:rsidRPr="008924E0">
              <w:rPr>
                <w:rFonts w:ascii="Calibri" w:eastAsia="Calibri" w:hAnsi="Calibri" w:cs="Calibri"/>
                <w:b/>
                <w:color w:val="FFFFFF"/>
                <w:lang w:val="bs-Latn-BA"/>
              </w:rPr>
              <w:t>H</w:t>
            </w:r>
          </w:p>
        </w:tc>
      </w:tr>
      <w:tr w:rsidR="00055321" w:rsidRPr="008924E0" w14:paraId="0A8F2803" w14:textId="77777777">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0C00638B" w14:textId="45121253" w:rsidR="00055321" w:rsidRPr="008924E0" w:rsidRDefault="00740D4F">
            <w:pPr>
              <w:jc w:val="center"/>
              <w:rPr>
                <w:rFonts w:ascii="Calibri" w:eastAsia="Calibri" w:hAnsi="Calibri" w:cs="Calibri"/>
                <w:b/>
                <w:lang w:val="bs-Latn-BA"/>
              </w:rPr>
            </w:pPr>
            <w:r w:rsidRPr="008924E0">
              <w:rPr>
                <w:rFonts w:ascii="Calibri" w:eastAsia="Calibri" w:hAnsi="Calibri" w:cs="Calibri"/>
                <w:b/>
                <w:lang w:val="bs-Latn-BA"/>
              </w:rPr>
              <w:t>do 1945</w:t>
            </w:r>
            <w:r w:rsidR="00FC223E" w:rsidRPr="008924E0">
              <w:rPr>
                <w:rFonts w:ascii="Calibri" w:eastAsia="Calibri" w:hAnsi="Calibri" w:cs="Calibri"/>
                <w:b/>
                <w:lang w:val="bs-Latn-BA"/>
              </w:rPr>
              <w:t>.</w:t>
            </w:r>
          </w:p>
        </w:tc>
        <w:tc>
          <w:tcPr>
            <w:tcW w:w="1100" w:type="dxa"/>
            <w:tcBorders>
              <w:top w:val="nil"/>
              <w:left w:val="nil"/>
              <w:bottom w:val="single" w:sz="12" w:space="0" w:color="FFFFFF"/>
              <w:right w:val="single" w:sz="12" w:space="0" w:color="FFFFFF"/>
            </w:tcBorders>
            <w:shd w:val="clear" w:color="auto" w:fill="F9706D"/>
            <w:vAlign w:val="bottom"/>
          </w:tcPr>
          <w:p w14:paraId="05F7839F"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303/G</w:t>
            </w:r>
          </w:p>
        </w:tc>
        <w:tc>
          <w:tcPr>
            <w:tcW w:w="1215" w:type="dxa"/>
            <w:tcBorders>
              <w:top w:val="nil"/>
              <w:left w:val="nil"/>
              <w:bottom w:val="single" w:sz="12" w:space="0" w:color="FFFFFF"/>
              <w:right w:val="single" w:sz="12" w:space="0" w:color="FFFFFF"/>
            </w:tcBorders>
            <w:shd w:val="clear" w:color="auto" w:fill="FECF7F"/>
            <w:vAlign w:val="bottom"/>
          </w:tcPr>
          <w:p w14:paraId="0381201D"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123/C</w:t>
            </w:r>
          </w:p>
        </w:tc>
        <w:tc>
          <w:tcPr>
            <w:tcW w:w="960" w:type="dxa"/>
            <w:tcBorders>
              <w:top w:val="nil"/>
              <w:left w:val="nil"/>
              <w:bottom w:val="single" w:sz="12" w:space="0" w:color="FFFFFF"/>
              <w:right w:val="single" w:sz="12" w:space="0" w:color="FFFFFF"/>
            </w:tcBorders>
            <w:shd w:val="clear" w:color="auto" w:fill="FDBD7C"/>
            <w:vAlign w:val="bottom"/>
          </w:tcPr>
          <w:p w14:paraId="0BB9B89A"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155/D</w:t>
            </w:r>
          </w:p>
        </w:tc>
        <w:tc>
          <w:tcPr>
            <w:tcW w:w="960" w:type="dxa"/>
            <w:tcBorders>
              <w:top w:val="nil"/>
              <w:left w:val="nil"/>
              <w:bottom w:val="single" w:sz="12" w:space="0" w:color="FFFFFF"/>
              <w:right w:val="single" w:sz="12" w:space="0" w:color="FFFFFF"/>
            </w:tcBorders>
            <w:shd w:val="clear" w:color="auto" w:fill="FFDB81"/>
            <w:vAlign w:val="bottom"/>
          </w:tcPr>
          <w:p w14:paraId="6EEBAB08"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118/D</w:t>
            </w:r>
          </w:p>
        </w:tc>
        <w:tc>
          <w:tcPr>
            <w:tcW w:w="960" w:type="dxa"/>
            <w:tcBorders>
              <w:top w:val="nil"/>
              <w:left w:val="nil"/>
              <w:bottom w:val="single" w:sz="12" w:space="0" w:color="FFFFFF"/>
              <w:right w:val="single" w:sz="12" w:space="0" w:color="FFFFFF"/>
            </w:tcBorders>
            <w:shd w:val="clear" w:color="auto" w:fill="63BE7B"/>
            <w:vAlign w:val="bottom"/>
          </w:tcPr>
          <w:p w14:paraId="620D4FDC" w14:textId="77777777" w:rsidR="00055321" w:rsidRPr="008924E0" w:rsidRDefault="00055321">
            <w:pPr>
              <w:jc w:val="right"/>
              <w:rPr>
                <w:rFonts w:ascii="Calibri" w:eastAsia="Calibri" w:hAnsi="Calibri" w:cs="Calibri"/>
                <w:lang w:val="bs-Latn-BA"/>
              </w:rPr>
            </w:pPr>
          </w:p>
        </w:tc>
        <w:tc>
          <w:tcPr>
            <w:tcW w:w="960" w:type="dxa"/>
            <w:tcBorders>
              <w:top w:val="nil"/>
              <w:left w:val="nil"/>
              <w:bottom w:val="single" w:sz="12" w:space="0" w:color="FFFFFF"/>
              <w:right w:val="single" w:sz="12" w:space="0" w:color="FFFFFF"/>
            </w:tcBorders>
            <w:shd w:val="clear" w:color="auto" w:fill="63BE7B"/>
            <w:vAlign w:val="bottom"/>
          </w:tcPr>
          <w:p w14:paraId="33BD91CD" w14:textId="77777777" w:rsidR="00055321" w:rsidRPr="008924E0" w:rsidRDefault="00055321">
            <w:pPr>
              <w:jc w:val="right"/>
              <w:rPr>
                <w:rFonts w:ascii="Calibri" w:eastAsia="Calibri" w:hAnsi="Calibri" w:cs="Calibri"/>
                <w:lang w:val="bs-Latn-BA"/>
              </w:rPr>
            </w:pPr>
          </w:p>
        </w:tc>
      </w:tr>
      <w:tr w:rsidR="00055321" w:rsidRPr="008924E0" w14:paraId="0981EA9E" w14:textId="77777777">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30FEB9F5" w14:textId="184F8000" w:rsidR="00055321" w:rsidRPr="008924E0" w:rsidRDefault="00740D4F">
            <w:pPr>
              <w:jc w:val="center"/>
              <w:rPr>
                <w:rFonts w:ascii="Calibri" w:eastAsia="Calibri" w:hAnsi="Calibri" w:cs="Calibri"/>
                <w:b/>
                <w:lang w:val="bs-Latn-BA"/>
              </w:rPr>
            </w:pPr>
            <w:r w:rsidRPr="008924E0">
              <w:rPr>
                <w:rFonts w:ascii="Calibri" w:eastAsia="Calibri" w:hAnsi="Calibri" w:cs="Calibri"/>
                <w:b/>
                <w:lang w:val="bs-Latn-BA"/>
              </w:rPr>
              <w:t>1946</w:t>
            </w:r>
            <w:r w:rsidR="00274A18" w:rsidRPr="008924E0">
              <w:rPr>
                <w:rFonts w:ascii="Calibri" w:eastAsia="Calibri" w:hAnsi="Calibri" w:cs="Calibri"/>
                <w:b/>
                <w:lang w:val="bs-Latn-BA"/>
              </w:rPr>
              <w:t>.</w:t>
            </w:r>
            <w:r w:rsidRPr="008924E0">
              <w:rPr>
                <w:rFonts w:ascii="Calibri" w:eastAsia="Calibri" w:hAnsi="Calibri" w:cs="Calibri"/>
                <w:b/>
                <w:lang w:val="bs-Latn-BA"/>
              </w:rPr>
              <w:t>-1960</w:t>
            </w:r>
            <w:r w:rsidR="00FC223E" w:rsidRPr="008924E0">
              <w:rPr>
                <w:rFonts w:ascii="Calibri" w:eastAsia="Calibri" w:hAnsi="Calibri" w:cs="Calibri"/>
                <w:b/>
                <w:lang w:val="bs-Latn-BA"/>
              </w:rPr>
              <w:t>.</w:t>
            </w:r>
          </w:p>
        </w:tc>
        <w:tc>
          <w:tcPr>
            <w:tcW w:w="1100" w:type="dxa"/>
            <w:tcBorders>
              <w:top w:val="nil"/>
              <w:left w:val="nil"/>
              <w:bottom w:val="single" w:sz="12" w:space="0" w:color="FFFFFF"/>
              <w:right w:val="single" w:sz="12" w:space="0" w:color="FFFFFF"/>
            </w:tcBorders>
            <w:shd w:val="clear" w:color="auto" w:fill="F8696B"/>
            <w:vAlign w:val="bottom"/>
          </w:tcPr>
          <w:p w14:paraId="3730AEB1"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318/G</w:t>
            </w:r>
          </w:p>
        </w:tc>
        <w:tc>
          <w:tcPr>
            <w:tcW w:w="1215" w:type="dxa"/>
            <w:tcBorders>
              <w:top w:val="nil"/>
              <w:left w:val="nil"/>
              <w:bottom w:val="single" w:sz="12" w:space="0" w:color="FFFFFF"/>
              <w:right w:val="single" w:sz="12" w:space="0" w:color="FFFFFF"/>
            </w:tcBorders>
            <w:shd w:val="clear" w:color="auto" w:fill="FCB279"/>
            <w:vAlign w:val="bottom"/>
          </w:tcPr>
          <w:p w14:paraId="61AA891A"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215/E</w:t>
            </w:r>
          </w:p>
        </w:tc>
        <w:tc>
          <w:tcPr>
            <w:tcW w:w="960" w:type="dxa"/>
            <w:tcBorders>
              <w:top w:val="nil"/>
              <w:left w:val="nil"/>
              <w:bottom w:val="single" w:sz="12" w:space="0" w:color="FFFFFF"/>
              <w:right w:val="single" w:sz="12" w:space="0" w:color="FFFFFF"/>
            </w:tcBorders>
            <w:shd w:val="clear" w:color="auto" w:fill="FED07F"/>
            <w:vAlign w:val="bottom"/>
          </w:tcPr>
          <w:p w14:paraId="665A8B40"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145/D</w:t>
            </w:r>
          </w:p>
        </w:tc>
        <w:tc>
          <w:tcPr>
            <w:tcW w:w="960" w:type="dxa"/>
            <w:tcBorders>
              <w:top w:val="nil"/>
              <w:left w:val="nil"/>
              <w:bottom w:val="single" w:sz="12" w:space="0" w:color="FFFFFF"/>
              <w:right w:val="single" w:sz="12" w:space="0" w:color="FFFFFF"/>
            </w:tcBorders>
            <w:shd w:val="clear" w:color="auto" w:fill="FFDF82"/>
            <w:vAlign w:val="bottom"/>
          </w:tcPr>
          <w:p w14:paraId="3A9D0A2A"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106/C</w:t>
            </w:r>
          </w:p>
        </w:tc>
        <w:tc>
          <w:tcPr>
            <w:tcW w:w="960" w:type="dxa"/>
            <w:tcBorders>
              <w:top w:val="nil"/>
              <w:left w:val="nil"/>
              <w:bottom w:val="single" w:sz="12" w:space="0" w:color="FFFFFF"/>
              <w:right w:val="single" w:sz="12" w:space="0" w:color="FFFFFF"/>
            </w:tcBorders>
            <w:shd w:val="clear" w:color="auto" w:fill="FFE583"/>
            <w:vAlign w:val="bottom"/>
          </w:tcPr>
          <w:p w14:paraId="359BC706"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118/D</w:t>
            </w:r>
          </w:p>
        </w:tc>
        <w:tc>
          <w:tcPr>
            <w:tcW w:w="960" w:type="dxa"/>
            <w:tcBorders>
              <w:top w:val="nil"/>
              <w:left w:val="nil"/>
              <w:bottom w:val="single" w:sz="12" w:space="0" w:color="FFFFFF"/>
              <w:right w:val="single" w:sz="12" w:space="0" w:color="FFFFFF"/>
            </w:tcBorders>
            <w:shd w:val="clear" w:color="auto" w:fill="63BE7B"/>
            <w:vAlign w:val="bottom"/>
          </w:tcPr>
          <w:p w14:paraId="342EFBE2" w14:textId="77777777" w:rsidR="00055321" w:rsidRPr="008924E0" w:rsidRDefault="00055321">
            <w:pPr>
              <w:jc w:val="right"/>
              <w:rPr>
                <w:rFonts w:ascii="Calibri" w:eastAsia="Calibri" w:hAnsi="Calibri" w:cs="Calibri"/>
                <w:lang w:val="bs-Latn-BA"/>
              </w:rPr>
            </w:pPr>
          </w:p>
        </w:tc>
      </w:tr>
      <w:tr w:rsidR="00055321" w:rsidRPr="008924E0" w14:paraId="26295616" w14:textId="77777777">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581256E2" w14:textId="3CEE5199" w:rsidR="00055321" w:rsidRPr="008924E0" w:rsidRDefault="00740D4F">
            <w:pPr>
              <w:jc w:val="center"/>
              <w:rPr>
                <w:rFonts w:ascii="Calibri" w:eastAsia="Calibri" w:hAnsi="Calibri" w:cs="Calibri"/>
                <w:b/>
                <w:lang w:val="bs-Latn-BA"/>
              </w:rPr>
            </w:pPr>
            <w:r w:rsidRPr="008924E0">
              <w:rPr>
                <w:rFonts w:ascii="Calibri" w:eastAsia="Calibri" w:hAnsi="Calibri" w:cs="Calibri"/>
                <w:b/>
                <w:lang w:val="bs-Latn-BA"/>
              </w:rPr>
              <w:t>1961</w:t>
            </w:r>
            <w:r w:rsidR="00274A18" w:rsidRPr="008924E0">
              <w:rPr>
                <w:rFonts w:ascii="Calibri" w:eastAsia="Calibri" w:hAnsi="Calibri" w:cs="Calibri"/>
                <w:b/>
                <w:lang w:val="bs-Latn-BA"/>
              </w:rPr>
              <w:t>.</w:t>
            </w:r>
            <w:r w:rsidRPr="008924E0">
              <w:rPr>
                <w:rFonts w:ascii="Calibri" w:eastAsia="Calibri" w:hAnsi="Calibri" w:cs="Calibri"/>
                <w:b/>
                <w:lang w:val="bs-Latn-BA"/>
              </w:rPr>
              <w:t>-1970</w:t>
            </w:r>
            <w:r w:rsidR="00FC223E" w:rsidRPr="008924E0">
              <w:rPr>
                <w:rFonts w:ascii="Calibri" w:eastAsia="Calibri" w:hAnsi="Calibri" w:cs="Calibri"/>
                <w:b/>
                <w:lang w:val="bs-Latn-BA"/>
              </w:rPr>
              <w:t>.</w:t>
            </w:r>
          </w:p>
        </w:tc>
        <w:tc>
          <w:tcPr>
            <w:tcW w:w="1100" w:type="dxa"/>
            <w:tcBorders>
              <w:top w:val="nil"/>
              <w:left w:val="nil"/>
              <w:bottom w:val="single" w:sz="12" w:space="0" w:color="FFFFFF"/>
              <w:right w:val="single" w:sz="12" w:space="0" w:color="FFFFFF"/>
            </w:tcBorders>
            <w:shd w:val="clear" w:color="auto" w:fill="F9726D"/>
            <w:vAlign w:val="bottom"/>
          </w:tcPr>
          <w:p w14:paraId="529C11BD"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311/G</w:t>
            </w:r>
          </w:p>
        </w:tc>
        <w:tc>
          <w:tcPr>
            <w:tcW w:w="1215" w:type="dxa"/>
            <w:tcBorders>
              <w:top w:val="nil"/>
              <w:left w:val="nil"/>
              <w:bottom w:val="single" w:sz="12" w:space="0" w:color="FFFFFF"/>
              <w:right w:val="single" w:sz="12" w:space="0" w:color="FFFFFF"/>
            </w:tcBorders>
            <w:shd w:val="clear" w:color="auto" w:fill="FED881"/>
            <w:vAlign w:val="bottom"/>
          </w:tcPr>
          <w:p w14:paraId="4861603E"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132/C</w:t>
            </w:r>
          </w:p>
        </w:tc>
        <w:tc>
          <w:tcPr>
            <w:tcW w:w="960" w:type="dxa"/>
            <w:tcBorders>
              <w:top w:val="nil"/>
              <w:left w:val="nil"/>
              <w:bottom w:val="single" w:sz="12" w:space="0" w:color="FFFFFF"/>
              <w:right w:val="single" w:sz="12" w:space="0" w:color="FFFFFF"/>
            </w:tcBorders>
            <w:shd w:val="clear" w:color="auto" w:fill="FFDD82"/>
            <w:vAlign w:val="bottom"/>
          </w:tcPr>
          <w:p w14:paraId="5AB60988"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126/D</w:t>
            </w:r>
          </w:p>
        </w:tc>
        <w:tc>
          <w:tcPr>
            <w:tcW w:w="960" w:type="dxa"/>
            <w:tcBorders>
              <w:top w:val="nil"/>
              <w:left w:val="nil"/>
              <w:bottom w:val="single" w:sz="12" w:space="0" w:color="FFFFFF"/>
              <w:right w:val="single" w:sz="12" w:space="0" w:color="FFFFFF"/>
            </w:tcBorders>
            <w:shd w:val="clear" w:color="auto" w:fill="FFEB84"/>
            <w:vAlign w:val="bottom"/>
          </w:tcPr>
          <w:p w14:paraId="14988C89"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103/C</w:t>
            </w:r>
          </w:p>
        </w:tc>
        <w:tc>
          <w:tcPr>
            <w:tcW w:w="960" w:type="dxa"/>
            <w:tcBorders>
              <w:top w:val="nil"/>
              <w:left w:val="nil"/>
              <w:bottom w:val="single" w:sz="12" w:space="0" w:color="FFFFFF"/>
              <w:right w:val="single" w:sz="12" w:space="0" w:color="FFFFFF"/>
            </w:tcBorders>
            <w:shd w:val="clear" w:color="auto" w:fill="FFEA84"/>
            <w:vAlign w:val="bottom"/>
          </w:tcPr>
          <w:p w14:paraId="3B542D5A"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114/D</w:t>
            </w:r>
          </w:p>
        </w:tc>
        <w:tc>
          <w:tcPr>
            <w:tcW w:w="960" w:type="dxa"/>
            <w:tcBorders>
              <w:top w:val="nil"/>
              <w:left w:val="nil"/>
              <w:bottom w:val="single" w:sz="12" w:space="0" w:color="FFFFFF"/>
              <w:right w:val="single" w:sz="12" w:space="0" w:color="FFFFFF"/>
            </w:tcBorders>
            <w:shd w:val="clear" w:color="auto" w:fill="FFE683"/>
            <w:vAlign w:val="bottom"/>
          </w:tcPr>
          <w:p w14:paraId="275C9769"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130/D</w:t>
            </w:r>
          </w:p>
        </w:tc>
      </w:tr>
      <w:tr w:rsidR="00055321" w:rsidRPr="008924E0" w14:paraId="0D6608DC" w14:textId="77777777">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1AD853A6" w14:textId="1DBD2D01" w:rsidR="00055321" w:rsidRPr="008924E0" w:rsidRDefault="00740D4F">
            <w:pPr>
              <w:jc w:val="center"/>
              <w:rPr>
                <w:rFonts w:ascii="Calibri" w:eastAsia="Calibri" w:hAnsi="Calibri" w:cs="Calibri"/>
                <w:b/>
                <w:lang w:val="bs-Latn-BA"/>
              </w:rPr>
            </w:pPr>
            <w:r w:rsidRPr="008924E0">
              <w:rPr>
                <w:rFonts w:ascii="Calibri" w:eastAsia="Calibri" w:hAnsi="Calibri" w:cs="Calibri"/>
                <w:b/>
                <w:lang w:val="bs-Latn-BA"/>
              </w:rPr>
              <w:t>1971</w:t>
            </w:r>
            <w:r w:rsidR="00274A18" w:rsidRPr="008924E0">
              <w:rPr>
                <w:rFonts w:ascii="Calibri" w:eastAsia="Calibri" w:hAnsi="Calibri" w:cs="Calibri"/>
                <w:b/>
                <w:lang w:val="bs-Latn-BA"/>
              </w:rPr>
              <w:t>.</w:t>
            </w:r>
            <w:r w:rsidRPr="008924E0">
              <w:rPr>
                <w:rFonts w:ascii="Calibri" w:eastAsia="Calibri" w:hAnsi="Calibri" w:cs="Calibri"/>
                <w:b/>
                <w:lang w:val="bs-Latn-BA"/>
              </w:rPr>
              <w:t>-1980</w:t>
            </w:r>
            <w:r w:rsidR="00FC223E" w:rsidRPr="008924E0">
              <w:rPr>
                <w:rFonts w:ascii="Calibri" w:eastAsia="Calibri" w:hAnsi="Calibri" w:cs="Calibri"/>
                <w:b/>
                <w:lang w:val="bs-Latn-BA"/>
              </w:rPr>
              <w:t>.</w:t>
            </w:r>
          </w:p>
        </w:tc>
        <w:tc>
          <w:tcPr>
            <w:tcW w:w="1100" w:type="dxa"/>
            <w:tcBorders>
              <w:top w:val="nil"/>
              <w:left w:val="nil"/>
              <w:bottom w:val="single" w:sz="12" w:space="0" w:color="FFFFFF"/>
              <w:right w:val="single" w:sz="12" w:space="0" w:color="FFFFFF"/>
            </w:tcBorders>
            <w:shd w:val="clear" w:color="auto" w:fill="FB9374"/>
            <w:vAlign w:val="bottom"/>
          </w:tcPr>
          <w:p w14:paraId="780DCFFB"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256/E</w:t>
            </w:r>
          </w:p>
        </w:tc>
        <w:tc>
          <w:tcPr>
            <w:tcW w:w="1215" w:type="dxa"/>
            <w:tcBorders>
              <w:top w:val="nil"/>
              <w:left w:val="nil"/>
              <w:bottom w:val="single" w:sz="12" w:space="0" w:color="FFFFFF"/>
              <w:right w:val="single" w:sz="12" w:space="0" w:color="FFFFFF"/>
            </w:tcBorders>
            <w:shd w:val="clear" w:color="auto" w:fill="FED981"/>
            <w:vAlign w:val="bottom"/>
          </w:tcPr>
          <w:p w14:paraId="44F0D7BB"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133/C</w:t>
            </w:r>
          </w:p>
        </w:tc>
        <w:tc>
          <w:tcPr>
            <w:tcW w:w="960" w:type="dxa"/>
            <w:tcBorders>
              <w:top w:val="nil"/>
              <w:left w:val="nil"/>
              <w:bottom w:val="single" w:sz="12" w:space="0" w:color="FFFFFF"/>
              <w:right w:val="single" w:sz="12" w:space="0" w:color="FFFFFF"/>
            </w:tcBorders>
            <w:shd w:val="clear" w:color="auto" w:fill="FDEA83"/>
            <w:vAlign w:val="bottom"/>
          </w:tcPr>
          <w:p w14:paraId="6690EB09"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98/C</w:t>
            </w:r>
          </w:p>
        </w:tc>
        <w:tc>
          <w:tcPr>
            <w:tcW w:w="960" w:type="dxa"/>
            <w:tcBorders>
              <w:top w:val="nil"/>
              <w:left w:val="nil"/>
              <w:bottom w:val="single" w:sz="12" w:space="0" w:color="FFFFFF"/>
              <w:right w:val="single" w:sz="12" w:space="0" w:color="FFFFFF"/>
            </w:tcBorders>
            <w:shd w:val="clear" w:color="auto" w:fill="63BE7B"/>
            <w:vAlign w:val="bottom"/>
          </w:tcPr>
          <w:p w14:paraId="6095AAC2" w14:textId="77777777" w:rsidR="00055321" w:rsidRPr="008924E0" w:rsidRDefault="00055321">
            <w:pPr>
              <w:jc w:val="right"/>
              <w:rPr>
                <w:rFonts w:ascii="Calibri" w:eastAsia="Calibri" w:hAnsi="Calibri" w:cs="Calibri"/>
                <w:lang w:val="bs-Latn-BA"/>
              </w:rPr>
            </w:pPr>
          </w:p>
        </w:tc>
        <w:tc>
          <w:tcPr>
            <w:tcW w:w="960" w:type="dxa"/>
            <w:tcBorders>
              <w:top w:val="nil"/>
              <w:left w:val="nil"/>
              <w:bottom w:val="single" w:sz="12" w:space="0" w:color="FFFFFF"/>
              <w:right w:val="single" w:sz="12" w:space="0" w:color="FFFFFF"/>
            </w:tcBorders>
            <w:shd w:val="clear" w:color="auto" w:fill="DCE182"/>
            <w:vAlign w:val="bottom"/>
          </w:tcPr>
          <w:p w14:paraId="68C4C34B"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87/C</w:t>
            </w:r>
          </w:p>
        </w:tc>
        <w:tc>
          <w:tcPr>
            <w:tcW w:w="960" w:type="dxa"/>
            <w:tcBorders>
              <w:top w:val="nil"/>
              <w:left w:val="nil"/>
              <w:bottom w:val="single" w:sz="12" w:space="0" w:color="FFFFFF"/>
              <w:right w:val="single" w:sz="12" w:space="0" w:color="FFFFFF"/>
            </w:tcBorders>
            <w:shd w:val="clear" w:color="auto" w:fill="D6DF81"/>
            <w:vAlign w:val="bottom"/>
          </w:tcPr>
          <w:p w14:paraId="5F8506E3"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84/C</w:t>
            </w:r>
          </w:p>
        </w:tc>
      </w:tr>
      <w:tr w:rsidR="00055321" w:rsidRPr="008924E0" w14:paraId="4E0706C7" w14:textId="77777777">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1E6EA3F6" w14:textId="7D7451B5" w:rsidR="00055321" w:rsidRPr="008924E0" w:rsidRDefault="00740D4F">
            <w:pPr>
              <w:jc w:val="center"/>
              <w:rPr>
                <w:rFonts w:ascii="Calibri" w:eastAsia="Calibri" w:hAnsi="Calibri" w:cs="Calibri"/>
                <w:b/>
                <w:lang w:val="bs-Latn-BA"/>
              </w:rPr>
            </w:pPr>
            <w:r w:rsidRPr="008924E0">
              <w:rPr>
                <w:rFonts w:ascii="Calibri" w:eastAsia="Calibri" w:hAnsi="Calibri" w:cs="Calibri"/>
                <w:b/>
                <w:lang w:val="bs-Latn-BA"/>
              </w:rPr>
              <w:t>1981</w:t>
            </w:r>
            <w:r w:rsidR="00274A18" w:rsidRPr="008924E0">
              <w:rPr>
                <w:rFonts w:ascii="Calibri" w:eastAsia="Calibri" w:hAnsi="Calibri" w:cs="Calibri"/>
                <w:b/>
                <w:lang w:val="bs-Latn-BA"/>
              </w:rPr>
              <w:t>.</w:t>
            </w:r>
            <w:r w:rsidRPr="008924E0">
              <w:rPr>
                <w:rFonts w:ascii="Calibri" w:eastAsia="Calibri" w:hAnsi="Calibri" w:cs="Calibri"/>
                <w:b/>
                <w:lang w:val="bs-Latn-BA"/>
              </w:rPr>
              <w:t>-1991</w:t>
            </w:r>
            <w:r w:rsidR="00FC223E" w:rsidRPr="008924E0">
              <w:rPr>
                <w:rFonts w:ascii="Calibri" w:eastAsia="Calibri" w:hAnsi="Calibri" w:cs="Calibri"/>
                <w:b/>
                <w:lang w:val="bs-Latn-BA"/>
              </w:rPr>
              <w:t>.</w:t>
            </w:r>
          </w:p>
        </w:tc>
        <w:tc>
          <w:tcPr>
            <w:tcW w:w="1100" w:type="dxa"/>
            <w:tcBorders>
              <w:top w:val="nil"/>
              <w:left w:val="nil"/>
              <w:bottom w:val="single" w:sz="12" w:space="0" w:color="FFFFFF"/>
              <w:right w:val="single" w:sz="12" w:space="0" w:color="FFFFFF"/>
            </w:tcBorders>
            <w:shd w:val="clear" w:color="auto" w:fill="FFE784"/>
            <w:vAlign w:val="bottom"/>
          </w:tcPr>
          <w:p w14:paraId="1594C526"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91/C</w:t>
            </w:r>
          </w:p>
        </w:tc>
        <w:tc>
          <w:tcPr>
            <w:tcW w:w="1215" w:type="dxa"/>
            <w:tcBorders>
              <w:top w:val="nil"/>
              <w:left w:val="nil"/>
              <w:bottom w:val="single" w:sz="12" w:space="0" w:color="FFFFFF"/>
              <w:right w:val="single" w:sz="12" w:space="0" w:color="FFFFFF"/>
            </w:tcBorders>
            <w:shd w:val="clear" w:color="auto" w:fill="FED380"/>
            <w:vAlign w:val="bottom"/>
          </w:tcPr>
          <w:p w14:paraId="075BFFCD"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147/D</w:t>
            </w:r>
          </w:p>
        </w:tc>
        <w:tc>
          <w:tcPr>
            <w:tcW w:w="960" w:type="dxa"/>
            <w:tcBorders>
              <w:top w:val="nil"/>
              <w:left w:val="nil"/>
              <w:bottom w:val="single" w:sz="12" w:space="0" w:color="FFFFFF"/>
              <w:right w:val="single" w:sz="12" w:space="0" w:color="FFFFFF"/>
            </w:tcBorders>
            <w:shd w:val="clear" w:color="auto" w:fill="FFE784"/>
            <w:vAlign w:val="bottom"/>
          </w:tcPr>
          <w:p w14:paraId="6F710967"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127/D</w:t>
            </w:r>
          </w:p>
        </w:tc>
        <w:tc>
          <w:tcPr>
            <w:tcW w:w="960" w:type="dxa"/>
            <w:tcBorders>
              <w:top w:val="nil"/>
              <w:left w:val="nil"/>
              <w:bottom w:val="single" w:sz="12" w:space="0" w:color="FFFFFF"/>
              <w:right w:val="single" w:sz="12" w:space="0" w:color="FFFFFF"/>
            </w:tcBorders>
            <w:shd w:val="clear" w:color="auto" w:fill="CADB80"/>
            <w:vAlign w:val="bottom"/>
          </w:tcPr>
          <w:p w14:paraId="5E829B85"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63/C</w:t>
            </w:r>
          </w:p>
        </w:tc>
        <w:tc>
          <w:tcPr>
            <w:tcW w:w="960" w:type="dxa"/>
            <w:tcBorders>
              <w:top w:val="nil"/>
              <w:left w:val="nil"/>
              <w:bottom w:val="single" w:sz="12" w:space="0" w:color="FFFFFF"/>
              <w:right w:val="single" w:sz="12" w:space="0" w:color="FFFFFF"/>
            </w:tcBorders>
            <w:shd w:val="clear" w:color="auto" w:fill="CFDD81"/>
            <w:vAlign w:val="bottom"/>
          </w:tcPr>
          <w:p w14:paraId="539514C2"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74/C</w:t>
            </w:r>
          </w:p>
        </w:tc>
        <w:tc>
          <w:tcPr>
            <w:tcW w:w="960" w:type="dxa"/>
            <w:tcBorders>
              <w:top w:val="nil"/>
              <w:left w:val="nil"/>
              <w:bottom w:val="single" w:sz="12" w:space="0" w:color="FFFFFF"/>
              <w:right w:val="single" w:sz="12" w:space="0" w:color="FFFFFF"/>
            </w:tcBorders>
            <w:shd w:val="clear" w:color="auto" w:fill="63BE7B"/>
            <w:vAlign w:val="bottom"/>
          </w:tcPr>
          <w:p w14:paraId="194A2F58" w14:textId="77777777" w:rsidR="00055321" w:rsidRPr="008924E0" w:rsidRDefault="00055321">
            <w:pPr>
              <w:jc w:val="right"/>
              <w:rPr>
                <w:rFonts w:ascii="Calibri" w:eastAsia="Calibri" w:hAnsi="Calibri" w:cs="Calibri"/>
                <w:lang w:val="bs-Latn-BA"/>
              </w:rPr>
            </w:pPr>
          </w:p>
        </w:tc>
      </w:tr>
      <w:tr w:rsidR="00055321" w:rsidRPr="008924E0" w14:paraId="51C64ED8" w14:textId="77777777">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7E9BE8E4" w14:textId="726F7E7E" w:rsidR="00055321" w:rsidRPr="008924E0" w:rsidRDefault="00740D4F">
            <w:pPr>
              <w:jc w:val="center"/>
              <w:rPr>
                <w:rFonts w:ascii="Calibri" w:eastAsia="Calibri" w:hAnsi="Calibri" w:cs="Calibri"/>
                <w:b/>
                <w:lang w:val="bs-Latn-BA"/>
              </w:rPr>
            </w:pPr>
            <w:r w:rsidRPr="008924E0">
              <w:rPr>
                <w:rFonts w:ascii="Calibri" w:eastAsia="Calibri" w:hAnsi="Calibri" w:cs="Calibri"/>
                <w:b/>
                <w:lang w:val="bs-Latn-BA"/>
              </w:rPr>
              <w:t>1992</w:t>
            </w:r>
            <w:r w:rsidR="00274A18" w:rsidRPr="008924E0">
              <w:rPr>
                <w:rFonts w:ascii="Calibri" w:eastAsia="Calibri" w:hAnsi="Calibri" w:cs="Calibri"/>
                <w:b/>
                <w:lang w:val="bs-Latn-BA"/>
              </w:rPr>
              <w:t>.</w:t>
            </w:r>
            <w:r w:rsidRPr="008924E0">
              <w:rPr>
                <w:rFonts w:ascii="Calibri" w:eastAsia="Calibri" w:hAnsi="Calibri" w:cs="Calibri"/>
                <w:b/>
                <w:lang w:val="bs-Latn-BA"/>
              </w:rPr>
              <w:t>-2013</w:t>
            </w:r>
            <w:r w:rsidR="00FC223E" w:rsidRPr="008924E0">
              <w:rPr>
                <w:rFonts w:ascii="Calibri" w:eastAsia="Calibri" w:hAnsi="Calibri" w:cs="Calibri"/>
                <w:b/>
                <w:lang w:val="bs-Latn-BA"/>
              </w:rPr>
              <w:t>.</w:t>
            </w:r>
          </w:p>
        </w:tc>
        <w:tc>
          <w:tcPr>
            <w:tcW w:w="1100" w:type="dxa"/>
            <w:tcBorders>
              <w:top w:val="nil"/>
              <w:left w:val="nil"/>
              <w:bottom w:val="single" w:sz="12" w:space="0" w:color="FFFFFF"/>
              <w:right w:val="single" w:sz="12" w:space="0" w:color="FFFFFF"/>
            </w:tcBorders>
            <w:shd w:val="clear" w:color="auto" w:fill="FFEA84"/>
            <w:vAlign w:val="bottom"/>
          </w:tcPr>
          <w:p w14:paraId="3E42628C"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85/C</w:t>
            </w:r>
          </w:p>
        </w:tc>
        <w:tc>
          <w:tcPr>
            <w:tcW w:w="1215" w:type="dxa"/>
            <w:tcBorders>
              <w:top w:val="nil"/>
              <w:left w:val="nil"/>
              <w:bottom w:val="single" w:sz="12" w:space="0" w:color="FFFFFF"/>
              <w:right w:val="single" w:sz="12" w:space="0" w:color="FFFFFF"/>
            </w:tcBorders>
            <w:shd w:val="clear" w:color="auto" w:fill="63BE7B"/>
            <w:vAlign w:val="bottom"/>
          </w:tcPr>
          <w:p w14:paraId="13CB681C" w14:textId="77777777" w:rsidR="00055321" w:rsidRPr="008924E0" w:rsidRDefault="00055321">
            <w:pPr>
              <w:jc w:val="right"/>
              <w:rPr>
                <w:rFonts w:ascii="Calibri" w:eastAsia="Calibri" w:hAnsi="Calibri" w:cs="Calibri"/>
                <w:lang w:val="bs-Latn-BA"/>
              </w:rPr>
            </w:pPr>
          </w:p>
        </w:tc>
        <w:tc>
          <w:tcPr>
            <w:tcW w:w="960" w:type="dxa"/>
            <w:tcBorders>
              <w:top w:val="nil"/>
              <w:left w:val="nil"/>
              <w:bottom w:val="single" w:sz="12" w:space="0" w:color="FFFFFF"/>
              <w:right w:val="single" w:sz="12" w:space="0" w:color="FFFFFF"/>
            </w:tcBorders>
            <w:shd w:val="clear" w:color="auto" w:fill="A1D07E"/>
            <w:vAlign w:val="bottom"/>
          </w:tcPr>
          <w:p w14:paraId="7D65A614"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44/B</w:t>
            </w:r>
          </w:p>
        </w:tc>
        <w:tc>
          <w:tcPr>
            <w:tcW w:w="960" w:type="dxa"/>
            <w:tcBorders>
              <w:top w:val="nil"/>
              <w:left w:val="nil"/>
              <w:bottom w:val="single" w:sz="12" w:space="0" w:color="FFFFFF"/>
              <w:right w:val="single" w:sz="12" w:space="0" w:color="FFFFFF"/>
            </w:tcBorders>
            <w:shd w:val="clear" w:color="auto" w:fill="A8D27F"/>
            <w:vAlign w:val="bottom"/>
          </w:tcPr>
          <w:p w14:paraId="3FA1380A"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46/B</w:t>
            </w:r>
          </w:p>
        </w:tc>
        <w:tc>
          <w:tcPr>
            <w:tcW w:w="960" w:type="dxa"/>
            <w:tcBorders>
              <w:top w:val="nil"/>
              <w:left w:val="nil"/>
              <w:bottom w:val="single" w:sz="12" w:space="0" w:color="FFFFFF"/>
              <w:right w:val="single" w:sz="12" w:space="0" w:color="FFFFFF"/>
            </w:tcBorders>
            <w:shd w:val="clear" w:color="auto" w:fill="95CC7D"/>
            <w:vAlign w:val="bottom"/>
          </w:tcPr>
          <w:p w14:paraId="26EFAB54"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37/B</w:t>
            </w:r>
          </w:p>
        </w:tc>
        <w:tc>
          <w:tcPr>
            <w:tcW w:w="960" w:type="dxa"/>
            <w:tcBorders>
              <w:top w:val="nil"/>
              <w:left w:val="nil"/>
              <w:bottom w:val="single" w:sz="12" w:space="0" w:color="FFFFFF"/>
              <w:right w:val="single" w:sz="12" w:space="0" w:color="FFFFFF"/>
            </w:tcBorders>
            <w:shd w:val="clear" w:color="auto" w:fill="63BE7B"/>
            <w:vAlign w:val="bottom"/>
          </w:tcPr>
          <w:p w14:paraId="538C8B3C" w14:textId="77777777" w:rsidR="00055321" w:rsidRPr="008924E0" w:rsidRDefault="00055321">
            <w:pPr>
              <w:jc w:val="right"/>
              <w:rPr>
                <w:rFonts w:ascii="Calibri" w:eastAsia="Calibri" w:hAnsi="Calibri" w:cs="Calibri"/>
                <w:lang w:val="bs-Latn-BA"/>
              </w:rPr>
            </w:pPr>
          </w:p>
        </w:tc>
      </w:tr>
      <w:tr w:rsidR="00055321" w:rsidRPr="008924E0" w14:paraId="075B41BF" w14:textId="77777777">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3FCB8A56" w14:textId="3A549DC9" w:rsidR="00055321" w:rsidRPr="008924E0" w:rsidRDefault="00740D4F">
            <w:pPr>
              <w:jc w:val="center"/>
              <w:rPr>
                <w:rFonts w:ascii="Calibri" w:eastAsia="Calibri" w:hAnsi="Calibri" w:cs="Calibri"/>
                <w:b/>
                <w:lang w:val="bs-Latn-BA"/>
              </w:rPr>
            </w:pPr>
            <w:r w:rsidRPr="008924E0">
              <w:rPr>
                <w:rFonts w:ascii="Calibri" w:eastAsia="Calibri" w:hAnsi="Calibri" w:cs="Calibri"/>
                <w:b/>
                <w:lang w:val="bs-Latn-BA"/>
              </w:rPr>
              <w:t>2014</w:t>
            </w:r>
            <w:r w:rsidR="00274A18" w:rsidRPr="008924E0">
              <w:rPr>
                <w:rFonts w:ascii="Calibri" w:eastAsia="Calibri" w:hAnsi="Calibri" w:cs="Calibri"/>
                <w:b/>
                <w:lang w:val="bs-Latn-BA"/>
              </w:rPr>
              <w:t>.</w:t>
            </w:r>
            <w:r w:rsidRPr="008924E0">
              <w:rPr>
                <w:rFonts w:ascii="Calibri" w:eastAsia="Calibri" w:hAnsi="Calibri" w:cs="Calibri"/>
                <w:b/>
                <w:lang w:val="bs-Latn-BA"/>
              </w:rPr>
              <w:t>-2020</w:t>
            </w:r>
            <w:r w:rsidR="00FC223E" w:rsidRPr="008924E0">
              <w:rPr>
                <w:rFonts w:ascii="Calibri" w:eastAsia="Calibri" w:hAnsi="Calibri" w:cs="Calibri"/>
                <w:b/>
                <w:lang w:val="bs-Latn-BA"/>
              </w:rPr>
              <w:t>.</w:t>
            </w:r>
            <w:r w:rsidRPr="008924E0">
              <w:rPr>
                <w:rFonts w:ascii="Calibri" w:eastAsia="Calibri" w:hAnsi="Calibri" w:cs="Calibri"/>
                <w:b/>
                <w:lang w:val="bs-Latn-BA"/>
              </w:rPr>
              <w:t>*</w:t>
            </w:r>
          </w:p>
        </w:tc>
        <w:tc>
          <w:tcPr>
            <w:tcW w:w="1100" w:type="dxa"/>
            <w:tcBorders>
              <w:top w:val="nil"/>
              <w:left w:val="nil"/>
              <w:bottom w:val="single" w:sz="12" w:space="0" w:color="FFFFFF"/>
              <w:right w:val="single" w:sz="12" w:space="0" w:color="FFFFFF"/>
            </w:tcBorders>
            <w:shd w:val="clear" w:color="auto" w:fill="D6DF81"/>
            <w:vAlign w:val="bottom"/>
          </w:tcPr>
          <w:p w14:paraId="7E86E539"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73/C</w:t>
            </w:r>
          </w:p>
        </w:tc>
        <w:tc>
          <w:tcPr>
            <w:tcW w:w="1215" w:type="dxa"/>
            <w:tcBorders>
              <w:top w:val="nil"/>
              <w:left w:val="nil"/>
              <w:bottom w:val="single" w:sz="12" w:space="0" w:color="FFFFFF"/>
              <w:right w:val="single" w:sz="12" w:space="0" w:color="FFFFFF"/>
            </w:tcBorders>
            <w:shd w:val="clear" w:color="auto" w:fill="D6DF81"/>
            <w:vAlign w:val="bottom"/>
          </w:tcPr>
          <w:p w14:paraId="1814AFB3"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73/C</w:t>
            </w:r>
          </w:p>
        </w:tc>
        <w:tc>
          <w:tcPr>
            <w:tcW w:w="960" w:type="dxa"/>
            <w:tcBorders>
              <w:top w:val="nil"/>
              <w:left w:val="nil"/>
              <w:bottom w:val="single" w:sz="12" w:space="0" w:color="FFFFFF"/>
              <w:right w:val="single" w:sz="12" w:space="0" w:color="FFFFFF"/>
            </w:tcBorders>
            <w:shd w:val="clear" w:color="auto" w:fill="90CA7D"/>
            <w:vAlign w:val="bottom"/>
          </w:tcPr>
          <w:p w14:paraId="6CA52065"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30/B</w:t>
            </w:r>
          </w:p>
        </w:tc>
        <w:tc>
          <w:tcPr>
            <w:tcW w:w="960" w:type="dxa"/>
            <w:tcBorders>
              <w:top w:val="nil"/>
              <w:left w:val="nil"/>
              <w:bottom w:val="single" w:sz="12" w:space="0" w:color="FFFFFF"/>
              <w:right w:val="single" w:sz="12" w:space="0" w:color="FFFFFF"/>
            </w:tcBorders>
            <w:shd w:val="clear" w:color="auto" w:fill="8ECA7D"/>
            <w:vAlign w:val="bottom"/>
          </w:tcPr>
          <w:p w14:paraId="15D8AFA4"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30/B</w:t>
            </w:r>
          </w:p>
        </w:tc>
        <w:tc>
          <w:tcPr>
            <w:tcW w:w="960" w:type="dxa"/>
            <w:tcBorders>
              <w:top w:val="nil"/>
              <w:left w:val="nil"/>
              <w:bottom w:val="single" w:sz="12" w:space="0" w:color="FFFFFF"/>
              <w:right w:val="single" w:sz="12" w:space="0" w:color="FFFFFF"/>
            </w:tcBorders>
            <w:shd w:val="clear" w:color="auto" w:fill="8ECA7D"/>
            <w:vAlign w:val="bottom"/>
          </w:tcPr>
          <w:p w14:paraId="34D6DE40"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30/B</w:t>
            </w:r>
          </w:p>
        </w:tc>
        <w:tc>
          <w:tcPr>
            <w:tcW w:w="960" w:type="dxa"/>
            <w:tcBorders>
              <w:top w:val="nil"/>
              <w:left w:val="nil"/>
              <w:bottom w:val="single" w:sz="12" w:space="0" w:color="FFFFFF"/>
              <w:right w:val="single" w:sz="12" w:space="0" w:color="FFFFFF"/>
            </w:tcBorders>
            <w:shd w:val="clear" w:color="auto" w:fill="8ECA7D"/>
            <w:vAlign w:val="bottom"/>
          </w:tcPr>
          <w:p w14:paraId="32191584"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30/B</w:t>
            </w:r>
          </w:p>
        </w:tc>
      </w:tr>
    </w:tbl>
    <w:p w14:paraId="52F5F93A" w14:textId="77777777" w:rsidR="00055321" w:rsidRPr="008924E0" w:rsidRDefault="00740D4F">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416712CB" w14:textId="2B9DF614" w:rsidR="00055321" w:rsidRPr="008924E0" w:rsidRDefault="00740D4F">
      <w:pPr>
        <w:rPr>
          <w:lang w:val="bs-Latn-BA"/>
        </w:rPr>
      </w:pPr>
      <w:r w:rsidRPr="008924E0">
        <w:rPr>
          <w:lang w:val="bs-Latn-BA"/>
        </w:rPr>
        <w:t xml:space="preserve">Energijski razredi zgrada su u funkciji od klimatske regije, faktora oblika zgrade i namjene, te je za svaku zgradu posebno potrebno odrediti energijski razred. Prema kalibrisanim podacima o specifičnoj potrebnoj energiji za grijanje, datoj </w:t>
      </w:r>
      <w:r w:rsidRPr="0024219C">
        <w:rPr>
          <w:color w:val="000000" w:themeColor="text1"/>
          <w:lang w:val="bs-Latn-BA"/>
        </w:rPr>
        <w:t xml:space="preserve">u Tabeli </w:t>
      </w:r>
      <w:r w:rsidR="00FE5AB8">
        <w:rPr>
          <w:color w:val="000000" w:themeColor="text1"/>
          <w:lang w:val="bs-Latn-BA"/>
        </w:rPr>
        <w:t>2.5</w:t>
      </w:r>
      <w:r w:rsidRPr="0024219C">
        <w:rPr>
          <w:color w:val="000000" w:themeColor="text1"/>
          <w:lang w:val="bs-Latn-BA"/>
        </w:rPr>
        <w:t xml:space="preserve">. </w:t>
      </w:r>
      <w:r w:rsidRPr="008924E0">
        <w:rPr>
          <w:lang w:val="bs-Latn-BA"/>
        </w:rPr>
        <w:t xml:space="preserve">moguće je </w:t>
      </w:r>
      <w:r w:rsidRPr="0024219C">
        <w:rPr>
          <w:color w:val="000000" w:themeColor="text1"/>
          <w:lang w:val="bs-Latn-BA"/>
        </w:rPr>
        <w:t xml:space="preserve">izraziti indikativne </w:t>
      </w:r>
      <w:r w:rsidRPr="008924E0">
        <w:rPr>
          <w:lang w:val="bs-Latn-BA"/>
        </w:rPr>
        <w:t xml:space="preserve">indikatore Na primjer, za indvidualnu stambenu zgradu, faktora oblika 0,85, lociranu u klimatskoj regiji sjever, dopuštena </w:t>
      </w:r>
      <w:r w:rsidRPr="008924E0">
        <w:rPr>
          <w:lang w:val="bs-Latn-BA"/>
        </w:rPr>
        <w:lastRenderedPageBreak/>
        <w:t>specifična vrijednost potrebne energije za grijanje prema Pravilniku</w:t>
      </w:r>
      <w:r w:rsidRPr="008924E0">
        <w:rPr>
          <w:vertAlign w:val="superscript"/>
          <w:lang w:val="bs-Latn-BA"/>
        </w:rPr>
        <w:footnoteReference w:id="17"/>
      </w:r>
      <w:r w:rsidRPr="008924E0">
        <w:rPr>
          <w:lang w:val="bs-Latn-BA"/>
        </w:rPr>
        <w:t xml:space="preserve"> iznosi 66,8 kWh/m</w:t>
      </w:r>
      <w:r w:rsidRPr="008924E0">
        <w:rPr>
          <w:vertAlign w:val="superscript"/>
          <w:lang w:val="bs-Latn-BA"/>
        </w:rPr>
        <w:t>2</w:t>
      </w:r>
      <w:r w:rsidRPr="008924E0">
        <w:rPr>
          <w:lang w:val="bs-Latn-BA"/>
        </w:rPr>
        <w:t xml:space="preserve">god. Prema </w:t>
      </w:r>
      <w:r w:rsidRPr="00D27600">
        <w:rPr>
          <w:color w:val="000000" w:themeColor="text1"/>
          <w:lang w:val="bs-Latn-BA"/>
        </w:rPr>
        <w:t xml:space="preserve">ovim podacima su prikazani indikativni energijski razredi tipičnih, statističkih predstavnika zgrada. </w:t>
      </w:r>
      <w:r w:rsidR="006977C3">
        <w:rPr>
          <w:color w:val="000000" w:themeColor="text1"/>
          <w:lang w:val="bs-Latn-BA"/>
        </w:rPr>
        <w:t>Ista</w:t>
      </w:r>
      <w:r w:rsidR="006977C3" w:rsidRPr="00D27600">
        <w:rPr>
          <w:color w:val="000000" w:themeColor="text1"/>
          <w:lang w:val="bs-Latn-BA"/>
        </w:rPr>
        <w:t xml:space="preserve"> </w:t>
      </w:r>
      <w:r w:rsidRPr="00D27600">
        <w:rPr>
          <w:color w:val="000000" w:themeColor="text1"/>
          <w:lang w:val="bs-Latn-BA"/>
        </w:rPr>
        <w:t>metodologije je iskorištena za zgrade kolektivnog stanovanja, za procijenjeni prosječni faktor oblika 0,55 i izračunatu dopuštenu specifičnu vrijednost potrebne energije za grijanje od 54,8 kWh/m</w:t>
      </w:r>
      <w:r w:rsidRPr="00D27600">
        <w:rPr>
          <w:color w:val="000000" w:themeColor="text1"/>
          <w:vertAlign w:val="superscript"/>
          <w:lang w:val="bs-Latn-BA"/>
        </w:rPr>
        <w:t>2</w:t>
      </w:r>
      <w:r w:rsidRPr="00D27600">
        <w:rPr>
          <w:color w:val="000000" w:themeColor="text1"/>
          <w:lang w:val="bs-Latn-BA"/>
        </w:rPr>
        <w:t xml:space="preserve">god., prikazani su indikativni energijski razredi. Kako je vidljivo iz rezultata, energijske </w:t>
      </w:r>
      <w:r w:rsidRPr="008924E0">
        <w:rPr>
          <w:lang w:val="bs-Latn-BA"/>
        </w:rPr>
        <w:t xml:space="preserve">karakteristike stambenog fonda u najvećoj mjeri ne zadovoljavaju dopuštene vrijednosti specifične potrebne energije za grijanje te se stambeni fond u FBiH može ocijeniti kao energijski neefikasan. </w:t>
      </w:r>
    </w:p>
    <w:p w14:paraId="2A48BEBA" w14:textId="77777777" w:rsidR="00055321" w:rsidRPr="008924E0" w:rsidRDefault="00740D4F">
      <w:pPr>
        <w:pStyle w:val="Heading5"/>
        <w:rPr>
          <w:b w:val="0"/>
          <w:i/>
          <w:lang w:val="bs-Latn-BA"/>
        </w:rPr>
      </w:pPr>
      <w:bookmarkStart w:id="64" w:name="_Toc116978350"/>
      <w:bookmarkStart w:id="65" w:name="_Toc118295908"/>
      <w:r w:rsidRPr="008924E0">
        <w:rPr>
          <w:b w:val="0"/>
          <w:i/>
          <w:lang w:val="bs-Latn-BA"/>
        </w:rPr>
        <w:t>Nestambene</w:t>
      </w:r>
      <w:r w:rsidRPr="008924E0">
        <w:rPr>
          <w:b w:val="0"/>
          <w:lang w:val="bs-Latn-BA"/>
        </w:rPr>
        <w:t xml:space="preserve"> </w:t>
      </w:r>
      <w:r w:rsidRPr="008924E0">
        <w:rPr>
          <w:b w:val="0"/>
          <w:i/>
          <w:lang w:val="bs-Latn-BA"/>
        </w:rPr>
        <w:t>zgrade</w:t>
      </w:r>
      <w:bookmarkEnd w:id="64"/>
      <w:bookmarkEnd w:id="65"/>
    </w:p>
    <w:p w14:paraId="43C9BC43" w14:textId="6B6D0AD0" w:rsidR="00055321" w:rsidRPr="008924E0" w:rsidRDefault="00740D4F">
      <w:pPr>
        <w:rPr>
          <w:lang w:val="bs-Latn-BA"/>
        </w:rPr>
      </w:pPr>
      <w:r w:rsidRPr="008924E0">
        <w:rPr>
          <w:lang w:val="bs-Latn-BA"/>
        </w:rPr>
        <w:t xml:space="preserve">U </w:t>
      </w:r>
      <w:r w:rsidRPr="00D27600">
        <w:rPr>
          <w:color w:val="000000" w:themeColor="text1"/>
          <w:lang w:val="bs-Latn-BA"/>
        </w:rPr>
        <w:t xml:space="preserve">Tabeli </w:t>
      </w:r>
      <w:r w:rsidR="00FE5AB8">
        <w:rPr>
          <w:color w:val="000000" w:themeColor="text1"/>
          <w:lang w:val="bs-Latn-BA"/>
        </w:rPr>
        <w:t>2.6</w:t>
      </w:r>
      <w:r w:rsidRPr="00D27600">
        <w:rPr>
          <w:color w:val="000000" w:themeColor="text1"/>
          <w:lang w:val="bs-Latn-BA"/>
        </w:rPr>
        <w:t xml:space="preserve">. </w:t>
      </w:r>
      <w:r w:rsidRPr="008924E0">
        <w:rPr>
          <w:lang w:val="bs-Latn-BA"/>
        </w:rPr>
        <w:t xml:space="preserve">su prikazane vrijednosti finalne energije za grijanje javnih zgrada u FBiH, zbirno za regiju sjever i regiju jug. </w:t>
      </w:r>
      <w:r w:rsidR="002B77ED">
        <w:rPr>
          <w:lang w:val="bs-Latn-BA"/>
        </w:rPr>
        <w:t>Modelirana f</w:t>
      </w:r>
      <w:r w:rsidRPr="008924E0">
        <w:rPr>
          <w:lang w:val="bs-Latn-BA"/>
        </w:rPr>
        <w:t>inalna potrošnja energije pokazuj</w:t>
      </w:r>
      <w:r w:rsidR="002B77ED">
        <w:rPr>
          <w:lang w:val="bs-Latn-BA"/>
        </w:rPr>
        <w:t>e</w:t>
      </w:r>
      <w:r w:rsidRPr="008924E0">
        <w:rPr>
          <w:lang w:val="bs-Latn-BA"/>
        </w:rPr>
        <w:t xml:space="preserve"> odlično slaganje sa podacima iz </w:t>
      </w:r>
      <w:r w:rsidR="002B77ED" w:rsidRPr="008924E0">
        <w:rPr>
          <w:lang w:val="bs-Latn-BA"/>
        </w:rPr>
        <w:t>EUROSTAT-a za 2019. godinu</w:t>
      </w:r>
      <w:r w:rsidRPr="008924E0">
        <w:rPr>
          <w:lang w:val="bs-Latn-BA"/>
        </w:rPr>
        <w:t>. Zgrade namijenjene obrazovanju i administrativne zgrade izgrađene u periodima od 1974</w:t>
      </w:r>
      <w:r w:rsidR="00FC223E" w:rsidRPr="008924E0">
        <w:rPr>
          <w:lang w:val="bs-Latn-BA"/>
        </w:rPr>
        <w:t>.</w:t>
      </w:r>
      <w:r w:rsidRPr="008924E0">
        <w:rPr>
          <w:lang w:val="bs-Latn-BA"/>
        </w:rPr>
        <w:t xml:space="preserve"> do 1987</w:t>
      </w:r>
      <w:r w:rsidR="00FC223E" w:rsidRPr="008924E0">
        <w:rPr>
          <w:lang w:val="bs-Latn-BA"/>
        </w:rPr>
        <w:t>.</w:t>
      </w:r>
      <w:r w:rsidRPr="008924E0">
        <w:rPr>
          <w:lang w:val="bs-Latn-BA"/>
        </w:rPr>
        <w:t xml:space="preserve"> imaju najveće apsolutne potrošnje energije. Zgrade namijenjene obrazovanju i administrativne zgrade imaju nekoliko kategorija sa najvećom apsolutnom potrošnjom energije u kompletnom fondu javnih zgrada. Slijede zgrade namijenjene zdravstvu i zgrade za cjelodnevni boravak, izgrađene u period izgradnje od 1974. do 1987.  </w:t>
      </w:r>
    </w:p>
    <w:p w14:paraId="39F6464C" w14:textId="5CAF60D7" w:rsidR="00973648" w:rsidRPr="008924E0" w:rsidRDefault="00973648" w:rsidP="00973648">
      <w:pPr>
        <w:pStyle w:val="Caption"/>
        <w:keepNext/>
      </w:pPr>
      <w:bookmarkStart w:id="66" w:name="_heading=h.37m2jsg" w:colFirst="0" w:colLast="0"/>
      <w:bookmarkStart w:id="67" w:name="_Toc133499541"/>
      <w:bookmarkEnd w:id="66"/>
      <w:r w:rsidRPr="008924E0">
        <w:t xml:space="preserve">Tabela </w:t>
      </w:r>
      <w:fldSimple w:instr=" STYLEREF 1 \s ">
        <w:r w:rsidR="004A246B">
          <w:rPr>
            <w:noProof/>
          </w:rPr>
          <w:t>2</w:t>
        </w:r>
      </w:fldSimple>
      <w:r w:rsidR="004A246B">
        <w:t>.</w:t>
      </w:r>
      <w:r w:rsidR="00000000">
        <w:fldChar w:fldCharType="begin"/>
      </w:r>
      <w:r w:rsidR="00000000">
        <w:instrText xml:space="preserve"> SEQ Tabela \* ARABIC \s 1 </w:instrText>
      </w:r>
      <w:r w:rsidR="00000000">
        <w:fldChar w:fldCharType="separate"/>
      </w:r>
      <w:r w:rsidR="004A246B">
        <w:rPr>
          <w:noProof/>
        </w:rPr>
        <w:t>6</w:t>
      </w:r>
      <w:r w:rsidR="00000000">
        <w:rPr>
          <w:noProof/>
        </w:rPr>
        <w:fldChar w:fldCharType="end"/>
      </w:r>
      <w:r w:rsidRPr="008924E0">
        <w:t xml:space="preserve"> Finalna </w:t>
      </w:r>
      <w:r w:rsidRPr="008924E0">
        <w:rPr>
          <w:color w:val="000000"/>
        </w:rPr>
        <w:t>energija  za grijanje kategorija javnih zgrada u FBiH, MWh/god.</w:t>
      </w:r>
      <w:bookmarkEnd w:id="67"/>
    </w:p>
    <w:tbl>
      <w:tblPr>
        <w:tblStyle w:val="20"/>
        <w:tblW w:w="8657" w:type="dxa"/>
        <w:jc w:val="center"/>
        <w:tblBorders>
          <w:top w:val="nil"/>
          <w:left w:val="nil"/>
          <w:bottom w:val="nil"/>
          <w:right w:val="nil"/>
          <w:insideH w:val="nil"/>
          <w:insideV w:val="nil"/>
        </w:tblBorders>
        <w:tblLayout w:type="fixed"/>
        <w:tblLook w:val="0600" w:firstRow="0" w:lastRow="0" w:firstColumn="0" w:lastColumn="0" w:noHBand="1" w:noVBand="1"/>
      </w:tblPr>
      <w:tblGrid>
        <w:gridCol w:w="1503"/>
        <w:gridCol w:w="960"/>
        <w:gridCol w:w="1140"/>
        <w:gridCol w:w="945"/>
        <w:gridCol w:w="959"/>
        <w:gridCol w:w="795"/>
        <w:gridCol w:w="1290"/>
        <w:gridCol w:w="1065"/>
      </w:tblGrid>
      <w:tr w:rsidR="00055321" w:rsidRPr="008924E0" w14:paraId="3A65208D" w14:textId="77777777" w:rsidTr="00771E4B">
        <w:trPr>
          <w:trHeight w:val="193"/>
          <w:jc w:val="center"/>
        </w:trPr>
        <w:tc>
          <w:tcPr>
            <w:tcW w:w="1503" w:type="dxa"/>
            <w:tcBorders>
              <w:top w:val="single" w:sz="12" w:space="0" w:color="FFFFFF"/>
              <w:left w:val="single" w:sz="12" w:space="0" w:color="FFFFFF"/>
              <w:bottom w:val="single" w:sz="12" w:space="0" w:color="FFFFFF"/>
              <w:right w:val="single" w:sz="12" w:space="0" w:color="FFFFFF"/>
            </w:tcBorders>
            <w:shd w:val="clear" w:color="auto" w:fill="006432"/>
            <w:tcMar>
              <w:top w:w="100" w:type="dxa"/>
              <w:left w:w="100" w:type="dxa"/>
              <w:bottom w:w="100" w:type="dxa"/>
              <w:right w:w="100" w:type="dxa"/>
            </w:tcMar>
            <w:vAlign w:val="center"/>
          </w:tcPr>
          <w:p w14:paraId="4655FBE8" w14:textId="77777777" w:rsidR="00055321" w:rsidRPr="008924E0" w:rsidRDefault="00740D4F">
            <w:pPr>
              <w:keepNext/>
              <w:jc w:val="center"/>
              <w:rPr>
                <w:rFonts w:ascii="Calibri" w:eastAsia="Calibri" w:hAnsi="Calibri" w:cs="Calibri"/>
                <w:b/>
                <w:color w:val="FFFFFF"/>
                <w:sz w:val="18"/>
                <w:szCs w:val="18"/>
                <w:lang w:val="bs-Latn-BA"/>
              </w:rPr>
            </w:pPr>
            <w:r w:rsidRPr="008924E0">
              <w:rPr>
                <w:rFonts w:ascii="Calibri" w:eastAsia="Calibri" w:hAnsi="Calibri" w:cs="Calibri"/>
                <w:b/>
                <w:color w:val="FFFFFF"/>
                <w:sz w:val="18"/>
                <w:szCs w:val="18"/>
                <w:lang w:val="bs-Latn-BA"/>
              </w:rPr>
              <w:t>Period izgradnje</w:t>
            </w:r>
          </w:p>
        </w:tc>
        <w:tc>
          <w:tcPr>
            <w:tcW w:w="960"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6BADD822" w14:textId="77777777" w:rsidR="00055321" w:rsidRPr="008924E0" w:rsidRDefault="00740D4F">
            <w:pPr>
              <w:keepNext/>
              <w:jc w:val="center"/>
              <w:rPr>
                <w:rFonts w:ascii="Calibri" w:eastAsia="Calibri" w:hAnsi="Calibri" w:cs="Calibri"/>
                <w:b/>
                <w:color w:val="FFFFFF"/>
                <w:sz w:val="18"/>
                <w:szCs w:val="18"/>
                <w:lang w:val="bs-Latn-BA"/>
              </w:rPr>
            </w:pPr>
            <w:r w:rsidRPr="008924E0">
              <w:rPr>
                <w:b/>
                <w:color w:val="FFFFFF"/>
                <w:sz w:val="16"/>
                <w:szCs w:val="16"/>
                <w:lang w:val="bs-Latn-BA"/>
              </w:rPr>
              <w:t>Obdanište</w:t>
            </w:r>
          </w:p>
        </w:tc>
        <w:tc>
          <w:tcPr>
            <w:tcW w:w="1140"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07497CED" w14:textId="77777777" w:rsidR="00055321" w:rsidRPr="008924E0" w:rsidRDefault="00740D4F">
            <w:pPr>
              <w:keepNext/>
              <w:jc w:val="center"/>
              <w:rPr>
                <w:rFonts w:ascii="Calibri" w:eastAsia="Calibri" w:hAnsi="Calibri" w:cs="Calibri"/>
                <w:b/>
                <w:color w:val="FFFFFF"/>
                <w:sz w:val="18"/>
                <w:szCs w:val="18"/>
                <w:lang w:val="bs-Latn-BA"/>
              </w:rPr>
            </w:pPr>
            <w:r w:rsidRPr="008924E0">
              <w:rPr>
                <w:b/>
                <w:color w:val="FFFFFF"/>
                <w:sz w:val="16"/>
                <w:szCs w:val="16"/>
                <w:lang w:val="bs-Latn-BA"/>
              </w:rPr>
              <w:t>Obrazovanje</w:t>
            </w:r>
          </w:p>
        </w:tc>
        <w:tc>
          <w:tcPr>
            <w:tcW w:w="945"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294A4B38" w14:textId="77777777" w:rsidR="00055321" w:rsidRPr="008924E0" w:rsidRDefault="00740D4F">
            <w:pPr>
              <w:keepNext/>
              <w:jc w:val="center"/>
              <w:rPr>
                <w:rFonts w:ascii="Calibri" w:eastAsia="Calibri" w:hAnsi="Calibri" w:cs="Calibri"/>
                <w:b/>
                <w:color w:val="FFFFFF"/>
                <w:sz w:val="18"/>
                <w:szCs w:val="18"/>
                <w:lang w:val="bs-Latn-BA"/>
              </w:rPr>
            </w:pPr>
            <w:r w:rsidRPr="008924E0">
              <w:rPr>
                <w:b/>
                <w:color w:val="FFFFFF"/>
                <w:sz w:val="16"/>
                <w:szCs w:val="16"/>
                <w:lang w:val="bs-Latn-BA"/>
              </w:rPr>
              <w:t>Zdravstvo</w:t>
            </w:r>
          </w:p>
        </w:tc>
        <w:tc>
          <w:tcPr>
            <w:tcW w:w="959"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223462E3" w14:textId="77777777" w:rsidR="00055321" w:rsidRPr="008924E0" w:rsidRDefault="00740D4F">
            <w:pPr>
              <w:keepNext/>
              <w:jc w:val="center"/>
              <w:rPr>
                <w:rFonts w:ascii="Calibri" w:eastAsia="Calibri" w:hAnsi="Calibri" w:cs="Calibri"/>
                <w:b/>
                <w:color w:val="FFFFFF"/>
                <w:sz w:val="18"/>
                <w:szCs w:val="18"/>
                <w:lang w:val="bs-Latn-BA"/>
              </w:rPr>
            </w:pPr>
            <w:r w:rsidRPr="008924E0">
              <w:rPr>
                <w:b/>
                <w:color w:val="FFFFFF"/>
                <w:sz w:val="16"/>
                <w:szCs w:val="16"/>
                <w:lang w:val="bs-Latn-BA"/>
              </w:rPr>
              <w:t>Sport</w:t>
            </w:r>
          </w:p>
        </w:tc>
        <w:tc>
          <w:tcPr>
            <w:tcW w:w="795"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4EC25324" w14:textId="77777777" w:rsidR="00055321" w:rsidRPr="008924E0" w:rsidRDefault="00740D4F">
            <w:pPr>
              <w:keepNext/>
              <w:jc w:val="center"/>
              <w:rPr>
                <w:rFonts w:ascii="Calibri" w:eastAsia="Calibri" w:hAnsi="Calibri" w:cs="Calibri"/>
                <w:b/>
                <w:color w:val="FFFFFF"/>
                <w:sz w:val="18"/>
                <w:szCs w:val="18"/>
                <w:lang w:val="bs-Latn-BA"/>
              </w:rPr>
            </w:pPr>
            <w:r w:rsidRPr="008924E0">
              <w:rPr>
                <w:b/>
                <w:color w:val="FFFFFF"/>
                <w:sz w:val="16"/>
                <w:szCs w:val="16"/>
                <w:lang w:val="bs-Latn-BA"/>
              </w:rPr>
              <w:t>Kultura</w:t>
            </w:r>
          </w:p>
        </w:tc>
        <w:tc>
          <w:tcPr>
            <w:tcW w:w="1290"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0FFC5A28" w14:textId="77777777" w:rsidR="00055321" w:rsidRPr="008924E0" w:rsidRDefault="00740D4F">
            <w:pPr>
              <w:keepNext/>
              <w:jc w:val="center"/>
              <w:rPr>
                <w:rFonts w:ascii="Calibri" w:eastAsia="Calibri" w:hAnsi="Calibri" w:cs="Calibri"/>
                <w:b/>
                <w:color w:val="FFFFFF"/>
                <w:sz w:val="18"/>
                <w:szCs w:val="18"/>
                <w:lang w:val="bs-Latn-BA"/>
              </w:rPr>
            </w:pPr>
            <w:r w:rsidRPr="008924E0">
              <w:rPr>
                <w:b/>
                <w:color w:val="FFFFFF"/>
                <w:sz w:val="16"/>
                <w:szCs w:val="16"/>
                <w:lang w:val="bs-Latn-BA"/>
              </w:rPr>
              <w:t>Administrativni</w:t>
            </w:r>
          </w:p>
        </w:tc>
        <w:tc>
          <w:tcPr>
            <w:tcW w:w="1065"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5F1B6E58" w14:textId="77777777" w:rsidR="00055321" w:rsidRPr="008924E0" w:rsidRDefault="00740D4F">
            <w:pPr>
              <w:keepNext/>
              <w:jc w:val="center"/>
              <w:rPr>
                <w:rFonts w:ascii="Calibri" w:eastAsia="Calibri" w:hAnsi="Calibri" w:cs="Calibri"/>
                <w:b/>
                <w:color w:val="FFFFFF"/>
                <w:sz w:val="18"/>
                <w:szCs w:val="18"/>
                <w:lang w:val="bs-Latn-BA"/>
              </w:rPr>
            </w:pPr>
            <w:r w:rsidRPr="008924E0">
              <w:rPr>
                <w:b/>
                <w:color w:val="FFFFFF"/>
                <w:sz w:val="16"/>
                <w:szCs w:val="16"/>
                <w:lang w:val="bs-Latn-BA"/>
              </w:rPr>
              <w:t>Cjelodnevni bor.</w:t>
            </w:r>
          </w:p>
        </w:tc>
      </w:tr>
      <w:tr w:rsidR="00055321" w:rsidRPr="008924E0" w14:paraId="4FAB3081" w14:textId="77777777" w:rsidTr="00771E4B">
        <w:trPr>
          <w:trHeight w:val="25"/>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549EA15B" w14:textId="0BE54C86" w:rsidR="00055321" w:rsidRPr="008924E0" w:rsidRDefault="00740D4F">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do 1945</w:t>
            </w:r>
            <w:r w:rsidR="00FC223E" w:rsidRPr="008924E0">
              <w:rPr>
                <w:rFonts w:asciiTheme="minorHAnsi" w:hAnsiTheme="minorHAnsi" w:cstheme="minorHAnsi"/>
                <w:b/>
                <w:lang w:val="bs-Latn-BA"/>
              </w:rPr>
              <w:t>.</w:t>
            </w:r>
          </w:p>
        </w:tc>
        <w:tc>
          <w:tcPr>
            <w:tcW w:w="960"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64A0FB9E"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0</w:t>
            </w:r>
          </w:p>
        </w:tc>
        <w:tc>
          <w:tcPr>
            <w:tcW w:w="1140" w:type="dxa"/>
            <w:tcBorders>
              <w:top w:val="nil"/>
              <w:left w:val="nil"/>
              <w:bottom w:val="single" w:sz="12" w:space="0" w:color="FFFFFF"/>
              <w:right w:val="single" w:sz="12" w:space="0" w:color="FFFFFF"/>
            </w:tcBorders>
            <w:shd w:val="clear" w:color="auto" w:fill="FFE082"/>
            <w:tcMar>
              <w:top w:w="100" w:type="dxa"/>
              <w:left w:w="100" w:type="dxa"/>
              <w:bottom w:w="100" w:type="dxa"/>
              <w:right w:w="100" w:type="dxa"/>
            </w:tcMar>
            <w:vAlign w:val="center"/>
          </w:tcPr>
          <w:p w14:paraId="0EE1DB41"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23.168</w:t>
            </w:r>
          </w:p>
        </w:tc>
        <w:tc>
          <w:tcPr>
            <w:tcW w:w="945" w:type="dxa"/>
            <w:tcBorders>
              <w:top w:val="nil"/>
              <w:left w:val="nil"/>
              <w:bottom w:val="single" w:sz="12" w:space="0" w:color="FFFFFF"/>
              <w:right w:val="single" w:sz="12" w:space="0" w:color="FFFFFF"/>
            </w:tcBorders>
            <w:shd w:val="clear" w:color="auto" w:fill="91CB7D"/>
            <w:tcMar>
              <w:top w:w="100" w:type="dxa"/>
              <w:left w:w="100" w:type="dxa"/>
              <w:bottom w:w="100" w:type="dxa"/>
              <w:right w:w="100" w:type="dxa"/>
            </w:tcMar>
            <w:vAlign w:val="center"/>
          </w:tcPr>
          <w:p w14:paraId="09A513F3"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3.544</w:t>
            </w:r>
          </w:p>
        </w:tc>
        <w:tc>
          <w:tcPr>
            <w:tcW w:w="959"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1CFB01C2"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0</w:t>
            </w:r>
          </w:p>
        </w:tc>
        <w:tc>
          <w:tcPr>
            <w:tcW w:w="795" w:type="dxa"/>
            <w:tcBorders>
              <w:top w:val="nil"/>
              <w:left w:val="nil"/>
              <w:bottom w:val="single" w:sz="12" w:space="0" w:color="FFFFFF"/>
              <w:right w:val="single" w:sz="12" w:space="0" w:color="FFFFFF"/>
            </w:tcBorders>
            <w:shd w:val="clear" w:color="auto" w:fill="D3DE81"/>
            <w:tcMar>
              <w:top w:w="100" w:type="dxa"/>
              <w:left w:w="100" w:type="dxa"/>
              <w:bottom w:w="100" w:type="dxa"/>
              <w:right w:w="100" w:type="dxa"/>
            </w:tcMar>
            <w:vAlign w:val="center"/>
          </w:tcPr>
          <w:p w14:paraId="647F36F5"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8.637</w:t>
            </w:r>
          </w:p>
        </w:tc>
        <w:tc>
          <w:tcPr>
            <w:tcW w:w="1290" w:type="dxa"/>
            <w:tcBorders>
              <w:top w:val="nil"/>
              <w:left w:val="nil"/>
              <w:bottom w:val="single" w:sz="12" w:space="0" w:color="FFFFFF"/>
              <w:right w:val="single" w:sz="12" w:space="0" w:color="FFFFFF"/>
            </w:tcBorders>
            <w:shd w:val="clear" w:color="auto" w:fill="FFDF82"/>
            <w:tcMar>
              <w:top w:w="100" w:type="dxa"/>
              <w:left w:w="100" w:type="dxa"/>
              <w:bottom w:w="100" w:type="dxa"/>
              <w:right w:w="100" w:type="dxa"/>
            </w:tcMar>
            <w:vAlign w:val="center"/>
          </w:tcPr>
          <w:p w14:paraId="7F6C39C7"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24.781</w:t>
            </w:r>
          </w:p>
        </w:tc>
        <w:tc>
          <w:tcPr>
            <w:tcW w:w="106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75F19342"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0</w:t>
            </w:r>
          </w:p>
        </w:tc>
      </w:tr>
      <w:tr w:rsidR="00055321" w:rsidRPr="008924E0" w14:paraId="1E23A9E8" w14:textId="77777777">
        <w:trPr>
          <w:trHeight w:val="138"/>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7570A37F" w14:textId="5B360527" w:rsidR="00055321" w:rsidRPr="008924E0" w:rsidRDefault="00740D4F">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1946</w:t>
            </w:r>
            <w:r w:rsidR="00274A18" w:rsidRPr="008924E0">
              <w:rPr>
                <w:rFonts w:asciiTheme="minorHAnsi" w:hAnsiTheme="minorHAnsi" w:cstheme="minorHAnsi"/>
                <w:b/>
                <w:lang w:val="bs-Latn-BA"/>
              </w:rPr>
              <w:t>.</w:t>
            </w:r>
            <w:r w:rsidRPr="008924E0">
              <w:rPr>
                <w:rFonts w:asciiTheme="minorHAnsi" w:hAnsiTheme="minorHAnsi" w:cstheme="minorHAnsi"/>
                <w:b/>
                <w:lang w:val="bs-Latn-BA"/>
              </w:rPr>
              <w:t>-1965</w:t>
            </w:r>
            <w:r w:rsidR="00FC223E" w:rsidRPr="008924E0">
              <w:rPr>
                <w:rFonts w:asciiTheme="minorHAnsi" w:hAnsiTheme="minorHAnsi" w:cstheme="minorHAnsi"/>
                <w:b/>
                <w:lang w:val="bs-Latn-BA"/>
              </w:rPr>
              <w:t>.</w:t>
            </w:r>
          </w:p>
        </w:tc>
        <w:tc>
          <w:tcPr>
            <w:tcW w:w="960" w:type="dxa"/>
            <w:tcBorders>
              <w:top w:val="nil"/>
              <w:left w:val="nil"/>
              <w:bottom w:val="single" w:sz="12" w:space="0" w:color="FFFFFF"/>
              <w:right w:val="single" w:sz="12" w:space="0" w:color="FFFFFF"/>
            </w:tcBorders>
            <w:shd w:val="clear" w:color="auto" w:fill="72C27B"/>
            <w:tcMar>
              <w:top w:w="100" w:type="dxa"/>
              <w:left w:w="100" w:type="dxa"/>
              <w:bottom w:w="100" w:type="dxa"/>
              <w:right w:w="100" w:type="dxa"/>
            </w:tcMar>
            <w:vAlign w:val="center"/>
          </w:tcPr>
          <w:p w14:paraId="7D3D28C8"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1.180</w:t>
            </w:r>
          </w:p>
        </w:tc>
        <w:tc>
          <w:tcPr>
            <w:tcW w:w="1140" w:type="dxa"/>
            <w:tcBorders>
              <w:top w:val="nil"/>
              <w:left w:val="nil"/>
              <w:bottom w:val="single" w:sz="12" w:space="0" w:color="FFFFFF"/>
              <w:right w:val="single" w:sz="12" w:space="0" w:color="FFFFFF"/>
            </w:tcBorders>
            <w:shd w:val="clear" w:color="auto" w:fill="FA8270"/>
            <w:tcMar>
              <w:top w:w="100" w:type="dxa"/>
              <w:left w:w="100" w:type="dxa"/>
              <w:bottom w:w="100" w:type="dxa"/>
              <w:right w:w="100" w:type="dxa"/>
            </w:tcMar>
            <w:vAlign w:val="center"/>
          </w:tcPr>
          <w:p w14:paraId="2E52855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117.882</w:t>
            </w:r>
          </w:p>
        </w:tc>
        <w:tc>
          <w:tcPr>
            <w:tcW w:w="945" w:type="dxa"/>
            <w:tcBorders>
              <w:top w:val="nil"/>
              <w:left w:val="nil"/>
              <w:bottom w:val="single" w:sz="12" w:space="0" w:color="FFFFFF"/>
              <w:right w:val="single" w:sz="12" w:space="0" w:color="FFFFFF"/>
            </w:tcBorders>
            <w:shd w:val="clear" w:color="auto" w:fill="FFE483"/>
            <w:tcMar>
              <w:top w:w="100" w:type="dxa"/>
              <w:left w:w="100" w:type="dxa"/>
              <w:bottom w:w="100" w:type="dxa"/>
              <w:right w:w="100" w:type="dxa"/>
            </w:tcMar>
            <w:vAlign w:val="center"/>
          </w:tcPr>
          <w:p w14:paraId="2ED2C1E9"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19.516</w:t>
            </w:r>
          </w:p>
        </w:tc>
        <w:tc>
          <w:tcPr>
            <w:tcW w:w="959" w:type="dxa"/>
            <w:tcBorders>
              <w:top w:val="nil"/>
              <w:left w:val="nil"/>
              <w:bottom w:val="single" w:sz="12" w:space="0" w:color="FFFFFF"/>
              <w:right w:val="single" w:sz="12" w:space="0" w:color="FFFFFF"/>
            </w:tcBorders>
            <w:shd w:val="clear" w:color="auto" w:fill="FFE383"/>
            <w:tcMar>
              <w:top w:w="100" w:type="dxa"/>
              <w:left w:w="100" w:type="dxa"/>
              <w:bottom w:w="100" w:type="dxa"/>
              <w:right w:w="100" w:type="dxa"/>
            </w:tcMar>
            <w:vAlign w:val="center"/>
          </w:tcPr>
          <w:p w14:paraId="6665D6E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20.731</w:t>
            </w:r>
          </w:p>
        </w:tc>
        <w:tc>
          <w:tcPr>
            <w:tcW w:w="795" w:type="dxa"/>
            <w:tcBorders>
              <w:top w:val="nil"/>
              <w:left w:val="nil"/>
              <w:bottom w:val="single" w:sz="12" w:space="0" w:color="FFFFFF"/>
              <w:right w:val="single" w:sz="12" w:space="0" w:color="FFFFFF"/>
            </w:tcBorders>
            <w:shd w:val="clear" w:color="auto" w:fill="FFE383"/>
            <w:tcMar>
              <w:top w:w="100" w:type="dxa"/>
              <w:left w:w="100" w:type="dxa"/>
              <w:bottom w:w="100" w:type="dxa"/>
              <w:right w:w="100" w:type="dxa"/>
            </w:tcMar>
            <w:vAlign w:val="center"/>
          </w:tcPr>
          <w:p w14:paraId="6BF2D5F4"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20.825</w:t>
            </w:r>
          </w:p>
        </w:tc>
        <w:tc>
          <w:tcPr>
            <w:tcW w:w="1290" w:type="dxa"/>
            <w:tcBorders>
              <w:top w:val="nil"/>
              <w:left w:val="nil"/>
              <w:bottom w:val="single" w:sz="12" w:space="0" w:color="FFFFFF"/>
              <w:right w:val="single" w:sz="12" w:space="0" w:color="FFFFFF"/>
            </w:tcBorders>
            <w:shd w:val="clear" w:color="auto" w:fill="FCB37A"/>
            <w:tcMar>
              <w:top w:w="100" w:type="dxa"/>
              <w:left w:w="100" w:type="dxa"/>
              <w:bottom w:w="100" w:type="dxa"/>
              <w:right w:w="100" w:type="dxa"/>
            </w:tcMar>
            <w:vAlign w:val="center"/>
          </w:tcPr>
          <w:p w14:paraId="5E06D0A6"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68.826</w:t>
            </w:r>
          </w:p>
        </w:tc>
        <w:tc>
          <w:tcPr>
            <w:tcW w:w="1065" w:type="dxa"/>
            <w:tcBorders>
              <w:top w:val="nil"/>
              <w:left w:val="nil"/>
              <w:bottom w:val="single" w:sz="12" w:space="0" w:color="FFFFFF"/>
              <w:right w:val="single" w:sz="12" w:space="0" w:color="FFFFFF"/>
            </w:tcBorders>
            <w:shd w:val="clear" w:color="auto" w:fill="FFDF82"/>
            <w:tcMar>
              <w:top w:w="100" w:type="dxa"/>
              <w:left w:w="100" w:type="dxa"/>
              <w:bottom w:w="100" w:type="dxa"/>
              <w:right w:w="100" w:type="dxa"/>
            </w:tcMar>
            <w:vAlign w:val="center"/>
          </w:tcPr>
          <w:p w14:paraId="467F566F"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24.009</w:t>
            </w:r>
          </w:p>
        </w:tc>
      </w:tr>
      <w:tr w:rsidR="00055321" w:rsidRPr="008924E0" w14:paraId="3D5B66A1" w14:textId="77777777">
        <w:trPr>
          <w:trHeight w:val="237"/>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5939EAFE" w14:textId="4270A0E7" w:rsidR="00055321" w:rsidRPr="008924E0" w:rsidRDefault="00740D4F">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1966</w:t>
            </w:r>
            <w:r w:rsidR="00274A18" w:rsidRPr="008924E0">
              <w:rPr>
                <w:rFonts w:asciiTheme="minorHAnsi" w:hAnsiTheme="minorHAnsi" w:cstheme="minorHAnsi"/>
                <w:b/>
                <w:lang w:val="bs-Latn-BA"/>
              </w:rPr>
              <w:t>.</w:t>
            </w:r>
            <w:r w:rsidRPr="008924E0">
              <w:rPr>
                <w:rFonts w:asciiTheme="minorHAnsi" w:hAnsiTheme="minorHAnsi" w:cstheme="minorHAnsi"/>
                <w:b/>
                <w:lang w:val="bs-Latn-BA"/>
              </w:rPr>
              <w:t>-1973</w:t>
            </w:r>
            <w:r w:rsidR="00FC223E" w:rsidRPr="008924E0">
              <w:rPr>
                <w:rFonts w:asciiTheme="minorHAnsi" w:hAnsiTheme="minorHAnsi" w:cstheme="minorHAnsi"/>
                <w:b/>
                <w:lang w:val="bs-Latn-BA"/>
              </w:rPr>
              <w:t>.</w:t>
            </w:r>
          </w:p>
        </w:tc>
        <w:tc>
          <w:tcPr>
            <w:tcW w:w="960" w:type="dxa"/>
            <w:tcBorders>
              <w:top w:val="nil"/>
              <w:left w:val="nil"/>
              <w:bottom w:val="single" w:sz="12" w:space="0" w:color="FFFFFF"/>
              <w:right w:val="single" w:sz="12" w:space="0" w:color="FFFFFF"/>
            </w:tcBorders>
            <w:shd w:val="clear" w:color="auto" w:fill="9CCE7E"/>
            <w:tcMar>
              <w:top w:w="100" w:type="dxa"/>
              <w:left w:w="100" w:type="dxa"/>
              <w:bottom w:w="100" w:type="dxa"/>
              <w:right w:w="100" w:type="dxa"/>
            </w:tcMar>
            <w:vAlign w:val="center"/>
          </w:tcPr>
          <w:p w14:paraId="1DF8F794"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4.370</w:t>
            </w:r>
          </w:p>
        </w:tc>
        <w:tc>
          <w:tcPr>
            <w:tcW w:w="1140" w:type="dxa"/>
            <w:tcBorders>
              <w:top w:val="nil"/>
              <w:left w:val="nil"/>
              <w:bottom w:val="single" w:sz="12" w:space="0" w:color="FFFFFF"/>
              <w:right w:val="single" w:sz="12" w:space="0" w:color="FFFFFF"/>
            </w:tcBorders>
            <w:shd w:val="clear" w:color="auto" w:fill="FB9F76"/>
            <w:tcMar>
              <w:top w:w="100" w:type="dxa"/>
              <w:left w:w="100" w:type="dxa"/>
              <w:bottom w:w="100" w:type="dxa"/>
              <w:right w:w="100" w:type="dxa"/>
            </w:tcMar>
            <w:vAlign w:val="center"/>
          </w:tcPr>
          <w:p w14:paraId="733EB26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88.605</w:t>
            </w:r>
          </w:p>
        </w:tc>
        <w:tc>
          <w:tcPr>
            <w:tcW w:w="945" w:type="dxa"/>
            <w:tcBorders>
              <w:top w:val="nil"/>
              <w:left w:val="nil"/>
              <w:bottom w:val="single" w:sz="12" w:space="0" w:color="FFFFFF"/>
              <w:right w:val="single" w:sz="12" w:space="0" w:color="FFFFFF"/>
            </w:tcBorders>
            <w:shd w:val="clear" w:color="auto" w:fill="F8E983"/>
            <w:tcMar>
              <w:top w:w="100" w:type="dxa"/>
              <w:left w:w="100" w:type="dxa"/>
              <w:bottom w:w="100" w:type="dxa"/>
              <w:right w:w="100" w:type="dxa"/>
            </w:tcMar>
            <w:vAlign w:val="center"/>
          </w:tcPr>
          <w:p w14:paraId="474FA1EA"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11.432</w:t>
            </w:r>
          </w:p>
        </w:tc>
        <w:tc>
          <w:tcPr>
            <w:tcW w:w="959" w:type="dxa"/>
            <w:tcBorders>
              <w:top w:val="nil"/>
              <w:left w:val="nil"/>
              <w:bottom w:val="single" w:sz="12" w:space="0" w:color="FFFFFF"/>
              <w:right w:val="single" w:sz="12" w:space="0" w:color="FFFFFF"/>
            </w:tcBorders>
            <w:shd w:val="clear" w:color="auto" w:fill="FFE884"/>
            <w:tcMar>
              <w:top w:w="100" w:type="dxa"/>
              <w:left w:w="100" w:type="dxa"/>
              <w:bottom w:w="100" w:type="dxa"/>
              <w:right w:w="100" w:type="dxa"/>
            </w:tcMar>
            <w:vAlign w:val="center"/>
          </w:tcPr>
          <w:p w14:paraId="55036F57"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15.490</w:t>
            </w:r>
          </w:p>
        </w:tc>
        <w:tc>
          <w:tcPr>
            <w:tcW w:w="795" w:type="dxa"/>
            <w:tcBorders>
              <w:top w:val="nil"/>
              <w:left w:val="nil"/>
              <w:bottom w:val="single" w:sz="12" w:space="0" w:color="FFFFFF"/>
              <w:right w:val="single" w:sz="12" w:space="0" w:color="FFFFFF"/>
            </w:tcBorders>
            <w:shd w:val="clear" w:color="auto" w:fill="95CC7D"/>
            <w:tcMar>
              <w:top w:w="100" w:type="dxa"/>
              <w:left w:w="100" w:type="dxa"/>
              <w:bottom w:w="100" w:type="dxa"/>
              <w:right w:w="100" w:type="dxa"/>
            </w:tcMar>
            <w:vAlign w:val="center"/>
          </w:tcPr>
          <w:p w14:paraId="7FD33491"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3.835</w:t>
            </w:r>
          </w:p>
        </w:tc>
        <w:tc>
          <w:tcPr>
            <w:tcW w:w="1290" w:type="dxa"/>
            <w:tcBorders>
              <w:top w:val="nil"/>
              <w:left w:val="nil"/>
              <w:bottom w:val="single" w:sz="12" w:space="0" w:color="FFFFFF"/>
              <w:right w:val="single" w:sz="12" w:space="0" w:color="FFFFFF"/>
            </w:tcBorders>
            <w:shd w:val="clear" w:color="auto" w:fill="FFDD82"/>
            <w:tcMar>
              <w:top w:w="100" w:type="dxa"/>
              <w:left w:w="100" w:type="dxa"/>
              <w:bottom w:w="100" w:type="dxa"/>
              <w:right w:w="100" w:type="dxa"/>
            </w:tcMar>
            <w:vAlign w:val="center"/>
          </w:tcPr>
          <w:p w14:paraId="6494A851"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26.154</w:t>
            </w:r>
          </w:p>
        </w:tc>
        <w:tc>
          <w:tcPr>
            <w:tcW w:w="1065" w:type="dxa"/>
            <w:tcBorders>
              <w:top w:val="nil"/>
              <w:left w:val="nil"/>
              <w:bottom w:val="single" w:sz="12" w:space="0" w:color="FFFFFF"/>
              <w:right w:val="single" w:sz="12" w:space="0" w:color="FFFFFF"/>
            </w:tcBorders>
            <w:shd w:val="clear" w:color="auto" w:fill="FFE683"/>
            <w:tcMar>
              <w:top w:w="100" w:type="dxa"/>
              <w:left w:w="100" w:type="dxa"/>
              <w:bottom w:w="100" w:type="dxa"/>
              <w:right w:w="100" w:type="dxa"/>
            </w:tcMar>
            <w:vAlign w:val="center"/>
          </w:tcPr>
          <w:p w14:paraId="360A1F31"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17.207</w:t>
            </w:r>
          </w:p>
        </w:tc>
      </w:tr>
      <w:tr w:rsidR="00055321" w:rsidRPr="008924E0" w14:paraId="3AFB1C5D" w14:textId="77777777">
        <w:trPr>
          <w:trHeight w:val="249"/>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767D016E" w14:textId="75D9A1CB" w:rsidR="00055321" w:rsidRPr="008924E0" w:rsidRDefault="00740D4F">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1974</w:t>
            </w:r>
            <w:r w:rsidR="00274A18" w:rsidRPr="008924E0">
              <w:rPr>
                <w:rFonts w:asciiTheme="minorHAnsi" w:hAnsiTheme="minorHAnsi" w:cstheme="minorHAnsi"/>
                <w:b/>
                <w:lang w:val="bs-Latn-BA"/>
              </w:rPr>
              <w:t>.</w:t>
            </w:r>
            <w:r w:rsidRPr="008924E0">
              <w:rPr>
                <w:rFonts w:asciiTheme="minorHAnsi" w:hAnsiTheme="minorHAnsi" w:cstheme="minorHAnsi"/>
                <w:b/>
                <w:lang w:val="bs-Latn-BA"/>
              </w:rPr>
              <w:t>-1987</w:t>
            </w:r>
            <w:r w:rsidR="00FC223E" w:rsidRPr="008924E0">
              <w:rPr>
                <w:rFonts w:asciiTheme="minorHAnsi" w:hAnsiTheme="minorHAnsi" w:cstheme="minorHAnsi"/>
                <w:b/>
                <w:lang w:val="bs-Latn-BA"/>
              </w:rPr>
              <w:t>.</w:t>
            </w:r>
          </w:p>
        </w:tc>
        <w:tc>
          <w:tcPr>
            <w:tcW w:w="960" w:type="dxa"/>
            <w:tcBorders>
              <w:top w:val="nil"/>
              <w:left w:val="nil"/>
              <w:bottom w:val="single" w:sz="12" w:space="0" w:color="FFFFFF"/>
              <w:right w:val="single" w:sz="12" w:space="0" w:color="FFFFFF"/>
            </w:tcBorders>
            <w:shd w:val="clear" w:color="auto" w:fill="FFEB84"/>
            <w:tcMar>
              <w:top w:w="100" w:type="dxa"/>
              <w:left w:w="100" w:type="dxa"/>
              <w:bottom w:w="100" w:type="dxa"/>
              <w:right w:w="100" w:type="dxa"/>
            </w:tcMar>
            <w:vAlign w:val="center"/>
          </w:tcPr>
          <w:p w14:paraId="34ACDC16"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11.943</w:t>
            </w:r>
          </w:p>
        </w:tc>
        <w:tc>
          <w:tcPr>
            <w:tcW w:w="1140" w:type="dxa"/>
            <w:tcBorders>
              <w:top w:val="nil"/>
              <w:left w:val="nil"/>
              <w:bottom w:val="single" w:sz="12" w:space="0" w:color="FFFFFF"/>
              <w:right w:val="single" w:sz="12" w:space="0" w:color="FFFFFF"/>
            </w:tcBorders>
            <w:shd w:val="clear" w:color="auto" w:fill="F8696B"/>
            <w:tcMar>
              <w:top w:w="100" w:type="dxa"/>
              <w:left w:w="100" w:type="dxa"/>
              <w:bottom w:w="100" w:type="dxa"/>
              <w:right w:w="100" w:type="dxa"/>
            </w:tcMar>
            <w:vAlign w:val="center"/>
          </w:tcPr>
          <w:p w14:paraId="66840D09"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141.897</w:t>
            </w:r>
          </w:p>
        </w:tc>
        <w:tc>
          <w:tcPr>
            <w:tcW w:w="945" w:type="dxa"/>
            <w:tcBorders>
              <w:top w:val="nil"/>
              <w:left w:val="nil"/>
              <w:bottom w:val="single" w:sz="12" w:space="0" w:color="FFFFFF"/>
              <w:right w:val="single" w:sz="12" w:space="0" w:color="FFFFFF"/>
            </w:tcBorders>
            <w:shd w:val="clear" w:color="auto" w:fill="FB9B75"/>
            <w:tcMar>
              <w:top w:w="100" w:type="dxa"/>
              <w:left w:w="100" w:type="dxa"/>
              <w:bottom w:w="100" w:type="dxa"/>
              <w:right w:w="100" w:type="dxa"/>
            </w:tcMar>
            <w:vAlign w:val="center"/>
          </w:tcPr>
          <w:p w14:paraId="72F4F253"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92.172</w:t>
            </w:r>
          </w:p>
        </w:tc>
        <w:tc>
          <w:tcPr>
            <w:tcW w:w="959" w:type="dxa"/>
            <w:tcBorders>
              <w:top w:val="nil"/>
              <w:left w:val="nil"/>
              <w:bottom w:val="single" w:sz="12" w:space="0" w:color="FFFFFF"/>
              <w:right w:val="single" w:sz="12" w:space="0" w:color="FFFFFF"/>
            </w:tcBorders>
            <w:shd w:val="clear" w:color="auto" w:fill="FECE7F"/>
            <w:tcMar>
              <w:top w:w="100" w:type="dxa"/>
              <w:left w:w="100" w:type="dxa"/>
              <w:bottom w:w="100" w:type="dxa"/>
              <w:right w:w="100" w:type="dxa"/>
            </w:tcMar>
            <w:vAlign w:val="center"/>
          </w:tcPr>
          <w:p w14:paraId="3A01551C"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41.742</w:t>
            </w:r>
          </w:p>
        </w:tc>
        <w:tc>
          <w:tcPr>
            <w:tcW w:w="795" w:type="dxa"/>
            <w:tcBorders>
              <w:top w:val="nil"/>
              <w:left w:val="nil"/>
              <w:bottom w:val="single" w:sz="12" w:space="0" w:color="FFFFFF"/>
              <w:right w:val="single" w:sz="12" w:space="0" w:color="FFFFFF"/>
            </w:tcBorders>
            <w:shd w:val="clear" w:color="auto" w:fill="FED781"/>
            <w:tcMar>
              <w:top w:w="100" w:type="dxa"/>
              <w:left w:w="100" w:type="dxa"/>
              <w:bottom w:w="100" w:type="dxa"/>
              <w:right w:w="100" w:type="dxa"/>
            </w:tcMar>
            <w:vAlign w:val="center"/>
          </w:tcPr>
          <w:p w14:paraId="602AEFD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32.477</w:t>
            </w:r>
          </w:p>
        </w:tc>
        <w:tc>
          <w:tcPr>
            <w:tcW w:w="1290" w:type="dxa"/>
            <w:tcBorders>
              <w:top w:val="nil"/>
              <w:left w:val="nil"/>
              <w:bottom w:val="single" w:sz="12" w:space="0" w:color="FFFFFF"/>
              <w:right w:val="single" w:sz="12" w:space="0" w:color="FFFFFF"/>
            </w:tcBorders>
            <w:shd w:val="clear" w:color="auto" w:fill="FB9B75"/>
            <w:tcMar>
              <w:top w:w="100" w:type="dxa"/>
              <w:left w:w="100" w:type="dxa"/>
              <w:bottom w:w="100" w:type="dxa"/>
              <w:right w:w="100" w:type="dxa"/>
            </w:tcMar>
            <w:vAlign w:val="center"/>
          </w:tcPr>
          <w:p w14:paraId="6A4098D8"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92.527</w:t>
            </w:r>
          </w:p>
        </w:tc>
        <w:tc>
          <w:tcPr>
            <w:tcW w:w="1065" w:type="dxa"/>
            <w:tcBorders>
              <w:top w:val="nil"/>
              <w:left w:val="nil"/>
              <w:bottom w:val="single" w:sz="12" w:space="0" w:color="FFFFFF"/>
              <w:right w:val="single" w:sz="12" w:space="0" w:color="FFFFFF"/>
            </w:tcBorders>
            <w:shd w:val="clear" w:color="auto" w:fill="FCAB78"/>
            <w:tcMar>
              <w:top w:w="100" w:type="dxa"/>
              <w:left w:w="100" w:type="dxa"/>
              <w:bottom w:w="100" w:type="dxa"/>
              <w:right w:w="100" w:type="dxa"/>
            </w:tcMar>
            <w:vAlign w:val="center"/>
          </w:tcPr>
          <w:p w14:paraId="4B349313"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76.425</w:t>
            </w:r>
          </w:p>
        </w:tc>
      </w:tr>
      <w:tr w:rsidR="00055321" w:rsidRPr="008924E0" w14:paraId="342C2363" w14:textId="77777777">
        <w:trPr>
          <w:trHeight w:val="227"/>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4E7BFB2B" w14:textId="3920EDD2" w:rsidR="00055321" w:rsidRPr="008924E0" w:rsidRDefault="00740D4F">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1988</w:t>
            </w:r>
            <w:r w:rsidR="00274A18" w:rsidRPr="008924E0">
              <w:rPr>
                <w:rFonts w:asciiTheme="minorHAnsi" w:hAnsiTheme="minorHAnsi" w:cstheme="minorHAnsi"/>
                <w:b/>
                <w:lang w:val="bs-Latn-BA"/>
              </w:rPr>
              <w:t>.</w:t>
            </w:r>
            <w:r w:rsidRPr="008924E0">
              <w:rPr>
                <w:rFonts w:asciiTheme="minorHAnsi" w:hAnsiTheme="minorHAnsi" w:cstheme="minorHAnsi"/>
                <w:b/>
                <w:lang w:val="bs-Latn-BA"/>
              </w:rPr>
              <w:t>-2009</w:t>
            </w:r>
            <w:r w:rsidR="00FC223E" w:rsidRPr="008924E0">
              <w:rPr>
                <w:rFonts w:asciiTheme="minorHAnsi" w:hAnsiTheme="minorHAnsi" w:cstheme="minorHAnsi"/>
                <w:b/>
                <w:lang w:val="bs-Latn-BA"/>
              </w:rPr>
              <w:t>.</w:t>
            </w:r>
          </w:p>
        </w:tc>
        <w:tc>
          <w:tcPr>
            <w:tcW w:w="960" w:type="dxa"/>
            <w:tcBorders>
              <w:top w:val="nil"/>
              <w:left w:val="nil"/>
              <w:bottom w:val="single" w:sz="12" w:space="0" w:color="FFFFFF"/>
              <w:right w:val="single" w:sz="12" w:space="0" w:color="FFFFFF"/>
            </w:tcBorders>
            <w:shd w:val="clear" w:color="auto" w:fill="7BC57C"/>
            <w:tcMar>
              <w:top w:w="100" w:type="dxa"/>
              <w:left w:w="100" w:type="dxa"/>
              <w:bottom w:w="100" w:type="dxa"/>
              <w:right w:w="100" w:type="dxa"/>
            </w:tcMar>
            <w:vAlign w:val="center"/>
          </w:tcPr>
          <w:p w14:paraId="055F833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1.864</w:t>
            </w:r>
          </w:p>
        </w:tc>
        <w:tc>
          <w:tcPr>
            <w:tcW w:w="1140" w:type="dxa"/>
            <w:tcBorders>
              <w:top w:val="nil"/>
              <w:left w:val="nil"/>
              <w:bottom w:val="single" w:sz="12" w:space="0" w:color="FFFFFF"/>
              <w:right w:val="single" w:sz="12" w:space="0" w:color="FFFFFF"/>
            </w:tcBorders>
            <w:shd w:val="clear" w:color="auto" w:fill="FED380"/>
            <w:tcMar>
              <w:top w:w="100" w:type="dxa"/>
              <w:left w:w="100" w:type="dxa"/>
              <w:bottom w:w="100" w:type="dxa"/>
              <w:right w:w="100" w:type="dxa"/>
            </w:tcMar>
            <w:vAlign w:val="center"/>
          </w:tcPr>
          <w:p w14:paraId="3C3A2369"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36.714</w:t>
            </w:r>
          </w:p>
        </w:tc>
        <w:tc>
          <w:tcPr>
            <w:tcW w:w="945" w:type="dxa"/>
            <w:tcBorders>
              <w:top w:val="nil"/>
              <w:left w:val="nil"/>
              <w:bottom w:val="single" w:sz="12" w:space="0" w:color="FFFFFF"/>
              <w:right w:val="single" w:sz="12" w:space="0" w:color="FFFFFF"/>
            </w:tcBorders>
            <w:shd w:val="clear" w:color="auto" w:fill="FFE684"/>
            <w:tcMar>
              <w:top w:w="100" w:type="dxa"/>
              <w:left w:w="100" w:type="dxa"/>
              <w:bottom w:w="100" w:type="dxa"/>
              <w:right w:w="100" w:type="dxa"/>
            </w:tcMar>
            <w:vAlign w:val="center"/>
          </w:tcPr>
          <w:p w14:paraId="1D6D36B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17.053</w:t>
            </w:r>
          </w:p>
        </w:tc>
        <w:tc>
          <w:tcPr>
            <w:tcW w:w="959" w:type="dxa"/>
            <w:tcBorders>
              <w:top w:val="nil"/>
              <w:left w:val="nil"/>
              <w:bottom w:val="single" w:sz="12" w:space="0" w:color="FFFFFF"/>
              <w:right w:val="single" w:sz="12" w:space="0" w:color="FFFFFF"/>
            </w:tcBorders>
            <w:shd w:val="clear" w:color="auto" w:fill="FFE784"/>
            <w:tcMar>
              <w:top w:w="100" w:type="dxa"/>
              <w:left w:w="100" w:type="dxa"/>
              <w:bottom w:w="100" w:type="dxa"/>
              <w:right w:w="100" w:type="dxa"/>
            </w:tcMar>
            <w:vAlign w:val="center"/>
          </w:tcPr>
          <w:p w14:paraId="01D977A2"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16.321</w:t>
            </w:r>
          </w:p>
        </w:tc>
        <w:tc>
          <w:tcPr>
            <w:tcW w:w="795" w:type="dxa"/>
            <w:tcBorders>
              <w:top w:val="nil"/>
              <w:left w:val="nil"/>
              <w:bottom w:val="single" w:sz="12" w:space="0" w:color="FFFFFF"/>
              <w:right w:val="single" w:sz="12" w:space="0" w:color="FFFFFF"/>
            </w:tcBorders>
            <w:shd w:val="clear" w:color="auto" w:fill="B9D780"/>
            <w:tcMar>
              <w:top w:w="100" w:type="dxa"/>
              <w:left w:w="100" w:type="dxa"/>
              <w:bottom w:w="100" w:type="dxa"/>
              <w:right w:w="100" w:type="dxa"/>
            </w:tcMar>
            <w:vAlign w:val="center"/>
          </w:tcPr>
          <w:p w14:paraId="0ECF3136"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6.637</w:t>
            </w:r>
          </w:p>
        </w:tc>
        <w:tc>
          <w:tcPr>
            <w:tcW w:w="1290" w:type="dxa"/>
            <w:tcBorders>
              <w:top w:val="nil"/>
              <w:left w:val="nil"/>
              <w:bottom w:val="single" w:sz="12" w:space="0" w:color="FFFFFF"/>
              <w:right w:val="single" w:sz="12" w:space="0" w:color="FFFFFF"/>
            </w:tcBorders>
            <w:shd w:val="clear" w:color="auto" w:fill="FECA7E"/>
            <w:tcMar>
              <w:top w:w="100" w:type="dxa"/>
              <w:left w:w="100" w:type="dxa"/>
              <w:bottom w:w="100" w:type="dxa"/>
              <w:right w:w="100" w:type="dxa"/>
            </w:tcMar>
            <w:vAlign w:val="center"/>
          </w:tcPr>
          <w:p w14:paraId="3D9F904E"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45.576</w:t>
            </w:r>
          </w:p>
        </w:tc>
        <w:tc>
          <w:tcPr>
            <w:tcW w:w="1065" w:type="dxa"/>
            <w:tcBorders>
              <w:top w:val="nil"/>
              <w:left w:val="nil"/>
              <w:bottom w:val="single" w:sz="12" w:space="0" w:color="FFFFFF"/>
              <w:right w:val="single" w:sz="12" w:space="0" w:color="FFFFFF"/>
            </w:tcBorders>
            <w:shd w:val="clear" w:color="auto" w:fill="FED680"/>
            <w:tcMar>
              <w:top w:w="100" w:type="dxa"/>
              <w:left w:w="100" w:type="dxa"/>
              <w:bottom w:w="100" w:type="dxa"/>
              <w:right w:w="100" w:type="dxa"/>
            </w:tcMar>
            <w:vAlign w:val="center"/>
          </w:tcPr>
          <w:p w14:paraId="2D6FC6D8"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33.373</w:t>
            </w:r>
          </w:p>
        </w:tc>
      </w:tr>
      <w:tr w:rsidR="00055321" w:rsidRPr="008924E0" w14:paraId="5F94CAB5" w14:textId="77777777">
        <w:trPr>
          <w:trHeight w:val="50"/>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1C565B6B" w14:textId="3F505B8B" w:rsidR="00055321" w:rsidRPr="008924E0" w:rsidRDefault="00740D4F">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2010</w:t>
            </w:r>
            <w:r w:rsidR="00274A18" w:rsidRPr="008924E0">
              <w:rPr>
                <w:rFonts w:asciiTheme="minorHAnsi" w:hAnsiTheme="minorHAnsi" w:cstheme="minorHAnsi"/>
                <w:b/>
                <w:lang w:val="bs-Latn-BA"/>
              </w:rPr>
              <w:t>.</w:t>
            </w:r>
            <w:r w:rsidRPr="008924E0">
              <w:rPr>
                <w:rFonts w:asciiTheme="minorHAnsi" w:hAnsiTheme="minorHAnsi" w:cstheme="minorHAnsi"/>
                <w:b/>
                <w:lang w:val="bs-Latn-BA"/>
              </w:rPr>
              <w:t>-2016</w:t>
            </w:r>
            <w:r w:rsidR="00FC223E" w:rsidRPr="008924E0">
              <w:rPr>
                <w:rFonts w:asciiTheme="minorHAnsi" w:hAnsiTheme="minorHAnsi" w:cstheme="minorHAnsi"/>
                <w:b/>
                <w:lang w:val="bs-Latn-BA"/>
              </w:rPr>
              <w:t>.</w:t>
            </w:r>
          </w:p>
        </w:tc>
        <w:tc>
          <w:tcPr>
            <w:tcW w:w="960" w:type="dxa"/>
            <w:tcBorders>
              <w:top w:val="nil"/>
              <w:left w:val="nil"/>
              <w:bottom w:val="single" w:sz="12" w:space="0" w:color="FFFFFF"/>
              <w:right w:val="single" w:sz="12" w:space="0" w:color="FFFFFF"/>
            </w:tcBorders>
            <w:shd w:val="clear" w:color="auto" w:fill="67BF7B"/>
            <w:tcMar>
              <w:top w:w="100" w:type="dxa"/>
              <w:left w:w="100" w:type="dxa"/>
              <w:bottom w:w="100" w:type="dxa"/>
              <w:right w:w="100" w:type="dxa"/>
            </w:tcMar>
            <w:vAlign w:val="center"/>
          </w:tcPr>
          <w:p w14:paraId="37FDD22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318</w:t>
            </w:r>
          </w:p>
        </w:tc>
        <w:tc>
          <w:tcPr>
            <w:tcW w:w="1140" w:type="dxa"/>
            <w:tcBorders>
              <w:top w:val="nil"/>
              <w:left w:val="nil"/>
              <w:bottom w:val="single" w:sz="12" w:space="0" w:color="FFFFFF"/>
              <w:right w:val="single" w:sz="12" w:space="0" w:color="FFFFFF"/>
            </w:tcBorders>
            <w:shd w:val="clear" w:color="auto" w:fill="98CD7E"/>
            <w:tcMar>
              <w:top w:w="100" w:type="dxa"/>
              <w:left w:w="100" w:type="dxa"/>
              <w:bottom w:w="100" w:type="dxa"/>
              <w:right w:w="100" w:type="dxa"/>
            </w:tcMar>
            <w:vAlign w:val="center"/>
          </w:tcPr>
          <w:p w14:paraId="1F747B3D"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4.099</w:t>
            </w:r>
          </w:p>
        </w:tc>
        <w:tc>
          <w:tcPr>
            <w:tcW w:w="94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52A88ECD"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0</w:t>
            </w:r>
          </w:p>
        </w:tc>
        <w:tc>
          <w:tcPr>
            <w:tcW w:w="959" w:type="dxa"/>
            <w:tcBorders>
              <w:top w:val="nil"/>
              <w:left w:val="nil"/>
              <w:bottom w:val="single" w:sz="12" w:space="0" w:color="FFFFFF"/>
              <w:right w:val="single" w:sz="12" w:space="0" w:color="FFFFFF"/>
            </w:tcBorders>
            <w:shd w:val="clear" w:color="auto" w:fill="FFE683"/>
            <w:tcMar>
              <w:top w:w="100" w:type="dxa"/>
              <w:left w:w="100" w:type="dxa"/>
              <w:bottom w:w="100" w:type="dxa"/>
              <w:right w:w="100" w:type="dxa"/>
            </w:tcMar>
            <w:vAlign w:val="center"/>
          </w:tcPr>
          <w:p w14:paraId="277B3ECB"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17.729</w:t>
            </w:r>
          </w:p>
        </w:tc>
        <w:tc>
          <w:tcPr>
            <w:tcW w:w="79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3E24AFF0"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0</w:t>
            </w:r>
          </w:p>
        </w:tc>
        <w:tc>
          <w:tcPr>
            <w:tcW w:w="1290" w:type="dxa"/>
            <w:tcBorders>
              <w:top w:val="nil"/>
              <w:left w:val="nil"/>
              <w:bottom w:val="single" w:sz="12" w:space="0" w:color="FFFFFF"/>
              <w:right w:val="single" w:sz="12" w:space="0" w:color="FFFFFF"/>
            </w:tcBorders>
            <w:shd w:val="clear" w:color="auto" w:fill="DCE182"/>
            <w:tcMar>
              <w:top w:w="100" w:type="dxa"/>
              <w:left w:w="100" w:type="dxa"/>
              <w:bottom w:w="100" w:type="dxa"/>
              <w:right w:w="100" w:type="dxa"/>
            </w:tcMar>
            <w:vAlign w:val="center"/>
          </w:tcPr>
          <w:p w14:paraId="207E5AE3"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9.314</w:t>
            </w:r>
          </w:p>
        </w:tc>
        <w:tc>
          <w:tcPr>
            <w:tcW w:w="106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2A7181FF"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0</w:t>
            </w:r>
          </w:p>
        </w:tc>
      </w:tr>
      <w:tr w:rsidR="00055321" w:rsidRPr="008924E0" w14:paraId="48CABD10" w14:textId="77777777" w:rsidTr="00771E4B">
        <w:trPr>
          <w:trHeight w:val="25"/>
          <w:jc w:val="center"/>
        </w:trPr>
        <w:tc>
          <w:tcPr>
            <w:tcW w:w="1503" w:type="dxa"/>
            <w:tcBorders>
              <w:top w:val="nil"/>
              <w:left w:val="nil"/>
              <w:bottom w:val="nil"/>
              <w:right w:val="single" w:sz="12" w:space="0" w:color="FFFFFF"/>
            </w:tcBorders>
            <w:shd w:val="clear" w:color="auto" w:fill="E9E9E9"/>
            <w:tcMar>
              <w:top w:w="100" w:type="dxa"/>
              <w:left w:w="100" w:type="dxa"/>
              <w:bottom w:w="100" w:type="dxa"/>
              <w:right w:w="100" w:type="dxa"/>
            </w:tcMar>
            <w:vAlign w:val="center"/>
          </w:tcPr>
          <w:p w14:paraId="6A316EFF" w14:textId="08D4BD90" w:rsidR="00055321" w:rsidRPr="008924E0" w:rsidRDefault="00740D4F">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2017</w:t>
            </w:r>
            <w:r w:rsidR="00274A18" w:rsidRPr="008924E0">
              <w:rPr>
                <w:rFonts w:asciiTheme="minorHAnsi" w:hAnsiTheme="minorHAnsi" w:cstheme="minorHAnsi"/>
                <w:b/>
                <w:lang w:val="bs-Latn-BA"/>
              </w:rPr>
              <w:t>.</w:t>
            </w:r>
            <w:r w:rsidRPr="008924E0">
              <w:rPr>
                <w:rFonts w:asciiTheme="minorHAnsi" w:hAnsiTheme="minorHAnsi" w:cstheme="minorHAnsi"/>
                <w:b/>
                <w:lang w:val="bs-Latn-BA"/>
              </w:rPr>
              <w:t>-2020</w:t>
            </w:r>
            <w:r w:rsidR="00FC223E" w:rsidRPr="008924E0">
              <w:rPr>
                <w:rFonts w:asciiTheme="minorHAnsi" w:hAnsiTheme="minorHAnsi" w:cstheme="minorHAnsi"/>
                <w:b/>
                <w:lang w:val="bs-Latn-BA"/>
              </w:rPr>
              <w:t>.</w:t>
            </w:r>
            <w:r w:rsidRPr="008924E0">
              <w:rPr>
                <w:rFonts w:asciiTheme="minorHAnsi" w:hAnsiTheme="minorHAnsi" w:cstheme="minorHAnsi"/>
                <w:b/>
                <w:lang w:val="bs-Latn-BA"/>
              </w:rPr>
              <w:t>*</w:t>
            </w:r>
          </w:p>
        </w:tc>
        <w:tc>
          <w:tcPr>
            <w:tcW w:w="960" w:type="dxa"/>
            <w:tcBorders>
              <w:top w:val="nil"/>
              <w:left w:val="nil"/>
              <w:bottom w:val="single" w:sz="12" w:space="0" w:color="FFFFFF"/>
              <w:right w:val="single" w:sz="12" w:space="0" w:color="FFFFFF"/>
            </w:tcBorders>
            <w:shd w:val="clear" w:color="auto" w:fill="65BE7B"/>
            <w:tcMar>
              <w:top w:w="100" w:type="dxa"/>
              <w:left w:w="100" w:type="dxa"/>
              <w:bottom w:w="100" w:type="dxa"/>
              <w:right w:w="100" w:type="dxa"/>
            </w:tcMar>
            <w:vAlign w:val="center"/>
          </w:tcPr>
          <w:p w14:paraId="057C2666"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205</w:t>
            </w:r>
          </w:p>
        </w:tc>
        <w:tc>
          <w:tcPr>
            <w:tcW w:w="1140" w:type="dxa"/>
            <w:tcBorders>
              <w:top w:val="nil"/>
              <w:left w:val="nil"/>
              <w:bottom w:val="single" w:sz="12" w:space="0" w:color="FFFFFF"/>
              <w:right w:val="single" w:sz="12" w:space="0" w:color="FFFFFF"/>
            </w:tcBorders>
            <w:shd w:val="clear" w:color="auto" w:fill="7EC57C"/>
            <w:tcMar>
              <w:top w:w="100" w:type="dxa"/>
              <w:left w:w="100" w:type="dxa"/>
              <w:bottom w:w="100" w:type="dxa"/>
              <w:right w:w="100" w:type="dxa"/>
            </w:tcMar>
            <w:vAlign w:val="center"/>
          </w:tcPr>
          <w:p w14:paraId="06D9D0E7"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2.115</w:t>
            </w:r>
          </w:p>
        </w:tc>
        <w:tc>
          <w:tcPr>
            <w:tcW w:w="945" w:type="dxa"/>
            <w:tcBorders>
              <w:top w:val="nil"/>
              <w:left w:val="nil"/>
              <w:bottom w:val="single" w:sz="12" w:space="0" w:color="FFFFFF"/>
              <w:right w:val="single" w:sz="12" w:space="0" w:color="FFFFFF"/>
            </w:tcBorders>
            <w:shd w:val="clear" w:color="auto" w:fill="6DC07B"/>
            <w:tcMar>
              <w:top w:w="100" w:type="dxa"/>
              <w:left w:w="100" w:type="dxa"/>
              <w:bottom w:w="100" w:type="dxa"/>
              <w:right w:w="100" w:type="dxa"/>
            </w:tcMar>
            <w:vAlign w:val="center"/>
          </w:tcPr>
          <w:p w14:paraId="6D2FEA15"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778</w:t>
            </w:r>
          </w:p>
        </w:tc>
        <w:tc>
          <w:tcPr>
            <w:tcW w:w="959" w:type="dxa"/>
            <w:tcBorders>
              <w:top w:val="nil"/>
              <w:left w:val="nil"/>
              <w:bottom w:val="single" w:sz="12" w:space="0" w:color="FFFFFF"/>
              <w:right w:val="single" w:sz="12" w:space="0" w:color="FFFFFF"/>
            </w:tcBorders>
            <w:shd w:val="clear" w:color="auto" w:fill="68BF7B"/>
            <w:tcMar>
              <w:top w:w="100" w:type="dxa"/>
              <w:left w:w="100" w:type="dxa"/>
              <w:bottom w:w="100" w:type="dxa"/>
              <w:right w:w="100" w:type="dxa"/>
            </w:tcMar>
            <w:vAlign w:val="center"/>
          </w:tcPr>
          <w:p w14:paraId="6234225C"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389</w:t>
            </w:r>
          </w:p>
        </w:tc>
        <w:tc>
          <w:tcPr>
            <w:tcW w:w="795" w:type="dxa"/>
            <w:tcBorders>
              <w:top w:val="nil"/>
              <w:left w:val="nil"/>
              <w:bottom w:val="single" w:sz="12" w:space="0" w:color="FFFFFF"/>
              <w:right w:val="single" w:sz="12" w:space="0" w:color="FFFFFF"/>
            </w:tcBorders>
            <w:shd w:val="clear" w:color="auto" w:fill="69BF7B"/>
            <w:tcMar>
              <w:top w:w="100" w:type="dxa"/>
              <w:left w:w="100" w:type="dxa"/>
              <w:bottom w:w="100" w:type="dxa"/>
              <w:right w:w="100" w:type="dxa"/>
            </w:tcMar>
            <w:vAlign w:val="center"/>
          </w:tcPr>
          <w:p w14:paraId="051711A5"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486</w:t>
            </w:r>
          </w:p>
        </w:tc>
        <w:tc>
          <w:tcPr>
            <w:tcW w:w="1290" w:type="dxa"/>
            <w:tcBorders>
              <w:top w:val="nil"/>
              <w:left w:val="nil"/>
              <w:bottom w:val="single" w:sz="12" w:space="0" w:color="FFFFFF"/>
              <w:right w:val="single" w:sz="12" w:space="0" w:color="FFFFFF"/>
            </w:tcBorders>
            <w:shd w:val="clear" w:color="auto" w:fill="7DC57C"/>
            <w:tcMar>
              <w:top w:w="100" w:type="dxa"/>
              <w:left w:w="100" w:type="dxa"/>
              <w:bottom w:w="100" w:type="dxa"/>
              <w:right w:w="100" w:type="dxa"/>
            </w:tcMar>
            <w:vAlign w:val="center"/>
          </w:tcPr>
          <w:p w14:paraId="610CA1D5"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2.067</w:t>
            </w:r>
          </w:p>
        </w:tc>
        <w:tc>
          <w:tcPr>
            <w:tcW w:w="1065" w:type="dxa"/>
            <w:tcBorders>
              <w:top w:val="nil"/>
              <w:left w:val="nil"/>
              <w:bottom w:val="single" w:sz="12" w:space="0" w:color="FFFFFF"/>
              <w:right w:val="single" w:sz="12" w:space="0" w:color="FFFFFF"/>
            </w:tcBorders>
            <w:shd w:val="clear" w:color="auto" w:fill="73C27B"/>
            <w:tcMar>
              <w:top w:w="100" w:type="dxa"/>
              <w:left w:w="100" w:type="dxa"/>
              <w:bottom w:w="100" w:type="dxa"/>
              <w:right w:w="100" w:type="dxa"/>
            </w:tcMar>
            <w:vAlign w:val="center"/>
          </w:tcPr>
          <w:p w14:paraId="3CA95FBD" w14:textId="77777777" w:rsidR="00055321" w:rsidRPr="00317261" w:rsidRDefault="00740D4F">
            <w:pPr>
              <w:keepNext/>
              <w:jc w:val="right"/>
              <w:rPr>
                <w:rFonts w:asciiTheme="minorHAnsi" w:eastAsia="Calibri" w:hAnsiTheme="minorHAnsi" w:cstheme="minorHAnsi"/>
                <w:sz w:val="18"/>
                <w:szCs w:val="18"/>
                <w:lang w:val="bs-Latn-BA"/>
              </w:rPr>
            </w:pPr>
            <w:r w:rsidRPr="00317261">
              <w:rPr>
                <w:rFonts w:asciiTheme="minorHAnsi" w:eastAsia="Calibri" w:hAnsiTheme="minorHAnsi" w:cstheme="minorHAnsi"/>
                <w:sz w:val="18"/>
                <w:szCs w:val="18"/>
                <w:lang w:val="bs-Latn-BA"/>
              </w:rPr>
              <w:t>1.228</w:t>
            </w:r>
          </w:p>
        </w:tc>
      </w:tr>
      <w:tr w:rsidR="00055321" w:rsidRPr="008924E0" w14:paraId="197DE86E" w14:textId="77777777">
        <w:trPr>
          <w:trHeight w:val="161"/>
          <w:jc w:val="center"/>
        </w:trPr>
        <w:tc>
          <w:tcPr>
            <w:tcW w:w="1503" w:type="dxa"/>
            <w:tcBorders>
              <w:top w:val="nil"/>
              <w:left w:val="nil"/>
              <w:bottom w:val="nil"/>
              <w:right w:val="single" w:sz="12" w:space="0" w:color="FFFFFF"/>
            </w:tcBorders>
            <w:shd w:val="clear" w:color="auto" w:fill="E9E9E9"/>
            <w:tcMar>
              <w:top w:w="100" w:type="dxa"/>
              <w:left w:w="100" w:type="dxa"/>
              <w:bottom w:w="100" w:type="dxa"/>
              <w:right w:w="100" w:type="dxa"/>
            </w:tcMar>
            <w:vAlign w:val="center"/>
          </w:tcPr>
          <w:p w14:paraId="24C3DBC4" w14:textId="77777777" w:rsidR="00055321" w:rsidRPr="008924E0" w:rsidRDefault="00740D4F">
            <w:pPr>
              <w:keepNext/>
              <w:jc w:val="right"/>
              <w:rPr>
                <w:rFonts w:ascii="Calibri" w:eastAsia="Calibri" w:hAnsi="Calibri" w:cs="Calibri"/>
                <w:b/>
                <w:sz w:val="18"/>
                <w:szCs w:val="18"/>
                <w:lang w:val="bs-Latn-BA"/>
              </w:rPr>
            </w:pPr>
            <w:r w:rsidRPr="008924E0">
              <w:rPr>
                <w:rFonts w:ascii="Calibri" w:eastAsia="Calibri" w:hAnsi="Calibri" w:cs="Calibri"/>
                <w:b/>
                <w:sz w:val="18"/>
                <w:szCs w:val="18"/>
                <w:lang w:val="bs-Latn-BA"/>
              </w:rPr>
              <w:t>Ukupno</w:t>
            </w:r>
          </w:p>
        </w:tc>
        <w:tc>
          <w:tcPr>
            <w:tcW w:w="960" w:type="dxa"/>
            <w:tcBorders>
              <w:top w:val="nil"/>
              <w:left w:val="nil"/>
              <w:bottom w:val="nil"/>
              <w:right w:val="nil"/>
            </w:tcBorders>
            <w:shd w:val="clear" w:color="auto" w:fill="63BE7B"/>
            <w:tcMar>
              <w:top w:w="100" w:type="dxa"/>
              <w:left w:w="100" w:type="dxa"/>
              <w:bottom w:w="100" w:type="dxa"/>
              <w:right w:w="100" w:type="dxa"/>
            </w:tcMar>
            <w:vAlign w:val="center"/>
          </w:tcPr>
          <w:p w14:paraId="08D2B696" w14:textId="77777777" w:rsidR="00055321" w:rsidRPr="00317261" w:rsidRDefault="00740D4F">
            <w:pPr>
              <w:keepNext/>
              <w:jc w:val="right"/>
              <w:rPr>
                <w:rFonts w:asciiTheme="minorHAnsi" w:eastAsia="Calibri" w:hAnsiTheme="minorHAnsi" w:cstheme="minorHAnsi"/>
                <w:b/>
                <w:sz w:val="18"/>
                <w:szCs w:val="18"/>
                <w:lang w:val="bs-Latn-BA"/>
              </w:rPr>
            </w:pPr>
            <w:r w:rsidRPr="00317261">
              <w:rPr>
                <w:rFonts w:asciiTheme="minorHAnsi" w:eastAsia="Calibri" w:hAnsiTheme="minorHAnsi" w:cstheme="minorHAnsi"/>
                <w:b/>
                <w:sz w:val="18"/>
                <w:szCs w:val="18"/>
                <w:lang w:val="bs-Latn-BA"/>
              </w:rPr>
              <w:t>19.879</w:t>
            </w:r>
          </w:p>
        </w:tc>
        <w:tc>
          <w:tcPr>
            <w:tcW w:w="1140" w:type="dxa"/>
            <w:tcBorders>
              <w:top w:val="nil"/>
              <w:left w:val="nil"/>
              <w:bottom w:val="nil"/>
              <w:right w:val="nil"/>
            </w:tcBorders>
            <w:shd w:val="clear" w:color="auto" w:fill="F8696B"/>
            <w:tcMar>
              <w:top w:w="100" w:type="dxa"/>
              <w:left w:w="100" w:type="dxa"/>
              <w:bottom w:w="100" w:type="dxa"/>
              <w:right w:w="100" w:type="dxa"/>
            </w:tcMar>
            <w:vAlign w:val="center"/>
          </w:tcPr>
          <w:p w14:paraId="16B35DCE" w14:textId="77777777" w:rsidR="00055321" w:rsidRPr="00317261" w:rsidRDefault="00740D4F">
            <w:pPr>
              <w:keepNext/>
              <w:jc w:val="right"/>
              <w:rPr>
                <w:rFonts w:asciiTheme="minorHAnsi" w:eastAsia="Calibri" w:hAnsiTheme="minorHAnsi" w:cstheme="minorHAnsi"/>
                <w:b/>
                <w:sz w:val="18"/>
                <w:szCs w:val="18"/>
                <w:lang w:val="bs-Latn-BA"/>
              </w:rPr>
            </w:pPr>
            <w:r w:rsidRPr="00317261">
              <w:rPr>
                <w:rFonts w:asciiTheme="minorHAnsi" w:eastAsia="Calibri" w:hAnsiTheme="minorHAnsi" w:cstheme="minorHAnsi"/>
                <w:b/>
                <w:sz w:val="18"/>
                <w:szCs w:val="18"/>
                <w:lang w:val="bs-Latn-BA"/>
              </w:rPr>
              <w:t>414.481</w:t>
            </w:r>
          </w:p>
        </w:tc>
        <w:tc>
          <w:tcPr>
            <w:tcW w:w="945" w:type="dxa"/>
            <w:tcBorders>
              <w:top w:val="nil"/>
              <w:left w:val="nil"/>
              <w:bottom w:val="nil"/>
              <w:right w:val="nil"/>
            </w:tcBorders>
            <w:shd w:val="clear" w:color="auto" w:fill="FFEB84"/>
            <w:tcMar>
              <w:top w:w="100" w:type="dxa"/>
              <w:left w:w="100" w:type="dxa"/>
              <w:bottom w:w="100" w:type="dxa"/>
              <w:right w:w="100" w:type="dxa"/>
            </w:tcMar>
            <w:vAlign w:val="center"/>
          </w:tcPr>
          <w:p w14:paraId="7A225BFC" w14:textId="77777777" w:rsidR="00055321" w:rsidRPr="00317261" w:rsidRDefault="00740D4F">
            <w:pPr>
              <w:keepNext/>
              <w:jc w:val="right"/>
              <w:rPr>
                <w:rFonts w:asciiTheme="minorHAnsi" w:eastAsia="Calibri" w:hAnsiTheme="minorHAnsi" w:cstheme="minorHAnsi"/>
                <w:b/>
                <w:sz w:val="18"/>
                <w:szCs w:val="18"/>
                <w:lang w:val="bs-Latn-BA"/>
              </w:rPr>
            </w:pPr>
            <w:r w:rsidRPr="00317261">
              <w:rPr>
                <w:rFonts w:asciiTheme="minorHAnsi" w:eastAsia="Calibri" w:hAnsiTheme="minorHAnsi" w:cstheme="minorHAnsi"/>
                <w:b/>
                <w:sz w:val="18"/>
                <w:szCs w:val="18"/>
                <w:lang w:val="bs-Latn-BA"/>
              </w:rPr>
              <w:t>144.496</w:t>
            </w:r>
          </w:p>
        </w:tc>
        <w:tc>
          <w:tcPr>
            <w:tcW w:w="959" w:type="dxa"/>
            <w:tcBorders>
              <w:top w:val="nil"/>
              <w:left w:val="nil"/>
              <w:bottom w:val="nil"/>
              <w:right w:val="nil"/>
            </w:tcBorders>
            <w:shd w:val="clear" w:color="auto" w:fill="D6DF81"/>
            <w:tcMar>
              <w:top w:w="100" w:type="dxa"/>
              <w:left w:w="100" w:type="dxa"/>
              <w:bottom w:w="100" w:type="dxa"/>
              <w:right w:w="100" w:type="dxa"/>
            </w:tcMar>
            <w:vAlign w:val="center"/>
          </w:tcPr>
          <w:p w14:paraId="132FBC93" w14:textId="77777777" w:rsidR="00055321" w:rsidRPr="00317261" w:rsidRDefault="00740D4F">
            <w:pPr>
              <w:keepNext/>
              <w:jc w:val="right"/>
              <w:rPr>
                <w:rFonts w:asciiTheme="minorHAnsi" w:eastAsia="Calibri" w:hAnsiTheme="minorHAnsi" w:cstheme="minorHAnsi"/>
                <w:b/>
                <w:sz w:val="18"/>
                <w:szCs w:val="18"/>
                <w:lang w:val="bs-Latn-BA"/>
              </w:rPr>
            </w:pPr>
            <w:r w:rsidRPr="00317261">
              <w:rPr>
                <w:rFonts w:asciiTheme="minorHAnsi" w:eastAsia="Calibri" w:hAnsiTheme="minorHAnsi" w:cstheme="minorHAnsi"/>
                <w:b/>
                <w:sz w:val="18"/>
                <w:szCs w:val="18"/>
                <w:lang w:val="bs-Latn-BA"/>
              </w:rPr>
              <w:t>112.402</w:t>
            </w:r>
          </w:p>
        </w:tc>
        <w:tc>
          <w:tcPr>
            <w:tcW w:w="795" w:type="dxa"/>
            <w:tcBorders>
              <w:top w:val="nil"/>
              <w:left w:val="nil"/>
              <w:bottom w:val="nil"/>
              <w:right w:val="nil"/>
            </w:tcBorders>
            <w:shd w:val="clear" w:color="auto" w:fill="A5D17E"/>
            <w:tcMar>
              <w:top w:w="100" w:type="dxa"/>
              <w:left w:w="100" w:type="dxa"/>
              <w:bottom w:w="100" w:type="dxa"/>
              <w:right w:w="100" w:type="dxa"/>
            </w:tcMar>
            <w:vAlign w:val="center"/>
          </w:tcPr>
          <w:p w14:paraId="296207C7" w14:textId="77777777" w:rsidR="00055321" w:rsidRPr="00317261" w:rsidRDefault="00740D4F">
            <w:pPr>
              <w:keepNext/>
              <w:jc w:val="right"/>
              <w:rPr>
                <w:rFonts w:asciiTheme="minorHAnsi" w:eastAsia="Calibri" w:hAnsiTheme="minorHAnsi" w:cstheme="minorHAnsi"/>
                <w:b/>
                <w:sz w:val="18"/>
                <w:szCs w:val="18"/>
                <w:lang w:val="bs-Latn-BA"/>
              </w:rPr>
            </w:pPr>
            <w:r w:rsidRPr="00317261">
              <w:rPr>
                <w:rFonts w:asciiTheme="minorHAnsi" w:eastAsia="Calibri" w:hAnsiTheme="minorHAnsi" w:cstheme="minorHAnsi"/>
                <w:b/>
                <w:sz w:val="18"/>
                <w:szCs w:val="18"/>
                <w:lang w:val="bs-Latn-BA"/>
              </w:rPr>
              <w:t>72.897</w:t>
            </w:r>
          </w:p>
        </w:tc>
        <w:tc>
          <w:tcPr>
            <w:tcW w:w="1290" w:type="dxa"/>
            <w:tcBorders>
              <w:top w:val="nil"/>
              <w:left w:val="nil"/>
              <w:bottom w:val="nil"/>
              <w:right w:val="nil"/>
            </w:tcBorders>
            <w:shd w:val="clear" w:color="auto" w:fill="FCAF79"/>
            <w:tcMar>
              <w:top w:w="100" w:type="dxa"/>
              <w:left w:w="100" w:type="dxa"/>
              <w:bottom w:w="100" w:type="dxa"/>
              <w:right w:w="100" w:type="dxa"/>
            </w:tcMar>
            <w:vAlign w:val="center"/>
          </w:tcPr>
          <w:p w14:paraId="30D135DC" w14:textId="77777777" w:rsidR="00055321" w:rsidRPr="00317261" w:rsidRDefault="00740D4F">
            <w:pPr>
              <w:keepNext/>
              <w:jc w:val="right"/>
              <w:rPr>
                <w:rFonts w:asciiTheme="minorHAnsi" w:eastAsia="Calibri" w:hAnsiTheme="minorHAnsi" w:cstheme="minorHAnsi"/>
                <w:b/>
                <w:sz w:val="18"/>
                <w:szCs w:val="18"/>
                <w:lang w:val="bs-Latn-BA"/>
              </w:rPr>
            </w:pPr>
            <w:r w:rsidRPr="00317261">
              <w:rPr>
                <w:rFonts w:asciiTheme="minorHAnsi" w:eastAsia="Calibri" w:hAnsiTheme="minorHAnsi" w:cstheme="minorHAnsi"/>
                <w:b/>
                <w:sz w:val="18"/>
                <w:szCs w:val="18"/>
                <w:lang w:val="bs-Latn-BA"/>
              </w:rPr>
              <w:t>269.244</w:t>
            </w:r>
          </w:p>
        </w:tc>
        <w:tc>
          <w:tcPr>
            <w:tcW w:w="1065" w:type="dxa"/>
            <w:tcBorders>
              <w:top w:val="nil"/>
              <w:left w:val="nil"/>
              <w:bottom w:val="nil"/>
              <w:right w:val="nil"/>
            </w:tcBorders>
            <w:shd w:val="clear" w:color="auto" w:fill="FFE884"/>
            <w:tcMar>
              <w:top w:w="100" w:type="dxa"/>
              <w:left w:w="100" w:type="dxa"/>
              <w:bottom w:w="100" w:type="dxa"/>
              <w:right w:w="100" w:type="dxa"/>
            </w:tcMar>
            <w:vAlign w:val="center"/>
          </w:tcPr>
          <w:p w14:paraId="650C0738" w14:textId="77777777" w:rsidR="00055321" w:rsidRPr="00317261" w:rsidRDefault="00740D4F">
            <w:pPr>
              <w:keepNext/>
              <w:jc w:val="right"/>
              <w:rPr>
                <w:rFonts w:asciiTheme="minorHAnsi" w:eastAsia="Calibri" w:hAnsiTheme="minorHAnsi" w:cstheme="minorHAnsi"/>
                <w:b/>
                <w:sz w:val="18"/>
                <w:szCs w:val="18"/>
                <w:lang w:val="bs-Latn-BA"/>
              </w:rPr>
            </w:pPr>
            <w:r w:rsidRPr="00317261">
              <w:rPr>
                <w:rFonts w:asciiTheme="minorHAnsi" w:eastAsia="Calibri" w:hAnsiTheme="minorHAnsi" w:cstheme="minorHAnsi"/>
                <w:b/>
                <w:sz w:val="18"/>
                <w:szCs w:val="18"/>
                <w:lang w:val="bs-Latn-BA"/>
              </w:rPr>
              <w:t>152.242</w:t>
            </w:r>
          </w:p>
        </w:tc>
      </w:tr>
    </w:tbl>
    <w:p w14:paraId="0E4A8BD2" w14:textId="77777777" w:rsidR="00055321" w:rsidRPr="008924E0" w:rsidRDefault="00740D4F">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5CE2B22E" w14:textId="5AF5FC96" w:rsidR="00055321" w:rsidRPr="008924E0" w:rsidRDefault="00740D4F">
      <w:pPr>
        <w:rPr>
          <w:lang w:val="bs-Latn-BA"/>
        </w:rPr>
      </w:pPr>
      <w:r w:rsidRPr="008924E0">
        <w:rPr>
          <w:lang w:val="bs-Latn-BA"/>
        </w:rPr>
        <w:t>Energijski razredi zgrada su u funkciji od klimatske regije, faktora oblika zgrade i namjene, te je za svaku zgradu posebno potrebno odrediti energijski razred. Za zgradu faktora oblika 0,45, lociranu u klimatskoj regiji Sjever, izračunata je dopuštena specifična vrijednost potrebne energije za grijanje prema Pravilniku</w:t>
      </w:r>
      <w:r w:rsidRPr="008924E0">
        <w:rPr>
          <w:vertAlign w:val="superscript"/>
          <w:lang w:val="bs-Latn-BA"/>
        </w:rPr>
        <w:footnoteReference w:id="18"/>
      </w:r>
      <w:r w:rsidRPr="008924E0">
        <w:rPr>
          <w:lang w:val="bs-Latn-BA"/>
        </w:rPr>
        <w:t xml:space="preserve"> i odgovarajućoj namjeni zgrade. Prema ovim podacima su prikazani indikativni </w:t>
      </w:r>
      <w:r w:rsidRPr="00D27600">
        <w:rPr>
          <w:color w:val="000000" w:themeColor="text1"/>
          <w:lang w:val="bs-Latn-BA"/>
        </w:rPr>
        <w:t xml:space="preserve">energijski razredi (Tabela </w:t>
      </w:r>
      <w:r w:rsidR="00FE5AB8">
        <w:rPr>
          <w:color w:val="000000" w:themeColor="text1"/>
          <w:lang w:val="bs-Latn-BA"/>
        </w:rPr>
        <w:t>2.7</w:t>
      </w:r>
      <w:r w:rsidRPr="00D27600">
        <w:rPr>
          <w:color w:val="000000" w:themeColor="text1"/>
          <w:lang w:val="bs-Latn-BA"/>
        </w:rPr>
        <w:t xml:space="preserve">). Kako </w:t>
      </w:r>
      <w:r w:rsidRPr="008924E0">
        <w:rPr>
          <w:lang w:val="bs-Latn-BA"/>
        </w:rPr>
        <w:t xml:space="preserve">je vidljivo iz rezultata, energijske karakteristike fonda javnih zgrada u najvećoj mjeri ne zadovoljavaju dopuštene vrijednosti specifične potrebne energije za grijanje te se fond javnih zgrada u FBiH može ocijeniti kao energijski neefikasan. </w:t>
      </w:r>
    </w:p>
    <w:p w14:paraId="194E3968" w14:textId="5E35D8DE" w:rsidR="00973648" w:rsidRPr="008924E0" w:rsidRDefault="00973648" w:rsidP="00973648">
      <w:pPr>
        <w:pStyle w:val="Caption"/>
        <w:keepNext/>
      </w:pPr>
      <w:bookmarkStart w:id="68" w:name="_heading=h.1mrcu09" w:colFirst="0" w:colLast="0"/>
      <w:bookmarkStart w:id="69" w:name="_Toc133499542"/>
      <w:bookmarkEnd w:id="68"/>
      <w:r w:rsidRPr="008924E0">
        <w:lastRenderedPageBreak/>
        <w:t xml:space="preserve">Tabela </w:t>
      </w:r>
      <w:fldSimple w:instr=" STYLEREF 1 \s ">
        <w:r w:rsidR="004A246B">
          <w:rPr>
            <w:noProof/>
          </w:rPr>
          <w:t>2</w:t>
        </w:r>
      </w:fldSimple>
      <w:r w:rsidR="004A246B">
        <w:t>.</w:t>
      </w:r>
      <w:r w:rsidR="00000000">
        <w:fldChar w:fldCharType="begin"/>
      </w:r>
      <w:r w:rsidR="00000000">
        <w:instrText xml:space="preserve"> SEQ Tabela \* ARABIC \s 1 </w:instrText>
      </w:r>
      <w:r w:rsidR="00000000">
        <w:fldChar w:fldCharType="separate"/>
      </w:r>
      <w:r w:rsidR="004A246B">
        <w:rPr>
          <w:noProof/>
        </w:rPr>
        <w:t>7</w:t>
      </w:r>
      <w:r w:rsidR="00000000">
        <w:rPr>
          <w:noProof/>
        </w:rPr>
        <w:fldChar w:fldCharType="end"/>
      </w:r>
      <w:r w:rsidRPr="008924E0">
        <w:rPr>
          <w:color w:val="000000"/>
        </w:rPr>
        <w:t xml:space="preserve"> Specifična potrebna energije kategorija zgrada u javnom sektoru/indikativni energijski razred, kWh/m</w:t>
      </w:r>
      <w:r w:rsidRPr="008924E0">
        <w:rPr>
          <w:color w:val="000000"/>
          <w:vertAlign w:val="superscript"/>
        </w:rPr>
        <w:t>2</w:t>
      </w:r>
      <w:r w:rsidRPr="008924E0">
        <w:rPr>
          <w:color w:val="000000"/>
        </w:rPr>
        <w:t>god.</w:t>
      </w:r>
      <w:bookmarkEnd w:id="69"/>
    </w:p>
    <w:tbl>
      <w:tblPr>
        <w:tblStyle w:val="19"/>
        <w:tblW w:w="5000" w:type="pct"/>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ook w:val="0400" w:firstRow="0" w:lastRow="0" w:firstColumn="0" w:lastColumn="0" w:noHBand="0" w:noVBand="1"/>
      </w:tblPr>
      <w:tblGrid>
        <w:gridCol w:w="1521"/>
        <w:gridCol w:w="992"/>
        <w:gridCol w:w="1113"/>
        <w:gridCol w:w="989"/>
        <w:gridCol w:w="1025"/>
        <w:gridCol w:w="1025"/>
        <w:gridCol w:w="1309"/>
        <w:gridCol w:w="1053"/>
      </w:tblGrid>
      <w:tr w:rsidR="00055321" w:rsidRPr="008924E0" w14:paraId="0A69CFE6" w14:textId="77777777" w:rsidTr="00771E4B">
        <w:trPr>
          <w:trHeight w:val="420"/>
          <w:jc w:val="center"/>
        </w:trPr>
        <w:tc>
          <w:tcPr>
            <w:tcW w:w="842" w:type="pct"/>
            <w:tcBorders>
              <w:top w:val="nil"/>
              <w:left w:val="nil"/>
              <w:bottom w:val="nil"/>
              <w:right w:val="nil"/>
            </w:tcBorders>
            <w:shd w:val="clear" w:color="auto" w:fill="006432"/>
            <w:vAlign w:val="center"/>
          </w:tcPr>
          <w:p w14:paraId="7D5647F0" w14:textId="77777777" w:rsidR="00055321" w:rsidRPr="008924E0" w:rsidRDefault="00740D4F">
            <w:pPr>
              <w:rPr>
                <w:rFonts w:ascii="Calibri" w:eastAsia="Calibri" w:hAnsi="Calibri" w:cs="Calibri"/>
                <w:b/>
                <w:color w:val="FFFFFF"/>
                <w:lang w:val="bs-Latn-BA"/>
              </w:rPr>
            </w:pPr>
            <w:r w:rsidRPr="008924E0">
              <w:rPr>
                <w:rFonts w:ascii="Calibri" w:eastAsia="Calibri" w:hAnsi="Calibri" w:cs="Calibri"/>
                <w:b/>
                <w:color w:val="FFFFFF"/>
                <w:lang w:val="bs-Latn-BA"/>
              </w:rPr>
              <w:t xml:space="preserve"> Period izgradnje </w:t>
            </w:r>
          </w:p>
        </w:tc>
        <w:tc>
          <w:tcPr>
            <w:tcW w:w="549" w:type="pct"/>
            <w:tcBorders>
              <w:top w:val="nil"/>
              <w:left w:val="nil"/>
              <w:bottom w:val="nil"/>
              <w:right w:val="nil"/>
            </w:tcBorders>
            <w:shd w:val="clear" w:color="auto" w:fill="006432"/>
            <w:vAlign w:val="center"/>
          </w:tcPr>
          <w:p w14:paraId="7212B580" w14:textId="77777777" w:rsidR="00055321" w:rsidRPr="008924E0" w:rsidRDefault="00740D4F">
            <w:pPr>
              <w:rPr>
                <w:rFonts w:ascii="Calibri" w:eastAsia="Calibri" w:hAnsi="Calibri" w:cs="Calibri"/>
                <w:b/>
                <w:color w:val="FFFFFF"/>
                <w:sz w:val="16"/>
                <w:szCs w:val="16"/>
                <w:lang w:val="bs-Latn-BA"/>
              </w:rPr>
            </w:pPr>
            <w:r w:rsidRPr="008924E0">
              <w:rPr>
                <w:b/>
                <w:color w:val="FFFFFF"/>
                <w:sz w:val="16"/>
                <w:szCs w:val="16"/>
                <w:lang w:val="bs-Latn-BA"/>
              </w:rPr>
              <w:t>Obdanište</w:t>
            </w:r>
          </w:p>
        </w:tc>
        <w:tc>
          <w:tcPr>
            <w:tcW w:w="616" w:type="pct"/>
            <w:tcBorders>
              <w:top w:val="nil"/>
              <w:left w:val="nil"/>
              <w:bottom w:val="nil"/>
              <w:right w:val="nil"/>
            </w:tcBorders>
            <w:shd w:val="clear" w:color="auto" w:fill="006432"/>
            <w:vAlign w:val="center"/>
          </w:tcPr>
          <w:p w14:paraId="52C9DE51" w14:textId="77777777" w:rsidR="00055321" w:rsidRPr="008924E0" w:rsidRDefault="00740D4F">
            <w:pPr>
              <w:rPr>
                <w:rFonts w:ascii="Calibri" w:eastAsia="Calibri" w:hAnsi="Calibri" w:cs="Calibri"/>
                <w:b/>
                <w:color w:val="FFFFFF"/>
                <w:sz w:val="16"/>
                <w:szCs w:val="16"/>
                <w:lang w:val="bs-Latn-BA"/>
              </w:rPr>
            </w:pPr>
            <w:r w:rsidRPr="008924E0">
              <w:rPr>
                <w:b/>
                <w:color w:val="FFFFFF"/>
                <w:sz w:val="16"/>
                <w:szCs w:val="16"/>
                <w:lang w:val="bs-Latn-BA"/>
              </w:rPr>
              <w:t>Obrazov.</w:t>
            </w:r>
          </w:p>
        </w:tc>
        <w:tc>
          <w:tcPr>
            <w:tcW w:w="548" w:type="pct"/>
            <w:tcBorders>
              <w:top w:val="nil"/>
              <w:left w:val="nil"/>
              <w:bottom w:val="nil"/>
              <w:right w:val="nil"/>
            </w:tcBorders>
            <w:shd w:val="clear" w:color="auto" w:fill="006432"/>
            <w:vAlign w:val="center"/>
          </w:tcPr>
          <w:p w14:paraId="2562BC25" w14:textId="77777777" w:rsidR="00055321" w:rsidRPr="008924E0" w:rsidRDefault="00740D4F">
            <w:pPr>
              <w:rPr>
                <w:rFonts w:ascii="Calibri" w:eastAsia="Calibri" w:hAnsi="Calibri" w:cs="Calibri"/>
                <w:b/>
                <w:color w:val="FFFFFF"/>
                <w:sz w:val="16"/>
                <w:szCs w:val="16"/>
                <w:lang w:val="bs-Latn-BA"/>
              </w:rPr>
            </w:pPr>
            <w:r w:rsidRPr="008924E0">
              <w:rPr>
                <w:b/>
                <w:color w:val="FFFFFF"/>
                <w:sz w:val="16"/>
                <w:szCs w:val="16"/>
                <w:lang w:val="bs-Latn-BA"/>
              </w:rPr>
              <w:t>Zdravstvo</w:t>
            </w:r>
          </w:p>
        </w:tc>
        <w:tc>
          <w:tcPr>
            <w:tcW w:w="568" w:type="pct"/>
            <w:tcBorders>
              <w:top w:val="nil"/>
              <w:left w:val="nil"/>
              <w:bottom w:val="nil"/>
              <w:right w:val="nil"/>
            </w:tcBorders>
            <w:shd w:val="clear" w:color="auto" w:fill="006432"/>
            <w:vAlign w:val="center"/>
          </w:tcPr>
          <w:p w14:paraId="57D88E70" w14:textId="77777777" w:rsidR="00055321" w:rsidRPr="008924E0" w:rsidRDefault="00740D4F">
            <w:pPr>
              <w:rPr>
                <w:rFonts w:ascii="Calibri" w:eastAsia="Calibri" w:hAnsi="Calibri" w:cs="Calibri"/>
                <w:b/>
                <w:color w:val="FFFFFF"/>
                <w:sz w:val="16"/>
                <w:szCs w:val="16"/>
                <w:lang w:val="bs-Latn-BA"/>
              </w:rPr>
            </w:pPr>
            <w:r w:rsidRPr="008924E0">
              <w:rPr>
                <w:b/>
                <w:color w:val="FFFFFF"/>
                <w:sz w:val="16"/>
                <w:szCs w:val="16"/>
                <w:lang w:val="bs-Latn-BA"/>
              </w:rPr>
              <w:t>Sport</w:t>
            </w:r>
          </w:p>
        </w:tc>
        <w:tc>
          <w:tcPr>
            <w:tcW w:w="568" w:type="pct"/>
            <w:tcBorders>
              <w:top w:val="nil"/>
              <w:left w:val="nil"/>
              <w:bottom w:val="nil"/>
              <w:right w:val="nil"/>
            </w:tcBorders>
            <w:shd w:val="clear" w:color="auto" w:fill="006432"/>
            <w:vAlign w:val="center"/>
          </w:tcPr>
          <w:p w14:paraId="29DD44F7" w14:textId="77777777" w:rsidR="00055321" w:rsidRPr="008924E0" w:rsidRDefault="00740D4F">
            <w:pPr>
              <w:rPr>
                <w:rFonts w:ascii="Calibri" w:eastAsia="Calibri" w:hAnsi="Calibri" w:cs="Calibri"/>
                <w:b/>
                <w:color w:val="FFFFFF"/>
                <w:sz w:val="16"/>
                <w:szCs w:val="16"/>
                <w:lang w:val="bs-Latn-BA"/>
              </w:rPr>
            </w:pPr>
            <w:r w:rsidRPr="008924E0">
              <w:rPr>
                <w:b/>
                <w:color w:val="FFFFFF"/>
                <w:sz w:val="16"/>
                <w:szCs w:val="16"/>
                <w:lang w:val="bs-Latn-BA"/>
              </w:rPr>
              <w:t>Kultura</w:t>
            </w:r>
          </w:p>
        </w:tc>
        <w:tc>
          <w:tcPr>
            <w:tcW w:w="725" w:type="pct"/>
            <w:tcBorders>
              <w:top w:val="nil"/>
              <w:left w:val="nil"/>
              <w:bottom w:val="nil"/>
              <w:right w:val="nil"/>
            </w:tcBorders>
            <w:shd w:val="clear" w:color="auto" w:fill="006432"/>
            <w:vAlign w:val="center"/>
          </w:tcPr>
          <w:p w14:paraId="28AB8F40" w14:textId="77777777" w:rsidR="00055321" w:rsidRPr="008924E0" w:rsidRDefault="00740D4F">
            <w:pPr>
              <w:rPr>
                <w:rFonts w:ascii="Calibri" w:eastAsia="Calibri" w:hAnsi="Calibri" w:cs="Calibri"/>
                <w:b/>
                <w:color w:val="FFFFFF"/>
                <w:sz w:val="16"/>
                <w:szCs w:val="16"/>
                <w:lang w:val="bs-Latn-BA"/>
              </w:rPr>
            </w:pPr>
            <w:r w:rsidRPr="008924E0">
              <w:rPr>
                <w:b/>
                <w:color w:val="FFFFFF"/>
                <w:sz w:val="16"/>
                <w:szCs w:val="16"/>
                <w:lang w:val="bs-Latn-BA"/>
              </w:rPr>
              <w:t>Administrat.</w:t>
            </w:r>
          </w:p>
        </w:tc>
        <w:tc>
          <w:tcPr>
            <w:tcW w:w="583" w:type="pct"/>
            <w:tcBorders>
              <w:top w:val="nil"/>
              <w:left w:val="nil"/>
              <w:bottom w:val="nil"/>
              <w:right w:val="nil"/>
            </w:tcBorders>
            <w:shd w:val="clear" w:color="auto" w:fill="006432"/>
            <w:vAlign w:val="center"/>
          </w:tcPr>
          <w:p w14:paraId="58A343B8" w14:textId="77777777" w:rsidR="00055321" w:rsidRPr="008924E0" w:rsidRDefault="00740D4F">
            <w:pPr>
              <w:rPr>
                <w:rFonts w:ascii="Calibri" w:eastAsia="Calibri" w:hAnsi="Calibri" w:cs="Calibri"/>
                <w:b/>
                <w:color w:val="FFFFFF"/>
                <w:sz w:val="16"/>
                <w:szCs w:val="16"/>
                <w:lang w:val="bs-Latn-BA"/>
              </w:rPr>
            </w:pPr>
            <w:r w:rsidRPr="008924E0">
              <w:rPr>
                <w:b/>
                <w:color w:val="FFFFFF"/>
                <w:sz w:val="16"/>
                <w:szCs w:val="16"/>
                <w:lang w:val="bs-Latn-BA"/>
              </w:rPr>
              <w:t>Cjelodnevni bor.</w:t>
            </w:r>
          </w:p>
        </w:tc>
      </w:tr>
      <w:tr w:rsidR="00055321" w:rsidRPr="008924E0" w14:paraId="07AAFA9F" w14:textId="77777777" w:rsidTr="00771E4B">
        <w:trPr>
          <w:trHeight w:val="432"/>
          <w:jc w:val="center"/>
        </w:trPr>
        <w:tc>
          <w:tcPr>
            <w:tcW w:w="842" w:type="pct"/>
            <w:tcBorders>
              <w:top w:val="single" w:sz="12" w:space="0" w:color="FFFFFF"/>
              <w:left w:val="nil"/>
              <w:bottom w:val="single" w:sz="12" w:space="0" w:color="FFFFFF"/>
              <w:right w:val="single" w:sz="12" w:space="0" w:color="FFFFFF"/>
            </w:tcBorders>
            <w:shd w:val="clear" w:color="auto" w:fill="E9E9E9"/>
            <w:vAlign w:val="center"/>
          </w:tcPr>
          <w:p w14:paraId="18596D2B" w14:textId="653D8BB8" w:rsidR="00055321" w:rsidRPr="008924E0" w:rsidRDefault="00740D4F">
            <w:pPr>
              <w:rPr>
                <w:rFonts w:ascii="Calibri" w:eastAsia="Calibri" w:hAnsi="Calibri" w:cs="Calibri"/>
                <w:b/>
                <w:lang w:val="bs-Latn-BA"/>
              </w:rPr>
            </w:pPr>
            <w:r w:rsidRPr="008924E0">
              <w:rPr>
                <w:rFonts w:ascii="Calibri" w:eastAsia="Calibri" w:hAnsi="Calibri" w:cs="Calibri"/>
                <w:b/>
                <w:lang w:val="bs-Latn-BA"/>
              </w:rPr>
              <w:t>do 1945</w:t>
            </w:r>
            <w:r w:rsidR="00FC223E" w:rsidRPr="008924E0">
              <w:rPr>
                <w:rFonts w:ascii="Calibri" w:eastAsia="Calibri" w:hAnsi="Calibri" w:cs="Calibri"/>
                <w:b/>
                <w:lang w:val="bs-Latn-BA"/>
              </w:rPr>
              <w:t>.</w:t>
            </w:r>
          </w:p>
        </w:tc>
        <w:tc>
          <w:tcPr>
            <w:tcW w:w="549" w:type="pct"/>
            <w:tcBorders>
              <w:top w:val="single" w:sz="12" w:space="0" w:color="FFFFFF"/>
              <w:left w:val="nil"/>
              <w:bottom w:val="single" w:sz="12" w:space="0" w:color="FFFFFF"/>
              <w:right w:val="single" w:sz="12" w:space="0" w:color="FFFFFF"/>
            </w:tcBorders>
            <w:shd w:val="clear" w:color="auto" w:fill="63BE7B"/>
            <w:vAlign w:val="center"/>
          </w:tcPr>
          <w:p w14:paraId="39BDD074"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 </w:t>
            </w:r>
          </w:p>
        </w:tc>
        <w:tc>
          <w:tcPr>
            <w:tcW w:w="616" w:type="pct"/>
            <w:tcBorders>
              <w:top w:val="single" w:sz="12" w:space="0" w:color="FFFFFF"/>
              <w:left w:val="nil"/>
              <w:bottom w:val="single" w:sz="12" w:space="0" w:color="FFFFFF"/>
              <w:right w:val="single" w:sz="12" w:space="0" w:color="FFFFFF"/>
            </w:tcBorders>
            <w:shd w:val="clear" w:color="auto" w:fill="FFE283"/>
            <w:vAlign w:val="center"/>
          </w:tcPr>
          <w:p w14:paraId="41F2D712"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160/G</w:t>
            </w:r>
          </w:p>
        </w:tc>
        <w:tc>
          <w:tcPr>
            <w:tcW w:w="548" w:type="pct"/>
            <w:tcBorders>
              <w:top w:val="single" w:sz="12" w:space="0" w:color="FFFFFF"/>
              <w:left w:val="nil"/>
              <w:bottom w:val="single" w:sz="12" w:space="0" w:color="FFFFFF"/>
              <w:right w:val="single" w:sz="12" w:space="0" w:color="FFFFFF"/>
            </w:tcBorders>
            <w:shd w:val="clear" w:color="auto" w:fill="8BC97D"/>
            <w:vAlign w:val="center"/>
          </w:tcPr>
          <w:p w14:paraId="1C319AB8"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172/E</w:t>
            </w:r>
          </w:p>
        </w:tc>
        <w:tc>
          <w:tcPr>
            <w:tcW w:w="568" w:type="pct"/>
            <w:tcBorders>
              <w:top w:val="single" w:sz="12" w:space="0" w:color="FFFFFF"/>
              <w:left w:val="nil"/>
              <w:bottom w:val="single" w:sz="12" w:space="0" w:color="FFFFFF"/>
              <w:right w:val="single" w:sz="12" w:space="0" w:color="FFFFFF"/>
            </w:tcBorders>
            <w:shd w:val="clear" w:color="auto" w:fill="63BE7B"/>
            <w:vAlign w:val="center"/>
          </w:tcPr>
          <w:p w14:paraId="36093BC4"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 </w:t>
            </w:r>
          </w:p>
        </w:tc>
        <w:tc>
          <w:tcPr>
            <w:tcW w:w="568" w:type="pct"/>
            <w:tcBorders>
              <w:top w:val="single" w:sz="12" w:space="0" w:color="FFFFFF"/>
              <w:left w:val="nil"/>
              <w:bottom w:val="single" w:sz="12" w:space="0" w:color="FFFFFF"/>
              <w:right w:val="single" w:sz="12" w:space="0" w:color="FFFFFF"/>
            </w:tcBorders>
            <w:shd w:val="clear" w:color="auto" w:fill="DAE081"/>
            <w:vAlign w:val="center"/>
          </w:tcPr>
          <w:p w14:paraId="1B46AD84"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231/G</w:t>
            </w:r>
          </w:p>
        </w:tc>
        <w:tc>
          <w:tcPr>
            <w:tcW w:w="725" w:type="pct"/>
            <w:tcBorders>
              <w:top w:val="single" w:sz="12" w:space="0" w:color="FFFFFF"/>
              <w:left w:val="nil"/>
              <w:bottom w:val="single" w:sz="12" w:space="0" w:color="FFFFFF"/>
              <w:right w:val="single" w:sz="12" w:space="0" w:color="FFFFFF"/>
            </w:tcBorders>
            <w:shd w:val="clear" w:color="auto" w:fill="FFDB81"/>
            <w:vAlign w:val="center"/>
          </w:tcPr>
          <w:p w14:paraId="017B563B"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163/G</w:t>
            </w:r>
          </w:p>
        </w:tc>
        <w:tc>
          <w:tcPr>
            <w:tcW w:w="583" w:type="pct"/>
            <w:tcBorders>
              <w:top w:val="single" w:sz="12" w:space="0" w:color="FFFFFF"/>
              <w:left w:val="nil"/>
              <w:bottom w:val="single" w:sz="12" w:space="0" w:color="FFFFFF"/>
              <w:right w:val="nil"/>
            </w:tcBorders>
            <w:shd w:val="clear" w:color="auto" w:fill="63BE7B"/>
            <w:vAlign w:val="center"/>
          </w:tcPr>
          <w:p w14:paraId="73A7CE87"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 </w:t>
            </w:r>
          </w:p>
        </w:tc>
      </w:tr>
      <w:tr w:rsidR="00055321" w:rsidRPr="008924E0" w14:paraId="25CC1387" w14:textId="77777777" w:rsidTr="00771E4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455D623B" w14:textId="6478FD86" w:rsidR="00055321" w:rsidRPr="008924E0" w:rsidRDefault="00740D4F">
            <w:pPr>
              <w:rPr>
                <w:rFonts w:ascii="Calibri" w:eastAsia="Calibri" w:hAnsi="Calibri" w:cs="Calibri"/>
                <w:b/>
                <w:lang w:val="bs-Latn-BA"/>
              </w:rPr>
            </w:pPr>
            <w:r w:rsidRPr="008924E0">
              <w:rPr>
                <w:rFonts w:ascii="Calibri" w:eastAsia="Calibri" w:hAnsi="Calibri" w:cs="Calibri"/>
                <w:b/>
                <w:lang w:val="bs-Latn-BA"/>
              </w:rPr>
              <w:t>1946</w:t>
            </w:r>
            <w:r w:rsidR="00274A18" w:rsidRPr="008924E0">
              <w:rPr>
                <w:rFonts w:ascii="Calibri" w:eastAsia="Calibri" w:hAnsi="Calibri" w:cs="Calibri"/>
                <w:b/>
                <w:lang w:val="bs-Latn-BA"/>
              </w:rPr>
              <w:t>.</w:t>
            </w:r>
            <w:r w:rsidRPr="008924E0">
              <w:rPr>
                <w:rFonts w:ascii="Calibri" w:eastAsia="Calibri" w:hAnsi="Calibri" w:cs="Calibri"/>
                <w:b/>
                <w:lang w:val="bs-Latn-BA"/>
              </w:rPr>
              <w:t>-1965</w:t>
            </w:r>
            <w:r w:rsidR="00FC223E" w:rsidRPr="008924E0">
              <w:rPr>
                <w:rFonts w:ascii="Calibri" w:eastAsia="Calibri" w:hAnsi="Calibri" w:cs="Calibri"/>
                <w:b/>
                <w:lang w:val="bs-Latn-BA"/>
              </w:rPr>
              <w:t>.</w:t>
            </w:r>
          </w:p>
        </w:tc>
        <w:tc>
          <w:tcPr>
            <w:tcW w:w="549" w:type="pct"/>
            <w:tcBorders>
              <w:top w:val="nil"/>
              <w:left w:val="nil"/>
              <w:bottom w:val="single" w:sz="12" w:space="0" w:color="FFFFFF"/>
              <w:right w:val="single" w:sz="12" w:space="0" w:color="FFFFFF"/>
            </w:tcBorders>
            <w:shd w:val="clear" w:color="auto" w:fill="73C27B"/>
            <w:vAlign w:val="center"/>
          </w:tcPr>
          <w:p w14:paraId="2A8E3B51"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255/G</w:t>
            </w:r>
          </w:p>
        </w:tc>
        <w:tc>
          <w:tcPr>
            <w:tcW w:w="616" w:type="pct"/>
            <w:tcBorders>
              <w:top w:val="nil"/>
              <w:left w:val="nil"/>
              <w:bottom w:val="single" w:sz="12" w:space="0" w:color="FFFFFF"/>
              <w:right w:val="single" w:sz="12" w:space="0" w:color="FFFFFF"/>
            </w:tcBorders>
            <w:shd w:val="clear" w:color="auto" w:fill="FA8270"/>
            <w:vAlign w:val="center"/>
          </w:tcPr>
          <w:p w14:paraId="2D8649A6"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183/G</w:t>
            </w:r>
          </w:p>
        </w:tc>
        <w:tc>
          <w:tcPr>
            <w:tcW w:w="548" w:type="pct"/>
            <w:tcBorders>
              <w:top w:val="nil"/>
              <w:left w:val="nil"/>
              <w:bottom w:val="single" w:sz="12" w:space="0" w:color="FFFFFF"/>
              <w:right w:val="single" w:sz="12" w:space="0" w:color="FFFFFF"/>
            </w:tcBorders>
            <w:shd w:val="clear" w:color="auto" w:fill="FFE383"/>
            <w:vAlign w:val="center"/>
          </w:tcPr>
          <w:p w14:paraId="13C43A20"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188/E</w:t>
            </w:r>
          </w:p>
        </w:tc>
        <w:tc>
          <w:tcPr>
            <w:tcW w:w="568" w:type="pct"/>
            <w:tcBorders>
              <w:top w:val="nil"/>
              <w:left w:val="nil"/>
              <w:bottom w:val="single" w:sz="12" w:space="0" w:color="FFFFFF"/>
              <w:right w:val="single" w:sz="12" w:space="0" w:color="FFFFFF"/>
            </w:tcBorders>
            <w:shd w:val="clear" w:color="auto" w:fill="FFE483"/>
            <w:vAlign w:val="center"/>
          </w:tcPr>
          <w:p w14:paraId="69F6A8C7"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356/D</w:t>
            </w:r>
          </w:p>
        </w:tc>
        <w:tc>
          <w:tcPr>
            <w:tcW w:w="568" w:type="pct"/>
            <w:tcBorders>
              <w:top w:val="nil"/>
              <w:left w:val="nil"/>
              <w:bottom w:val="single" w:sz="12" w:space="0" w:color="FFFFFF"/>
              <w:right w:val="single" w:sz="12" w:space="0" w:color="FFFFFF"/>
            </w:tcBorders>
            <w:shd w:val="clear" w:color="auto" w:fill="FFE082"/>
            <w:vAlign w:val="center"/>
          </w:tcPr>
          <w:p w14:paraId="36B5BB40"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251/G</w:t>
            </w:r>
          </w:p>
        </w:tc>
        <w:tc>
          <w:tcPr>
            <w:tcW w:w="725" w:type="pct"/>
            <w:tcBorders>
              <w:top w:val="nil"/>
              <w:left w:val="nil"/>
              <w:bottom w:val="single" w:sz="12" w:space="0" w:color="FFFFFF"/>
              <w:right w:val="single" w:sz="12" w:space="0" w:color="FFFFFF"/>
            </w:tcBorders>
            <w:shd w:val="clear" w:color="auto" w:fill="FCA477"/>
            <w:vAlign w:val="center"/>
          </w:tcPr>
          <w:p w14:paraId="74DD61BC"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180/G</w:t>
            </w:r>
          </w:p>
        </w:tc>
        <w:tc>
          <w:tcPr>
            <w:tcW w:w="583" w:type="pct"/>
            <w:tcBorders>
              <w:top w:val="nil"/>
              <w:left w:val="nil"/>
              <w:bottom w:val="single" w:sz="12" w:space="0" w:color="FFFFFF"/>
              <w:right w:val="nil"/>
            </w:tcBorders>
            <w:shd w:val="clear" w:color="auto" w:fill="FFDC81"/>
            <w:vAlign w:val="center"/>
          </w:tcPr>
          <w:p w14:paraId="6BFB612E"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176/G</w:t>
            </w:r>
          </w:p>
        </w:tc>
      </w:tr>
      <w:tr w:rsidR="00055321" w:rsidRPr="008924E0" w14:paraId="658C323B" w14:textId="77777777" w:rsidTr="00771E4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2115F896" w14:textId="10A2F113" w:rsidR="00055321" w:rsidRPr="008924E0" w:rsidRDefault="00740D4F">
            <w:pPr>
              <w:rPr>
                <w:rFonts w:ascii="Calibri" w:eastAsia="Calibri" w:hAnsi="Calibri" w:cs="Calibri"/>
                <w:b/>
                <w:lang w:val="bs-Latn-BA"/>
              </w:rPr>
            </w:pPr>
            <w:r w:rsidRPr="008924E0">
              <w:rPr>
                <w:rFonts w:ascii="Calibri" w:eastAsia="Calibri" w:hAnsi="Calibri" w:cs="Calibri"/>
                <w:b/>
                <w:lang w:val="bs-Latn-BA"/>
              </w:rPr>
              <w:t>1966</w:t>
            </w:r>
            <w:r w:rsidR="00274A18" w:rsidRPr="008924E0">
              <w:rPr>
                <w:rFonts w:ascii="Calibri" w:eastAsia="Calibri" w:hAnsi="Calibri" w:cs="Calibri"/>
                <w:b/>
                <w:lang w:val="bs-Latn-BA"/>
              </w:rPr>
              <w:t>.</w:t>
            </w:r>
            <w:r w:rsidRPr="008924E0">
              <w:rPr>
                <w:rFonts w:ascii="Calibri" w:eastAsia="Calibri" w:hAnsi="Calibri" w:cs="Calibri"/>
                <w:b/>
                <w:lang w:val="bs-Latn-BA"/>
              </w:rPr>
              <w:t>-1973</w:t>
            </w:r>
            <w:r w:rsidR="00FC223E" w:rsidRPr="008924E0">
              <w:rPr>
                <w:rFonts w:ascii="Calibri" w:eastAsia="Calibri" w:hAnsi="Calibri" w:cs="Calibri"/>
                <w:b/>
                <w:lang w:val="bs-Latn-BA"/>
              </w:rPr>
              <w:t>.</w:t>
            </w:r>
          </w:p>
        </w:tc>
        <w:tc>
          <w:tcPr>
            <w:tcW w:w="549" w:type="pct"/>
            <w:tcBorders>
              <w:top w:val="nil"/>
              <w:left w:val="nil"/>
              <w:bottom w:val="single" w:sz="12" w:space="0" w:color="FFFFFF"/>
              <w:right w:val="single" w:sz="12" w:space="0" w:color="FFFFFF"/>
            </w:tcBorders>
            <w:shd w:val="clear" w:color="auto" w:fill="9FCF7E"/>
            <w:vAlign w:val="center"/>
          </w:tcPr>
          <w:p w14:paraId="62EE6476"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219/G</w:t>
            </w:r>
          </w:p>
        </w:tc>
        <w:tc>
          <w:tcPr>
            <w:tcW w:w="616" w:type="pct"/>
            <w:tcBorders>
              <w:top w:val="nil"/>
              <w:left w:val="nil"/>
              <w:bottom w:val="single" w:sz="12" w:space="0" w:color="FFFFFF"/>
              <w:right w:val="single" w:sz="12" w:space="0" w:color="FFFFFF"/>
            </w:tcBorders>
            <w:shd w:val="clear" w:color="auto" w:fill="FBA076"/>
            <w:vAlign w:val="center"/>
          </w:tcPr>
          <w:p w14:paraId="6E90F821"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181/G</w:t>
            </w:r>
          </w:p>
        </w:tc>
        <w:tc>
          <w:tcPr>
            <w:tcW w:w="548" w:type="pct"/>
            <w:tcBorders>
              <w:top w:val="nil"/>
              <w:left w:val="nil"/>
              <w:bottom w:val="single" w:sz="12" w:space="0" w:color="FFFFFF"/>
              <w:right w:val="single" w:sz="12" w:space="0" w:color="FFFFFF"/>
            </w:tcBorders>
            <w:shd w:val="clear" w:color="auto" w:fill="F8E983"/>
            <w:vAlign w:val="center"/>
          </w:tcPr>
          <w:p w14:paraId="4A8BEE18"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183/E</w:t>
            </w:r>
          </w:p>
        </w:tc>
        <w:tc>
          <w:tcPr>
            <w:tcW w:w="568" w:type="pct"/>
            <w:tcBorders>
              <w:top w:val="nil"/>
              <w:left w:val="nil"/>
              <w:bottom w:val="single" w:sz="12" w:space="0" w:color="FFFFFF"/>
              <w:right w:val="single" w:sz="12" w:space="0" w:color="FFFFFF"/>
            </w:tcBorders>
            <w:shd w:val="clear" w:color="auto" w:fill="FFEA84"/>
            <w:vAlign w:val="center"/>
          </w:tcPr>
          <w:p w14:paraId="7539DBF8"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318/D</w:t>
            </w:r>
          </w:p>
        </w:tc>
        <w:tc>
          <w:tcPr>
            <w:tcW w:w="568" w:type="pct"/>
            <w:tcBorders>
              <w:top w:val="nil"/>
              <w:left w:val="nil"/>
              <w:bottom w:val="single" w:sz="12" w:space="0" w:color="FFFFFF"/>
              <w:right w:val="single" w:sz="12" w:space="0" w:color="FFFFFF"/>
            </w:tcBorders>
            <w:shd w:val="clear" w:color="auto" w:fill="98CD7E"/>
            <w:vAlign w:val="center"/>
          </w:tcPr>
          <w:p w14:paraId="47B89D59"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242/G</w:t>
            </w:r>
          </w:p>
        </w:tc>
        <w:tc>
          <w:tcPr>
            <w:tcW w:w="725" w:type="pct"/>
            <w:tcBorders>
              <w:top w:val="nil"/>
              <w:left w:val="nil"/>
              <w:bottom w:val="single" w:sz="12" w:space="0" w:color="FFFFFF"/>
              <w:right w:val="single" w:sz="12" w:space="0" w:color="FFFFFF"/>
            </w:tcBorders>
            <w:shd w:val="clear" w:color="auto" w:fill="FFDB81"/>
            <w:vAlign w:val="center"/>
          </w:tcPr>
          <w:p w14:paraId="10793AAC"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166/G</w:t>
            </w:r>
          </w:p>
        </w:tc>
        <w:tc>
          <w:tcPr>
            <w:tcW w:w="583" w:type="pct"/>
            <w:tcBorders>
              <w:top w:val="nil"/>
              <w:left w:val="nil"/>
              <w:bottom w:val="single" w:sz="12" w:space="0" w:color="FFFFFF"/>
              <w:right w:val="nil"/>
            </w:tcBorders>
            <w:shd w:val="clear" w:color="auto" w:fill="FFE884"/>
            <w:vAlign w:val="center"/>
          </w:tcPr>
          <w:p w14:paraId="15CC9C13"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160/G</w:t>
            </w:r>
          </w:p>
        </w:tc>
      </w:tr>
      <w:tr w:rsidR="00055321" w:rsidRPr="008924E0" w14:paraId="5692F50E" w14:textId="77777777" w:rsidTr="00771E4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4E6FFD84" w14:textId="56070EE3" w:rsidR="00055321" w:rsidRPr="008924E0" w:rsidRDefault="00740D4F">
            <w:pPr>
              <w:rPr>
                <w:rFonts w:ascii="Calibri" w:eastAsia="Calibri" w:hAnsi="Calibri" w:cs="Calibri"/>
                <w:b/>
                <w:lang w:val="bs-Latn-BA"/>
              </w:rPr>
            </w:pPr>
            <w:r w:rsidRPr="008924E0">
              <w:rPr>
                <w:rFonts w:ascii="Calibri" w:eastAsia="Calibri" w:hAnsi="Calibri" w:cs="Calibri"/>
                <w:b/>
                <w:lang w:val="bs-Latn-BA"/>
              </w:rPr>
              <w:t>1974</w:t>
            </w:r>
            <w:r w:rsidR="00274A18" w:rsidRPr="008924E0">
              <w:rPr>
                <w:rFonts w:ascii="Calibri" w:eastAsia="Calibri" w:hAnsi="Calibri" w:cs="Calibri"/>
                <w:b/>
                <w:lang w:val="bs-Latn-BA"/>
              </w:rPr>
              <w:t>.</w:t>
            </w:r>
            <w:r w:rsidRPr="008924E0">
              <w:rPr>
                <w:rFonts w:ascii="Calibri" w:eastAsia="Calibri" w:hAnsi="Calibri" w:cs="Calibri"/>
                <w:b/>
                <w:lang w:val="bs-Latn-BA"/>
              </w:rPr>
              <w:t>-1987</w:t>
            </w:r>
            <w:r w:rsidR="00FC223E" w:rsidRPr="008924E0">
              <w:rPr>
                <w:rFonts w:ascii="Calibri" w:eastAsia="Calibri" w:hAnsi="Calibri" w:cs="Calibri"/>
                <w:b/>
                <w:lang w:val="bs-Latn-BA"/>
              </w:rPr>
              <w:t>.</w:t>
            </w:r>
          </w:p>
        </w:tc>
        <w:tc>
          <w:tcPr>
            <w:tcW w:w="549" w:type="pct"/>
            <w:tcBorders>
              <w:top w:val="nil"/>
              <w:left w:val="nil"/>
              <w:bottom w:val="single" w:sz="12" w:space="0" w:color="FFFFFF"/>
              <w:right w:val="single" w:sz="12" w:space="0" w:color="FFFFFF"/>
            </w:tcBorders>
            <w:shd w:val="clear" w:color="auto" w:fill="FFEB84"/>
            <w:vAlign w:val="center"/>
          </w:tcPr>
          <w:p w14:paraId="395D8300"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249/G</w:t>
            </w:r>
          </w:p>
        </w:tc>
        <w:tc>
          <w:tcPr>
            <w:tcW w:w="616" w:type="pct"/>
            <w:tcBorders>
              <w:top w:val="nil"/>
              <w:left w:val="nil"/>
              <w:bottom w:val="single" w:sz="12" w:space="0" w:color="FFFFFF"/>
              <w:right w:val="single" w:sz="12" w:space="0" w:color="FFFFFF"/>
            </w:tcBorders>
            <w:shd w:val="clear" w:color="auto" w:fill="F8696B"/>
            <w:vAlign w:val="center"/>
          </w:tcPr>
          <w:p w14:paraId="53776CDE"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180/G</w:t>
            </w:r>
          </w:p>
        </w:tc>
        <w:tc>
          <w:tcPr>
            <w:tcW w:w="548" w:type="pct"/>
            <w:tcBorders>
              <w:top w:val="nil"/>
              <w:left w:val="nil"/>
              <w:bottom w:val="single" w:sz="12" w:space="0" w:color="FFFFFF"/>
              <w:right w:val="single" w:sz="12" w:space="0" w:color="FFFFFF"/>
            </w:tcBorders>
            <w:shd w:val="clear" w:color="auto" w:fill="FB9C75"/>
            <w:vAlign w:val="center"/>
          </w:tcPr>
          <w:p w14:paraId="279860A2"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195/F</w:t>
            </w:r>
          </w:p>
        </w:tc>
        <w:tc>
          <w:tcPr>
            <w:tcW w:w="568" w:type="pct"/>
            <w:tcBorders>
              <w:top w:val="nil"/>
              <w:left w:val="nil"/>
              <w:bottom w:val="single" w:sz="12" w:space="0" w:color="FFFFFF"/>
              <w:right w:val="single" w:sz="12" w:space="0" w:color="FFFFFF"/>
            </w:tcBorders>
            <w:shd w:val="clear" w:color="auto" w:fill="FECF7F"/>
            <w:vAlign w:val="center"/>
          </w:tcPr>
          <w:p w14:paraId="1BBFF47B"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277/D</w:t>
            </w:r>
          </w:p>
        </w:tc>
        <w:tc>
          <w:tcPr>
            <w:tcW w:w="568" w:type="pct"/>
            <w:tcBorders>
              <w:top w:val="nil"/>
              <w:left w:val="nil"/>
              <w:bottom w:val="single" w:sz="12" w:space="0" w:color="FFFFFF"/>
              <w:right w:val="single" w:sz="12" w:space="0" w:color="FFFFFF"/>
            </w:tcBorders>
            <w:shd w:val="clear" w:color="auto" w:fill="FED17F"/>
            <w:vAlign w:val="center"/>
          </w:tcPr>
          <w:p w14:paraId="2E12CD0E"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246/G</w:t>
            </w:r>
          </w:p>
        </w:tc>
        <w:tc>
          <w:tcPr>
            <w:tcW w:w="725" w:type="pct"/>
            <w:tcBorders>
              <w:top w:val="nil"/>
              <w:left w:val="nil"/>
              <w:bottom w:val="single" w:sz="12" w:space="0" w:color="FFFFFF"/>
              <w:right w:val="single" w:sz="12" w:space="0" w:color="FFFFFF"/>
            </w:tcBorders>
            <w:shd w:val="clear" w:color="auto" w:fill="FA8D72"/>
            <w:vAlign w:val="center"/>
          </w:tcPr>
          <w:p w14:paraId="225158AC"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173/G</w:t>
            </w:r>
          </w:p>
        </w:tc>
        <w:tc>
          <w:tcPr>
            <w:tcW w:w="583" w:type="pct"/>
            <w:tcBorders>
              <w:top w:val="nil"/>
              <w:left w:val="nil"/>
              <w:bottom w:val="single" w:sz="12" w:space="0" w:color="FFFFFF"/>
              <w:right w:val="nil"/>
            </w:tcBorders>
            <w:shd w:val="clear" w:color="auto" w:fill="FB9B75"/>
            <w:vAlign w:val="center"/>
          </w:tcPr>
          <w:p w14:paraId="25C37602"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186/G</w:t>
            </w:r>
          </w:p>
        </w:tc>
      </w:tr>
      <w:tr w:rsidR="00055321" w:rsidRPr="008924E0" w14:paraId="704493F8" w14:textId="77777777" w:rsidTr="00771E4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5ECFFB1E" w14:textId="67D30203" w:rsidR="00055321" w:rsidRPr="008924E0" w:rsidRDefault="00740D4F">
            <w:pPr>
              <w:rPr>
                <w:rFonts w:ascii="Calibri" w:eastAsia="Calibri" w:hAnsi="Calibri" w:cs="Calibri"/>
                <w:b/>
                <w:lang w:val="bs-Latn-BA"/>
              </w:rPr>
            </w:pPr>
            <w:r w:rsidRPr="008924E0">
              <w:rPr>
                <w:rFonts w:ascii="Calibri" w:eastAsia="Calibri" w:hAnsi="Calibri" w:cs="Calibri"/>
                <w:b/>
                <w:lang w:val="bs-Latn-BA"/>
              </w:rPr>
              <w:t>1988</w:t>
            </w:r>
            <w:r w:rsidR="00274A18" w:rsidRPr="008924E0">
              <w:rPr>
                <w:rFonts w:ascii="Calibri" w:eastAsia="Calibri" w:hAnsi="Calibri" w:cs="Calibri"/>
                <w:b/>
                <w:lang w:val="bs-Latn-BA"/>
              </w:rPr>
              <w:t>.</w:t>
            </w:r>
            <w:r w:rsidRPr="008924E0">
              <w:rPr>
                <w:rFonts w:ascii="Calibri" w:eastAsia="Calibri" w:hAnsi="Calibri" w:cs="Calibri"/>
                <w:b/>
                <w:lang w:val="bs-Latn-BA"/>
              </w:rPr>
              <w:t>-2009</w:t>
            </w:r>
            <w:r w:rsidR="00FC223E" w:rsidRPr="008924E0">
              <w:rPr>
                <w:rFonts w:ascii="Calibri" w:eastAsia="Calibri" w:hAnsi="Calibri" w:cs="Calibri"/>
                <w:b/>
                <w:lang w:val="bs-Latn-BA"/>
              </w:rPr>
              <w:t>.</w:t>
            </w:r>
          </w:p>
        </w:tc>
        <w:tc>
          <w:tcPr>
            <w:tcW w:w="549" w:type="pct"/>
            <w:tcBorders>
              <w:top w:val="nil"/>
              <w:left w:val="nil"/>
              <w:bottom w:val="single" w:sz="12" w:space="0" w:color="FFFFFF"/>
              <w:right w:val="single" w:sz="12" w:space="0" w:color="FFFFFF"/>
            </w:tcBorders>
            <w:shd w:val="clear" w:color="auto" w:fill="7CC57C"/>
            <w:vAlign w:val="center"/>
          </w:tcPr>
          <w:p w14:paraId="6BE1905A"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163/G</w:t>
            </w:r>
          </w:p>
        </w:tc>
        <w:tc>
          <w:tcPr>
            <w:tcW w:w="616" w:type="pct"/>
            <w:tcBorders>
              <w:top w:val="nil"/>
              <w:left w:val="nil"/>
              <w:bottom w:val="single" w:sz="12" w:space="0" w:color="FFFFFF"/>
              <w:right w:val="single" w:sz="12" w:space="0" w:color="FFFFFF"/>
            </w:tcBorders>
            <w:shd w:val="clear" w:color="auto" w:fill="FED480"/>
            <w:vAlign w:val="center"/>
          </w:tcPr>
          <w:p w14:paraId="476BC076"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134/F</w:t>
            </w:r>
          </w:p>
        </w:tc>
        <w:tc>
          <w:tcPr>
            <w:tcW w:w="548" w:type="pct"/>
            <w:tcBorders>
              <w:top w:val="nil"/>
              <w:left w:val="nil"/>
              <w:bottom w:val="single" w:sz="12" w:space="0" w:color="FFFFFF"/>
              <w:right w:val="single" w:sz="12" w:space="0" w:color="FFFFFF"/>
            </w:tcBorders>
            <w:shd w:val="clear" w:color="auto" w:fill="FFE683"/>
            <w:vAlign w:val="center"/>
          </w:tcPr>
          <w:p w14:paraId="0BC33AC6"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165/E</w:t>
            </w:r>
          </w:p>
        </w:tc>
        <w:tc>
          <w:tcPr>
            <w:tcW w:w="568" w:type="pct"/>
            <w:tcBorders>
              <w:top w:val="nil"/>
              <w:left w:val="nil"/>
              <w:bottom w:val="single" w:sz="12" w:space="0" w:color="FFFFFF"/>
              <w:right w:val="single" w:sz="12" w:space="0" w:color="FFFFFF"/>
            </w:tcBorders>
            <w:shd w:val="clear" w:color="auto" w:fill="FFE684"/>
            <w:vAlign w:val="center"/>
          </w:tcPr>
          <w:p w14:paraId="5BB2717B"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258/C</w:t>
            </w:r>
          </w:p>
        </w:tc>
        <w:tc>
          <w:tcPr>
            <w:tcW w:w="568" w:type="pct"/>
            <w:tcBorders>
              <w:top w:val="nil"/>
              <w:left w:val="nil"/>
              <w:bottom w:val="single" w:sz="12" w:space="0" w:color="FFFFFF"/>
              <w:right w:val="single" w:sz="12" w:space="0" w:color="FFFFFF"/>
            </w:tcBorders>
            <w:shd w:val="clear" w:color="auto" w:fill="AED37F"/>
            <w:vAlign w:val="center"/>
          </w:tcPr>
          <w:p w14:paraId="67B85452"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145/E</w:t>
            </w:r>
          </w:p>
        </w:tc>
        <w:tc>
          <w:tcPr>
            <w:tcW w:w="725" w:type="pct"/>
            <w:tcBorders>
              <w:top w:val="nil"/>
              <w:left w:val="nil"/>
              <w:bottom w:val="single" w:sz="12" w:space="0" w:color="FFFFFF"/>
              <w:right w:val="single" w:sz="12" w:space="0" w:color="FFFFFF"/>
            </w:tcBorders>
            <w:shd w:val="clear" w:color="auto" w:fill="FDC47D"/>
            <w:vAlign w:val="center"/>
          </w:tcPr>
          <w:p w14:paraId="2587C96C"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125/D</w:t>
            </w:r>
          </w:p>
        </w:tc>
        <w:tc>
          <w:tcPr>
            <w:tcW w:w="583" w:type="pct"/>
            <w:tcBorders>
              <w:top w:val="nil"/>
              <w:left w:val="nil"/>
              <w:bottom w:val="single" w:sz="12" w:space="0" w:color="FFFFFF"/>
              <w:right w:val="nil"/>
            </w:tcBorders>
            <w:shd w:val="clear" w:color="auto" w:fill="FED380"/>
            <w:vAlign w:val="center"/>
          </w:tcPr>
          <w:p w14:paraId="654702D5"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126/G</w:t>
            </w:r>
          </w:p>
        </w:tc>
      </w:tr>
      <w:tr w:rsidR="00055321" w:rsidRPr="008924E0" w14:paraId="1C659FA2" w14:textId="77777777" w:rsidTr="00771E4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11ED9532" w14:textId="25012E58" w:rsidR="00055321" w:rsidRPr="008924E0" w:rsidRDefault="00740D4F">
            <w:pPr>
              <w:rPr>
                <w:rFonts w:ascii="Calibri" w:eastAsia="Calibri" w:hAnsi="Calibri" w:cs="Calibri"/>
                <w:b/>
                <w:lang w:val="bs-Latn-BA"/>
              </w:rPr>
            </w:pPr>
            <w:r w:rsidRPr="008924E0">
              <w:rPr>
                <w:rFonts w:ascii="Calibri" w:eastAsia="Calibri" w:hAnsi="Calibri" w:cs="Calibri"/>
                <w:b/>
                <w:lang w:val="bs-Latn-BA"/>
              </w:rPr>
              <w:t>2010</w:t>
            </w:r>
            <w:r w:rsidR="00274A18" w:rsidRPr="008924E0">
              <w:rPr>
                <w:rFonts w:ascii="Calibri" w:eastAsia="Calibri" w:hAnsi="Calibri" w:cs="Calibri"/>
                <w:b/>
                <w:lang w:val="bs-Latn-BA"/>
              </w:rPr>
              <w:t>.</w:t>
            </w:r>
            <w:r w:rsidRPr="008924E0">
              <w:rPr>
                <w:rFonts w:ascii="Calibri" w:eastAsia="Calibri" w:hAnsi="Calibri" w:cs="Calibri"/>
                <w:b/>
                <w:lang w:val="bs-Latn-BA"/>
              </w:rPr>
              <w:t>-2016</w:t>
            </w:r>
            <w:r w:rsidR="00FC223E" w:rsidRPr="008924E0">
              <w:rPr>
                <w:rFonts w:ascii="Calibri" w:eastAsia="Calibri" w:hAnsi="Calibri" w:cs="Calibri"/>
                <w:b/>
                <w:lang w:val="bs-Latn-BA"/>
              </w:rPr>
              <w:t>.</w:t>
            </w:r>
          </w:p>
        </w:tc>
        <w:tc>
          <w:tcPr>
            <w:tcW w:w="549" w:type="pct"/>
            <w:tcBorders>
              <w:top w:val="nil"/>
              <w:left w:val="nil"/>
              <w:bottom w:val="single" w:sz="12" w:space="0" w:color="FFFFFF"/>
              <w:right w:val="single" w:sz="12" w:space="0" w:color="FFFFFF"/>
            </w:tcBorders>
            <w:shd w:val="clear" w:color="auto" w:fill="7CC57C"/>
            <w:vAlign w:val="center"/>
          </w:tcPr>
          <w:p w14:paraId="62815BA1"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143/G</w:t>
            </w:r>
          </w:p>
        </w:tc>
        <w:tc>
          <w:tcPr>
            <w:tcW w:w="616" w:type="pct"/>
            <w:tcBorders>
              <w:top w:val="nil"/>
              <w:left w:val="nil"/>
              <w:bottom w:val="single" w:sz="12" w:space="0" w:color="FFFFFF"/>
              <w:right w:val="single" w:sz="12" w:space="0" w:color="FFFFFF"/>
            </w:tcBorders>
            <w:shd w:val="clear" w:color="auto" w:fill="91CB7D"/>
            <w:vAlign w:val="center"/>
          </w:tcPr>
          <w:p w14:paraId="17A51FBC"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93/D</w:t>
            </w:r>
          </w:p>
        </w:tc>
        <w:tc>
          <w:tcPr>
            <w:tcW w:w="548" w:type="pct"/>
            <w:tcBorders>
              <w:top w:val="nil"/>
              <w:left w:val="nil"/>
              <w:bottom w:val="single" w:sz="12" w:space="0" w:color="FFFFFF"/>
              <w:right w:val="single" w:sz="12" w:space="0" w:color="FFFFFF"/>
            </w:tcBorders>
            <w:shd w:val="clear" w:color="auto" w:fill="63BE7B"/>
            <w:vAlign w:val="center"/>
          </w:tcPr>
          <w:p w14:paraId="34BF2685" w14:textId="77777777" w:rsidR="00055321" w:rsidRPr="008924E0" w:rsidRDefault="00055321">
            <w:pPr>
              <w:jc w:val="right"/>
              <w:rPr>
                <w:rFonts w:ascii="Calibri" w:eastAsia="Calibri" w:hAnsi="Calibri" w:cs="Calibri"/>
                <w:lang w:val="bs-Latn-BA"/>
              </w:rPr>
            </w:pPr>
          </w:p>
        </w:tc>
        <w:tc>
          <w:tcPr>
            <w:tcW w:w="568" w:type="pct"/>
            <w:tcBorders>
              <w:top w:val="nil"/>
              <w:left w:val="nil"/>
              <w:bottom w:val="single" w:sz="12" w:space="0" w:color="FFFFFF"/>
              <w:right w:val="single" w:sz="12" w:space="0" w:color="FFFFFF"/>
            </w:tcBorders>
            <w:shd w:val="clear" w:color="auto" w:fill="FFE383"/>
            <w:vAlign w:val="center"/>
          </w:tcPr>
          <w:p w14:paraId="24359123"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268/D</w:t>
            </w:r>
          </w:p>
        </w:tc>
        <w:tc>
          <w:tcPr>
            <w:tcW w:w="568" w:type="pct"/>
            <w:tcBorders>
              <w:top w:val="nil"/>
              <w:left w:val="nil"/>
              <w:bottom w:val="single" w:sz="12" w:space="0" w:color="FFFFFF"/>
              <w:right w:val="single" w:sz="12" w:space="0" w:color="FFFFFF"/>
            </w:tcBorders>
            <w:shd w:val="clear" w:color="auto" w:fill="63BE7B"/>
            <w:vAlign w:val="center"/>
          </w:tcPr>
          <w:p w14:paraId="360DB6DE"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 </w:t>
            </w:r>
          </w:p>
        </w:tc>
        <w:tc>
          <w:tcPr>
            <w:tcW w:w="725" w:type="pct"/>
            <w:tcBorders>
              <w:top w:val="nil"/>
              <w:left w:val="nil"/>
              <w:bottom w:val="single" w:sz="12" w:space="0" w:color="FFFFFF"/>
              <w:right w:val="single" w:sz="12" w:space="0" w:color="FFFFFF"/>
            </w:tcBorders>
            <w:shd w:val="clear" w:color="auto" w:fill="E4E382"/>
            <w:vAlign w:val="center"/>
          </w:tcPr>
          <w:p w14:paraId="472D439B"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114/D</w:t>
            </w:r>
          </w:p>
        </w:tc>
        <w:tc>
          <w:tcPr>
            <w:tcW w:w="583" w:type="pct"/>
            <w:tcBorders>
              <w:top w:val="nil"/>
              <w:left w:val="nil"/>
              <w:bottom w:val="single" w:sz="12" w:space="0" w:color="FFFFFF"/>
              <w:right w:val="nil"/>
            </w:tcBorders>
            <w:shd w:val="clear" w:color="auto" w:fill="63BE7B"/>
            <w:vAlign w:val="center"/>
          </w:tcPr>
          <w:p w14:paraId="2E876CCC"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 </w:t>
            </w:r>
          </w:p>
        </w:tc>
      </w:tr>
      <w:tr w:rsidR="00055321" w:rsidRPr="008924E0" w14:paraId="79C7780D" w14:textId="77777777" w:rsidTr="00771E4B">
        <w:trPr>
          <w:trHeight w:val="312"/>
          <w:jc w:val="center"/>
        </w:trPr>
        <w:tc>
          <w:tcPr>
            <w:tcW w:w="842" w:type="pct"/>
            <w:tcBorders>
              <w:top w:val="nil"/>
              <w:left w:val="nil"/>
              <w:bottom w:val="nil"/>
              <w:right w:val="single" w:sz="12" w:space="0" w:color="FFFFFF"/>
            </w:tcBorders>
            <w:shd w:val="clear" w:color="auto" w:fill="E9E9E9"/>
            <w:vAlign w:val="center"/>
          </w:tcPr>
          <w:p w14:paraId="01A9D54F" w14:textId="019318E8" w:rsidR="00055321" w:rsidRPr="008924E0" w:rsidRDefault="00740D4F">
            <w:pPr>
              <w:rPr>
                <w:rFonts w:ascii="Calibri" w:eastAsia="Calibri" w:hAnsi="Calibri" w:cs="Calibri"/>
                <w:b/>
                <w:lang w:val="bs-Latn-BA"/>
              </w:rPr>
            </w:pPr>
            <w:r w:rsidRPr="008924E0">
              <w:rPr>
                <w:rFonts w:ascii="Calibri" w:eastAsia="Calibri" w:hAnsi="Calibri" w:cs="Calibri"/>
                <w:b/>
                <w:lang w:val="bs-Latn-BA"/>
              </w:rPr>
              <w:t>2017</w:t>
            </w:r>
            <w:r w:rsidR="00274A18" w:rsidRPr="008924E0">
              <w:rPr>
                <w:rFonts w:ascii="Calibri" w:eastAsia="Calibri" w:hAnsi="Calibri" w:cs="Calibri"/>
                <w:b/>
                <w:lang w:val="bs-Latn-BA"/>
              </w:rPr>
              <w:t>.</w:t>
            </w:r>
            <w:r w:rsidRPr="008924E0">
              <w:rPr>
                <w:rFonts w:ascii="Calibri" w:eastAsia="Calibri" w:hAnsi="Calibri" w:cs="Calibri"/>
                <w:b/>
                <w:lang w:val="bs-Latn-BA"/>
              </w:rPr>
              <w:t>-2020</w:t>
            </w:r>
            <w:r w:rsidR="00FC223E" w:rsidRPr="008924E0">
              <w:rPr>
                <w:rFonts w:ascii="Calibri" w:eastAsia="Calibri" w:hAnsi="Calibri" w:cs="Calibri"/>
                <w:b/>
                <w:lang w:val="bs-Latn-BA"/>
              </w:rPr>
              <w:t>.</w:t>
            </w:r>
            <w:r w:rsidRPr="008924E0">
              <w:rPr>
                <w:rFonts w:ascii="Calibri" w:eastAsia="Calibri" w:hAnsi="Calibri" w:cs="Calibri"/>
                <w:b/>
                <w:lang w:val="bs-Latn-BA"/>
              </w:rPr>
              <w:t>*</w:t>
            </w:r>
          </w:p>
        </w:tc>
        <w:tc>
          <w:tcPr>
            <w:tcW w:w="549" w:type="pct"/>
            <w:tcBorders>
              <w:top w:val="nil"/>
              <w:left w:val="nil"/>
              <w:bottom w:val="single" w:sz="12" w:space="0" w:color="FFFFFF"/>
              <w:right w:val="single" w:sz="12" w:space="0" w:color="FFFFFF"/>
            </w:tcBorders>
            <w:shd w:val="clear" w:color="auto" w:fill="7CC57C"/>
            <w:vAlign w:val="center"/>
          </w:tcPr>
          <w:p w14:paraId="6B68E7CD"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44/C</w:t>
            </w:r>
          </w:p>
        </w:tc>
        <w:tc>
          <w:tcPr>
            <w:tcW w:w="616" w:type="pct"/>
            <w:tcBorders>
              <w:top w:val="nil"/>
              <w:left w:val="nil"/>
              <w:bottom w:val="nil"/>
              <w:right w:val="single" w:sz="12" w:space="0" w:color="FFFFFF"/>
            </w:tcBorders>
            <w:shd w:val="clear" w:color="auto" w:fill="96CC7D"/>
            <w:vAlign w:val="center"/>
          </w:tcPr>
          <w:p w14:paraId="329194D7"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46/C</w:t>
            </w:r>
          </w:p>
        </w:tc>
        <w:tc>
          <w:tcPr>
            <w:tcW w:w="548" w:type="pct"/>
            <w:tcBorders>
              <w:top w:val="nil"/>
              <w:left w:val="nil"/>
              <w:bottom w:val="nil"/>
              <w:right w:val="single" w:sz="12" w:space="0" w:color="FFFFFF"/>
            </w:tcBorders>
            <w:shd w:val="clear" w:color="auto" w:fill="74C37C"/>
            <w:vAlign w:val="center"/>
          </w:tcPr>
          <w:p w14:paraId="1607DABE"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46/B</w:t>
            </w:r>
          </w:p>
        </w:tc>
        <w:tc>
          <w:tcPr>
            <w:tcW w:w="568" w:type="pct"/>
            <w:tcBorders>
              <w:top w:val="nil"/>
              <w:left w:val="nil"/>
              <w:bottom w:val="nil"/>
              <w:right w:val="single" w:sz="12" w:space="0" w:color="FFFFFF"/>
            </w:tcBorders>
            <w:shd w:val="clear" w:color="auto" w:fill="6BC07B"/>
            <w:vAlign w:val="center"/>
          </w:tcPr>
          <w:p w14:paraId="465F6E4F"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46/B</w:t>
            </w:r>
          </w:p>
        </w:tc>
        <w:tc>
          <w:tcPr>
            <w:tcW w:w="568" w:type="pct"/>
            <w:tcBorders>
              <w:top w:val="nil"/>
              <w:left w:val="nil"/>
              <w:bottom w:val="nil"/>
              <w:right w:val="single" w:sz="12" w:space="0" w:color="FFFFFF"/>
            </w:tcBorders>
            <w:shd w:val="clear" w:color="auto" w:fill="6CC07B"/>
            <w:vAlign w:val="center"/>
          </w:tcPr>
          <w:p w14:paraId="5617AAE2"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44/C</w:t>
            </w:r>
          </w:p>
        </w:tc>
        <w:tc>
          <w:tcPr>
            <w:tcW w:w="725" w:type="pct"/>
            <w:tcBorders>
              <w:top w:val="nil"/>
              <w:left w:val="nil"/>
              <w:bottom w:val="nil"/>
              <w:right w:val="single" w:sz="12" w:space="0" w:color="FFFFFF"/>
            </w:tcBorders>
            <w:shd w:val="clear" w:color="auto" w:fill="8DCA7D"/>
            <w:vAlign w:val="center"/>
          </w:tcPr>
          <w:p w14:paraId="6503864D"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46/C</w:t>
            </w:r>
          </w:p>
        </w:tc>
        <w:tc>
          <w:tcPr>
            <w:tcW w:w="583" w:type="pct"/>
            <w:tcBorders>
              <w:top w:val="nil"/>
              <w:left w:val="nil"/>
              <w:bottom w:val="nil"/>
              <w:right w:val="nil"/>
            </w:tcBorders>
            <w:shd w:val="clear" w:color="auto" w:fill="7EC57C"/>
            <w:vAlign w:val="center"/>
          </w:tcPr>
          <w:p w14:paraId="53442EE2" w14:textId="77777777" w:rsidR="00055321" w:rsidRPr="008924E0" w:rsidRDefault="00740D4F">
            <w:pPr>
              <w:jc w:val="right"/>
              <w:rPr>
                <w:rFonts w:ascii="Calibri" w:eastAsia="Calibri" w:hAnsi="Calibri" w:cs="Calibri"/>
                <w:lang w:val="bs-Latn-BA"/>
              </w:rPr>
            </w:pPr>
            <w:r w:rsidRPr="008924E0">
              <w:rPr>
                <w:rFonts w:ascii="Calibri" w:eastAsia="Calibri" w:hAnsi="Calibri" w:cs="Calibri"/>
                <w:lang w:val="bs-Latn-BA"/>
              </w:rPr>
              <w:t>48/C</w:t>
            </w:r>
          </w:p>
        </w:tc>
      </w:tr>
    </w:tbl>
    <w:p w14:paraId="745596C3" w14:textId="77777777" w:rsidR="00055321" w:rsidRPr="008924E0" w:rsidRDefault="00740D4F">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23D2FE16" w14:textId="344B0A13" w:rsidR="00055321" w:rsidRPr="008924E0" w:rsidRDefault="00055321">
      <w:pPr>
        <w:jc w:val="left"/>
        <w:rPr>
          <w:rFonts w:ascii="Arial" w:eastAsia="Arial" w:hAnsi="Arial" w:cs="Arial"/>
          <w:b/>
          <w:smallCaps/>
          <w:color w:val="00592E"/>
          <w:sz w:val="28"/>
          <w:szCs w:val="28"/>
          <w:lang w:val="bs-Latn-BA"/>
        </w:rPr>
        <w:sectPr w:rsidR="00055321" w:rsidRPr="008924E0" w:rsidSect="00A268AF">
          <w:headerReference w:type="default" r:id="rId24"/>
          <w:footerReference w:type="default" r:id="rId25"/>
          <w:pgSz w:w="11907" w:h="16840"/>
          <w:pgMar w:top="1276" w:right="1440" w:bottom="1440" w:left="1440" w:header="284" w:footer="295" w:gutter="0"/>
          <w:pgNumType w:start="1"/>
          <w:cols w:space="720"/>
          <w:titlePg/>
          <w:docGrid w:linePitch="299"/>
        </w:sectPr>
      </w:pPr>
      <w:bookmarkStart w:id="70" w:name="_heading=h.111kx3o" w:colFirst="0" w:colLast="0"/>
      <w:bookmarkStart w:id="71" w:name="_heading=h.3l18frh" w:colFirst="0" w:colLast="0"/>
      <w:bookmarkStart w:id="72" w:name="_heading=h.206ipza" w:colFirst="0" w:colLast="0"/>
      <w:bookmarkStart w:id="73" w:name="_heading=h.4k668n3" w:colFirst="0" w:colLast="0"/>
      <w:bookmarkStart w:id="74" w:name="_heading=h.2zbgiuw" w:colFirst="0" w:colLast="0"/>
      <w:bookmarkStart w:id="75" w:name="_heading=h.1egqt2p" w:colFirst="0" w:colLast="0"/>
      <w:bookmarkStart w:id="76" w:name="_heading=h.2dlolyb" w:colFirst="0" w:colLast="0"/>
      <w:bookmarkStart w:id="77" w:name="_heading=h.sqyw64" w:colFirst="0" w:colLast="0"/>
      <w:bookmarkStart w:id="78" w:name="_heading=h.1rvwp1q" w:colFirst="0" w:colLast="0"/>
      <w:bookmarkEnd w:id="70"/>
      <w:bookmarkEnd w:id="71"/>
      <w:bookmarkEnd w:id="72"/>
      <w:bookmarkEnd w:id="73"/>
      <w:bookmarkEnd w:id="74"/>
      <w:bookmarkEnd w:id="75"/>
      <w:bookmarkEnd w:id="76"/>
      <w:bookmarkEnd w:id="77"/>
      <w:bookmarkEnd w:id="78"/>
    </w:p>
    <w:p w14:paraId="48871AD0" w14:textId="20CD5CB6" w:rsidR="00055321" w:rsidRPr="008924E0" w:rsidRDefault="00740D4F" w:rsidP="00B254A7">
      <w:pPr>
        <w:pStyle w:val="Heading1"/>
        <w:numPr>
          <w:ilvl w:val="0"/>
          <w:numId w:val="33"/>
        </w:numPr>
        <w:rPr>
          <w:lang w:val="bs-Latn-BA"/>
        </w:rPr>
      </w:pPr>
      <w:bookmarkStart w:id="79" w:name="_Toc134011759"/>
      <w:r w:rsidRPr="008924E0">
        <w:rPr>
          <w:lang w:val="bs-Latn-BA"/>
        </w:rPr>
        <w:lastRenderedPageBreak/>
        <w:t>Razvojni strateški pravci</w:t>
      </w:r>
      <w:bookmarkEnd w:id="79"/>
      <w:r w:rsidRPr="008924E0">
        <w:rPr>
          <w:lang w:val="bs-Latn-BA"/>
        </w:rPr>
        <w:t xml:space="preserve"> </w:t>
      </w:r>
    </w:p>
    <w:p w14:paraId="021C7010" w14:textId="77777777" w:rsidR="006D4A1E" w:rsidRPr="008924E0" w:rsidRDefault="006D4A1E" w:rsidP="006D4A1E">
      <w:pPr>
        <w:rPr>
          <w:lang w:val="bs-Latn-BA"/>
        </w:rPr>
      </w:pPr>
      <w:r w:rsidRPr="008924E0">
        <w:rPr>
          <w:lang w:val="bs-Latn-BA"/>
        </w:rPr>
        <w:t xml:space="preserve">Na osnovu SWOT analize definirani su strateški pravci, odnosno strateško fokusiranje u svrhu obnove zgrada u FBiH, koji su prikazani u tabeli 3.1. </w:t>
      </w:r>
    </w:p>
    <w:p w14:paraId="4AC6678F" w14:textId="70510E53" w:rsidR="00973648" w:rsidRPr="008924E0" w:rsidRDefault="00973648" w:rsidP="00973648">
      <w:pPr>
        <w:pStyle w:val="Caption"/>
        <w:keepNext/>
      </w:pPr>
      <w:bookmarkStart w:id="80" w:name="_Toc133499543"/>
      <w:r w:rsidRPr="008924E0">
        <w:t xml:space="preserve">Tabela </w:t>
      </w:r>
      <w:fldSimple w:instr=" STYLEREF 1 \s ">
        <w:r w:rsidR="004A246B">
          <w:rPr>
            <w:noProof/>
          </w:rPr>
          <w:t>3</w:t>
        </w:r>
      </w:fldSimple>
      <w:r w:rsidR="004A246B">
        <w:t>.</w:t>
      </w:r>
      <w:r w:rsidR="00000000">
        <w:fldChar w:fldCharType="begin"/>
      </w:r>
      <w:r w:rsidR="00000000">
        <w:instrText xml:space="preserve"> SEQ Tabela \* ARABIC \s 1 </w:instrText>
      </w:r>
      <w:r w:rsidR="00000000">
        <w:fldChar w:fldCharType="separate"/>
      </w:r>
      <w:r w:rsidR="004A246B">
        <w:rPr>
          <w:noProof/>
        </w:rPr>
        <w:t>1</w:t>
      </w:r>
      <w:r w:rsidR="00000000">
        <w:rPr>
          <w:noProof/>
        </w:rPr>
        <w:fldChar w:fldCharType="end"/>
      </w:r>
      <w:r w:rsidRPr="008924E0">
        <w:rPr>
          <w:color w:val="000000"/>
        </w:rPr>
        <w:t xml:space="preserve"> Strateški pravci u svrhu obnove zgrada u FBiH</w:t>
      </w:r>
      <w:bookmarkEnd w:id="80"/>
    </w:p>
    <w:tbl>
      <w:tblPr>
        <w:tblStyle w:val="10"/>
        <w:tblW w:w="5000" w:type="pct"/>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00" w:firstRow="0" w:lastRow="0" w:firstColumn="0" w:lastColumn="0" w:noHBand="0" w:noVBand="1"/>
      </w:tblPr>
      <w:tblGrid>
        <w:gridCol w:w="4585"/>
        <w:gridCol w:w="5333"/>
        <w:gridCol w:w="4190"/>
      </w:tblGrid>
      <w:tr w:rsidR="00055321" w:rsidRPr="001972F5" w14:paraId="0FB382F7" w14:textId="77777777" w:rsidTr="0086623F">
        <w:trPr>
          <w:trHeight w:val="274"/>
          <w:jc w:val="center"/>
        </w:trPr>
        <w:tc>
          <w:tcPr>
            <w:tcW w:w="1625" w:type="pct"/>
            <w:shd w:val="clear" w:color="auto" w:fill="005837"/>
            <w:vAlign w:val="center"/>
          </w:tcPr>
          <w:p w14:paraId="6439CE76" w14:textId="77777777" w:rsidR="00055321" w:rsidRPr="008924E0" w:rsidRDefault="00740D4F" w:rsidP="00F8734C">
            <w:pPr>
              <w:ind w:left="576" w:right="576"/>
              <w:jc w:val="center"/>
              <w:rPr>
                <w:b/>
                <w:color w:val="FFFFFF" w:themeColor="background1"/>
                <w:sz w:val="18"/>
                <w:szCs w:val="18"/>
                <w:lang w:val="bs-Latn-BA"/>
              </w:rPr>
            </w:pPr>
            <w:r w:rsidRPr="008924E0">
              <w:rPr>
                <w:b/>
                <w:color w:val="FFFFFF" w:themeColor="background1"/>
                <w:sz w:val="18"/>
                <w:szCs w:val="18"/>
                <w:lang w:val="bs-Latn-BA"/>
              </w:rPr>
              <w:t>Strateški izazovi (SI)</w:t>
            </w:r>
          </w:p>
        </w:tc>
        <w:tc>
          <w:tcPr>
            <w:tcW w:w="1890" w:type="pct"/>
            <w:shd w:val="clear" w:color="auto" w:fill="005837"/>
            <w:vAlign w:val="center"/>
          </w:tcPr>
          <w:p w14:paraId="18B26BBF" w14:textId="77777777" w:rsidR="00055321" w:rsidRPr="008924E0" w:rsidRDefault="00740D4F" w:rsidP="00F8734C">
            <w:pPr>
              <w:ind w:left="576" w:right="576"/>
              <w:jc w:val="center"/>
              <w:rPr>
                <w:b/>
                <w:color w:val="FFFFFF" w:themeColor="background1"/>
                <w:sz w:val="18"/>
                <w:szCs w:val="18"/>
                <w:lang w:val="bs-Latn-BA"/>
              </w:rPr>
            </w:pPr>
            <w:r w:rsidRPr="008924E0">
              <w:rPr>
                <w:b/>
                <w:color w:val="FFFFFF" w:themeColor="background1"/>
                <w:sz w:val="18"/>
                <w:szCs w:val="18"/>
                <w:lang w:val="bs-Latn-BA"/>
              </w:rPr>
              <w:t>Strateški fokusi (SF)</w:t>
            </w:r>
          </w:p>
        </w:tc>
        <w:tc>
          <w:tcPr>
            <w:tcW w:w="1485" w:type="pct"/>
            <w:shd w:val="clear" w:color="auto" w:fill="005837"/>
            <w:vAlign w:val="center"/>
          </w:tcPr>
          <w:p w14:paraId="0FDC40ED" w14:textId="77777777" w:rsidR="00055321" w:rsidRPr="008924E0" w:rsidRDefault="00740D4F" w:rsidP="00F8734C">
            <w:pPr>
              <w:ind w:left="576" w:right="576"/>
              <w:jc w:val="center"/>
              <w:rPr>
                <w:b/>
                <w:color w:val="FFFFFF" w:themeColor="background1"/>
                <w:sz w:val="18"/>
                <w:szCs w:val="18"/>
                <w:lang w:val="bs-Latn-BA"/>
              </w:rPr>
            </w:pPr>
            <w:r w:rsidRPr="008924E0">
              <w:rPr>
                <w:b/>
                <w:color w:val="FFFFFF" w:themeColor="background1"/>
                <w:sz w:val="18"/>
                <w:szCs w:val="18"/>
                <w:lang w:val="bs-Latn-BA"/>
              </w:rPr>
              <w:t>Usklađenost SF sa razvojnim pravcima (RP) “Okvira za realizaciju ciljeva održivog razvoja u BiH”</w:t>
            </w:r>
          </w:p>
        </w:tc>
      </w:tr>
      <w:tr w:rsidR="00055321" w:rsidRPr="001972F5" w14:paraId="2D0F3524" w14:textId="77777777" w:rsidTr="0086623F">
        <w:trPr>
          <w:trHeight w:val="60"/>
          <w:jc w:val="center"/>
        </w:trPr>
        <w:tc>
          <w:tcPr>
            <w:tcW w:w="1625" w:type="pct"/>
          </w:tcPr>
          <w:p w14:paraId="217C7333" w14:textId="67963CD0" w:rsidR="00D141F7" w:rsidRPr="0086623F" w:rsidRDefault="00D141F7" w:rsidP="00D141F7">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reducirati potrošnju energije u zgradarstvu i zavisnost od fosilnih goriva u sektoru snabdjevanja i potrošnje?</w:t>
            </w:r>
          </w:p>
          <w:p w14:paraId="5152C035" w14:textId="77777777" w:rsidR="00D141F7" w:rsidRPr="0086623F" w:rsidRDefault="00D141F7" w:rsidP="00D141F7">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izvršiti prilagođavanje klimatskim promjenama i doprinijeti niskoemisionom razvoju FBiH?</w:t>
            </w:r>
          </w:p>
          <w:p w14:paraId="5457E101" w14:textId="77777777" w:rsidR="00D141F7" w:rsidRPr="0086623F" w:rsidRDefault="00D141F7" w:rsidP="00D141F7">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osigurati stabilno i sigurno snabdijevanje energijom?</w:t>
            </w:r>
          </w:p>
          <w:p w14:paraId="74B4006A" w14:textId="19E7A35A" w:rsidR="00055321" w:rsidRPr="0086623F" w:rsidRDefault="00740D4F" w:rsidP="00F8734C">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 xml:space="preserve">Kako osigurati održivo </w:t>
            </w:r>
            <w:r w:rsidR="007B690C" w:rsidRPr="0086623F">
              <w:rPr>
                <w:rFonts w:asciiTheme="minorHAnsi" w:hAnsiTheme="minorHAnsi" w:cstheme="minorHAnsi"/>
                <w:sz w:val="19"/>
                <w:szCs w:val="19"/>
                <w:lang w:val="bs-Latn-BA"/>
              </w:rPr>
              <w:t>financ</w:t>
            </w:r>
            <w:r w:rsidRPr="0086623F">
              <w:rPr>
                <w:rFonts w:asciiTheme="minorHAnsi" w:hAnsiTheme="minorHAnsi" w:cstheme="minorHAnsi"/>
                <w:sz w:val="19"/>
                <w:szCs w:val="19"/>
                <w:lang w:val="bs-Latn-BA"/>
              </w:rPr>
              <w:t>iranje mjera EE u zgradarstvu?</w:t>
            </w:r>
          </w:p>
          <w:p w14:paraId="3880D5AC" w14:textId="4E2EF1AE" w:rsidR="00055321" w:rsidRPr="0086623F" w:rsidRDefault="00740D4F" w:rsidP="00F8734C">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 xml:space="preserve">Kako iskoristiti veliki broj međunarodnih fondova za </w:t>
            </w:r>
            <w:r w:rsidR="007B690C" w:rsidRPr="0086623F">
              <w:rPr>
                <w:rFonts w:asciiTheme="minorHAnsi" w:hAnsiTheme="minorHAnsi" w:cstheme="minorHAnsi"/>
                <w:sz w:val="19"/>
                <w:szCs w:val="19"/>
                <w:lang w:val="bs-Latn-BA"/>
              </w:rPr>
              <w:t>financ</w:t>
            </w:r>
            <w:r w:rsidRPr="0086623F">
              <w:rPr>
                <w:rFonts w:asciiTheme="minorHAnsi" w:hAnsiTheme="minorHAnsi" w:cstheme="minorHAnsi"/>
                <w:sz w:val="19"/>
                <w:szCs w:val="19"/>
                <w:lang w:val="bs-Latn-BA"/>
              </w:rPr>
              <w:t>iranje EE?</w:t>
            </w:r>
          </w:p>
          <w:p w14:paraId="799E8756" w14:textId="77777777" w:rsidR="00DB1408" w:rsidRPr="0086623F" w:rsidRDefault="00DB1408" w:rsidP="00DB1408">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osigurati nesmetano provođenje svih aktivnosti u oblasti EE i efikasniju međusektorsku saradnju na nivou FBiH?</w:t>
            </w:r>
          </w:p>
          <w:p w14:paraId="607E8D48" w14:textId="77777777" w:rsidR="00055321" w:rsidRPr="0086623F" w:rsidRDefault="00740D4F" w:rsidP="00F8734C">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povećati efikasnost postojećih informacionih sistema evidencija?</w:t>
            </w:r>
          </w:p>
          <w:p w14:paraId="31DC385F" w14:textId="77777777" w:rsidR="00D141F7" w:rsidRPr="0086623F" w:rsidRDefault="00D141F7" w:rsidP="00D141F7">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ubrzati privredni razvoj?</w:t>
            </w:r>
          </w:p>
          <w:p w14:paraId="71FEDD24" w14:textId="7413CD71" w:rsidR="00055321" w:rsidRPr="0086623F" w:rsidRDefault="00740D4F" w:rsidP="00F8734C">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postići veću sigurnost i duži životni vijek zgrada?</w:t>
            </w:r>
          </w:p>
          <w:p w14:paraId="4D9464FC" w14:textId="0F7CC407" w:rsidR="00055321" w:rsidRPr="0086623F" w:rsidRDefault="00740D4F" w:rsidP="00D141F7">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86623F">
              <w:rPr>
                <w:rFonts w:asciiTheme="minorHAnsi" w:hAnsiTheme="minorHAnsi" w:cstheme="minorHAnsi"/>
                <w:sz w:val="19"/>
                <w:szCs w:val="19"/>
                <w:lang w:val="bs-Latn-BA"/>
              </w:rPr>
              <w:t>Kako unaprijediti kvalitet života građana?</w:t>
            </w:r>
          </w:p>
        </w:tc>
        <w:tc>
          <w:tcPr>
            <w:tcW w:w="1890" w:type="pct"/>
          </w:tcPr>
          <w:p w14:paraId="17871392" w14:textId="4DA9543E" w:rsidR="00DB1408" w:rsidRPr="0086623F" w:rsidRDefault="00DB1408"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Smanjenje potrošnje energije i emisija CO</w:t>
            </w:r>
            <w:r w:rsidRPr="0086623F">
              <w:rPr>
                <w:rFonts w:asciiTheme="minorHAnsi" w:hAnsiTheme="minorHAnsi" w:cstheme="minorHAnsi"/>
                <w:sz w:val="19"/>
                <w:szCs w:val="19"/>
                <w:vertAlign w:val="subscript"/>
                <w:lang w:val="bs-Latn-BA"/>
              </w:rPr>
              <w:t>2</w:t>
            </w:r>
            <w:r w:rsidRPr="0086623F">
              <w:rPr>
                <w:rFonts w:asciiTheme="minorHAnsi" w:hAnsiTheme="minorHAnsi" w:cstheme="minorHAnsi"/>
                <w:sz w:val="19"/>
                <w:szCs w:val="19"/>
                <w:lang w:val="bs-Latn-BA"/>
              </w:rPr>
              <w:t xml:space="preserve"> kroz implementaciju mjera EE i povećanje udjela OIE (poveznica sa SI -  1,2,3)</w:t>
            </w:r>
          </w:p>
          <w:p w14:paraId="0C2DD7AA" w14:textId="0734BE98" w:rsidR="00DB1408" w:rsidRPr="0086623F" w:rsidRDefault="00DB1408"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Dekarbonizacija sektora zgradarstva (poveznica sa SI -  1,2,3)</w:t>
            </w:r>
          </w:p>
          <w:p w14:paraId="575E2356" w14:textId="1A6C6E8E" w:rsidR="00DB1408" w:rsidRPr="0086623F" w:rsidRDefault="00DB1408" w:rsidP="00FA0D4B">
            <w:pPr>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Sveobuhvatna obnova sektora zgradarstva uz korištenje lokalnih resursa (poveznica sa SI –1.2, 3,5,6,8,9,10)</w:t>
            </w:r>
          </w:p>
          <w:p w14:paraId="50F3029E" w14:textId="4419FB83" w:rsidR="00055321" w:rsidRPr="0086623F" w:rsidRDefault="00740D4F"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Uspostavljanje dugoročnih i održivih revolving fondova za EE u zgradarstvu (poveznica sa SI -</w:t>
            </w:r>
            <w:r w:rsidR="00DB1408" w:rsidRPr="0086623F">
              <w:rPr>
                <w:rFonts w:asciiTheme="minorHAnsi" w:hAnsiTheme="minorHAnsi" w:cstheme="minorHAnsi"/>
                <w:sz w:val="19"/>
                <w:szCs w:val="19"/>
                <w:lang w:val="bs-Latn-BA"/>
              </w:rPr>
              <w:t>4,5</w:t>
            </w:r>
            <w:r w:rsidRPr="0086623F">
              <w:rPr>
                <w:rFonts w:asciiTheme="minorHAnsi" w:hAnsiTheme="minorHAnsi" w:cstheme="minorHAnsi"/>
                <w:sz w:val="19"/>
                <w:szCs w:val="19"/>
                <w:lang w:val="bs-Latn-BA"/>
              </w:rPr>
              <w:t>)</w:t>
            </w:r>
          </w:p>
          <w:p w14:paraId="088404C0" w14:textId="0624AB76" w:rsidR="00DB1408" w:rsidRPr="0086623F" w:rsidRDefault="007B690C"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Financ</w:t>
            </w:r>
            <w:r w:rsidR="00DB1408" w:rsidRPr="0086623F">
              <w:rPr>
                <w:rFonts w:asciiTheme="minorHAnsi" w:hAnsiTheme="minorHAnsi" w:cstheme="minorHAnsi"/>
                <w:sz w:val="19"/>
                <w:szCs w:val="19"/>
                <w:lang w:val="bs-Latn-BA"/>
              </w:rPr>
              <w:t xml:space="preserve">ijska inkluzija  kroz razvoj modela </w:t>
            </w:r>
            <w:r w:rsidRPr="0086623F">
              <w:rPr>
                <w:rFonts w:asciiTheme="minorHAnsi" w:hAnsiTheme="minorHAnsi" w:cstheme="minorHAnsi"/>
                <w:sz w:val="19"/>
                <w:szCs w:val="19"/>
                <w:lang w:val="bs-Latn-BA"/>
              </w:rPr>
              <w:t>financ</w:t>
            </w:r>
            <w:r w:rsidR="00DB1408" w:rsidRPr="0086623F">
              <w:rPr>
                <w:rFonts w:asciiTheme="minorHAnsi" w:hAnsiTheme="minorHAnsi" w:cstheme="minorHAnsi"/>
                <w:sz w:val="19"/>
                <w:szCs w:val="19"/>
                <w:lang w:val="bs-Latn-BA"/>
              </w:rPr>
              <w:t>iranja provođenja mjera EE za posebno ugrožene kategorije (poveznica sa SI –</w:t>
            </w:r>
            <w:r w:rsidR="007D6FF6" w:rsidRPr="0086623F">
              <w:rPr>
                <w:rFonts w:asciiTheme="minorHAnsi" w:hAnsiTheme="minorHAnsi" w:cstheme="minorHAnsi"/>
                <w:sz w:val="19"/>
                <w:szCs w:val="19"/>
                <w:lang w:val="bs-Latn-BA"/>
              </w:rPr>
              <w:t>1,4,5,6,8,10</w:t>
            </w:r>
            <w:r w:rsidR="00DB1408" w:rsidRPr="0086623F">
              <w:rPr>
                <w:rFonts w:asciiTheme="minorHAnsi" w:hAnsiTheme="minorHAnsi" w:cstheme="minorHAnsi"/>
                <w:sz w:val="19"/>
                <w:szCs w:val="19"/>
                <w:lang w:val="bs-Latn-BA"/>
              </w:rPr>
              <w:t>)</w:t>
            </w:r>
          </w:p>
          <w:p w14:paraId="102BB465" w14:textId="514F1BE9" w:rsidR="00055321" w:rsidRPr="0086623F" w:rsidRDefault="00740D4F"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 xml:space="preserve">Razvoj projektnih prijedloga i digitalnih vješina, te primjena novih tehnologija i pametnih rješenja u sektoru zgradarstva (poveznica sa SI -  </w:t>
            </w:r>
            <w:r w:rsidR="007D6FF6" w:rsidRPr="0086623F">
              <w:rPr>
                <w:rFonts w:asciiTheme="minorHAnsi" w:hAnsiTheme="minorHAnsi" w:cstheme="minorHAnsi"/>
                <w:sz w:val="19"/>
                <w:szCs w:val="19"/>
                <w:lang w:val="bs-Latn-BA"/>
              </w:rPr>
              <w:t>1,3,5,7,8,10</w:t>
            </w:r>
            <w:r w:rsidRPr="0086623F">
              <w:rPr>
                <w:rFonts w:asciiTheme="minorHAnsi" w:hAnsiTheme="minorHAnsi" w:cstheme="minorHAnsi"/>
                <w:sz w:val="19"/>
                <w:szCs w:val="19"/>
                <w:lang w:val="bs-Latn-BA"/>
              </w:rPr>
              <w:t>)</w:t>
            </w:r>
          </w:p>
          <w:p w14:paraId="77B43E23" w14:textId="54E81A16" w:rsidR="00055321" w:rsidRPr="0086623F" w:rsidRDefault="00740D4F"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Sveobuhvatan i integriran informacioni sistem u sektoru zgradarstva (poveznica sa SI –  6,</w:t>
            </w:r>
            <w:r w:rsidR="005D1824" w:rsidRPr="0086623F">
              <w:rPr>
                <w:rFonts w:asciiTheme="minorHAnsi" w:hAnsiTheme="minorHAnsi" w:cstheme="minorHAnsi"/>
                <w:sz w:val="19"/>
                <w:szCs w:val="19"/>
                <w:lang w:val="bs-Latn-BA"/>
              </w:rPr>
              <w:t>7</w:t>
            </w:r>
            <w:r w:rsidRPr="0086623F">
              <w:rPr>
                <w:rFonts w:asciiTheme="minorHAnsi" w:hAnsiTheme="minorHAnsi" w:cstheme="minorHAnsi"/>
                <w:sz w:val="19"/>
                <w:szCs w:val="19"/>
                <w:lang w:val="bs-Latn-BA"/>
              </w:rPr>
              <w:t>)</w:t>
            </w:r>
          </w:p>
          <w:p w14:paraId="72F0E3EA" w14:textId="77777777" w:rsidR="00055321" w:rsidRPr="0086623F" w:rsidRDefault="00740D4F"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 xml:space="preserve">Potpuna transpozicija EU direktiva vezanih za EE u zakonodavstvo FBiH (poveznica sa SI - 1-10) </w:t>
            </w:r>
          </w:p>
          <w:p w14:paraId="1AF44535" w14:textId="77777777" w:rsidR="00DB1408" w:rsidRPr="0086623F" w:rsidRDefault="00740D4F" w:rsidP="00FA0D4B">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Hormonizacija propisa relevantnih za EE na svim nivoima vlasti u FBiH (poveznica sa SI – 1-10)</w:t>
            </w:r>
          </w:p>
          <w:p w14:paraId="0E521967" w14:textId="48804FF9" w:rsidR="00055321" w:rsidRPr="0086623F" w:rsidRDefault="00DB1408" w:rsidP="00DB1408">
            <w:pPr>
              <w:widowControl w:val="0"/>
              <w:numPr>
                <w:ilvl w:val="0"/>
                <w:numId w:val="16"/>
              </w:numPr>
              <w:pBdr>
                <w:top w:val="nil"/>
                <w:left w:val="nil"/>
                <w:bottom w:val="nil"/>
                <w:right w:val="nil"/>
                <w:between w:val="nil"/>
              </w:pBdr>
              <w:tabs>
                <w:tab w:val="left" w:pos="789"/>
              </w:tabs>
              <w:spacing w:after="60"/>
              <w:ind w:left="609" w:right="576" w:hanging="601"/>
              <w:rPr>
                <w:rFonts w:asciiTheme="minorHAnsi" w:hAnsiTheme="minorHAnsi" w:cstheme="minorHAnsi"/>
                <w:sz w:val="19"/>
                <w:szCs w:val="19"/>
                <w:lang w:val="bs-Latn-BA"/>
              </w:rPr>
            </w:pPr>
            <w:r w:rsidRPr="0086623F">
              <w:rPr>
                <w:rFonts w:asciiTheme="minorHAnsi" w:hAnsiTheme="minorHAnsi" w:cstheme="minorHAnsi"/>
                <w:sz w:val="19"/>
                <w:szCs w:val="19"/>
                <w:lang w:val="bs-Latn-BA"/>
              </w:rPr>
              <w:t xml:space="preserve">Primjena cirkularne ekonomije u sektoru zgradarstva (poveznica sa SI -  </w:t>
            </w:r>
            <w:r w:rsidR="005D1824" w:rsidRPr="0086623F">
              <w:rPr>
                <w:rFonts w:asciiTheme="minorHAnsi" w:hAnsiTheme="minorHAnsi" w:cstheme="minorHAnsi"/>
                <w:sz w:val="19"/>
                <w:szCs w:val="19"/>
                <w:lang w:val="bs-Latn-BA"/>
              </w:rPr>
              <w:t>1,3</w:t>
            </w:r>
            <w:r w:rsidRPr="0086623F">
              <w:rPr>
                <w:rFonts w:asciiTheme="minorHAnsi" w:hAnsiTheme="minorHAnsi" w:cstheme="minorHAnsi"/>
                <w:sz w:val="19"/>
                <w:szCs w:val="19"/>
                <w:lang w:val="bs-Latn-BA"/>
              </w:rPr>
              <w:t xml:space="preserve">)  </w:t>
            </w:r>
          </w:p>
        </w:tc>
        <w:tc>
          <w:tcPr>
            <w:tcW w:w="1485" w:type="pct"/>
          </w:tcPr>
          <w:p w14:paraId="7EA54CCC" w14:textId="6EF65606" w:rsidR="00055321" w:rsidRPr="0086623F" w:rsidRDefault="00740D4F" w:rsidP="00B254A7">
            <w:pPr>
              <w:widowControl w:val="0"/>
              <w:numPr>
                <w:ilvl w:val="0"/>
                <w:numId w:val="30"/>
              </w:numPr>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r w:rsidRPr="0086623F">
              <w:rPr>
                <w:rFonts w:asciiTheme="minorHAnsi" w:hAnsiTheme="minorHAnsi" w:cstheme="minorHAnsi"/>
                <w:sz w:val="19"/>
                <w:szCs w:val="19"/>
                <w:lang w:val="bs-Latn-BA"/>
              </w:rPr>
              <w:t>Dobra uprava i upravljanje javnim sektorom (poveznica sa SF – 1, 2, 3, 4, 5,</w:t>
            </w:r>
            <w:r w:rsidR="008806BC" w:rsidRPr="0086623F">
              <w:rPr>
                <w:rFonts w:asciiTheme="minorHAnsi" w:hAnsiTheme="minorHAnsi" w:cstheme="minorHAnsi"/>
                <w:sz w:val="19"/>
                <w:szCs w:val="19"/>
                <w:lang w:val="bs-Latn-BA"/>
              </w:rPr>
              <w:t>7,</w:t>
            </w:r>
            <w:r w:rsidRPr="0086623F">
              <w:rPr>
                <w:rFonts w:asciiTheme="minorHAnsi" w:hAnsiTheme="minorHAnsi" w:cstheme="minorHAnsi"/>
                <w:sz w:val="19"/>
                <w:szCs w:val="19"/>
                <w:lang w:val="bs-Latn-BA"/>
              </w:rPr>
              <w:t xml:space="preserve"> 8,</w:t>
            </w:r>
            <w:r w:rsidR="005D1824" w:rsidRPr="0086623F">
              <w:rPr>
                <w:rFonts w:asciiTheme="minorHAnsi" w:hAnsiTheme="minorHAnsi" w:cstheme="minorHAnsi"/>
                <w:sz w:val="19"/>
                <w:szCs w:val="19"/>
                <w:lang w:val="bs-Latn-BA"/>
              </w:rPr>
              <w:t>10</w:t>
            </w:r>
            <w:r w:rsidRPr="0086623F">
              <w:rPr>
                <w:rFonts w:asciiTheme="minorHAnsi" w:hAnsiTheme="minorHAnsi" w:cstheme="minorHAnsi"/>
                <w:sz w:val="19"/>
                <w:szCs w:val="19"/>
                <w:lang w:val="bs-Latn-BA"/>
              </w:rPr>
              <w:t>)</w:t>
            </w:r>
          </w:p>
          <w:p w14:paraId="268019C9" w14:textId="47427B27" w:rsidR="00055321" w:rsidRPr="0086623F" w:rsidRDefault="00740D4F" w:rsidP="00B254A7">
            <w:pPr>
              <w:widowControl w:val="0"/>
              <w:numPr>
                <w:ilvl w:val="0"/>
                <w:numId w:val="30"/>
              </w:numPr>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r w:rsidRPr="0086623F">
              <w:rPr>
                <w:rFonts w:asciiTheme="minorHAnsi" w:hAnsiTheme="minorHAnsi" w:cstheme="minorHAnsi"/>
                <w:sz w:val="19"/>
                <w:szCs w:val="19"/>
                <w:lang w:val="bs-Latn-BA"/>
              </w:rPr>
              <w:t xml:space="preserve">Pametni rast (poveznica sa SF – 1, 2, 3, 4, 5, </w:t>
            </w:r>
            <w:r w:rsidR="005D1824" w:rsidRPr="0086623F">
              <w:rPr>
                <w:rFonts w:asciiTheme="minorHAnsi" w:hAnsiTheme="minorHAnsi" w:cstheme="minorHAnsi"/>
                <w:sz w:val="19"/>
                <w:szCs w:val="19"/>
                <w:lang w:val="bs-Latn-BA"/>
              </w:rPr>
              <w:t>7</w:t>
            </w:r>
            <w:r w:rsidRPr="0086623F">
              <w:rPr>
                <w:rFonts w:asciiTheme="minorHAnsi" w:hAnsiTheme="minorHAnsi" w:cstheme="minorHAnsi"/>
                <w:sz w:val="19"/>
                <w:szCs w:val="19"/>
                <w:lang w:val="bs-Latn-BA"/>
              </w:rPr>
              <w:t>, 8,</w:t>
            </w:r>
            <w:r w:rsidR="005D1824" w:rsidRPr="0086623F">
              <w:rPr>
                <w:rFonts w:asciiTheme="minorHAnsi" w:hAnsiTheme="minorHAnsi" w:cstheme="minorHAnsi"/>
                <w:sz w:val="19"/>
                <w:szCs w:val="19"/>
                <w:lang w:val="bs-Latn-BA"/>
              </w:rPr>
              <w:t>10</w:t>
            </w:r>
            <w:r w:rsidRPr="0086623F">
              <w:rPr>
                <w:rFonts w:asciiTheme="minorHAnsi" w:hAnsiTheme="minorHAnsi" w:cstheme="minorHAnsi"/>
                <w:sz w:val="19"/>
                <w:szCs w:val="19"/>
                <w:lang w:val="bs-Latn-BA"/>
              </w:rPr>
              <w:t>)</w:t>
            </w:r>
          </w:p>
          <w:p w14:paraId="1B69E83F" w14:textId="582BB53B" w:rsidR="00055321" w:rsidRPr="0086623F" w:rsidRDefault="00740D4F" w:rsidP="00B254A7">
            <w:pPr>
              <w:widowControl w:val="0"/>
              <w:numPr>
                <w:ilvl w:val="0"/>
                <w:numId w:val="30"/>
              </w:numPr>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r w:rsidRPr="0086623F">
              <w:rPr>
                <w:rFonts w:asciiTheme="minorHAnsi" w:hAnsiTheme="minorHAnsi" w:cstheme="minorHAnsi"/>
                <w:sz w:val="19"/>
                <w:szCs w:val="19"/>
                <w:lang w:val="bs-Latn-BA"/>
              </w:rPr>
              <w:t>Društvo jednakih mogućnost (poveznica sa SF –</w:t>
            </w:r>
            <w:r w:rsidR="005D1824" w:rsidRPr="0086623F">
              <w:rPr>
                <w:rFonts w:asciiTheme="minorHAnsi" w:hAnsiTheme="minorHAnsi" w:cstheme="minorHAnsi"/>
                <w:sz w:val="19"/>
                <w:szCs w:val="19"/>
                <w:lang w:val="bs-Latn-BA"/>
              </w:rPr>
              <w:t>2,5, 8,9, 10</w:t>
            </w:r>
            <w:r w:rsidRPr="0086623F">
              <w:rPr>
                <w:rFonts w:asciiTheme="minorHAnsi" w:hAnsiTheme="minorHAnsi" w:cstheme="minorHAnsi"/>
                <w:sz w:val="19"/>
                <w:szCs w:val="19"/>
                <w:lang w:val="bs-Latn-BA"/>
              </w:rPr>
              <w:t>)</w:t>
            </w:r>
          </w:p>
          <w:p w14:paraId="48FF8384" w14:textId="77777777" w:rsidR="00055321" w:rsidRPr="0086623F" w:rsidRDefault="00055321" w:rsidP="00F8734C">
            <w:pPr>
              <w:widowControl w:val="0"/>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p>
          <w:p w14:paraId="0D653580" w14:textId="77777777" w:rsidR="00055321" w:rsidRPr="0086623F" w:rsidRDefault="00740D4F" w:rsidP="00F8734C">
            <w:pPr>
              <w:widowControl w:val="0"/>
              <w:pBdr>
                <w:top w:val="nil"/>
                <w:left w:val="nil"/>
                <w:bottom w:val="nil"/>
                <w:right w:val="nil"/>
                <w:between w:val="nil"/>
              </w:pBdr>
              <w:tabs>
                <w:tab w:val="left" w:pos="439"/>
              </w:tabs>
              <w:spacing w:after="60"/>
              <w:ind w:left="694" w:right="576" w:hanging="567"/>
              <w:rPr>
                <w:rFonts w:asciiTheme="minorHAnsi" w:hAnsiTheme="minorHAnsi" w:cstheme="minorHAnsi"/>
                <w:i/>
                <w:sz w:val="19"/>
                <w:szCs w:val="19"/>
                <w:u w:val="single"/>
                <w:lang w:val="bs-Latn-BA"/>
              </w:rPr>
            </w:pPr>
            <w:r w:rsidRPr="0086623F">
              <w:rPr>
                <w:rFonts w:asciiTheme="minorHAnsi" w:hAnsiTheme="minorHAnsi" w:cstheme="minorHAnsi"/>
                <w:i/>
                <w:sz w:val="19"/>
                <w:szCs w:val="19"/>
                <w:u w:val="single"/>
                <w:lang w:val="bs-Latn-BA"/>
              </w:rPr>
              <w:t xml:space="preserve">Usklađenost sa horizontalnim temama: </w:t>
            </w:r>
          </w:p>
          <w:p w14:paraId="7EC21B1B" w14:textId="23B84AF3" w:rsidR="00055321" w:rsidRPr="0086623F" w:rsidRDefault="00740D4F" w:rsidP="00B254A7">
            <w:pPr>
              <w:widowControl w:val="0"/>
              <w:numPr>
                <w:ilvl w:val="0"/>
                <w:numId w:val="31"/>
              </w:numPr>
              <w:pBdr>
                <w:top w:val="nil"/>
                <w:left w:val="nil"/>
                <w:bottom w:val="nil"/>
                <w:right w:val="nil"/>
                <w:between w:val="nil"/>
              </w:pBdr>
              <w:tabs>
                <w:tab w:val="left" w:pos="439"/>
              </w:tabs>
              <w:spacing w:after="60"/>
              <w:ind w:left="694" w:right="576" w:hanging="567"/>
              <w:rPr>
                <w:rFonts w:asciiTheme="minorHAnsi" w:hAnsiTheme="minorHAnsi" w:cstheme="minorHAnsi"/>
                <w:i/>
                <w:sz w:val="19"/>
                <w:szCs w:val="19"/>
                <w:lang w:val="bs-Latn-BA"/>
              </w:rPr>
            </w:pPr>
            <w:r w:rsidRPr="0086623F">
              <w:rPr>
                <w:rFonts w:asciiTheme="minorHAnsi" w:hAnsiTheme="minorHAnsi" w:cstheme="minorHAnsi"/>
                <w:i/>
                <w:sz w:val="19"/>
                <w:szCs w:val="19"/>
                <w:lang w:val="bs-Latn-BA"/>
              </w:rPr>
              <w:t>Ulaganje u ljudski kapital za budućnost (poveznica sa SF</w:t>
            </w:r>
            <w:r w:rsidR="005D1824" w:rsidRPr="0086623F">
              <w:rPr>
                <w:rFonts w:asciiTheme="minorHAnsi" w:hAnsiTheme="minorHAnsi" w:cstheme="minorHAnsi"/>
                <w:sz w:val="19"/>
                <w:szCs w:val="19"/>
                <w:lang w:val="bs-Latn-BA"/>
              </w:rPr>
              <w:t xml:space="preserve"> – </w:t>
            </w:r>
            <w:r w:rsidR="00911B75" w:rsidRPr="0086623F">
              <w:rPr>
                <w:rFonts w:asciiTheme="minorHAnsi" w:hAnsiTheme="minorHAnsi" w:cstheme="minorHAnsi"/>
                <w:i/>
                <w:sz w:val="19"/>
                <w:szCs w:val="19"/>
                <w:lang w:val="bs-Latn-BA"/>
              </w:rPr>
              <w:t>2,4,5,6,8,10</w:t>
            </w:r>
            <w:r w:rsidRPr="0086623F">
              <w:rPr>
                <w:rFonts w:asciiTheme="minorHAnsi" w:hAnsiTheme="minorHAnsi" w:cstheme="minorHAnsi"/>
                <w:i/>
                <w:sz w:val="19"/>
                <w:szCs w:val="19"/>
                <w:lang w:val="bs-Latn-BA"/>
              </w:rPr>
              <w:t>)</w:t>
            </w:r>
          </w:p>
          <w:p w14:paraId="7796D011" w14:textId="64E7698B" w:rsidR="00055321" w:rsidRPr="0086623F" w:rsidRDefault="00740D4F" w:rsidP="00B254A7">
            <w:pPr>
              <w:widowControl w:val="0"/>
              <w:numPr>
                <w:ilvl w:val="0"/>
                <w:numId w:val="31"/>
              </w:numPr>
              <w:pBdr>
                <w:top w:val="nil"/>
                <w:left w:val="nil"/>
                <w:bottom w:val="nil"/>
                <w:right w:val="nil"/>
                <w:between w:val="nil"/>
              </w:pBdr>
              <w:tabs>
                <w:tab w:val="left" w:pos="439"/>
              </w:tabs>
              <w:spacing w:after="60"/>
              <w:ind w:left="694" w:right="576" w:hanging="567"/>
              <w:rPr>
                <w:rFonts w:asciiTheme="minorHAnsi" w:hAnsiTheme="minorHAnsi" w:cstheme="minorHAnsi"/>
                <w:i/>
                <w:sz w:val="19"/>
                <w:szCs w:val="19"/>
                <w:lang w:val="bs-Latn-BA"/>
              </w:rPr>
            </w:pPr>
            <w:r w:rsidRPr="0086623F">
              <w:rPr>
                <w:rFonts w:asciiTheme="minorHAnsi" w:hAnsiTheme="minorHAnsi" w:cstheme="minorHAnsi"/>
                <w:i/>
                <w:sz w:val="19"/>
                <w:szCs w:val="19"/>
                <w:lang w:val="bs-Latn-BA"/>
              </w:rPr>
              <w:t>Niko ne smije biti isključen (poveznica sa SF –</w:t>
            </w:r>
            <w:r w:rsidR="005D1824" w:rsidRPr="0086623F">
              <w:rPr>
                <w:rFonts w:asciiTheme="minorHAnsi" w:hAnsiTheme="minorHAnsi" w:cstheme="minorHAnsi"/>
                <w:i/>
                <w:sz w:val="19"/>
                <w:szCs w:val="19"/>
                <w:lang w:val="bs-Latn-BA"/>
              </w:rPr>
              <w:t>5,6,8,9,10</w:t>
            </w:r>
            <w:r w:rsidRPr="0086623F">
              <w:rPr>
                <w:rFonts w:asciiTheme="minorHAnsi" w:hAnsiTheme="minorHAnsi" w:cstheme="minorHAnsi"/>
                <w:i/>
                <w:sz w:val="19"/>
                <w:szCs w:val="19"/>
                <w:lang w:val="bs-Latn-BA"/>
              </w:rPr>
              <w:t>)</w:t>
            </w:r>
          </w:p>
          <w:p w14:paraId="6FB926B7" w14:textId="77777777" w:rsidR="00055321" w:rsidRPr="0086623F" w:rsidRDefault="00055321">
            <w:pPr>
              <w:widowControl w:val="0"/>
              <w:pBdr>
                <w:top w:val="nil"/>
                <w:left w:val="nil"/>
                <w:bottom w:val="nil"/>
                <w:right w:val="nil"/>
                <w:between w:val="nil"/>
              </w:pBdr>
              <w:tabs>
                <w:tab w:val="left" w:pos="439"/>
              </w:tabs>
              <w:spacing w:after="60"/>
              <w:ind w:left="241" w:right="576"/>
              <w:rPr>
                <w:rFonts w:asciiTheme="minorHAnsi" w:hAnsiTheme="minorHAnsi" w:cstheme="minorHAnsi"/>
                <w:sz w:val="19"/>
                <w:szCs w:val="19"/>
                <w:lang w:val="bs-Latn-BA"/>
              </w:rPr>
            </w:pPr>
          </w:p>
        </w:tc>
      </w:tr>
    </w:tbl>
    <w:p w14:paraId="3B7666E4" w14:textId="77777777" w:rsidR="00055321" w:rsidRPr="008924E0" w:rsidRDefault="00055321">
      <w:pPr>
        <w:pStyle w:val="Heading1"/>
        <w:ind w:left="480" w:hanging="480"/>
        <w:rPr>
          <w:lang w:val="bs-Latn-BA"/>
        </w:rPr>
        <w:sectPr w:rsidR="00055321" w:rsidRPr="008924E0">
          <w:pgSz w:w="16840" w:h="11907" w:orient="landscape"/>
          <w:pgMar w:top="1440" w:right="1282" w:bottom="1440" w:left="1440" w:header="288" w:footer="288" w:gutter="0"/>
          <w:cols w:space="720"/>
          <w:titlePg/>
        </w:sectPr>
      </w:pPr>
    </w:p>
    <w:p w14:paraId="4856173D" w14:textId="77777777" w:rsidR="00055321" w:rsidRPr="008924E0" w:rsidRDefault="00740D4F" w:rsidP="00B254A7">
      <w:pPr>
        <w:pStyle w:val="Heading1"/>
        <w:numPr>
          <w:ilvl w:val="0"/>
          <w:numId w:val="33"/>
        </w:numPr>
        <w:rPr>
          <w:lang w:val="bs-Latn-BA"/>
        </w:rPr>
      </w:pPr>
      <w:bookmarkStart w:id="81" w:name="_Toc134011760"/>
      <w:r w:rsidRPr="008924E0">
        <w:rPr>
          <w:lang w:val="bs-Latn-BA"/>
        </w:rPr>
        <w:lastRenderedPageBreak/>
        <w:t>Vizija</w:t>
      </w:r>
      <w:bookmarkEnd w:id="81"/>
      <w:r w:rsidRPr="008924E0">
        <w:rPr>
          <w:lang w:val="bs-Latn-BA"/>
        </w:rPr>
        <w:t xml:space="preserve"> </w:t>
      </w:r>
    </w:p>
    <w:p w14:paraId="29C653E8" w14:textId="34F37D6D" w:rsidR="00055321" w:rsidRPr="008924E0" w:rsidRDefault="00740D4F">
      <w:pPr>
        <w:rPr>
          <w:lang w:val="bs-Latn-BA"/>
        </w:rPr>
      </w:pPr>
      <w:r w:rsidRPr="008924E0">
        <w:rPr>
          <w:lang w:val="bs-Latn-BA"/>
        </w:rPr>
        <w:t xml:space="preserve">Vizija je definirana za period do 2050. </w:t>
      </w:r>
      <w:r w:rsidR="00FE5AB8">
        <w:rPr>
          <w:color w:val="000000" w:themeColor="text1"/>
          <w:lang w:val="bs-Latn-BA"/>
        </w:rPr>
        <w:t>g</w:t>
      </w:r>
      <w:r w:rsidRPr="008924E0">
        <w:rPr>
          <w:lang w:val="bs-Latn-BA"/>
        </w:rPr>
        <w:t xml:space="preserve">odine i predstavlja zajedničku fokusiranu predodžbu željene promjene u dugoročnoj perspektivi kojoj će Strategija obnove zgradarstva u FBiH  doprinijeti. </w:t>
      </w:r>
    </w:p>
    <w:p w14:paraId="388DAF77" w14:textId="77777777" w:rsidR="00055321" w:rsidRPr="008924E0" w:rsidRDefault="00740D4F">
      <w:pPr>
        <w:rPr>
          <w:lang w:val="bs-Latn-BA"/>
        </w:rPr>
      </w:pPr>
      <w:r w:rsidRPr="008924E0">
        <w:rPr>
          <w:lang w:val="bs-Latn-BA"/>
        </w:rPr>
        <w:t>Vizija se zasniva na zaključcima situacione analize i služi kao osnov za utvrđivanje strateških ciljeva.</w:t>
      </w:r>
    </w:p>
    <w:p w14:paraId="2E914D4F" w14:textId="77777777" w:rsidR="00055321" w:rsidRPr="008924E0" w:rsidRDefault="00740D4F">
      <w:pPr>
        <w:rPr>
          <w:b/>
          <w:i/>
          <w:lang w:val="bs-Latn-BA"/>
        </w:rPr>
      </w:pPr>
      <w:r w:rsidRPr="008924E0">
        <w:rPr>
          <w:b/>
          <w:i/>
          <w:lang w:val="bs-Latn-BA"/>
        </w:rPr>
        <w:t>Sektor zgradarstva u Federaciji BiH je energijski visokoefikasan, dekarboniziran i održiv, sa primarnom funkcijom zaštite zdravlja i poboljšanja kvalitete života svih građana, i njihovog ekonomskog prosperiteta.</w:t>
      </w:r>
    </w:p>
    <w:p w14:paraId="174FAAD1" w14:textId="77777777" w:rsidR="00055321" w:rsidRPr="008924E0" w:rsidRDefault="00740D4F">
      <w:pPr>
        <w:rPr>
          <w:rFonts w:ascii="Arial" w:eastAsia="Arial" w:hAnsi="Arial" w:cs="Arial"/>
          <w:b/>
          <w:smallCaps/>
          <w:color w:val="005837"/>
          <w:sz w:val="28"/>
          <w:szCs w:val="28"/>
          <w:lang w:val="bs-Latn-BA"/>
        </w:rPr>
      </w:pPr>
      <w:r w:rsidRPr="008924E0">
        <w:rPr>
          <w:lang w:val="bs-Latn-BA"/>
        </w:rPr>
        <w:br w:type="page"/>
      </w:r>
    </w:p>
    <w:p w14:paraId="6658C29B" w14:textId="0129C9DB" w:rsidR="00055321" w:rsidRPr="008924E0" w:rsidRDefault="00740D4F" w:rsidP="00B254A7">
      <w:pPr>
        <w:pStyle w:val="Heading1"/>
        <w:numPr>
          <w:ilvl w:val="0"/>
          <w:numId w:val="33"/>
        </w:numPr>
        <w:rPr>
          <w:lang w:val="bs-Latn-BA"/>
        </w:rPr>
      </w:pPr>
      <w:bookmarkStart w:id="82" w:name="_Toc134011761"/>
      <w:r w:rsidRPr="008924E0">
        <w:rPr>
          <w:lang w:val="bs-Latn-BA"/>
        </w:rPr>
        <w:lastRenderedPageBreak/>
        <w:t>Strateški cilj sa indikatorima</w:t>
      </w:r>
      <w:bookmarkEnd w:id="82"/>
      <w:r w:rsidRPr="008924E0">
        <w:rPr>
          <w:lang w:val="bs-Latn-BA"/>
        </w:rPr>
        <w:t xml:space="preserve"> </w:t>
      </w:r>
    </w:p>
    <w:p w14:paraId="762E945D" w14:textId="55FBB016" w:rsidR="00055321" w:rsidRPr="008924E0" w:rsidRDefault="00740D4F">
      <w:pPr>
        <w:rPr>
          <w:lang w:val="bs-Latn-BA"/>
        </w:rPr>
      </w:pPr>
      <w:r w:rsidRPr="008924E0">
        <w:rPr>
          <w:lang w:val="bs-Latn-BA"/>
        </w:rPr>
        <w:t>Strateški cilj predstavlja izraz onoga što se želi postići u periodu važenja strateškog dokumenta, odnosno oblasti unutar kojih je potrebno djelovati.</w:t>
      </w:r>
    </w:p>
    <w:p w14:paraId="73FEAEBD" w14:textId="22E0BA8A" w:rsidR="00055321" w:rsidRPr="008924E0" w:rsidRDefault="00740D4F">
      <w:pPr>
        <w:rPr>
          <w:lang w:val="bs-Latn-BA"/>
        </w:rPr>
      </w:pPr>
      <w:r w:rsidRPr="008924E0">
        <w:rPr>
          <w:lang w:val="bs-Latn-BA"/>
        </w:rPr>
        <w:t>Stoga je za potrebe izrade Strategije definiran strateški cilj</w:t>
      </w:r>
      <w:r w:rsidR="00F8734C" w:rsidRPr="008924E0">
        <w:rPr>
          <w:lang w:val="bs-Latn-BA"/>
        </w:rPr>
        <w:t xml:space="preserve"> </w:t>
      </w:r>
      <w:r w:rsidR="00F8734C" w:rsidRPr="00195EE6">
        <w:rPr>
          <w:color w:val="000000" w:themeColor="text1"/>
          <w:lang w:val="bs-Latn-BA"/>
        </w:rPr>
        <w:t>(tabela 5.1.)</w:t>
      </w:r>
      <w:r w:rsidRPr="00195EE6">
        <w:rPr>
          <w:color w:val="000000" w:themeColor="text1"/>
          <w:lang w:val="bs-Latn-BA"/>
        </w:rPr>
        <w:t xml:space="preserve"> </w:t>
      </w:r>
      <w:r w:rsidRPr="008924E0">
        <w:rPr>
          <w:lang w:val="bs-Latn-BA"/>
        </w:rPr>
        <w:t>za postizanje energijski visokoefikasanog, dekarboniziranog i održivog sektora zgradarstva u FBiH, s ciljem zaštite zdravlja i poboljšanja kvalitete života svih građana, te njihovog ekonomskog prosperiteta.</w:t>
      </w:r>
    </w:p>
    <w:p w14:paraId="43127921" w14:textId="05981C00" w:rsidR="00973648" w:rsidRPr="008924E0" w:rsidRDefault="00973648" w:rsidP="00973648">
      <w:pPr>
        <w:pStyle w:val="Caption"/>
        <w:keepNext/>
      </w:pPr>
      <w:bookmarkStart w:id="83" w:name="_Toc133499544"/>
      <w:r w:rsidRPr="008924E0">
        <w:t xml:space="preserve">Tabela </w:t>
      </w:r>
      <w:fldSimple w:instr=" STYLEREF 1 \s ">
        <w:r w:rsidR="004A246B">
          <w:rPr>
            <w:noProof/>
          </w:rPr>
          <w:t>5</w:t>
        </w:r>
      </w:fldSimple>
      <w:r w:rsidR="004A246B">
        <w:t>.</w:t>
      </w:r>
      <w:r w:rsidR="00000000">
        <w:fldChar w:fldCharType="begin"/>
      </w:r>
      <w:r w:rsidR="00000000">
        <w:instrText xml:space="preserve"> SEQ Tabela \* ARABIC \s 1 </w:instrText>
      </w:r>
      <w:r w:rsidR="00000000">
        <w:fldChar w:fldCharType="separate"/>
      </w:r>
      <w:r w:rsidR="004A246B">
        <w:rPr>
          <w:noProof/>
        </w:rPr>
        <w:t>1</w:t>
      </w:r>
      <w:r w:rsidR="00000000">
        <w:rPr>
          <w:noProof/>
        </w:rPr>
        <w:fldChar w:fldCharType="end"/>
      </w:r>
      <w:r w:rsidRPr="008924E0">
        <w:t xml:space="preserve"> </w:t>
      </w:r>
      <w:r w:rsidRPr="008924E0">
        <w:rPr>
          <w:color w:val="000000"/>
        </w:rPr>
        <w:t>Strateški cilj za postizanje energijski visokoefikasanog, dekarboniziranog i održivog sektora zgradarstva u FBiH, s ciljem zaštite zdravlja i poboljšanja kvalitete života svih građana, te njihovog ekonomskog prosperiteta</w:t>
      </w:r>
      <w:bookmarkEnd w:id="83"/>
    </w:p>
    <w:tbl>
      <w:tblPr>
        <w:tblStyle w:val="9"/>
        <w:tblW w:w="911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9116"/>
      </w:tblGrid>
      <w:tr w:rsidR="009232D3" w:rsidRPr="008924E0" w14:paraId="2567E184" w14:textId="77777777" w:rsidTr="00195EE6">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53B6C31C" w14:textId="77777777" w:rsidR="009232D3" w:rsidRPr="008924E0" w:rsidRDefault="009232D3" w:rsidP="009232D3">
            <w:pPr>
              <w:jc w:val="center"/>
              <w:rPr>
                <w:lang w:val="bs-Latn-BA"/>
              </w:rPr>
            </w:pPr>
            <w:r w:rsidRPr="008924E0">
              <w:rPr>
                <w:sz w:val="22"/>
                <w:szCs w:val="22"/>
                <w:lang w:val="bs-Latn-BA"/>
              </w:rPr>
              <w:t>STRATEŠKI CILJ</w:t>
            </w:r>
          </w:p>
        </w:tc>
      </w:tr>
      <w:tr w:rsidR="009232D3" w:rsidRPr="001972F5" w14:paraId="3811BE9B" w14:textId="77777777" w:rsidTr="00195EE6">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0" w:type="dxa"/>
            <w:vAlign w:val="center"/>
          </w:tcPr>
          <w:p w14:paraId="14DFED69" w14:textId="77777777" w:rsidR="00DB4056" w:rsidRPr="008924E0" w:rsidRDefault="009032FE" w:rsidP="009232D3">
            <w:pPr>
              <w:jc w:val="center"/>
              <w:rPr>
                <w:rFonts w:ascii="Arial" w:hAnsi="Arial" w:cs="Arial"/>
                <w:b w:val="0"/>
                <w:bCs/>
                <w:i/>
                <w:iCs/>
                <w:lang w:val="bs-Latn-BA"/>
              </w:rPr>
            </w:pPr>
            <w:r w:rsidRPr="008924E0">
              <w:rPr>
                <w:rFonts w:ascii="Arial" w:hAnsi="Arial" w:cs="Arial"/>
                <w:bCs/>
                <w:i/>
                <w:iCs/>
                <w:lang w:val="bs-Latn-BA"/>
              </w:rPr>
              <w:t>P</w:t>
            </w:r>
            <w:r w:rsidR="009232D3" w:rsidRPr="008924E0">
              <w:rPr>
                <w:rFonts w:ascii="Arial" w:hAnsi="Arial" w:cs="Arial"/>
                <w:bCs/>
                <w:i/>
                <w:iCs/>
                <w:lang w:val="bs-Latn-BA"/>
              </w:rPr>
              <w:t xml:space="preserve">ostojeći fond zgrada </w:t>
            </w:r>
            <w:r w:rsidR="00A852A5" w:rsidRPr="008924E0">
              <w:rPr>
                <w:rFonts w:ascii="Arial" w:hAnsi="Arial" w:cs="Arial"/>
                <w:bCs/>
                <w:i/>
                <w:iCs/>
                <w:lang w:val="bs-Latn-BA"/>
              </w:rPr>
              <w:t xml:space="preserve">u Federaciji Bosne i Hercegovine </w:t>
            </w:r>
          </w:p>
          <w:p w14:paraId="37BBBB6B" w14:textId="747C6075" w:rsidR="009232D3" w:rsidRPr="008924E0" w:rsidRDefault="009032FE" w:rsidP="00DB4056">
            <w:pPr>
              <w:jc w:val="center"/>
              <w:rPr>
                <w:rFonts w:ascii="Arial" w:hAnsi="Arial" w:cs="Arial"/>
                <w:b w:val="0"/>
                <w:bCs/>
                <w:i/>
                <w:iCs/>
                <w:lang w:val="bs-Latn-BA"/>
              </w:rPr>
            </w:pPr>
            <w:r w:rsidRPr="008924E0">
              <w:rPr>
                <w:rFonts w:ascii="Arial" w:hAnsi="Arial" w:cs="Arial"/>
                <w:bCs/>
                <w:i/>
                <w:iCs/>
                <w:lang w:val="bs-Latn-BA"/>
              </w:rPr>
              <w:t>je transfor</w:t>
            </w:r>
            <w:r w:rsidR="00A852A5" w:rsidRPr="008924E0">
              <w:rPr>
                <w:rFonts w:ascii="Arial" w:hAnsi="Arial" w:cs="Arial"/>
                <w:bCs/>
                <w:i/>
                <w:iCs/>
                <w:lang w:val="bs-Latn-BA"/>
              </w:rPr>
              <w:t>miran</w:t>
            </w:r>
            <w:r w:rsidRPr="008924E0">
              <w:rPr>
                <w:rFonts w:ascii="Arial" w:hAnsi="Arial" w:cs="Arial"/>
                <w:bCs/>
                <w:i/>
                <w:iCs/>
                <w:lang w:val="bs-Latn-BA"/>
              </w:rPr>
              <w:t xml:space="preserve"> </w:t>
            </w:r>
            <w:r w:rsidR="009232D3" w:rsidRPr="008924E0">
              <w:rPr>
                <w:rFonts w:ascii="Arial" w:hAnsi="Arial" w:cs="Arial"/>
                <w:bCs/>
                <w:i/>
                <w:iCs/>
                <w:lang w:val="bs-Latn-BA"/>
              </w:rPr>
              <w:t>u energijski visokoefikasan i dekarboniziran fond zgrada do 2050. godine</w:t>
            </w:r>
          </w:p>
        </w:tc>
      </w:tr>
    </w:tbl>
    <w:p w14:paraId="7753AEE0" w14:textId="77777777" w:rsidR="00055321" w:rsidRPr="008924E0" w:rsidRDefault="00055321">
      <w:pPr>
        <w:rPr>
          <w:lang w:val="bs-Latn-BA"/>
        </w:rPr>
      </w:pPr>
    </w:p>
    <w:p w14:paraId="1061C169" w14:textId="4EB0A9E7" w:rsidR="008C0C57" w:rsidRPr="008924E0" w:rsidRDefault="008C0C57" w:rsidP="008C0C57">
      <w:pPr>
        <w:rPr>
          <w:lang w:val="bs-Latn-BA"/>
        </w:rPr>
      </w:pPr>
      <w:r w:rsidRPr="008924E0">
        <w:rPr>
          <w:lang w:val="bs-Latn-BA"/>
        </w:rPr>
        <w:t xml:space="preserve">Zgradarstvo i građevinski sektor značajno doprinose emisiji ugljika i klimatskim promjenama pa se tu nalazi i veliki potencijal za dekarbonizaciju. </w:t>
      </w:r>
      <w:r w:rsidR="00BC7090" w:rsidRPr="008924E0">
        <w:rPr>
          <w:lang w:val="bs-Latn-BA"/>
        </w:rPr>
        <w:t>Na globalnom nivou, zgradarstvo</w:t>
      </w:r>
      <w:r w:rsidRPr="008924E0">
        <w:rPr>
          <w:lang w:val="bs-Latn-BA"/>
        </w:rPr>
        <w:t xml:space="preserve"> </w:t>
      </w:r>
      <w:r w:rsidR="00BC7090" w:rsidRPr="008924E0">
        <w:rPr>
          <w:lang w:val="bs-Latn-BA"/>
        </w:rPr>
        <w:t>je</w:t>
      </w:r>
      <w:r w:rsidRPr="008924E0">
        <w:rPr>
          <w:lang w:val="bs-Latn-BA"/>
        </w:rPr>
        <w:t xml:space="preserve"> odgovorn</w:t>
      </w:r>
      <w:r w:rsidR="00BC7090" w:rsidRPr="008924E0">
        <w:rPr>
          <w:lang w:val="bs-Latn-BA"/>
        </w:rPr>
        <w:t>o</w:t>
      </w:r>
      <w:r w:rsidRPr="008924E0">
        <w:rPr>
          <w:lang w:val="bs-Latn-BA"/>
        </w:rPr>
        <w:t xml:space="preserve"> za oko 50% svih </w:t>
      </w:r>
      <w:r w:rsidR="00327108">
        <w:rPr>
          <w:lang w:val="bs-Latn-BA"/>
        </w:rPr>
        <w:t>eksploatiranih</w:t>
      </w:r>
      <w:r w:rsidR="00327108" w:rsidRPr="008924E0">
        <w:rPr>
          <w:lang w:val="bs-Latn-BA"/>
        </w:rPr>
        <w:t xml:space="preserve"> </w:t>
      </w:r>
      <w:r w:rsidRPr="008924E0">
        <w:rPr>
          <w:lang w:val="bs-Latn-BA"/>
        </w:rPr>
        <w:t>sirovina, 33% potrošnje vode i 35% nastalog otpada. Ostali utjecaj</w:t>
      </w:r>
      <w:r w:rsidR="00BC7090" w:rsidRPr="008924E0">
        <w:rPr>
          <w:lang w:val="bs-Latn-BA"/>
        </w:rPr>
        <w:t>i</w:t>
      </w:r>
      <w:r w:rsidRPr="008924E0">
        <w:rPr>
          <w:lang w:val="bs-Latn-BA"/>
        </w:rPr>
        <w:t xml:space="preserve"> koje</w:t>
      </w:r>
      <w:r w:rsidR="00BC7090" w:rsidRPr="008924E0">
        <w:rPr>
          <w:lang w:val="bs-Latn-BA"/>
        </w:rPr>
        <w:t xml:space="preserve"> </w:t>
      </w:r>
      <w:r w:rsidRPr="008924E0">
        <w:rPr>
          <w:lang w:val="bs-Latn-BA"/>
        </w:rPr>
        <w:t>građevine imaju na okoliš uključuj</w:t>
      </w:r>
      <w:r w:rsidR="00BC7090" w:rsidRPr="008924E0">
        <w:rPr>
          <w:lang w:val="bs-Latn-BA"/>
        </w:rPr>
        <w:t>u</w:t>
      </w:r>
      <w:r w:rsidRPr="008924E0">
        <w:rPr>
          <w:lang w:val="bs-Latn-BA"/>
        </w:rPr>
        <w:t xml:space="preserve">: iscrpljivanje resursa, onečišćenje zraka, vode i zemljišta te gubitak biološke </w:t>
      </w:r>
      <w:r w:rsidR="00067BD8" w:rsidRPr="008924E0">
        <w:rPr>
          <w:lang w:val="bs-Latn-BA"/>
        </w:rPr>
        <w:t>diverzifikacije</w:t>
      </w:r>
      <w:r w:rsidRPr="008924E0">
        <w:rPr>
          <w:lang w:val="bs-Latn-BA"/>
        </w:rPr>
        <w:t>. Samo operativno korištenje zgrada, u Europi sudjeluje s oko 40% ukupne potrošnje energije i 36% emisija CO</w:t>
      </w:r>
      <w:r w:rsidR="00BC7090" w:rsidRPr="008924E0">
        <w:rPr>
          <w:vertAlign w:val="subscript"/>
          <w:lang w:val="bs-Latn-BA"/>
        </w:rPr>
        <w:t>2</w:t>
      </w:r>
      <w:r w:rsidRPr="008924E0">
        <w:rPr>
          <w:lang w:val="bs-Latn-BA"/>
        </w:rPr>
        <w:t>.</w:t>
      </w:r>
    </w:p>
    <w:p w14:paraId="30BFC614" w14:textId="763E2310" w:rsidR="008C0C57" w:rsidRPr="008924E0" w:rsidRDefault="008C0C57" w:rsidP="008C0C57">
      <w:pPr>
        <w:rPr>
          <w:lang w:val="bs-Latn-BA"/>
        </w:rPr>
      </w:pPr>
      <w:r w:rsidRPr="008924E0">
        <w:rPr>
          <w:lang w:val="bs-Latn-BA"/>
        </w:rPr>
        <w:t xml:space="preserve">Svjetski savez za zgrade i građevinski sektor izdao je </w:t>
      </w:r>
      <w:r w:rsidRPr="001D48BF">
        <w:rPr>
          <w:i/>
          <w:iCs/>
          <w:lang w:val="bs-Latn-BA"/>
        </w:rPr>
        <w:t>GlobalABC Roadmap for Buildings and Construction</w:t>
      </w:r>
      <w:r w:rsidRPr="008924E0">
        <w:rPr>
          <w:lang w:val="bs-Latn-BA"/>
        </w:rPr>
        <w:t xml:space="preserve"> 2020 - 2050</w:t>
      </w:r>
      <w:r w:rsidR="00067BD8" w:rsidRPr="008924E0">
        <w:rPr>
          <w:rStyle w:val="FootnoteReference"/>
          <w:lang w:val="bs-Latn-BA"/>
        </w:rPr>
        <w:footnoteReference w:id="19"/>
      </w:r>
      <w:r w:rsidRPr="008924E0">
        <w:rPr>
          <w:lang w:val="bs-Latn-BA"/>
        </w:rPr>
        <w:t xml:space="preserve"> koji pokazuje da isplativa energ</w:t>
      </w:r>
      <w:r w:rsidR="008E00E8" w:rsidRPr="008924E0">
        <w:rPr>
          <w:lang w:val="bs-Latn-BA"/>
        </w:rPr>
        <w:t>ijska efikasnost</w:t>
      </w:r>
      <w:r w:rsidRPr="008924E0">
        <w:rPr>
          <w:lang w:val="bs-Latn-BA"/>
        </w:rPr>
        <w:t xml:space="preserve"> i mjere za dekarbonizaciju u zgradama predstavljaju trećinu ukupnih smanjenja koja su potrebna za ispunjavanje ciljeva iz Pariškog </w:t>
      </w:r>
      <w:r w:rsidR="00FE5AB8">
        <w:rPr>
          <w:lang w:val="bs-Latn-BA"/>
        </w:rPr>
        <w:t>s</w:t>
      </w:r>
      <w:r w:rsidRPr="008924E0">
        <w:rPr>
          <w:lang w:val="bs-Latn-BA"/>
        </w:rPr>
        <w:t>porazuma.</w:t>
      </w:r>
    </w:p>
    <w:p w14:paraId="7E32ED7C" w14:textId="007F5633" w:rsidR="00067BD8" w:rsidRPr="008924E0" w:rsidRDefault="00067BD8" w:rsidP="00067BD8">
      <w:pPr>
        <w:rPr>
          <w:lang w:val="bs-Latn-BA"/>
        </w:rPr>
      </w:pPr>
      <w:r w:rsidRPr="008924E0">
        <w:rPr>
          <w:lang w:val="bs-Latn-BA"/>
        </w:rPr>
        <w:t xml:space="preserve">Europski zeleni plan i Europski zakon o klimi </w:t>
      </w:r>
      <w:r w:rsidR="004567DA" w:rsidRPr="008924E0">
        <w:rPr>
          <w:lang w:val="bs-Latn-BA"/>
        </w:rPr>
        <w:t>definiraju sve što je bitno za</w:t>
      </w:r>
      <w:r w:rsidRPr="008924E0">
        <w:rPr>
          <w:lang w:val="bs-Latn-BA"/>
        </w:rPr>
        <w:t xml:space="preserve"> postizanj</w:t>
      </w:r>
      <w:r w:rsidR="004567DA" w:rsidRPr="008924E0">
        <w:rPr>
          <w:lang w:val="bs-Latn-BA"/>
        </w:rPr>
        <w:t>e</w:t>
      </w:r>
      <w:r w:rsidRPr="008924E0">
        <w:rPr>
          <w:lang w:val="bs-Latn-BA"/>
        </w:rPr>
        <w:t xml:space="preserve"> cilja klimatske neutralnosti</w:t>
      </w:r>
      <w:r w:rsidR="00BC7090" w:rsidRPr="008924E0">
        <w:rPr>
          <w:lang w:val="bs-Latn-BA"/>
        </w:rPr>
        <w:t>, s</w:t>
      </w:r>
      <w:r w:rsidR="004567DA" w:rsidRPr="008924E0">
        <w:rPr>
          <w:lang w:val="bs-Latn-BA"/>
        </w:rPr>
        <w:t>toga je EU donijela niz prijedloga izmjena specifičnih direktiva te inicijativa, k</w:t>
      </w:r>
      <w:r w:rsidRPr="008924E0">
        <w:rPr>
          <w:lang w:val="bs-Latn-BA"/>
        </w:rPr>
        <w:t xml:space="preserve">ako bi različiti </w:t>
      </w:r>
      <w:r w:rsidR="004567DA" w:rsidRPr="008924E0">
        <w:rPr>
          <w:lang w:val="bs-Latn-BA"/>
        </w:rPr>
        <w:t>privredni sektori</w:t>
      </w:r>
      <w:r w:rsidRPr="008924E0">
        <w:rPr>
          <w:lang w:val="bs-Latn-BA"/>
        </w:rPr>
        <w:t xml:space="preserve"> </w:t>
      </w:r>
      <w:r w:rsidR="004567DA" w:rsidRPr="008924E0">
        <w:rPr>
          <w:lang w:val="bs-Latn-BA"/>
        </w:rPr>
        <w:t xml:space="preserve">dobili što konkretnije instrukcije šta trebaju poduzeti </w:t>
      </w:r>
      <w:r w:rsidRPr="008924E0">
        <w:rPr>
          <w:lang w:val="bs-Latn-BA"/>
        </w:rPr>
        <w:t>kako bi postigli te ciljeve</w:t>
      </w:r>
      <w:r w:rsidR="00FE5AB8">
        <w:rPr>
          <w:lang w:val="bs-Latn-BA"/>
        </w:rPr>
        <w:t>.</w:t>
      </w:r>
    </w:p>
    <w:p w14:paraId="62CB0871" w14:textId="5723A6C3" w:rsidR="00BC7090" w:rsidRPr="008924E0" w:rsidRDefault="00BC7090" w:rsidP="004567DA">
      <w:pPr>
        <w:rPr>
          <w:lang w:val="bs-Latn-BA"/>
        </w:rPr>
      </w:pPr>
      <w:r w:rsidRPr="008924E0">
        <w:rPr>
          <w:lang w:val="bs-Latn-BA"/>
        </w:rPr>
        <w:t>Sve navedeno, navodi na zaključak da s obzirom na udio zgrada u energ</w:t>
      </w:r>
      <w:r w:rsidR="008E00E8" w:rsidRPr="008924E0">
        <w:rPr>
          <w:lang w:val="bs-Latn-BA"/>
        </w:rPr>
        <w:t>ijskoj</w:t>
      </w:r>
      <w:r w:rsidRPr="008924E0">
        <w:rPr>
          <w:lang w:val="bs-Latn-BA"/>
        </w:rPr>
        <w:t xml:space="preserve"> potrebi i ukupnim emisijama CO</w:t>
      </w:r>
      <w:r w:rsidRPr="00DA1A46">
        <w:rPr>
          <w:vertAlign w:val="subscript"/>
          <w:lang w:val="bs-Latn-BA"/>
        </w:rPr>
        <w:t>2</w:t>
      </w:r>
      <w:r w:rsidRPr="008924E0">
        <w:rPr>
          <w:lang w:val="bs-Latn-BA"/>
        </w:rPr>
        <w:t xml:space="preserve">, građevinski sektor </w:t>
      </w:r>
      <w:r w:rsidR="001D48BF">
        <w:rPr>
          <w:lang w:val="bs-Latn-BA"/>
        </w:rPr>
        <w:t xml:space="preserve">se </w:t>
      </w:r>
      <w:r w:rsidRPr="008924E0">
        <w:rPr>
          <w:lang w:val="bs-Latn-BA"/>
        </w:rPr>
        <w:t>čini najlogičnijim kandidatom za prioritet u intervencijama  smanjenj</w:t>
      </w:r>
      <w:r w:rsidR="00327108">
        <w:rPr>
          <w:lang w:val="bs-Latn-BA"/>
        </w:rPr>
        <w:t>a</w:t>
      </w:r>
      <w:r w:rsidRPr="008924E0">
        <w:rPr>
          <w:lang w:val="bs-Latn-BA"/>
        </w:rPr>
        <w:t xml:space="preserve"> potreba za energijom i reduciranjem emisija CO</w:t>
      </w:r>
      <w:r w:rsidRPr="00DA1A46">
        <w:rPr>
          <w:vertAlign w:val="subscript"/>
          <w:lang w:val="bs-Latn-BA"/>
        </w:rPr>
        <w:t>2</w:t>
      </w:r>
      <w:r w:rsidRPr="008924E0">
        <w:rPr>
          <w:lang w:val="bs-Latn-BA"/>
        </w:rPr>
        <w:t xml:space="preserve">. </w:t>
      </w:r>
    </w:p>
    <w:p w14:paraId="7BE8BDD1" w14:textId="7D1E08FE" w:rsidR="004567DA" w:rsidRPr="008924E0" w:rsidRDefault="004567DA" w:rsidP="004567DA">
      <w:pPr>
        <w:rPr>
          <w:lang w:val="bs-Latn-BA"/>
        </w:rPr>
      </w:pPr>
      <w:r w:rsidRPr="008924E0">
        <w:rPr>
          <w:lang w:val="bs-Latn-BA"/>
        </w:rPr>
        <w:t xml:space="preserve">U kontekstu </w:t>
      </w:r>
      <w:r w:rsidR="00010793">
        <w:rPr>
          <w:lang w:val="bs-Latn-BA"/>
        </w:rPr>
        <w:t>energij</w:t>
      </w:r>
      <w:r w:rsidRPr="008924E0">
        <w:rPr>
          <w:lang w:val="bs-Latn-BA"/>
        </w:rPr>
        <w:t xml:space="preserve">ske tranzicije, jedan od izazova je </w:t>
      </w:r>
      <w:r w:rsidR="00010793">
        <w:rPr>
          <w:lang w:val="bs-Latn-BA"/>
        </w:rPr>
        <w:t>energij</w:t>
      </w:r>
      <w:r w:rsidRPr="008924E0">
        <w:rPr>
          <w:lang w:val="bs-Latn-BA"/>
        </w:rPr>
        <w:t xml:space="preserve">ska obnova zgrada koja će zahtijevati velika </w:t>
      </w:r>
      <w:r w:rsidR="007B690C">
        <w:rPr>
          <w:lang w:val="bs-Latn-BA"/>
        </w:rPr>
        <w:t>financ</w:t>
      </w:r>
      <w:r w:rsidRPr="008924E0">
        <w:rPr>
          <w:lang w:val="bs-Latn-BA"/>
        </w:rPr>
        <w:t>ijska sredstva i angažiranje velikog građevinskog potencijala.</w:t>
      </w:r>
      <w:r w:rsidR="00BC7090" w:rsidRPr="008924E0">
        <w:rPr>
          <w:lang w:val="bs-Latn-BA"/>
        </w:rPr>
        <w:t xml:space="preserve"> Strategija Razvoja FBiH</w:t>
      </w:r>
      <w:r w:rsidR="00B37F43" w:rsidRPr="008924E0">
        <w:rPr>
          <w:lang w:val="bs-Latn-BA"/>
        </w:rPr>
        <w:t xml:space="preserve"> 2021-2027</w:t>
      </w:r>
      <w:r w:rsidR="00BC7090" w:rsidRPr="008924E0">
        <w:rPr>
          <w:lang w:val="bs-Latn-BA"/>
        </w:rPr>
        <w:t xml:space="preserve">, kroz </w:t>
      </w:r>
      <w:r w:rsidR="00BC7090" w:rsidRPr="001D48BF">
        <w:rPr>
          <w:i/>
          <w:iCs/>
          <w:lang w:val="bs-Latn-BA"/>
        </w:rPr>
        <w:t xml:space="preserve">strateški cilji 3. Resursno efikasan </w:t>
      </w:r>
      <w:r w:rsidR="008E00E8" w:rsidRPr="001D48BF">
        <w:rPr>
          <w:i/>
          <w:iCs/>
          <w:lang w:val="bs-Latn-BA"/>
        </w:rPr>
        <w:t>i</w:t>
      </w:r>
      <w:r w:rsidR="00BC7090" w:rsidRPr="001D48BF">
        <w:rPr>
          <w:i/>
          <w:iCs/>
          <w:lang w:val="bs-Latn-BA"/>
        </w:rPr>
        <w:t xml:space="preserve"> održiv razvoj,</w:t>
      </w:r>
      <w:r w:rsidR="00BC7090" w:rsidRPr="008924E0">
        <w:rPr>
          <w:lang w:val="bs-Latn-BA"/>
        </w:rPr>
        <w:t xml:space="preserve"> preko </w:t>
      </w:r>
      <w:r w:rsidR="00BC7090" w:rsidRPr="001D48BF">
        <w:rPr>
          <w:i/>
          <w:iCs/>
          <w:lang w:val="bs-Latn-BA"/>
        </w:rPr>
        <w:t>prioriteta 3.3 Povećati energijsku efikasnost</w:t>
      </w:r>
      <w:r w:rsidR="00BC7090" w:rsidRPr="008924E0">
        <w:rPr>
          <w:lang w:val="bs-Latn-BA"/>
        </w:rPr>
        <w:t xml:space="preserve">, ukazuje na </w:t>
      </w:r>
      <w:r w:rsidR="00B37F43" w:rsidRPr="008924E0">
        <w:rPr>
          <w:lang w:val="bs-Latn-BA"/>
        </w:rPr>
        <w:t xml:space="preserve">značaj poboljšanja energijskih karakteristika zgrada, posebno onih koje koriste organizacije javnog sektora, kao i na tehničku i </w:t>
      </w:r>
      <w:r w:rsidR="007B690C">
        <w:rPr>
          <w:lang w:val="bs-Latn-BA"/>
        </w:rPr>
        <w:t>financ</w:t>
      </w:r>
      <w:r w:rsidR="00B37F43" w:rsidRPr="008924E0">
        <w:rPr>
          <w:lang w:val="bs-Latn-BA"/>
        </w:rPr>
        <w:t xml:space="preserve">ijsku podršku malim i srednjim preduzećima (MSP) i javnim komunalnim preduzećima, provođenja energijskih audita i uvođenje sistema upravljanja energijom, uključujući i implementaciju ISO 50001 standarda, usvajanje modela kontinuiranog osiguranja sredstava za realizaciju planova EE uspostavom održivog namjenskog fonda, korištenjem mehanizma obligacionih </w:t>
      </w:r>
      <w:r w:rsidR="00B37F43" w:rsidRPr="008924E0">
        <w:rPr>
          <w:lang w:val="bs-Latn-BA"/>
        </w:rPr>
        <w:lastRenderedPageBreak/>
        <w:t xml:space="preserve">šema i sredstava iz budžeta, podržavanje uspostavljanja šema </w:t>
      </w:r>
      <w:r w:rsidR="007B690C">
        <w:rPr>
          <w:lang w:val="bs-Latn-BA"/>
        </w:rPr>
        <w:t>financ</w:t>
      </w:r>
      <w:r w:rsidR="00B37F43" w:rsidRPr="008924E0">
        <w:rPr>
          <w:lang w:val="bs-Latn-BA"/>
        </w:rPr>
        <w:t xml:space="preserve">iranja EE iz privatnih sredstava, između ostalog putem energijskih zadruga, javno-privatnog partnerstva i kompanija za pružanje energijskih usluga (prema ESCO modelu) i </w:t>
      </w:r>
      <w:r w:rsidR="007B690C">
        <w:rPr>
          <w:lang w:val="bs-Latn-BA"/>
        </w:rPr>
        <w:t>financ</w:t>
      </w:r>
      <w:r w:rsidR="00B37F43" w:rsidRPr="008924E0">
        <w:rPr>
          <w:lang w:val="bs-Latn-BA"/>
        </w:rPr>
        <w:t>iranje projekata EE formiranjem namjenske kreditne linije Razvojne banke FBiH za projekte u MSP-ima i lokalnim zajednicama.</w:t>
      </w:r>
    </w:p>
    <w:p w14:paraId="06D65BD0" w14:textId="178EE88F" w:rsidR="00B37F43" w:rsidRPr="008924E0" w:rsidRDefault="00B37F43" w:rsidP="004567DA">
      <w:pPr>
        <w:rPr>
          <w:lang w:val="bs-Latn-BA"/>
        </w:rPr>
      </w:pPr>
      <w:r w:rsidRPr="008924E0">
        <w:rPr>
          <w:lang w:val="bs-Latn-BA"/>
        </w:rPr>
        <w:t>Strategija zaštit</w:t>
      </w:r>
      <w:r w:rsidR="008E00E8" w:rsidRPr="008924E0">
        <w:rPr>
          <w:lang w:val="bs-Latn-BA"/>
        </w:rPr>
        <w:t>e</w:t>
      </w:r>
      <w:r w:rsidRPr="008924E0">
        <w:rPr>
          <w:lang w:val="bs-Latn-BA"/>
        </w:rPr>
        <w:t xml:space="preserve"> </w:t>
      </w:r>
      <w:r w:rsidRPr="00195EE6">
        <w:rPr>
          <w:color w:val="000000" w:themeColor="text1"/>
          <w:lang w:val="bs-Latn-BA"/>
        </w:rPr>
        <w:t xml:space="preserve">okoliša </w:t>
      </w:r>
      <w:r w:rsidR="00D64A0E">
        <w:rPr>
          <w:color w:val="000000" w:themeColor="text1"/>
          <w:lang w:val="bs-Latn-BA"/>
        </w:rPr>
        <w:t xml:space="preserve">Federacije </w:t>
      </w:r>
      <w:r w:rsidRPr="00195EE6">
        <w:rPr>
          <w:color w:val="000000" w:themeColor="text1"/>
          <w:lang w:val="bs-Latn-BA"/>
        </w:rPr>
        <w:t>B</w:t>
      </w:r>
      <w:r w:rsidR="00D64A0E">
        <w:rPr>
          <w:color w:val="000000" w:themeColor="text1"/>
          <w:lang w:val="bs-Latn-BA"/>
        </w:rPr>
        <w:t xml:space="preserve">osne </w:t>
      </w:r>
      <w:r w:rsidRPr="00195EE6">
        <w:rPr>
          <w:color w:val="000000" w:themeColor="text1"/>
          <w:lang w:val="bs-Latn-BA"/>
        </w:rPr>
        <w:t>i</w:t>
      </w:r>
      <w:r w:rsidR="00D64A0E">
        <w:rPr>
          <w:color w:val="000000" w:themeColor="text1"/>
          <w:lang w:val="bs-Latn-BA"/>
        </w:rPr>
        <w:t xml:space="preserve"> </w:t>
      </w:r>
      <w:r w:rsidRPr="00195EE6">
        <w:rPr>
          <w:color w:val="000000" w:themeColor="text1"/>
          <w:lang w:val="bs-Latn-BA"/>
        </w:rPr>
        <w:t>H</w:t>
      </w:r>
      <w:r w:rsidR="00D64A0E">
        <w:rPr>
          <w:color w:val="000000" w:themeColor="text1"/>
          <w:lang w:val="bs-Latn-BA"/>
        </w:rPr>
        <w:t>ercegovine</w:t>
      </w:r>
      <w:r w:rsidRPr="00195EE6">
        <w:rPr>
          <w:color w:val="000000" w:themeColor="text1"/>
          <w:lang w:val="bs-Latn-BA"/>
        </w:rPr>
        <w:t xml:space="preserve"> 2022</w:t>
      </w:r>
      <w:r w:rsidR="006977C3">
        <w:rPr>
          <w:color w:val="000000" w:themeColor="text1"/>
          <w:lang w:val="bs-Latn-BA"/>
        </w:rPr>
        <w:t>.</w:t>
      </w:r>
      <w:r w:rsidRPr="00195EE6">
        <w:rPr>
          <w:color w:val="000000" w:themeColor="text1"/>
          <w:lang w:val="bs-Latn-BA"/>
        </w:rPr>
        <w:t>-2032</w:t>
      </w:r>
      <w:r w:rsidR="006977C3">
        <w:rPr>
          <w:color w:val="000000" w:themeColor="text1"/>
          <w:lang w:val="bs-Latn-BA"/>
        </w:rPr>
        <w:t>.</w:t>
      </w:r>
      <w:r w:rsidRPr="00195EE6">
        <w:rPr>
          <w:color w:val="000000" w:themeColor="text1"/>
          <w:lang w:val="bs-Latn-BA"/>
        </w:rPr>
        <w:t xml:space="preserve"> kroz </w:t>
      </w:r>
      <w:r w:rsidRPr="008924E0">
        <w:rPr>
          <w:lang w:val="bs-Latn-BA"/>
        </w:rPr>
        <w:t xml:space="preserve">prioritet </w:t>
      </w:r>
      <w:r w:rsidRPr="001D48BF">
        <w:rPr>
          <w:i/>
          <w:iCs/>
          <w:lang w:val="bs-Latn-BA"/>
        </w:rPr>
        <w:t>4.5. Povećanje energijske efikasnosti u krajnjoj potrošnji u svim sektorima, što će se postići kreiranjem povoljnog ambijenta unaprjeđenjem zakonodavnog okvira, smanjenjem potrošnje energije u stambenim i nestambenim zgradama,</w:t>
      </w:r>
      <w:r w:rsidRPr="008924E0">
        <w:rPr>
          <w:lang w:val="bs-Latn-BA"/>
        </w:rPr>
        <w:t xml:space="preserve"> povećanjem energijske efikasnosti u industriji i smanjenjem potrošnje primarne energije, </w:t>
      </w:r>
      <w:r w:rsidR="008E00E8" w:rsidRPr="008924E0">
        <w:rPr>
          <w:lang w:val="bs-Latn-BA"/>
        </w:rPr>
        <w:t xml:space="preserve">također </w:t>
      </w:r>
      <w:r w:rsidRPr="008924E0">
        <w:rPr>
          <w:lang w:val="bs-Latn-BA"/>
        </w:rPr>
        <w:t xml:space="preserve">ukazuje na značaj </w:t>
      </w:r>
      <w:r w:rsidR="007467A4" w:rsidRPr="008924E0">
        <w:rPr>
          <w:lang w:val="bs-Latn-BA"/>
        </w:rPr>
        <w:t>energijske obnove sa aspekta zaštitu okoliša.</w:t>
      </w:r>
    </w:p>
    <w:p w14:paraId="16D54FC4" w14:textId="0DC17836" w:rsidR="008C0C57" w:rsidRPr="008924E0" w:rsidRDefault="007467A4" w:rsidP="007467A4">
      <w:pPr>
        <w:rPr>
          <w:lang w:val="bs-Latn-BA"/>
        </w:rPr>
      </w:pPr>
      <w:r w:rsidRPr="008924E0">
        <w:rPr>
          <w:lang w:val="bs-Latn-BA"/>
        </w:rPr>
        <w:t xml:space="preserve">U tom smislu, zgradu je potrebno posmatrati kao skup proizvoda i materijala sa snažnim utjecajem na </w:t>
      </w:r>
      <w:r w:rsidR="008E00E8" w:rsidRPr="008924E0">
        <w:rPr>
          <w:lang w:val="bs-Latn-BA"/>
        </w:rPr>
        <w:t>okoli</w:t>
      </w:r>
      <w:r w:rsidR="00A367A5">
        <w:rPr>
          <w:lang w:val="bs-Latn-BA"/>
        </w:rPr>
        <w:t>š</w:t>
      </w:r>
      <w:r w:rsidR="008E00E8" w:rsidRPr="008924E0">
        <w:rPr>
          <w:lang w:val="bs-Latn-BA"/>
        </w:rPr>
        <w:t xml:space="preserve">, </w:t>
      </w:r>
      <w:r w:rsidRPr="008924E0">
        <w:rPr>
          <w:lang w:val="bs-Latn-BA"/>
        </w:rPr>
        <w:t>društvo</w:t>
      </w:r>
      <w:r w:rsidR="008E00E8" w:rsidRPr="008924E0">
        <w:rPr>
          <w:lang w:val="bs-Latn-BA"/>
        </w:rPr>
        <w:t xml:space="preserve"> i privredu</w:t>
      </w:r>
      <w:r w:rsidRPr="008924E0">
        <w:rPr>
          <w:lang w:val="bs-Latn-BA"/>
        </w:rPr>
        <w:t>. Kako bi se o</w:t>
      </w:r>
      <w:r w:rsidR="008E00E8" w:rsidRPr="008924E0">
        <w:rPr>
          <w:lang w:val="bs-Latn-BA"/>
        </w:rPr>
        <w:t xml:space="preserve">vi </w:t>
      </w:r>
      <w:r w:rsidRPr="008924E0">
        <w:rPr>
          <w:lang w:val="bs-Latn-BA"/>
        </w:rPr>
        <w:t>utjecaji kvantificirali i kako bi se njima moglo upravljati, utjecaj zgrade kao cjeline i svaki materijal i proizvod u zgradi potrebno je posmatrati u cijeloživotnom ciklusu. Upravo zato što ovaj kompleksan proces ne može samostalno provesti niti jedan od društvenih ili privrednih sektora, potrebno je da javni i privatni sektor kao i svi sudionici građevinske operative (urbanisti, projektanti i izvođač</w:t>
      </w:r>
      <w:r w:rsidR="008E00E8" w:rsidRPr="008924E0">
        <w:rPr>
          <w:lang w:val="bs-Latn-BA"/>
        </w:rPr>
        <w:t>i</w:t>
      </w:r>
      <w:r w:rsidRPr="008924E0">
        <w:rPr>
          <w:lang w:val="bs-Latn-BA"/>
        </w:rPr>
        <w:t xml:space="preserve">) </w:t>
      </w:r>
      <w:r w:rsidR="001D48BF">
        <w:rPr>
          <w:lang w:val="bs-Latn-BA"/>
        </w:rPr>
        <w:t xml:space="preserve">ali i </w:t>
      </w:r>
      <w:r w:rsidRPr="008924E0">
        <w:rPr>
          <w:lang w:val="bs-Latn-BA"/>
        </w:rPr>
        <w:t>k</w:t>
      </w:r>
      <w:r w:rsidR="006812B2" w:rsidRPr="008924E0">
        <w:rPr>
          <w:lang w:val="bs-Latn-BA"/>
        </w:rPr>
        <w:t xml:space="preserve">orisnici </w:t>
      </w:r>
      <w:r w:rsidRPr="008924E0">
        <w:rPr>
          <w:lang w:val="bs-Latn-BA"/>
        </w:rPr>
        <w:t>zgrade, napreduju sin</w:t>
      </w:r>
      <w:r w:rsidR="008E00E8" w:rsidRPr="008924E0">
        <w:rPr>
          <w:lang w:val="bs-Latn-BA"/>
        </w:rPr>
        <w:t>h</w:t>
      </w:r>
      <w:r w:rsidRPr="008924E0">
        <w:rPr>
          <w:lang w:val="bs-Latn-BA"/>
        </w:rPr>
        <w:t>ronizirano</w:t>
      </w:r>
      <w:r w:rsidR="008E00E8" w:rsidRPr="008924E0">
        <w:rPr>
          <w:lang w:val="bs-Latn-BA"/>
        </w:rPr>
        <w:t>.</w:t>
      </w:r>
    </w:p>
    <w:p w14:paraId="2C78A4A3" w14:textId="3139CD29" w:rsidR="00055321" w:rsidRPr="008924E0" w:rsidRDefault="00740D4F">
      <w:pPr>
        <w:spacing w:line="240" w:lineRule="auto"/>
        <w:rPr>
          <w:lang w:val="bs-Latn-BA"/>
        </w:rPr>
      </w:pPr>
      <w:r w:rsidRPr="008924E0">
        <w:rPr>
          <w:lang w:val="bs-Latn-BA"/>
        </w:rPr>
        <w:t>Značajan procen</w:t>
      </w:r>
      <w:r w:rsidR="007467A4" w:rsidRPr="008924E0">
        <w:rPr>
          <w:lang w:val="bs-Latn-BA"/>
        </w:rPr>
        <w:t>a</w:t>
      </w:r>
      <w:r w:rsidRPr="008924E0">
        <w:rPr>
          <w:lang w:val="bs-Latn-BA"/>
        </w:rPr>
        <w:t>t zgrada u stambenom sektoru FBiH je ocijenjen kao energijski neefikasan</w:t>
      </w:r>
      <w:r w:rsidR="008E00E8" w:rsidRPr="008924E0">
        <w:rPr>
          <w:lang w:val="bs-Latn-BA"/>
        </w:rPr>
        <w:t xml:space="preserve"> zbog </w:t>
      </w:r>
      <w:r w:rsidRPr="008924E0">
        <w:rPr>
          <w:lang w:val="bs-Latn-BA"/>
        </w:rPr>
        <w:t>prekomjern</w:t>
      </w:r>
      <w:r w:rsidR="008E00E8" w:rsidRPr="008924E0">
        <w:rPr>
          <w:lang w:val="bs-Latn-BA"/>
        </w:rPr>
        <w:t>e</w:t>
      </w:r>
      <w:r w:rsidRPr="008924E0">
        <w:rPr>
          <w:lang w:val="bs-Latn-BA"/>
        </w:rPr>
        <w:t xml:space="preserve"> potrošnj</w:t>
      </w:r>
      <w:r w:rsidR="008E00E8" w:rsidRPr="008924E0">
        <w:rPr>
          <w:lang w:val="bs-Latn-BA"/>
        </w:rPr>
        <w:t>e</w:t>
      </w:r>
      <w:r w:rsidRPr="008924E0">
        <w:rPr>
          <w:lang w:val="bs-Latn-BA"/>
        </w:rPr>
        <w:t xml:space="preserve"> energije</w:t>
      </w:r>
      <w:r w:rsidR="00A367A5">
        <w:rPr>
          <w:lang w:val="bs-Latn-BA"/>
        </w:rPr>
        <w:t>.</w:t>
      </w:r>
      <w:r w:rsidRPr="008924E0">
        <w:rPr>
          <w:lang w:val="bs-Latn-BA"/>
        </w:rPr>
        <w:t xml:space="preserve"> </w:t>
      </w:r>
      <w:r w:rsidR="00A367A5">
        <w:rPr>
          <w:lang w:val="bs-Latn-BA"/>
        </w:rPr>
        <w:t>U</w:t>
      </w:r>
      <w:r w:rsidR="006812B2" w:rsidRPr="008924E0">
        <w:rPr>
          <w:lang w:val="bs-Latn-BA"/>
        </w:rPr>
        <w:t>vjet</w:t>
      </w:r>
      <w:r w:rsidRPr="008924E0">
        <w:rPr>
          <w:lang w:val="bs-Latn-BA"/>
        </w:rPr>
        <w:t xml:space="preserve">i termalnog komfora nisu ispunjeni u velikom broju zgrada te ovakav stambeni sektor predstavlja rizik po zdravlje i kvalitet života građana. Strateški cilj podrazumijeva značajno smanjenje apsolutne i specifične potrošnje finalne i primarne energije stambenog sektora. Realizacija cilja se može postići implementacijom mjera energijske efikasnosti, a koje </w:t>
      </w:r>
      <w:r w:rsidR="008E00E8" w:rsidRPr="008924E0">
        <w:rPr>
          <w:lang w:val="bs-Latn-BA"/>
        </w:rPr>
        <w:t>će obuhvatiti</w:t>
      </w:r>
      <w:r w:rsidRPr="008924E0">
        <w:rPr>
          <w:lang w:val="bs-Latn-BA"/>
        </w:rPr>
        <w:t xml:space="preserve"> arhitektonsko</w:t>
      </w:r>
      <w:r w:rsidR="006812B2" w:rsidRPr="008924E0">
        <w:rPr>
          <w:lang w:val="bs-Latn-BA"/>
        </w:rPr>
        <w:t>-</w:t>
      </w:r>
      <w:r w:rsidRPr="008924E0">
        <w:rPr>
          <w:lang w:val="bs-Latn-BA"/>
        </w:rPr>
        <w:t>građevinske mjere (postavljanje toplotne izolacije na elemente ovojnice zgrade</w:t>
      </w:r>
      <w:r w:rsidR="008E00E8" w:rsidRPr="008924E0">
        <w:rPr>
          <w:lang w:val="bs-Latn-BA"/>
        </w:rPr>
        <w:t xml:space="preserve"> i </w:t>
      </w:r>
      <w:r w:rsidRPr="008924E0">
        <w:rPr>
          <w:lang w:val="bs-Latn-BA"/>
        </w:rPr>
        <w:t>unapr</w:t>
      </w:r>
      <w:r w:rsidR="009232D3" w:rsidRPr="008924E0">
        <w:rPr>
          <w:lang w:val="bs-Latn-BA"/>
        </w:rPr>
        <w:t>i</w:t>
      </w:r>
      <w:r w:rsidRPr="008924E0">
        <w:rPr>
          <w:lang w:val="bs-Latn-BA"/>
        </w:rPr>
        <w:t xml:space="preserve">jeđenje energijskih karakteristika </w:t>
      </w:r>
      <w:r w:rsidR="008E00E8" w:rsidRPr="008924E0">
        <w:rPr>
          <w:lang w:val="bs-Latn-BA"/>
        </w:rPr>
        <w:t>vanjske stolarije</w:t>
      </w:r>
      <w:r w:rsidRPr="008924E0">
        <w:rPr>
          <w:lang w:val="bs-Latn-BA"/>
        </w:rPr>
        <w:t>), mjera poboljšanja efikasnosti termotehničkih sistema (korištenje visokoefikasnih sistema grijanja i hlađenja), implementaciju sistema baziranih na obnovljivim izvorima energije (instalacija toplotnih pumpi tlo/voda, instalacija solarnih panela za pripremu PTV, instalacija fotonaponskih panela za proizvodnju električne energije i slično)</w:t>
      </w:r>
      <w:r w:rsidR="008E00E8" w:rsidRPr="008924E0">
        <w:rPr>
          <w:lang w:val="bs-Latn-BA"/>
        </w:rPr>
        <w:t xml:space="preserve"> te </w:t>
      </w:r>
      <w:r w:rsidRPr="008924E0">
        <w:rPr>
          <w:lang w:val="bs-Latn-BA"/>
        </w:rPr>
        <w:t xml:space="preserve">korištenje visokoefikasnih uređaja </w:t>
      </w:r>
      <w:r w:rsidR="008E00E8" w:rsidRPr="008924E0">
        <w:rPr>
          <w:lang w:val="bs-Latn-BA"/>
        </w:rPr>
        <w:t>unutar zgrade</w:t>
      </w:r>
      <w:r w:rsidRPr="008924E0">
        <w:rPr>
          <w:lang w:val="bs-Latn-BA"/>
        </w:rPr>
        <w:t>. Implementacija ovih mjera će osigurati smanjenje potrošnje energije, poboljšanje kvalitete života i značajne ekonomske benefite stanovnika FBiH.</w:t>
      </w:r>
    </w:p>
    <w:p w14:paraId="3850BFD3" w14:textId="77777777" w:rsidR="008E00E8" w:rsidRPr="008924E0" w:rsidRDefault="009232D3" w:rsidP="009232D3">
      <w:pPr>
        <w:spacing w:after="0" w:line="240" w:lineRule="auto"/>
        <w:rPr>
          <w:lang w:val="bs-Latn-BA"/>
        </w:rPr>
      </w:pPr>
      <w:r w:rsidRPr="008924E0">
        <w:rPr>
          <w:lang w:val="bs-Latn-BA"/>
        </w:rPr>
        <w:t xml:space="preserve">Sistemi grijanja u stambenim i javnim zgradama su bazirani na potrošnji fosilnih goriva. </w:t>
      </w:r>
      <w:r w:rsidR="008E00E8" w:rsidRPr="008924E0">
        <w:rPr>
          <w:lang w:val="bs-Latn-BA"/>
        </w:rPr>
        <w:t>Imajući u vidu</w:t>
      </w:r>
      <w:r w:rsidRPr="008924E0">
        <w:rPr>
          <w:lang w:val="bs-Latn-BA"/>
        </w:rPr>
        <w:t xml:space="preserve"> da je većina zgrada ocijenjena kao energijski neefikasna i da su dominantni sistemi grijanja dotrajali i niske ukupne efikasnosti, rezultat je velika koncentracija stakleničkih plinova u atmosferi koja potječe od ovih sistema. </w:t>
      </w:r>
    </w:p>
    <w:p w14:paraId="012E5B68" w14:textId="12DD56FD" w:rsidR="009232D3" w:rsidRPr="008924E0" w:rsidRDefault="009232D3" w:rsidP="009232D3">
      <w:pPr>
        <w:spacing w:after="0" w:line="240" w:lineRule="auto"/>
        <w:rPr>
          <w:lang w:val="bs-Latn-BA"/>
        </w:rPr>
      </w:pPr>
      <w:r w:rsidRPr="008924E0">
        <w:rPr>
          <w:lang w:val="bs-Latn-BA"/>
        </w:rPr>
        <w:t>Sveobuhvatnom energijskom obnovom stambenog sektora, izgradnjom zgrada gotovo nulte energije i povećanjem udjela obnovljivih izvora energije u sistemu snabdijevanja energijom zgrada, postići će se dekarbonizacija sektora zgradarstva i značajn</w:t>
      </w:r>
      <w:r w:rsidR="006812B2" w:rsidRPr="008924E0">
        <w:rPr>
          <w:lang w:val="bs-Latn-BA"/>
        </w:rPr>
        <w:t>o reducirati</w:t>
      </w:r>
      <w:r w:rsidRPr="008924E0">
        <w:rPr>
          <w:lang w:val="bs-Latn-BA"/>
        </w:rPr>
        <w:t xml:space="preserve"> emisije stakleničkih plinova. Osim tehničkim mjera,  za realizaciju ovog cilja su neophodna  institucionalna i pravna rješenja.</w:t>
      </w:r>
    </w:p>
    <w:p w14:paraId="604DA0CD" w14:textId="77777777" w:rsidR="009232D3" w:rsidRPr="008924E0" w:rsidRDefault="009232D3">
      <w:pPr>
        <w:rPr>
          <w:i/>
          <w:iCs/>
          <w:szCs w:val="18"/>
          <w:lang w:val="bs-Latn-BA"/>
        </w:rPr>
      </w:pPr>
      <w:r w:rsidRPr="008924E0">
        <w:rPr>
          <w:lang w:val="bs-Latn-BA"/>
        </w:rPr>
        <w:br w:type="page"/>
      </w:r>
    </w:p>
    <w:p w14:paraId="693369DF" w14:textId="45026CD5" w:rsidR="00973648" w:rsidRPr="008924E0" w:rsidRDefault="00973648" w:rsidP="00973648">
      <w:pPr>
        <w:pStyle w:val="Caption"/>
        <w:keepNext/>
      </w:pPr>
      <w:bookmarkStart w:id="84" w:name="_Toc133499545"/>
      <w:r w:rsidRPr="008924E0">
        <w:lastRenderedPageBreak/>
        <w:t xml:space="preserve">Tabela </w:t>
      </w:r>
      <w:fldSimple w:instr=" STYLEREF 1 \s ">
        <w:r w:rsidR="004A246B">
          <w:rPr>
            <w:noProof/>
          </w:rPr>
          <w:t>5</w:t>
        </w:r>
      </w:fldSimple>
      <w:r w:rsidR="004A246B">
        <w:t>.</w:t>
      </w:r>
      <w:r w:rsidR="00000000">
        <w:fldChar w:fldCharType="begin"/>
      </w:r>
      <w:r w:rsidR="00000000">
        <w:instrText xml:space="preserve"> SEQ Tabela \* ARABIC \s 1 </w:instrText>
      </w:r>
      <w:r w:rsidR="00000000">
        <w:fldChar w:fldCharType="separate"/>
      </w:r>
      <w:r w:rsidR="004A246B">
        <w:rPr>
          <w:noProof/>
        </w:rPr>
        <w:t>2</w:t>
      </w:r>
      <w:r w:rsidR="00000000">
        <w:rPr>
          <w:noProof/>
        </w:rPr>
        <w:fldChar w:fldCharType="end"/>
      </w:r>
      <w:r w:rsidRPr="008924E0">
        <w:rPr>
          <w:color w:val="000000"/>
        </w:rPr>
        <w:t xml:space="preserve"> Strateški cilj i indikatori uticaja</w:t>
      </w:r>
      <w:bookmarkEnd w:id="84"/>
    </w:p>
    <w:tbl>
      <w:tblPr>
        <w:tblStyle w:val="8"/>
        <w:tblW w:w="9017" w:type="dxa"/>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2605"/>
        <w:gridCol w:w="2250"/>
        <w:gridCol w:w="2160"/>
        <w:gridCol w:w="2002"/>
      </w:tblGrid>
      <w:tr w:rsidR="00055321" w:rsidRPr="008924E0" w14:paraId="06E15207" w14:textId="77777777" w:rsidTr="000879D8">
        <w:trPr>
          <w:trHeight w:val="840"/>
          <w:jc w:val="center"/>
        </w:trPr>
        <w:tc>
          <w:tcPr>
            <w:tcW w:w="2605" w:type="dxa"/>
            <w:tcBorders>
              <w:bottom w:val="nil"/>
            </w:tcBorders>
            <w:shd w:val="clear" w:color="auto" w:fill="005837"/>
          </w:tcPr>
          <w:p w14:paraId="56D5863C" w14:textId="77777777" w:rsidR="00055321" w:rsidRPr="00FA0D4B" w:rsidRDefault="00055321" w:rsidP="00A852A5">
            <w:pPr>
              <w:widowControl w:val="0"/>
              <w:pBdr>
                <w:top w:val="nil"/>
                <w:left w:val="nil"/>
                <w:bottom w:val="nil"/>
                <w:right w:val="nil"/>
                <w:between w:val="nil"/>
              </w:pBdr>
              <w:spacing w:before="1"/>
              <w:rPr>
                <w:rFonts w:asciiTheme="minorHAnsi" w:eastAsia="Trebuchet MS" w:hAnsiTheme="minorHAnsi" w:cstheme="minorHAnsi"/>
                <w:b/>
                <w:bCs/>
                <w:sz w:val="22"/>
                <w:szCs w:val="22"/>
                <w:lang w:val="bs-Latn-BA"/>
              </w:rPr>
            </w:pPr>
          </w:p>
          <w:p w14:paraId="588B8244" w14:textId="77777777" w:rsidR="00055321" w:rsidRPr="00FA0D4B" w:rsidRDefault="00740D4F" w:rsidP="00A852A5">
            <w:pPr>
              <w:widowControl w:val="0"/>
              <w:pBdr>
                <w:top w:val="nil"/>
                <w:left w:val="nil"/>
                <w:bottom w:val="nil"/>
                <w:right w:val="nil"/>
                <w:between w:val="nil"/>
              </w:pBdr>
              <w:ind w:left="56"/>
              <w:rPr>
                <w:rFonts w:asciiTheme="minorHAnsi" w:eastAsia="Helvetica Neue" w:hAnsiTheme="minorHAnsi" w:cstheme="minorHAnsi"/>
                <w:b/>
                <w:bCs/>
                <w:sz w:val="22"/>
                <w:szCs w:val="22"/>
                <w:lang w:val="bs-Latn-BA"/>
              </w:rPr>
            </w:pPr>
            <w:r w:rsidRPr="00FA0D4B">
              <w:rPr>
                <w:rFonts w:asciiTheme="minorHAnsi" w:eastAsia="Helvetica Neue" w:hAnsiTheme="minorHAnsi" w:cstheme="minorHAnsi"/>
                <w:b/>
                <w:bCs/>
                <w:color w:val="FFFFFF"/>
                <w:sz w:val="22"/>
                <w:szCs w:val="22"/>
                <w:lang w:val="bs-Latn-BA"/>
              </w:rPr>
              <w:t>STRATEŠKI CILJEVI</w:t>
            </w:r>
          </w:p>
        </w:tc>
        <w:tc>
          <w:tcPr>
            <w:tcW w:w="2250" w:type="dxa"/>
            <w:shd w:val="clear" w:color="auto" w:fill="005837"/>
          </w:tcPr>
          <w:p w14:paraId="7B114CB5" w14:textId="77777777" w:rsidR="00055321" w:rsidRPr="00FA0D4B" w:rsidRDefault="00055321" w:rsidP="00A852A5">
            <w:pPr>
              <w:widowControl w:val="0"/>
              <w:pBdr>
                <w:top w:val="nil"/>
                <w:left w:val="nil"/>
                <w:bottom w:val="nil"/>
                <w:right w:val="nil"/>
                <w:between w:val="nil"/>
              </w:pBdr>
              <w:spacing w:before="1"/>
              <w:rPr>
                <w:rFonts w:asciiTheme="minorHAnsi" w:eastAsia="Trebuchet MS" w:hAnsiTheme="minorHAnsi" w:cstheme="minorHAnsi"/>
                <w:b/>
                <w:bCs/>
                <w:sz w:val="22"/>
                <w:szCs w:val="22"/>
                <w:lang w:val="bs-Latn-BA"/>
              </w:rPr>
            </w:pPr>
          </w:p>
          <w:p w14:paraId="61B8AC12" w14:textId="77777777" w:rsidR="00055321" w:rsidRPr="00FA0D4B" w:rsidRDefault="00740D4F" w:rsidP="00A852A5">
            <w:pPr>
              <w:widowControl w:val="0"/>
              <w:pBdr>
                <w:top w:val="nil"/>
                <w:left w:val="nil"/>
                <w:bottom w:val="nil"/>
                <w:right w:val="nil"/>
                <w:between w:val="nil"/>
              </w:pBdr>
              <w:ind w:left="338"/>
              <w:jc w:val="both"/>
              <w:rPr>
                <w:rFonts w:asciiTheme="minorHAnsi" w:eastAsia="Helvetica Neue" w:hAnsiTheme="minorHAnsi" w:cstheme="minorHAnsi"/>
                <w:b/>
                <w:bCs/>
                <w:sz w:val="22"/>
                <w:szCs w:val="22"/>
                <w:lang w:val="bs-Latn-BA"/>
              </w:rPr>
            </w:pPr>
            <w:r w:rsidRPr="00FA0D4B">
              <w:rPr>
                <w:rFonts w:asciiTheme="minorHAnsi" w:eastAsia="Helvetica Neue" w:hAnsiTheme="minorHAnsi" w:cstheme="minorHAnsi"/>
                <w:b/>
                <w:bCs/>
                <w:color w:val="FFFFFF"/>
                <w:sz w:val="22"/>
                <w:szCs w:val="22"/>
                <w:lang w:val="bs-Latn-BA"/>
              </w:rPr>
              <w:t>INDIKATORI UTICAJA</w:t>
            </w:r>
          </w:p>
        </w:tc>
        <w:tc>
          <w:tcPr>
            <w:tcW w:w="2160" w:type="dxa"/>
            <w:shd w:val="clear" w:color="auto" w:fill="005837"/>
          </w:tcPr>
          <w:p w14:paraId="04AE132C" w14:textId="77777777" w:rsidR="00055321" w:rsidRPr="00FA0D4B" w:rsidRDefault="00055321">
            <w:pPr>
              <w:widowControl w:val="0"/>
              <w:pBdr>
                <w:top w:val="nil"/>
                <w:left w:val="nil"/>
                <w:bottom w:val="nil"/>
                <w:right w:val="nil"/>
                <w:between w:val="nil"/>
              </w:pBdr>
              <w:rPr>
                <w:rFonts w:asciiTheme="minorHAnsi" w:eastAsia="Trebuchet MS" w:hAnsiTheme="minorHAnsi" w:cstheme="minorHAnsi"/>
                <w:b/>
                <w:bCs/>
                <w:sz w:val="22"/>
                <w:szCs w:val="22"/>
                <w:lang w:val="bs-Latn-BA"/>
              </w:rPr>
            </w:pPr>
          </w:p>
          <w:p w14:paraId="2522304A" w14:textId="77777777" w:rsidR="00055321" w:rsidRPr="00FA0D4B" w:rsidRDefault="00740D4F">
            <w:pPr>
              <w:widowControl w:val="0"/>
              <w:pBdr>
                <w:top w:val="nil"/>
                <w:left w:val="nil"/>
                <w:bottom w:val="nil"/>
                <w:right w:val="nil"/>
                <w:between w:val="nil"/>
              </w:pBdr>
              <w:spacing w:line="372" w:lineRule="auto"/>
              <w:ind w:left="529" w:firstLine="131"/>
              <w:rPr>
                <w:rFonts w:asciiTheme="minorHAnsi" w:eastAsia="Helvetica Neue" w:hAnsiTheme="minorHAnsi" w:cstheme="minorHAnsi"/>
                <w:b/>
                <w:bCs/>
                <w:sz w:val="22"/>
                <w:szCs w:val="22"/>
                <w:lang w:val="bs-Latn-BA"/>
              </w:rPr>
            </w:pPr>
            <w:r w:rsidRPr="00FA0D4B">
              <w:rPr>
                <w:rFonts w:asciiTheme="minorHAnsi" w:eastAsia="Helvetica Neue" w:hAnsiTheme="minorHAnsi" w:cstheme="minorHAnsi"/>
                <w:b/>
                <w:bCs/>
                <w:color w:val="FFFFFF"/>
                <w:sz w:val="22"/>
                <w:szCs w:val="22"/>
                <w:lang w:val="bs-Latn-BA"/>
              </w:rPr>
              <w:t>POLAZNA VRIJEDNOST</w:t>
            </w:r>
          </w:p>
        </w:tc>
        <w:tc>
          <w:tcPr>
            <w:tcW w:w="2002" w:type="dxa"/>
            <w:shd w:val="clear" w:color="auto" w:fill="005837"/>
          </w:tcPr>
          <w:p w14:paraId="2BA34E4B" w14:textId="77777777" w:rsidR="00055321" w:rsidRPr="00FA0D4B" w:rsidRDefault="00740D4F">
            <w:pPr>
              <w:widowControl w:val="0"/>
              <w:pBdr>
                <w:top w:val="nil"/>
                <w:left w:val="nil"/>
                <w:bottom w:val="nil"/>
                <w:right w:val="nil"/>
                <w:between w:val="nil"/>
              </w:pBdr>
              <w:spacing w:before="81"/>
              <w:ind w:left="324" w:right="295"/>
              <w:jc w:val="center"/>
              <w:rPr>
                <w:rFonts w:asciiTheme="minorHAnsi" w:eastAsia="Helvetica Neue" w:hAnsiTheme="minorHAnsi" w:cstheme="minorHAnsi"/>
                <w:b/>
                <w:bCs/>
                <w:sz w:val="22"/>
                <w:szCs w:val="22"/>
                <w:lang w:val="bs-Latn-BA"/>
              </w:rPr>
            </w:pPr>
            <w:r w:rsidRPr="00FA0D4B">
              <w:rPr>
                <w:rFonts w:asciiTheme="minorHAnsi" w:eastAsia="Helvetica Neue" w:hAnsiTheme="minorHAnsi" w:cstheme="minorHAnsi"/>
                <w:b/>
                <w:bCs/>
                <w:color w:val="FFFFFF"/>
                <w:sz w:val="22"/>
                <w:szCs w:val="22"/>
                <w:lang w:val="bs-Latn-BA"/>
              </w:rPr>
              <w:t xml:space="preserve">CILJNA </w:t>
            </w:r>
          </w:p>
          <w:p w14:paraId="32FF4AB2" w14:textId="77777777" w:rsidR="00055321" w:rsidRPr="00FA0D4B" w:rsidRDefault="00740D4F">
            <w:pPr>
              <w:widowControl w:val="0"/>
              <w:pBdr>
                <w:top w:val="nil"/>
                <w:left w:val="nil"/>
                <w:bottom w:val="nil"/>
                <w:right w:val="nil"/>
                <w:between w:val="nil"/>
              </w:pBdr>
              <w:ind w:left="324" w:right="312"/>
              <w:jc w:val="center"/>
              <w:rPr>
                <w:rFonts w:asciiTheme="minorHAnsi" w:eastAsia="Helvetica Neue" w:hAnsiTheme="minorHAnsi" w:cstheme="minorHAnsi"/>
                <w:b/>
                <w:bCs/>
                <w:sz w:val="22"/>
                <w:szCs w:val="22"/>
                <w:lang w:val="bs-Latn-BA"/>
              </w:rPr>
            </w:pPr>
            <w:r w:rsidRPr="00FA0D4B">
              <w:rPr>
                <w:rFonts w:asciiTheme="minorHAnsi" w:eastAsia="Helvetica Neue" w:hAnsiTheme="minorHAnsi" w:cstheme="minorHAnsi"/>
                <w:b/>
                <w:bCs/>
                <w:color w:val="FFFFFF"/>
                <w:sz w:val="22"/>
                <w:szCs w:val="22"/>
                <w:lang w:val="bs-Latn-BA"/>
              </w:rPr>
              <w:t xml:space="preserve">VRIJEDNOST 2050. </w:t>
            </w:r>
          </w:p>
        </w:tc>
      </w:tr>
      <w:tr w:rsidR="00055321" w:rsidRPr="008924E0" w14:paraId="71F2551D" w14:textId="77777777" w:rsidTr="000879D8">
        <w:trPr>
          <w:trHeight w:val="322"/>
          <w:jc w:val="center"/>
        </w:trPr>
        <w:tc>
          <w:tcPr>
            <w:tcW w:w="2605" w:type="dxa"/>
            <w:vMerge w:val="restart"/>
            <w:tcBorders>
              <w:top w:val="nil"/>
            </w:tcBorders>
            <w:shd w:val="clear" w:color="auto" w:fill="005837"/>
          </w:tcPr>
          <w:p w14:paraId="0D149556" w14:textId="6C46E5C5" w:rsidR="00055321" w:rsidRPr="008924E0" w:rsidRDefault="00740D4F" w:rsidP="00A852A5">
            <w:pPr>
              <w:widowControl w:val="0"/>
              <w:pBdr>
                <w:top w:val="nil"/>
                <w:left w:val="nil"/>
                <w:bottom w:val="nil"/>
                <w:right w:val="nil"/>
                <w:between w:val="nil"/>
              </w:pBdr>
              <w:spacing w:before="1"/>
              <w:ind w:left="56"/>
              <w:rPr>
                <w:rFonts w:asciiTheme="minorHAnsi" w:eastAsia="Helvetica Neue" w:hAnsiTheme="minorHAnsi" w:cstheme="minorHAnsi"/>
                <w:color w:val="FFFFFF"/>
                <w:sz w:val="22"/>
                <w:szCs w:val="22"/>
                <w:lang w:val="bs-Latn-BA"/>
              </w:rPr>
            </w:pPr>
            <w:r w:rsidRPr="008924E0">
              <w:rPr>
                <w:rFonts w:asciiTheme="minorHAnsi" w:eastAsia="Helvetica Neue" w:hAnsiTheme="minorHAnsi" w:cstheme="minorHAnsi"/>
                <w:color w:val="FFFFFF"/>
                <w:sz w:val="22"/>
                <w:szCs w:val="22"/>
                <w:lang w:val="bs-Latn-BA"/>
              </w:rPr>
              <w:t>STRATEŠKI CILJ 1:</w:t>
            </w:r>
          </w:p>
          <w:p w14:paraId="76E9A070" w14:textId="77777777" w:rsidR="00A852A5" w:rsidRPr="008924E0" w:rsidRDefault="00A852A5" w:rsidP="00A852A5">
            <w:pPr>
              <w:widowControl w:val="0"/>
              <w:pBdr>
                <w:top w:val="nil"/>
                <w:left w:val="nil"/>
                <w:bottom w:val="nil"/>
                <w:right w:val="nil"/>
                <w:between w:val="nil"/>
              </w:pBdr>
              <w:spacing w:before="1"/>
              <w:ind w:left="56"/>
              <w:rPr>
                <w:rFonts w:asciiTheme="minorHAnsi" w:eastAsia="Helvetica Neue" w:hAnsiTheme="minorHAnsi" w:cstheme="minorHAnsi"/>
                <w:sz w:val="22"/>
                <w:szCs w:val="22"/>
                <w:lang w:val="bs-Latn-BA"/>
              </w:rPr>
            </w:pPr>
          </w:p>
          <w:p w14:paraId="631E114A" w14:textId="24BB68A9" w:rsidR="00055321" w:rsidRPr="008924E0" w:rsidRDefault="00E9604F" w:rsidP="00A852A5">
            <w:pPr>
              <w:widowControl w:val="0"/>
              <w:pBdr>
                <w:top w:val="nil"/>
                <w:left w:val="nil"/>
                <w:bottom w:val="nil"/>
                <w:right w:val="nil"/>
                <w:between w:val="nil"/>
              </w:pBdr>
              <w:rPr>
                <w:rFonts w:asciiTheme="minorHAnsi" w:eastAsia="Times New Roman" w:hAnsiTheme="minorHAnsi" w:cstheme="minorHAnsi"/>
                <w:sz w:val="22"/>
                <w:szCs w:val="22"/>
                <w:lang w:val="bs-Latn-BA"/>
              </w:rPr>
            </w:pPr>
            <w:r w:rsidRPr="008924E0">
              <w:rPr>
                <w:rFonts w:asciiTheme="minorHAnsi" w:eastAsia="Helvetica Neue" w:hAnsiTheme="minorHAnsi" w:cstheme="minorHAnsi"/>
                <w:color w:val="FFD965"/>
                <w:sz w:val="22"/>
                <w:szCs w:val="22"/>
                <w:lang w:val="bs-Latn-BA"/>
              </w:rPr>
              <w:t>Postojeći fond zgrada je transfor</w:t>
            </w:r>
            <w:r w:rsidR="00A852A5" w:rsidRPr="008924E0">
              <w:rPr>
                <w:rFonts w:asciiTheme="minorHAnsi" w:eastAsia="Helvetica Neue" w:hAnsiTheme="minorHAnsi" w:cstheme="minorHAnsi"/>
                <w:color w:val="FFD965"/>
                <w:sz w:val="22"/>
                <w:szCs w:val="22"/>
                <w:lang w:val="bs-Latn-BA"/>
              </w:rPr>
              <w:t>miran</w:t>
            </w:r>
            <w:r w:rsidRPr="008924E0">
              <w:rPr>
                <w:rFonts w:asciiTheme="minorHAnsi" w:eastAsia="Helvetica Neue" w:hAnsiTheme="minorHAnsi" w:cstheme="minorHAnsi"/>
                <w:color w:val="FFD965"/>
                <w:sz w:val="22"/>
                <w:szCs w:val="22"/>
                <w:lang w:val="bs-Latn-BA"/>
              </w:rPr>
              <w:t xml:space="preserve"> u energijski visokoefikasan i dekarboniziran fond zgrada do 2050. godine </w:t>
            </w:r>
          </w:p>
        </w:tc>
        <w:tc>
          <w:tcPr>
            <w:tcW w:w="2250" w:type="dxa"/>
          </w:tcPr>
          <w:p w14:paraId="138A2452" w14:textId="17EAAD8D" w:rsidR="00055321" w:rsidRPr="000879D8" w:rsidRDefault="00740D4F" w:rsidP="00A852A5">
            <w:pPr>
              <w:widowControl w:val="0"/>
              <w:pBdr>
                <w:top w:val="nil"/>
                <w:left w:val="nil"/>
                <w:bottom w:val="nil"/>
                <w:right w:val="nil"/>
                <w:between w:val="nil"/>
              </w:pBdr>
              <w:spacing w:before="95"/>
              <w:ind w:left="56"/>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 xml:space="preserve">Potrošnja </w:t>
            </w:r>
            <w:r w:rsidR="009232D3" w:rsidRPr="000879D8">
              <w:rPr>
                <w:rFonts w:asciiTheme="minorHAnsi" w:hAnsiTheme="minorHAnsi" w:cstheme="minorHAnsi"/>
                <w:color w:val="auto"/>
                <w:sz w:val="22"/>
                <w:szCs w:val="22"/>
                <w:lang w:val="bs-Latn-BA"/>
              </w:rPr>
              <w:t>finalne</w:t>
            </w:r>
            <w:r w:rsidRPr="000879D8">
              <w:rPr>
                <w:rFonts w:asciiTheme="minorHAnsi" w:hAnsiTheme="minorHAnsi" w:cstheme="minorHAnsi"/>
                <w:color w:val="auto"/>
                <w:sz w:val="22"/>
                <w:szCs w:val="22"/>
                <w:lang w:val="bs-Latn-BA"/>
              </w:rPr>
              <w:t xml:space="preserve"> energije u sektoru zgradarstva</w:t>
            </w:r>
            <w:r w:rsidR="00A26F0E" w:rsidRPr="000879D8">
              <w:rPr>
                <w:rFonts w:asciiTheme="minorHAnsi" w:hAnsiTheme="minorHAnsi" w:cstheme="minorHAnsi"/>
                <w:color w:val="auto"/>
                <w:sz w:val="22"/>
                <w:szCs w:val="22"/>
                <w:lang w:val="bs-Latn-BA"/>
              </w:rPr>
              <w:t>, ktoe</w:t>
            </w:r>
          </w:p>
        </w:tc>
        <w:tc>
          <w:tcPr>
            <w:tcW w:w="2160" w:type="dxa"/>
            <w:vAlign w:val="center"/>
          </w:tcPr>
          <w:p w14:paraId="35A00880" w14:textId="726BA1A6" w:rsidR="00055321" w:rsidRPr="000879D8" w:rsidRDefault="008D5896" w:rsidP="0045332B">
            <w:pPr>
              <w:widowControl w:val="0"/>
              <w:pBdr>
                <w:top w:val="nil"/>
                <w:left w:val="nil"/>
                <w:bottom w:val="nil"/>
                <w:right w:val="nil"/>
                <w:between w:val="nil"/>
              </w:pBdr>
              <w:spacing w:before="95"/>
              <w:jc w:val="center"/>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LEA</w:t>
            </w:r>
            <w:r w:rsidR="005107C6" w:rsidRPr="000879D8">
              <w:rPr>
                <w:rFonts w:asciiTheme="minorHAnsi" w:hAnsiTheme="minorHAnsi" w:cstheme="minorHAnsi"/>
                <w:color w:val="auto"/>
                <w:sz w:val="22"/>
                <w:szCs w:val="22"/>
                <w:lang w:val="bs-Latn-BA"/>
              </w:rPr>
              <w:t>P, 20</w:t>
            </w:r>
            <w:r w:rsidR="00884261" w:rsidRPr="000879D8">
              <w:rPr>
                <w:rFonts w:asciiTheme="minorHAnsi" w:hAnsiTheme="minorHAnsi" w:cstheme="minorHAnsi"/>
                <w:color w:val="auto"/>
                <w:sz w:val="22"/>
                <w:szCs w:val="22"/>
                <w:lang w:val="bs-Latn-BA"/>
              </w:rPr>
              <w:t>20</w:t>
            </w:r>
            <w:r w:rsidR="005107C6" w:rsidRPr="000879D8">
              <w:rPr>
                <w:color w:val="auto"/>
                <w:vertAlign w:val="superscript"/>
                <w:lang w:val="bs-Latn-BA"/>
              </w:rPr>
              <w:footnoteReference w:id="20"/>
            </w:r>
          </w:p>
          <w:p w14:paraId="5772DE81" w14:textId="6718465B" w:rsidR="00055321" w:rsidRPr="000879D8" w:rsidRDefault="00A26F0E" w:rsidP="0045332B">
            <w:pPr>
              <w:widowControl w:val="0"/>
              <w:pBdr>
                <w:top w:val="nil"/>
                <w:left w:val="nil"/>
                <w:bottom w:val="nil"/>
                <w:right w:val="nil"/>
                <w:between w:val="nil"/>
              </w:pBdr>
              <w:spacing w:before="95"/>
              <w:jc w:val="center"/>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1.728,5</w:t>
            </w:r>
          </w:p>
        </w:tc>
        <w:tc>
          <w:tcPr>
            <w:tcW w:w="2002" w:type="dxa"/>
            <w:vAlign w:val="center"/>
          </w:tcPr>
          <w:p w14:paraId="6CCEEA0E" w14:textId="77777777" w:rsidR="00055321" w:rsidRPr="000879D8" w:rsidRDefault="00740D4F" w:rsidP="0045332B">
            <w:pPr>
              <w:widowControl w:val="0"/>
              <w:spacing w:before="95"/>
              <w:jc w:val="center"/>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BiH, 2050</w:t>
            </w:r>
          </w:p>
          <w:p w14:paraId="58F60A34" w14:textId="7E967F46" w:rsidR="00055321" w:rsidRPr="000879D8" w:rsidRDefault="00E54F09" w:rsidP="0045332B">
            <w:pPr>
              <w:widowControl w:val="0"/>
              <w:spacing w:before="95"/>
              <w:jc w:val="center"/>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1.</w:t>
            </w:r>
            <w:r w:rsidR="00EE1357" w:rsidRPr="000879D8">
              <w:rPr>
                <w:rFonts w:asciiTheme="minorHAnsi" w:hAnsiTheme="minorHAnsi" w:cstheme="minorHAnsi"/>
                <w:color w:val="auto"/>
                <w:sz w:val="22"/>
                <w:szCs w:val="22"/>
                <w:lang w:val="bs-Latn-BA"/>
              </w:rPr>
              <w:t>257</w:t>
            </w:r>
            <w:r w:rsidRPr="000879D8">
              <w:rPr>
                <w:rFonts w:asciiTheme="minorHAnsi" w:hAnsiTheme="minorHAnsi" w:cstheme="minorHAnsi"/>
                <w:color w:val="auto"/>
                <w:sz w:val="22"/>
                <w:szCs w:val="22"/>
                <w:lang w:val="bs-Latn-BA"/>
              </w:rPr>
              <w:t>,</w:t>
            </w:r>
            <w:r w:rsidR="00884261" w:rsidRPr="000879D8">
              <w:rPr>
                <w:rFonts w:asciiTheme="minorHAnsi" w:hAnsiTheme="minorHAnsi" w:cstheme="minorHAnsi"/>
                <w:color w:val="auto"/>
                <w:sz w:val="22"/>
                <w:szCs w:val="22"/>
                <w:lang w:val="bs-Latn-BA"/>
              </w:rPr>
              <w:t>3</w:t>
            </w:r>
          </w:p>
        </w:tc>
      </w:tr>
      <w:tr w:rsidR="00F477A5" w:rsidRPr="008924E0" w14:paraId="4807BFF1" w14:textId="77777777" w:rsidTr="007F1ECE">
        <w:trPr>
          <w:trHeight w:val="1205"/>
          <w:jc w:val="center"/>
        </w:trPr>
        <w:tc>
          <w:tcPr>
            <w:tcW w:w="2605" w:type="dxa"/>
            <w:vMerge/>
            <w:tcBorders>
              <w:top w:val="nil"/>
            </w:tcBorders>
            <w:shd w:val="clear" w:color="auto" w:fill="005837"/>
          </w:tcPr>
          <w:p w14:paraId="4356246E" w14:textId="77777777" w:rsidR="00F477A5" w:rsidRPr="008924E0" w:rsidRDefault="00F477A5" w:rsidP="00F477A5">
            <w:pPr>
              <w:widowControl w:val="0"/>
              <w:pBdr>
                <w:top w:val="nil"/>
                <w:left w:val="nil"/>
                <w:bottom w:val="nil"/>
                <w:right w:val="nil"/>
                <w:between w:val="nil"/>
              </w:pBdr>
              <w:spacing w:line="276" w:lineRule="auto"/>
              <w:rPr>
                <w:rFonts w:asciiTheme="minorHAnsi" w:hAnsiTheme="minorHAnsi" w:cstheme="minorHAnsi"/>
                <w:sz w:val="22"/>
                <w:szCs w:val="22"/>
                <w:lang w:val="bs-Latn-BA"/>
              </w:rPr>
            </w:pPr>
          </w:p>
        </w:tc>
        <w:tc>
          <w:tcPr>
            <w:tcW w:w="2250" w:type="dxa"/>
          </w:tcPr>
          <w:p w14:paraId="5AC05B43" w14:textId="00FA33D4" w:rsidR="00F477A5" w:rsidRPr="000879D8" w:rsidRDefault="00F477A5" w:rsidP="00F477A5">
            <w:pPr>
              <w:widowControl w:val="0"/>
              <w:pBdr>
                <w:top w:val="nil"/>
                <w:left w:val="nil"/>
                <w:bottom w:val="nil"/>
                <w:right w:val="nil"/>
                <w:between w:val="nil"/>
              </w:pBdr>
              <w:spacing w:before="95"/>
              <w:ind w:left="56"/>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Emisija  CO</w:t>
            </w:r>
            <w:r w:rsidRPr="000879D8">
              <w:rPr>
                <w:rFonts w:asciiTheme="minorHAnsi" w:hAnsiTheme="minorHAnsi" w:cstheme="minorHAnsi"/>
                <w:color w:val="auto"/>
                <w:sz w:val="22"/>
                <w:szCs w:val="22"/>
                <w:vertAlign w:val="subscript"/>
                <w:lang w:val="bs-Latn-BA"/>
              </w:rPr>
              <w:t>2</w:t>
            </w:r>
            <w:r w:rsidRPr="000879D8">
              <w:rPr>
                <w:rFonts w:asciiTheme="minorHAnsi" w:hAnsiTheme="minorHAnsi" w:cstheme="minorHAnsi"/>
                <w:color w:val="auto"/>
                <w:sz w:val="22"/>
                <w:szCs w:val="22"/>
                <w:lang w:val="bs-Latn-BA"/>
              </w:rPr>
              <w:t xml:space="preserve"> stambenog sektora, ktCO</w:t>
            </w:r>
            <w:r w:rsidRPr="000879D8">
              <w:rPr>
                <w:rFonts w:asciiTheme="minorHAnsi" w:hAnsiTheme="minorHAnsi" w:cstheme="minorHAnsi"/>
                <w:color w:val="auto"/>
                <w:sz w:val="22"/>
                <w:szCs w:val="22"/>
                <w:vertAlign w:val="subscript"/>
                <w:lang w:val="bs-Latn-BA"/>
              </w:rPr>
              <w:t>2</w:t>
            </w:r>
            <w:r w:rsidRPr="000879D8">
              <w:rPr>
                <w:rFonts w:asciiTheme="minorHAnsi" w:hAnsiTheme="minorHAnsi" w:cstheme="minorHAnsi"/>
                <w:color w:val="auto"/>
                <w:sz w:val="22"/>
                <w:szCs w:val="22"/>
                <w:lang w:val="bs-Latn-BA"/>
              </w:rPr>
              <w:t>eq</w:t>
            </w:r>
          </w:p>
        </w:tc>
        <w:tc>
          <w:tcPr>
            <w:tcW w:w="2160" w:type="dxa"/>
          </w:tcPr>
          <w:p w14:paraId="04983DE5" w14:textId="77777777" w:rsidR="00F477A5" w:rsidRPr="000879D8" w:rsidRDefault="00F477A5" w:rsidP="00F477A5">
            <w:pPr>
              <w:widowControl w:val="0"/>
              <w:spacing w:before="85"/>
              <w:ind w:left="607"/>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BiH, 2020</w:t>
            </w:r>
          </w:p>
          <w:p w14:paraId="049AB90C" w14:textId="2C1C78E3" w:rsidR="00F477A5" w:rsidRPr="000879D8" w:rsidRDefault="00F477A5" w:rsidP="00F477A5">
            <w:pPr>
              <w:widowControl w:val="0"/>
              <w:pBdr>
                <w:top w:val="nil"/>
                <w:left w:val="nil"/>
                <w:bottom w:val="nil"/>
                <w:right w:val="nil"/>
                <w:between w:val="nil"/>
              </w:pBdr>
              <w:spacing w:before="95"/>
              <w:jc w:val="center"/>
              <w:rPr>
                <w:rFonts w:asciiTheme="minorHAnsi" w:hAnsiTheme="minorHAnsi" w:cstheme="minorHAnsi"/>
                <w:color w:val="auto"/>
                <w:sz w:val="22"/>
                <w:szCs w:val="22"/>
                <w:highlight w:val="green"/>
                <w:lang w:val="bs-Latn-BA"/>
              </w:rPr>
            </w:pPr>
            <w:r w:rsidRPr="000879D8">
              <w:rPr>
                <w:rFonts w:asciiTheme="minorHAnsi" w:hAnsiTheme="minorHAnsi" w:cstheme="minorHAnsi"/>
                <w:color w:val="auto"/>
                <w:sz w:val="22"/>
                <w:szCs w:val="22"/>
                <w:lang w:val="bs-Latn-BA"/>
              </w:rPr>
              <w:t>7.937</w:t>
            </w:r>
          </w:p>
        </w:tc>
        <w:tc>
          <w:tcPr>
            <w:tcW w:w="2002" w:type="dxa"/>
          </w:tcPr>
          <w:p w14:paraId="2F6132B5" w14:textId="77777777" w:rsidR="00F477A5" w:rsidRPr="000879D8" w:rsidRDefault="00F477A5" w:rsidP="00F477A5">
            <w:pPr>
              <w:widowControl w:val="0"/>
              <w:spacing w:before="95"/>
              <w:jc w:val="center"/>
              <w:rPr>
                <w:rFonts w:asciiTheme="minorHAnsi" w:hAnsiTheme="minorHAnsi" w:cstheme="minorHAnsi"/>
                <w:color w:val="auto"/>
                <w:sz w:val="22"/>
                <w:szCs w:val="22"/>
                <w:lang w:val="bs-Latn-BA"/>
              </w:rPr>
            </w:pPr>
            <w:r w:rsidRPr="000879D8">
              <w:rPr>
                <w:rFonts w:asciiTheme="minorHAnsi" w:hAnsiTheme="minorHAnsi" w:cstheme="minorHAnsi"/>
                <w:color w:val="auto"/>
                <w:sz w:val="22"/>
                <w:szCs w:val="22"/>
                <w:lang w:val="bs-Latn-BA"/>
              </w:rPr>
              <w:t>BiH, 2050</w:t>
            </w:r>
          </w:p>
          <w:p w14:paraId="7438F479" w14:textId="4960AB41" w:rsidR="00F477A5" w:rsidRPr="000879D8" w:rsidRDefault="00F477A5" w:rsidP="00F477A5">
            <w:pPr>
              <w:widowControl w:val="0"/>
              <w:spacing w:before="95"/>
              <w:jc w:val="center"/>
              <w:rPr>
                <w:rFonts w:asciiTheme="minorHAnsi" w:hAnsiTheme="minorHAnsi" w:cstheme="minorHAnsi"/>
                <w:color w:val="auto"/>
                <w:sz w:val="22"/>
                <w:szCs w:val="22"/>
                <w:highlight w:val="green"/>
                <w:lang w:val="bs-Latn-BA"/>
              </w:rPr>
            </w:pPr>
            <w:r w:rsidRPr="000879D8">
              <w:rPr>
                <w:rFonts w:asciiTheme="minorHAnsi" w:hAnsiTheme="minorHAnsi" w:cstheme="minorHAnsi"/>
                <w:color w:val="auto"/>
                <w:sz w:val="22"/>
                <w:szCs w:val="22"/>
                <w:lang w:val="bs-Latn-BA"/>
              </w:rPr>
              <w:t>2.075</w:t>
            </w:r>
          </w:p>
        </w:tc>
      </w:tr>
    </w:tbl>
    <w:p w14:paraId="71DF14E5" w14:textId="569DE8FF" w:rsidR="00055321" w:rsidRPr="008924E0" w:rsidRDefault="00055321">
      <w:pPr>
        <w:rPr>
          <w:lang w:val="bs-Latn-BA"/>
        </w:rPr>
      </w:pPr>
    </w:p>
    <w:p w14:paraId="01C999F3" w14:textId="65B68206" w:rsidR="00740D4F" w:rsidRPr="008924E0" w:rsidRDefault="00740D4F">
      <w:pPr>
        <w:rPr>
          <w:lang w:val="bs-Latn-BA"/>
        </w:rPr>
      </w:pPr>
      <w:r w:rsidRPr="008924E0">
        <w:rPr>
          <w:lang w:val="bs-Latn-BA"/>
        </w:rPr>
        <w:br w:type="page"/>
      </w:r>
    </w:p>
    <w:p w14:paraId="23B96B37" w14:textId="1DAF3201" w:rsidR="00233F59" w:rsidRDefault="00233F59" w:rsidP="00B254A7">
      <w:pPr>
        <w:pStyle w:val="Heading1"/>
        <w:numPr>
          <w:ilvl w:val="0"/>
          <w:numId w:val="33"/>
        </w:numPr>
        <w:rPr>
          <w:lang w:val="bs-Latn-BA"/>
        </w:rPr>
      </w:pPr>
      <w:bookmarkStart w:id="85" w:name="_Toc134011762"/>
      <w:r w:rsidRPr="008924E0">
        <w:rPr>
          <w:lang w:val="bs-Latn-BA"/>
        </w:rPr>
        <w:lastRenderedPageBreak/>
        <w:t xml:space="preserve">Analiza scenarija </w:t>
      </w:r>
      <w:r w:rsidR="0023631D" w:rsidRPr="008924E0">
        <w:rPr>
          <w:lang w:val="bs-Latn-BA"/>
        </w:rPr>
        <w:t xml:space="preserve">OBNOVE </w:t>
      </w:r>
      <w:r w:rsidRPr="008924E0">
        <w:rPr>
          <w:lang w:val="bs-Latn-BA"/>
        </w:rPr>
        <w:t>za stambene i nestambene zgrade</w:t>
      </w:r>
      <w:bookmarkEnd w:id="85"/>
    </w:p>
    <w:p w14:paraId="4E26C284" w14:textId="11806EAC" w:rsidR="002D43CA" w:rsidRPr="004E1F77" w:rsidRDefault="002D43CA" w:rsidP="002D43CA">
      <w:pPr>
        <w:pStyle w:val="1Naslovprvogreda"/>
        <w:numPr>
          <w:ilvl w:val="0"/>
          <w:numId w:val="0"/>
        </w:numPr>
        <w:rPr>
          <w:lang w:val="bs-Latn-BA"/>
        </w:rPr>
      </w:pPr>
      <w:r>
        <w:rPr>
          <w:lang w:val="bs-Latn-BA"/>
        </w:rPr>
        <w:t>P</w:t>
      </w:r>
      <w:r w:rsidRPr="004E1F77">
        <w:rPr>
          <w:lang w:val="bs-Latn-BA"/>
        </w:rPr>
        <w:t xml:space="preserve">ostojeći fond zgrada Federacije BiH je </w:t>
      </w:r>
      <w:r>
        <w:rPr>
          <w:lang w:val="bs-Latn-BA"/>
        </w:rPr>
        <w:t>kategoriziran</w:t>
      </w:r>
      <w:r w:rsidRPr="004E1F77">
        <w:rPr>
          <w:lang w:val="bs-Latn-BA"/>
        </w:rPr>
        <w:t xml:space="preserve"> prema namjeni na stambene zgrade</w:t>
      </w:r>
      <w:r>
        <w:rPr>
          <w:lang w:val="bs-Latn-BA"/>
        </w:rPr>
        <w:t xml:space="preserve"> (individualne i kolektivne)</w:t>
      </w:r>
      <w:r w:rsidRPr="004E1F77">
        <w:rPr>
          <w:lang w:val="bs-Latn-BA"/>
        </w:rPr>
        <w:t xml:space="preserve"> i nestambene zgrade</w:t>
      </w:r>
      <w:r>
        <w:rPr>
          <w:lang w:val="bs-Latn-BA"/>
        </w:rPr>
        <w:t xml:space="preserve"> (</w:t>
      </w:r>
      <w:r w:rsidRPr="004E1F77">
        <w:rPr>
          <w:lang w:val="bs-Latn-BA"/>
        </w:rPr>
        <w:t>javne i komercijalne zgrade</w:t>
      </w:r>
      <w:r>
        <w:rPr>
          <w:lang w:val="bs-Latn-BA"/>
        </w:rPr>
        <w:t>)</w:t>
      </w:r>
      <w:r w:rsidRPr="004E1F77">
        <w:rPr>
          <w:lang w:val="bs-Latn-BA"/>
        </w:rPr>
        <w:t xml:space="preserve">. Za kategorije stambene zgrade i javne zgrade predstavljen je ukupan broj zgrada, ukupna bruto i korisna grijana površina, energijske karakteristike elemenata ovojnice, termotehničkih sistema i potrošnja energije. Pokazano je da elementi ovojnice postojećeg fonda stambenih i javnih zgrada ne zadovoljavaju </w:t>
      </w:r>
      <w:r w:rsidR="00540A41">
        <w:rPr>
          <w:lang w:val="bs-Latn-BA"/>
        </w:rPr>
        <w:t>uvjet</w:t>
      </w:r>
      <w:r w:rsidRPr="004E1F77">
        <w:rPr>
          <w:lang w:val="bs-Latn-BA"/>
        </w:rPr>
        <w:t xml:space="preserve">e postavljene </w:t>
      </w:r>
      <w:r w:rsidR="00DF561A">
        <w:rPr>
          <w:lang w:val="bs-Latn-BA"/>
        </w:rPr>
        <w:t>Pravilnikom o</w:t>
      </w:r>
      <w:r w:rsidR="00C748A6">
        <w:rPr>
          <w:lang w:val="bs-Latn-BA"/>
        </w:rPr>
        <w:t xml:space="preserve"> </w:t>
      </w:r>
      <w:r w:rsidR="00091A4B">
        <w:rPr>
          <w:lang w:val="bs-Latn-BA"/>
        </w:rPr>
        <w:t>minimaln</w:t>
      </w:r>
      <w:r w:rsidR="00C748A6">
        <w:rPr>
          <w:lang w:val="bs-Latn-BA"/>
        </w:rPr>
        <w:t>im</w:t>
      </w:r>
      <w:r w:rsidR="00091A4B">
        <w:rPr>
          <w:lang w:val="bs-Latn-BA"/>
        </w:rPr>
        <w:t xml:space="preserve"> zahtjev</w:t>
      </w:r>
      <w:r w:rsidR="00DF561A">
        <w:rPr>
          <w:lang w:val="bs-Latn-BA"/>
        </w:rPr>
        <w:t>ima</w:t>
      </w:r>
      <w:r w:rsidR="00091A4B">
        <w:rPr>
          <w:lang w:val="bs-Latn-BA"/>
        </w:rPr>
        <w:t xml:space="preserve"> za energijskim karakteristikama zgrad</w:t>
      </w:r>
      <w:r w:rsidR="00DF561A">
        <w:rPr>
          <w:lang w:val="bs-Latn-BA"/>
        </w:rPr>
        <w:t>a (u daljem tekstu Pravilnik).</w:t>
      </w:r>
      <w:r w:rsidRPr="004E1F77">
        <w:rPr>
          <w:lang w:val="bs-Latn-BA"/>
        </w:rPr>
        <w:t xml:space="preserve"> </w:t>
      </w:r>
      <w:r w:rsidR="00DF561A">
        <w:rPr>
          <w:lang w:val="bs-Latn-BA"/>
        </w:rPr>
        <w:t>Z</w:t>
      </w:r>
      <w:r w:rsidRPr="004E1F77">
        <w:rPr>
          <w:lang w:val="bs-Latn-BA"/>
        </w:rPr>
        <w:t xml:space="preserve">grade </w:t>
      </w:r>
      <w:r w:rsidR="00C748A6" w:rsidRPr="004E1F77">
        <w:rPr>
          <w:lang w:val="bs-Latn-BA"/>
        </w:rPr>
        <w:t>karakteri</w:t>
      </w:r>
      <w:r w:rsidR="00C748A6">
        <w:rPr>
          <w:lang w:val="bs-Latn-BA"/>
        </w:rPr>
        <w:t>zira</w:t>
      </w:r>
      <w:r w:rsidR="00C748A6" w:rsidRPr="004E1F77">
        <w:rPr>
          <w:lang w:val="bs-Latn-BA"/>
        </w:rPr>
        <w:t xml:space="preserve"> </w:t>
      </w:r>
      <w:r w:rsidRPr="004E1F77">
        <w:rPr>
          <w:lang w:val="bs-Latn-BA"/>
        </w:rPr>
        <w:t xml:space="preserve">velika vrijednost specifične finalne i potrebne energije za grijanje, ukupna efikasnost termotehničkih sistema je niska, dok indikativni energijski razredi pokazuju da je postojeći fond zgrada energijski neefikasan. </w:t>
      </w:r>
    </w:p>
    <w:p w14:paraId="40011619" w14:textId="02D8ACC9" w:rsidR="002D43CA" w:rsidRPr="004E1F77" w:rsidRDefault="002D43CA" w:rsidP="002D43CA">
      <w:pPr>
        <w:pStyle w:val="1Naslovprvogreda"/>
        <w:numPr>
          <w:ilvl w:val="0"/>
          <w:numId w:val="0"/>
        </w:numPr>
        <w:rPr>
          <w:lang w:val="bs-Latn-BA"/>
        </w:rPr>
      </w:pPr>
      <w:r w:rsidRPr="004E1F77">
        <w:rPr>
          <w:lang w:val="bs-Latn-BA"/>
        </w:rPr>
        <w:t xml:space="preserve">Kategorija individualnih kuća SH iz perioda izgradnje 1971.-1980. predstavlja kategoriju sa najvećom apsolutnom potrošnjom finalne energije za grijanje, koja iznosi 2.759 GWh/god odnosno 27 % potrošnje kompletnog sektora stambenih zgrada. Individualne kuće (SH i TH) obuhvataju preko 80 % potrošnje energije za grijanje kompletnog sektora stambenih zgrada. Indikativni energijski razredi individualnih zgrada su pokazali da su za individualne porodične kuće izgrađene u periodu prije 1992., indikativni energijski razredi C, E i G. Zgrade kolektivnog stanovanja se mogu </w:t>
      </w:r>
      <w:r w:rsidR="00C748A6" w:rsidRPr="004E1F77">
        <w:rPr>
          <w:lang w:val="bs-Latn-BA"/>
        </w:rPr>
        <w:t>okarakteri</w:t>
      </w:r>
      <w:r w:rsidR="00C748A6">
        <w:rPr>
          <w:lang w:val="bs-Latn-BA"/>
        </w:rPr>
        <w:t>zirati</w:t>
      </w:r>
      <w:r w:rsidR="00C748A6" w:rsidRPr="004E1F77">
        <w:rPr>
          <w:lang w:val="bs-Latn-BA"/>
        </w:rPr>
        <w:t xml:space="preserve"> </w:t>
      </w:r>
      <w:r w:rsidRPr="004E1F77">
        <w:rPr>
          <w:lang w:val="bs-Latn-BA"/>
        </w:rPr>
        <w:t xml:space="preserve">kao energijski neefikasne, prema vrijednostima koeficijenata prolaza toplote elemenata ovojnice koji ne zadovoljavaju vrijednosti propisane Pravilnikom, velikoj specifičnoj finalnoj potrošnji i energijskim razredima, koji za zgrade kolektivnog stanovanja izgrađenih u periodu prije 1992. iznose C ili D. </w:t>
      </w:r>
      <w:r>
        <w:rPr>
          <w:lang w:val="bs-Latn-BA"/>
        </w:rPr>
        <w:t xml:space="preserve">Zgrade individualnog i kolektivnog stanovanja predstavljaju kategorije sa velikim potencijalom za uštede energije kroz provođenje mjera energijske </w:t>
      </w:r>
      <w:r w:rsidR="00DF561A">
        <w:rPr>
          <w:lang w:val="bs-Latn-BA"/>
        </w:rPr>
        <w:t>obnove</w:t>
      </w:r>
      <w:r>
        <w:rPr>
          <w:lang w:val="bs-Latn-BA"/>
        </w:rPr>
        <w:t xml:space="preserve">. </w:t>
      </w:r>
    </w:p>
    <w:p w14:paraId="04B99640" w14:textId="6D474D3D" w:rsidR="002D43CA" w:rsidRDefault="002D43CA" w:rsidP="002D43CA">
      <w:pPr>
        <w:pStyle w:val="1Naslovprvogreda"/>
        <w:numPr>
          <w:ilvl w:val="0"/>
          <w:numId w:val="0"/>
        </w:numPr>
        <w:rPr>
          <w:lang w:val="bs-Latn-BA"/>
        </w:rPr>
      </w:pPr>
      <w:r w:rsidRPr="004E1F77">
        <w:rPr>
          <w:lang w:val="bs-Latn-BA"/>
        </w:rPr>
        <w:t xml:space="preserve">Zgrade namijenjene obrazovanju i administrativne zgrade imaju najveće udjele u ukupnoj potrošnji finalne energije javnih zgrada, 35% i 23 % respektivno. Zgrade namijenjene obrazovanju i administrativne zgrade izgrađene u periodu od 1974. do 1987. imaju najveće apsolutne potrošnje energije u kategoriji javnih zgrada, 12% i 7,8% respektivno. Indikativni energijski razredi kategorije javnih zgrada su pokazali da su energijski razredi za zgrade izgrađene prije 2009. u prosjeku D, G i F, što su indikatori energijski neefikasnih zgrada. </w:t>
      </w:r>
      <w:r>
        <w:rPr>
          <w:lang w:val="bs-Latn-BA"/>
        </w:rPr>
        <w:t xml:space="preserve">Javne zgrade u FBiH predstavljaju kategorije sa velikim potencijalom za uštede energije kroz provođenje mjera energijske </w:t>
      </w:r>
      <w:r w:rsidR="00DF561A">
        <w:rPr>
          <w:lang w:val="bs-Latn-BA"/>
        </w:rPr>
        <w:t>obnove</w:t>
      </w:r>
      <w:r>
        <w:rPr>
          <w:lang w:val="bs-Latn-BA"/>
        </w:rPr>
        <w:t xml:space="preserve">. </w:t>
      </w:r>
    </w:p>
    <w:p w14:paraId="5EC5CE92" w14:textId="77777777" w:rsidR="002D43CA" w:rsidRPr="004E1F77" w:rsidRDefault="002D43CA" w:rsidP="002D43CA">
      <w:pPr>
        <w:rPr>
          <w:lang w:val="bs-Latn-BA"/>
        </w:rPr>
      </w:pPr>
      <w:r w:rsidRPr="004E1F77">
        <w:rPr>
          <w:lang w:val="bs-Latn-BA"/>
        </w:rPr>
        <w:t xml:space="preserve">Za komercijalne zgrade nije moguće izvršiti procjenu energijskih karakteristika, kao ni za zgrade sa statusom nacionalnih spomenika i zgrade u vlasništvu i korištenju Oružanih snaga BiH. </w:t>
      </w:r>
    </w:p>
    <w:p w14:paraId="65928F27" w14:textId="15ECE993" w:rsidR="002D43CA" w:rsidRPr="004E1F77" w:rsidRDefault="002D43CA" w:rsidP="000E3D79">
      <w:pPr>
        <w:pStyle w:val="Nazivprojekta"/>
        <w:spacing w:after="120" w:line="276" w:lineRule="auto"/>
        <w:jc w:val="both"/>
        <w:rPr>
          <w:color w:val="auto"/>
          <w:sz w:val="22"/>
          <w:szCs w:val="22"/>
          <w:lang w:val="bs-Latn-BA"/>
        </w:rPr>
      </w:pPr>
      <w:r w:rsidRPr="004E1F77">
        <w:rPr>
          <w:color w:val="auto"/>
          <w:sz w:val="22"/>
          <w:szCs w:val="22"/>
          <w:lang w:val="bs-Latn-BA"/>
        </w:rPr>
        <w:t>Metodologija proračuna ušteda energije i emisije CO</w:t>
      </w:r>
      <w:r w:rsidRPr="004E1F77">
        <w:rPr>
          <w:color w:val="auto"/>
          <w:sz w:val="22"/>
          <w:szCs w:val="22"/>
          <w:vertAlign w:val="subscript"/>
          <w:lang w:val="bs-Latn-BA"/>
        </w:rPr>
        <w:t>2</w:t>
      </w:r>
      <w:r w:rsidRPr="004E1F77">
        <w:rPr>
          <w:color w:val="auto"/>
          <w:sz w:val="22"/>
          <w:szCs w:val="22"/>
          <w:lang w:val="bs-Latn-BA"/>
        </w:rPr>
        <w:t xml:space="preserve"> kroz primjenu mjera energijske </w:t>
      </w:r>
      <w:r w:rsidR="00E8225B">
        <w:rPr>
          <w:color w:val="auto"/>
          <w:sz w:val="22"/>
          <w:szCs w:val="22"/>
          <w:lang w:val="bs-Latn-BA"/>
        </w:rPr>
        <w:t>obnove</w:t>
      </w:r>
      <w:r w:rsidR="00E8225B" w:rsidRPr="004E1F77">
        <w:rPr>
          <w:color w:val="auto"/>
          <w:sz w:val="22"/>
          <w:szCs w:val="22"/>
          <w:lang w:val="bs-Latn-BA"/>
        </w:rPr>
        <w:t xml:space="preserve"> </w:t>
      </w:r>
      <w:r>
        <w:rPr>
          <w:color w:val="auto"/>
          <w:sz w:val="22"/>
          <w:szCs w:val="22"/>
          <w:lang w:val="bs-Latn-BA"/>
        </w:rPr>
        <w:t>stambenih zgrada</w:t>
      </w:r>
      <w:r w:rsidRPr="004E1F77">
        <w:rPr>
          <w:color w:val="auto"/>
          <w:sz w:val="22"/>
          <w:szCs w:val="22"/>
          <w:lang w:val="bs-Latn-BA"/>
        </w:rPr>
        <w:t xml:space="preserve"> izvršena je na sljedeći način: </w:t>
      </w:r>
    </w:p>
    <w:p w14:paraId="428ABC63" w14:textId="77777777" w:rsidR="002D43CA" w:rsidRPr="004E1F77"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Izvršena je procjena rasta post</w:t>
      </w:r>
      <w:r>
        <w:rPr>
          <w:color w:val="auto"/>
          <w:sz w:val="22"/>
          <w:szCs w:val="22"/>
          <w:lang w:val="bs-Latn-BA"/>
        </w:rPr>
        <w:t>oj</w:t>
      </w:r>
      <w:r w:rsidRPr="004E1F77">
        <w:rPr>
          <w:color w:val="auto"/>
          <w:sz w:val="22"/>
          <w:szCs w:val="22"/>
          <w:lang w:val="bs-Latn-BA"/>
        </w:rPr>
        <w:t xml:space="preserve">ećeg broja zgrada, bruto i korisne površine zgrada za period do 2050. godine, sa naznačenim porastom za karakteristične periode od po 10 godina. Posebno su izvršene procjene za fond individualnih i kolektivnih zgrada. </w:t>
      </w:r>
    </w:p>
    <w:p w14:paraId="5F69E70C" w14:textId="0E307CDA" w:rsidR="002D43CA" w:rsidRPr="004E1F77"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 xml:space="preserve">Razmatrane mjere energijske </w:t>
      </w:r>
      <w:r w:rsidR="00C748A6">
        <w:rPr>
          <w:color w:val="auto"/>
          <w:sz w:val="22"/>
          <w:szCs w:val="22"/>
          <w:lang w:val="bs-Latn-BA"/>
        </w:rPr>
        <w:t>obnove</w:t>
      </w:r>
      <w:r w:rsidR="00C748A6" w:rsidRPr="004E1F77">
        <w:rPr>
          <w:color w:val="auto"/>
          <w:sz w:val="22"/>
          <w:szCs w:val="22"/>
          <w:lang w:val="bs-Latn-BA"/>
        </w:rPr>
        <w:t xml:space="preserve"> </w:t>
      </w:r>
      <w:r w:rsidRPr="004E1F77">
        <w:rPr>
          <w:color w:val="auto"/>
          <w:sz w:val="22"/>
          <w:szCs w:val="22"/>
          <w:lang w:val="bs-Latn-BA"/>
        </w:rPr>
        <w:t xml:space="preserve">obuhvataju setove mjera </w:t>
      </w:r>
      <w:r w:rsidR="006A5773">
        <w:rPr>
          <w:color w:val="auto"/>
          <w:sz w:val="22"/>
          <w:szCs w:val="22"/>
          <w:lang w:val="bs-Latn-BA"/>
        </w:rPr>
        <w:t>obnove</w:t>
      </w:r>
      <w:r w:rsidRPr="004E1F77">
        <w:rPr>
          <w:color w:val="auto"/>
          <w:sz w:val="22"/>
          <w:szCs w:val="22"/>
          <w:lang w:val="bs-Latn-BA"/>
        </w:rPr>
        <w:t xml:space="preserve"> ovojnice zgrade i mjera kojima se značajno poboljšava efikasnost termotehničkog sistema, </w:t>
      </w:r>
      <w:r w:rsidR="00C748A6" w:rsidRPr="004E1F77">
        <w:rPr>
          <w:color w:val="auto"/>
          <w:sz w:val="22"/>
          <w:szCs w:val="22"/>
          <w:lang w:val="bs-Latn-BA"/>
        </w:rPr>
        <w:t>kombin</w:t>
      </w:r>
      <w:r w:rsidR="00C748A6">
        <w:rPr>
          <w:color w:val="auto"/>
          <w:sz w:val="22"/>
          <w:szCs w:val="22"/>
          <w:lang w:val="bs-Latn-BA"/>
        </w:rPr>
        <w:t>irane</w:t>
      </w:r>
      <w:r w:rsidR="00C748A6" w:rsidRPr="004E1F77">
        <w:rPr>
          <w:color w:val="auto"/>
          <w:sz w:val="22"/>
          <w:szCs w:val="22"/>
          <w:lang w:val="bs-Latn-BA"/>
        </w:rPr>
        <w:t xml:space="preserve"> </w:t>
      </w:r>
      <w:r w:rsidRPr="004E1F77">
        <w:rPr>
          <w:color w:val="auto"/>
          <w:sz w:val="22"/>
          <w:szCs w:val="22"/>
          <w:lang w:val="bs-Latn-BA"/>
        </w:rPr>
        <w:t xml:space="preserve">u različite nivoe </w:t>
      </w:r>
      <w:r w:rsidR="00C748A6">
        <w:rPr>
          <w:color w:val="auto"/>
          <w:sz w:val="22"/>
          <w:szCs w:val="22"/>
          <w:lang w:val="bs-Latn-BA"/>
        </w:rPr>
        <w:t>obnove</w:t>
      </w:r>
      <w:r w:rsidR="00C748A6" w:rsidRPr="004E1F77">
        <w:rPr>
          <w:color w:val="auto"/>
          <w:sz w:val="22"/>
          <w:szCs w:val="22"/>
          <w:lang w:val="bs-Latn-BA"/>
        </w:rPr>
        <w:t xml:space="preserve"> </w:t>
      </w:r>
      <w:r w:rsidRPr="004E1F77">
        <w:rPr>
          <w:color w:val="auto"/>
          <w:sz w:val="22"/>
          <w:szCs w:val="22"/>
          <w:lang w:val="bs-Latn-BA"/>
        </w:rPr>
        <w:t xml:space="preserve">prilagođene različitim kategorijama stambenih zgrada (dva do tri nivoa energijske </w:t>
      </w:r>
      <w:r w:rsidR="00C748A6">
        <w:rPr>
          <w:color w:val="auto"/>
          <w:sz w:val="22"/>
          <w:szCs w:val="22"/>
          <w:lang w:val="bs-Latn-BA"/>
        </w:rPr>
        <w:t>obnove</w:t>
      </w:r>
      <w:r w:rsidR="00C748A6" w:rsidRPr="004E1F77">
        <w:rPr>
          <w:color w:val="auto"/>
          <w:sz w:val="22"/>
          <w:szCs w:val="22"/>
          <w:lang w:val="bs-Latn-BA"/>
        </w:rPr>
        <w:t xml:space="preserve"> </w:t>
      </w:r>
      <w:r w:rsidRPr="004E1F77">
        <w:rPr>
          <w:color w:val="auto"/>
          <w:sz w:val="22"/>
          <w:szCs w:val="22"/>
          <w:lang w:val="bs-Latn-BA"/>
        </w:rPr>
        <w:t>za četiri kategorije zgrada).</w:t>
      </w:r>
      <w:r w:rsidR="003E7E69">
        <w:rPr>
          <w:color w:val="auto"/>
          <w:sz w:val="22"/>
          <w:szCs w:val="22"/>
          <w:lang w:val="bs-Latn-BA"/>
        </w:rPr>
        <w:t xml:space="preserve"> </w:t>
      </w:r>
      <w:r w:rsidRPr="004E1F77">
        <w:rPr>
          <w:color w:val="auto"/>
          <w:sz w:val="22"/>
          <w:szCs w:val="22"/>
          <w:lang w:val="bs-Latn-BA"/>
        </w:rPr>
        <w:t xml:space="preserve">Primjena mjera </w:t>
      </w:r>
      <w:r w:rsidR="00C748A6">
        <w:rPr>
          <w:color w:val="auto"/>
          <w:sz w:val="22"/>
          <w:szCs w:val="22"/>
          <w:lang w:val="bs-Latn-BA"/>
        </w:rPr>
        <w:t>obnove</w:t>
      </w:r>
      <w:r w:rsidR="00C748A6" w:rsidRPr="004E1F77">
        <w:rPr>
          <w:color w:val="auto"/>
          <w:sz w:val="22"/>
          <w:szCs w:val="22"/>
          <w:lang w:val="bs-Latn-BA"/>
        </w:rPr>
        <w:t xml:space="preserve"> </w:t>
      </w:r>
      <w:r w:rsidRPr="004E1F77">
        <w:rPr>
          <w:color w:val="auto"/>
          <w:sz w:val="22"/>
          <w:szCs w:val="22"/>
          <w:lang w:val="bs-Latn-BA"/>
        </w:rPr>
        <w:t xml:space="preserve">prema predloženim dubinama </w:t>
      </w:r>
      <w:r w:rsidR="00C748A6">
        <w:rPr>
          <w:color w:val="auto"/>
          <w:sz w:val="22"/>
          <w:szCs w:val="22"/>
          <w:lang w:val="bs-Latn-BA"/>
        </w:rPr>
        <w:t>ob</w:t>
      </w:r>
      <w:r w:rsidR="006977C3">
        <w:rPr>
          <w:color w:val="auto"/>
          <w:sz w:val="22"/>
          <w:szCs w:val="22"/>
          <w:lang w:val="bs-Latn-BA"/>
        </w:rPr>
        <w:t>n</w:t>
      </w:r>
      <w:r w:rsidR="00C748A6">
        <w:rPr>
          <w:color w:val="auto"/>
          <w:sz w:val="22"/>
          <w:szCs w:val="22"/>
          <w:lang w:val="bs-Latn-BA"/>
        </w:rPr>
        <w:t>ove</w:t>
      </w:r>
      <w:r w:rsidR="00C748A6" w:rsidRPr="004E1F77">
        <w:rPr>
          <w:color w:val="auto"/>
          <w:sz w:val="22"/>
          <w:szCs w:val="22"/>
          <w:lang w:val="bs-Latn-BA"/>
        </w:rPr>
        <w:t xml:space="preserve"> </w:t>
      </w:r>
      <w:r w:rsidRPr="004E1F77">
        <w:rPr>
          <w:color w:val="auto"/>
          <w:sz w:val="22"/>
          <w:szCs w:val="22"/>
          <w:lang w:val="bs-Latn-BA"/>
        </w:rPr>
        <w:t>će rezultirati smanjenjem finalne energije za grijanje</w:t>
      </w:r>
      <w:r w:rsidR="006977C3">
        <w:rPr>
          <w:color w:val="auto"/>
          <w:sz w:val="22"/>
          <w:szCs w:val="22"/>
          <w:lang w:val="bs-Latn-BA"/>
        </w:rPr>
        <w:t xml:space="preserve"> i emisije CO</w:t>
      </w:r>
      <w:r w:rsidR="006977C3" w:rsidRPr="00536F9A">
        <w:rPr>
          <w:color w:val="auto"/>
          <w:sz w:val="22"/>
          <w:szCs w:val="22"/>
          <w:vertAlign w:val="subscript"/>
          <w:lang w:val="bs-Latn-BA"/>
        </w:rPr>
        <w:t>2</w:t>
      </w:r>
      <w:r w:rsidRPr="004E1F77">
        <w:rPr>
          <w:color w:val="auto"/>
          <w:sz w:val="22"/>
          <w:szCs w:val="22"/>
          <w:lang w:val="bs-Latn-BA"/>
        </w:rPr>
        <w:t xml:space="preserve">. Procenat zgrada koje se </w:t>
      </w:r>
      <w:r w:rsidR="00C748A6">
        <w:rPr>
          <w:color w:val="auto"/>
          <w:sz w:val="22"/>
          <w:szCs w:val="22"/>
          <w:lang w:val="bs-Latn-BA"/>
        </w:rPr>
        <w:t>obnavljaju</w:t>
      </w:r>
      <w:r w:rsidR="00C748A6" w:rsidRPr="004E1F77">
        <w:rPr>
          <w:color w:val="auto"/>
          <w:sz w:val="22"/>
          <w:szCs w:val="22"/>
          <w:lang w:val="bs-Latn-BA"/>
        </w:rPr>
        <w:t xml:space="preserve"> </w:t>
      </w:r>
      <w:r w:rsidRPr="004E1F77">
        <w:rPr>
          <w:color w:val="auto"/>
          <w:sz w:val="22"/>
          <w:szCs w:val="22"/>
          <w:lang w:val="bs-Latn-BA"/>
        </w:rPr>
        <w:lastRenderedPageBreak/>
        <w:t xml:space="preserve">prema dubokim i veoma dubokim nivoima </w:t>
      </w:r>
      <w:r w:rsidR="00010793">
        <w:rPr>
          <w:color w:val="auto"/>
          <w:sz w:val="22"/>
          <w:szCs w:val="22"/>
          <w:lang w:val="bs-Latn-BA"/>
        </w:rPr>
        <w:t>energij</w:t>
      </w:r>
      <w:r w:rsidRPr="004E1F77">
        <w:rPr>
          <w:color w:val="auto"/>
          <w:sz w:val="22"/>
          <w:szCs w:val="22"/>
          <w:lang w:val="bs-Latn-BA"/>
        </w:rPr>
        <w:t xml:space="preserve">ske </w:t>
      </w:r>
      <w:r w:rsidR="00C748A6">
        <w:rPr>
          <w:color w:val="auto"/>
          <w:sz w:val="22"/>
          <w:szCs w:val="22"/>
          <w:lang w:val="bs-Latn-BA"/>
        </w:rPr>
        <w:t>obnove</w:t>
      </w:r>
      <w:r>
        <w:rPr>
          <w:color w:val="auto"/>
          <w:sz w:val="22"/>
          <w:szCs w:val="22"/>
          <w:lang w:val="bs-Latn-BA"/>
        </w:rPr>
        <w:t xml:space="preserve"> </w:t>
      </w:r>
      <w:r w:rsidRPr="004E1F77">
        <w:rPr>
          <w:color w:val="auto"/>
          <w:sz w:val="22"/>
          <w:szCs w:val="22"/>
          <w:lang w:val="bs-Latn-BA"/>
        </w:rPr>
        <w:t xml:space="preserve">povećava se u periodu do 2050. godine. </w:t>
      </w:r>
    </w:p>
    <w:p w14:paraId="7CD1A354" w14:textId="5C44D04D" w:rsidR="002D43CA" w:rsidRPr="004E1F77"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 xml:space="preserve">U periodu prvih 10 godina, </w:t>
      </w:r>
      <w:r w:rsidR="00A6502E">
        <w:rPr>
          <w:color w:val="auto"/>
          <w:sz w:val="22"/>
          <w:szCs w:val="22"/>
          <w:lang w:val="bs-Latn-BA"/>
        </w:rPr>
        <w:t>korisna</w:t>
      </w:r>
      <w:r w:rsidR="00A6502E" w:rsidRPr="004E1F77">
        <w:rPr>
          <w:color w:val="auto"/>
          <w:sz w:val="22"/>
          <w:szCs w:val="22"/>
          <w:lang w:val="bs-Latn-BA"/>
        </w:rPr>
        <w:t xml:space="preserve"> </w:t>
      </w:r>
      <w:r w:rsidRPr="004E1F77">
        <w:rPr>
          <w:color w:val="auto"/>
          <w:sz w:val="22"/>
          <w:szCs w:val="22"/>
          <w:lang w:val="bs-Latn-BA"/>
        </w:rPr>
        <w:t>podna površina zgrada kolektivnog stanovanja</w:t>
      </w:r>
      <w:r>
        <w:rPr>
          <w:color w:val="auto"/>
          <w:sz w:val="22"/>
          <w:szCs w:val="22"/>
          <w:lang w:val="bs-Latn-BA"/>
        </w:rPr>
        <w:t xml:space="preserve"> koje se </w:t>
      </w:r>
      <w:r w:rsidR="00C748A6">
        <w:rPr>
          <w:color w:val="auto"/>
          <w:sz w:val="22"/>
          <w:szCs w:val="22"/>
          <w:lang w:val="bs-Latn-BA"/>
        </w:rPr>
        <w:t xml:space="preserve">obnavljaju </w:t>
      </w:r>
      <w:r w:rsidRPr="004E1F77">
        <w:rPr>
          <w:color w:val="auto"/>
          <w:sz w:val="22"/>
          <w:szCs w:val="22"/>
          <w:lang w:val="bs-Latn-BA"/>
        </w:rPr>
        <w:t xml:space="preserve">značajno je veća od površine </w:t>
      </w:r>
      <w:r w:rsidR="00C748A6">
        <w:rPr>
          <w:color w:val="auto"/>
          <w:sz w:val="22"/>
          <w:szCs w:val="22"/>
          <w:lang w:val="bs-Latn-BA"/>
        </w:rPr>
        <w:t xml:space="preserve">obnovljenih </w:t>
      </w:r>
      <w:r w:rsidRPr="004E1F77">
        <w:rPr>
          <w:color w:val="auto"/>
          <w:sz w:val="22"/>
          <w:szCs w:val="22"/>
          <w:lang w:val="bs-Latn-BA"/>
        </w:rPr>
        <w:t xml:space="preserve">zgrada individualnog stanovanja. Nakon ovog perioda se </w:t>
      </w:r>
      <w:r w:rsidRPr="00DD1532">
        <w:rPr>
          <w:color w:val="auto"/>
          <w:sz w:val="22"/>
          <w:lang w:val="bs-Latn-BA"/>
        </w:rPr>
        <w:t xml:space="preserve">povećava broj zgrada </w:t>
      </w:r>
      <w:r w:rsidRPr="004E1F77">
        <w:rPr>
          <w:color w:val="auto"/>
          <w:sz w:val="22"/>
          <w:szCs w:val="22"/>
          <w:lang w:val="bs-Latn-BA"/>
        </w:rPr>
        <w:t xml:space="preserve">individualnog </w:t>
      </w:r>
      <w:r w:rsidRPr="00DD1532">
        <w:rPr>
          <w:color w:val="auto"/>
          <w:sz w:val="22"/>
          <w:lang w:val="bs-Latn-BA"/>
        </w:rPr>
        <w:t xml:space="preserve">stanovanja obuhvaćenih </w:t>
      </w:r>
      <w:r w:rsidRPr="004E1F77">
        <w:rPr>
          <w:color w:val="auto"/>
          <w:sz w:val="22"/>
          <w:szCs w:val="22"/>
          <w:lang w:val="bs-Latn-BA"/>
        </w:rPr>
        <w:t xml:space="preserve">strategijom </w:t>
      </w:r>
      <w:r w:rsidR="00C748A6">
        <w:rPr>
          <w:color w:val="auto"/>
          <w:sz w:val="22"/>
          <w:szCs w:val="22"/>
          <w:lang w:val="bs-Latn-BA"/>
        </w:rPr>
        <w:t>obnove</w:t>
      </w:r>
      <w:r w:rsidRPr="004E1F77">
        <w:rPr>
          <w:color w:val="auto"/>
          <w:sz w:val="22"/>
          <w:szCs w:val="22"/>
          <w:lang w:val="bs-Latn-BA"/>
        </w:rPr>
        <w:t xml:space="preserve">. Ovaj pristup će omogućiti da se obuhvati što veća korisna površina i veći broj korisnika kroz strategiju </w:t>
      </w:r>
      <w:r w:rsidR="00C748A6">
        <w:rPr>
          <w:color w:val="auto"/>
          <w:sz w:val="22"/>
          <w:szCs w:val="22"/>
          <w:lang w:val="bs-Latn-BA"/>
        </w:rPr>
        <w:t>obnove</w:t>
      </w:r>
      <w:r w:rsidRPr="004E1F77">
        <w:rPr>
          <w:color w:val="auto"/>
          <w:sz w:val="22"/>
          <w:szCs w:val="22"/>
          <w:lang w:val="bs-Latn-BA"/>
        </w:rPr>
        <w:t>, uz što manje troškove u periodu od prvih 10 godina.</w:t>
      </w:r>
    </w:p>
    <w:p w14:paraId="1173C3E8" w14:textId="0722689F" w:rsidR="002D43CA"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 xml:space="preserve">Za svaki nivo </w:t>
      </w:r>
      <w:r w:rsidR="00C748A6">
        <w:rPr>
          <w:color w:val="auto"/>
          <w:sz w:val="22"/>
          <w:szCs w:val="22"/>
          <w:lang w:val="bs-Latn-BA"/>
        </w:rPr>
        <w:t>obnove</w:t>
      </w:r>
      <w:r w:rsidR="00C748A6" w:rsidRPr="004E1F77">
        <w:rPr>
          <w:color w:val="auto"/>
          <w:sz w:val="22"/>
          <w:szCs w:val="22"/>
          <w:lang w:val="bs-Latn-BA"/>
        </w:rPr>
        <w:t xml:space="preserve"> </w:t>
      </w:r>
      <w:r w:rsidRPr="004E1F77">
        <w:rPr>
          <w:color w:val="auto"/>
          <w:sz w:val="22"/>
          <w:szCs w:val="22"/>
          <w:lang w:val="bs-Latn-BA"/>
        </w:rPr>
        <w:t xml:space="preserve">i kategoriju zgrada su izračunati troškovi </w:t>
      </w:r>
      <w:r w:rsidR="00C748A6">
        <w:rPr>
          <w:color w:val="auto"/>
          <w:sz w:val="22"/>
          <w:szCs w:val="22"/>
          <w:lang w:val="bs-Latn-BA"/>
        </w:rPr>
        <w:t>obnove</w:t>
      </w:r>
      <w:r w:rsidRPr="004E1F77">
        <w:rPr>
          <w:color w:val="auto"/>
          <w:sz w:val="22"/>
          <w:szCs w:val="22"/>
          <w:lang w:val="bs-Latn-BA"/>
        </w:rPr>
        <w:t>, koristeći metodologiju koja uključuje troškove radne snage prema Normativima</w:t>
      </w:r>
      <w:r w:rsidRPr="004E1F77">
        <w:rPr>
          <w:rFonts w:eastAsiaTheme="minorEastAsia" w:cs="Calibri"/>
          <w:color w:val="auto"/>
          <w:sz w:val="22"/>
          <w:szCs w:val="22"/>
          <w:vertAlign w:val="superscript"/>
          <w:lang w:val="bs-Latn-BA" w:eastAsia="ja-JP"/>
        </w:rPr>
        <w:footnoteReference w:id="21"/>
      </w:r>
      <w:r w:rsidRPr="004E1F77">
        <w:rPr>
          <w:color w:val="auto"/>
          <w:sz w:val="22"/>
          <w:szCs w:val="22"/>
          <w:lang w:val="bs-Latn-BA"/>
        </w:rPr>
        <w:t>, troškove materijala, opće troškove i sve dodatne troškove koji uključuju demontažu, ugradnju, pričvršćivanje ili ugradnju materijala ili opreme, odlaganje i</w:t>
      </w:r>
      <w:r w:rsidR="00A367A5">
        <w:rPr>
          <w:color w:val="auto"/>
          <w:sz w:val="22"/>
          <w:szCs w:val="22"/>
          <w:lang w:val="bs-Latn-BA"/>
        </w:rPr>
        <w:t>td</w:t>
      </w:r>
      <w:r w:rsidRPr="004E1F77">
        <w:rPr>
          <w:color w:val="auto"/>
          <w:sz w:val="22"/>
          <w:szCs w:val="22"/>
          <w:lang w:val="bs-Latn-BA"/>
        </w:rPr>
        <w:t xml:space="preserve">. </w:t>
      </w:r>
    </w:p>
    <w:p w14:paraId="212F4E76" w14:textId="14A89D51" w:rsidR="002D43CA" w:rsidRPr="00DD1532" w:rsidRDefault="002D43CA" w:rsidP="00581C1C">
      <w:pPr>
        <w:pStyle w:val="Nazivprojekta"/>
        <w:numPr>
          <w:ilvl w:val="0"/>
          <w:numId w:val="56"/>
        </w:numPr>
        <w:spacing w:after="120" w:line="276" w:lineRule="auto"/>
        <w:jc w:val="both"/>
        <w:rPr>
          <w:color w:val="auto"/>
          <w:sz w:val="22"/>
          <w:szCs w:val="22"/>
          <w:lang w:val="bs-Latn-BA"/>
        </w:rPr>
      </w:pPr>
      <w:r w:rsidRPr="00DD1532">
        <w:rPr>
          <w:color w:val="auto"/>
          <w:sz w:val="22"/>
          <w:szCs w:val="22"/>
          <w:lang w:val="bs-Latn-BA"/>
        </w:rPr>
        <w:t xml:space="preserve">Razmatran </w:t>
      </w:r>
      <w:r w:rsidR="00CB7327" w:rsidRPr="00DD1532">
        <w:rPr>
          <w:color w:val="auto"/>
          <w:sz w:val="22"/>
          <w:szCs w:val="22"/>
          <w:lang w:val="bs-Latn-BA"/>
        </w:rPr>
        <w:t xml:space="preserve">je </w:t>
      </w:r>
      <w:r w:rsidRPr="00DD1532">
        <w:rPr>
          <w:color w:val="auto"/>
          <w:sz w:val="22"/>
          <w:szCs w:val="22"/>
          <w:lang w:val="bs-Latn-BA"/>
        </w:rPr>
        <w:t xml:space="preserve">scenarij dugoročne energijske </w:t>
      </w:r>
      <w:r w:rsidR="00C748A6" w:rsidRPr="00DD1532">
        <w:rPr>
          <w:color w:val="auto"/>
          <w:sz w:val="22"/>
          <w:szCs w:val="22"/>
          <w:lang w:val="bs-Latn-BA"/>
        </w:rPr>
        <w:t xml:space="preserve">obnove </w:t>
      </w:r>
      <w:r w:rsidRPr="00DD1532">
        <w:rPr>
          <w:color w:val="auto"/>
          <w:sz w:val="22"/>
          <w:szCs w:val="22"/>
          <w:lang w:val="bs-Latn-BA"/>
        </w:rPr>
        <w:t xml:space="preserve">stambenih zgrada, </w:t>
      </w:r>
      <w:r w:rsidR="00CB7327" w:rsidRPr="00DD1532">
        <w:rPr>
          <w:color w:val="auto"/>
          <w:sz w:val="22"/>
          <w:szCs w:val="22"/>
          <w:lang w:val="bs-Latn-BA"/>
        </w:rPr>
        <w:t xml:space="preserve">sa </w:t>
      </w:r>
      <w:r w:rsidRPr="00DD1532">
        <w:rPr>
          <w:color w:val="auto"/>
          <w:sz w:val="22"/>
          <w:szCs w:val="22"/>
          <w:lang w:val="bs-Latn-BA"/>
        </w:rPr>
        <w:t>obuhvaćen</w:t>
      </w:r>
      <w:r w:rsidR="00CB7327" w:rsidRPr="00DD1532">
        <w:rPr>
          <w:color w:val="auto"/>
          <w:sz w:val="22"/>
          <w:szCs w:val="22"/>
          <w:lang w:val="bs-Latn-BA"/>
        </w:rPr>
        <w:t>om</w:t>
      </w:r>
      <w:r w:rsidRPr="00DD1532">
        <w:rPr>
          <w:color w:val="auto"/>
          <w:sz w:val="22"/>
          <w:szCs w:val="22"/>
          <w:lang w:val="bs-Latn-BA"/>
        </w:rPr>
        <w:t xml:space="preserve"> </w:t>
      </w:r>
      <w:r w:rsidR="00CB7327" w:rsidRPr="00DD1532">
        <w:rPr>
          <w:color w:val="auto"/>
          <w:sz w:val="22"/>
          <w:szCs w:val="22"/>
          <w:lang w:val="bs-Latn-BA"/>
        </w:rPr>
        <w:t xml:space="preserve">korisnom grijanom površinom </w:t>
      </w:r>
      <w:r w:rsidRPr="00DD1532">
        <w:rPr>
          <w:color w:val="auto"/>
          <w:sz w:val="22"/>
          <w:szCs w:val="22"/>
          <w:lang w:val="bs-Latn-BA"/>
        </w:rPr>
        <w:t xml:space="preserve">stambenog fonda </w:t>
      </w:r>
      <w:r w:rsidR="00CB7327" w:rsidRPr="00DD1532">
        <w:rPr>
          <w:color w:val="auto"/>
          <w:sz w:val="22"/>
          <w:szCs w:val="22"/>
          <w:lang w:val="bs-Latn-BA"/>
        </w:rPr>
        <w:t>od</w:t>
      </w:r>
      <w:r w:rsidRPr="00DD1532">
        <w:rPr>
          <w:color w:val="auto"/>
          <w:sz w:val="22"/>
          <w:szCs w:val="22"/>
          <w:lang w:val="bs-Latn-BA"/>
        </w:rPr>
        <w:t xml:space="preserve"> 1,5 % godišnje </w:t>
      </w:r>
      <w:r w:rsidR="00712E17" w:rsidRPr="00DD1532">
        <w:rPr>
          <w:color w:val="auto"/>
          <w:sz w:val="22"/>
          <w:szCs w:val="22"/>
          <w:lang w:val="bs-Latn-BA"/>
        </w:rPr>
        <w:t>obnovljene</w:t>
      </w:r>
      <w:r w:rsidRPr="00DD1532">
        <w:rPr>
          <w:color w:val="auto"/>
          <w:sz w:val="22"/>
          <w:szCs w:val="22"/>
          <w:lang w:val="bs-Latn-BA"/>
        </w:rPr>
        <w:t xml:space="preserve"> površine. Kumulativno, do 2050. godine, izvršiti će se </w:t>
      </w:r>
      <w:r w:rsidR="00C748A6" w:rsidRPr="00DD1532">
        <w:rPr>
          <w:color w:val="auto"/>
          <w:sz w:val="22"/>
          <w:szCs w:val="22"/>
          <w:lang w:val="bs-Latn-BA"/>
        </w:rPr>
        <w:t xml:space="preserve">obnova </w:t>
      </w:r>
      <w:r w:rsidRPr="00DD1532">
        <w:rPr>
          <w:color w:val="auto"/>
          <w:sz w:val="22"/>
          <w:szCs w:val="22"/>
          <w:lang w:val="bs-Latn-BA"/>
        </w:rPr>
        <w:t>23,48 mil.m</w:t>
      </w:r>
      <w:r w:rsidRPr="00DD1532">
        <w:rPr>
          <w:color w:val="auto"/>
          <w:sz w:val="22"/>
          <w:szCs w:val="22"/>
          <w:vertAlign w:val="superscript"/>
          <w:lang w:val="bs-Latn-BA"/>
        </w:rPr>
        <w:t>2</w:t>
      </w:r>
      <w:r w:rsidRPr="00DD1532">
        <w:rPr>
          <w:color w:val="auto"/>
          <w:sz w:val="22"/>
          <w:szCs w:val="22"/>
          <w:lang w:val="bs-Latn-BA"/>
        </w:rPr>
        <w:t xml:space="preserve"> korisne grijane površine, </w:t>
      </w:r>
      <w:r w:rsidR="00CB7327" w:rsidRPr="00DD1532">
        <w:rPr>
          <w:color w:val="auto"/>
          <w:sz w:val="22"/>
          <w:szCs w:val="22"/>
          <w:lang w:val="bs-Latn-BA"/>
        </w:rPr>
        <w:t xml:space="preserve">koja </w:t>
      </w:r>
      <w:r w:rsidR="00AF25D2">
        <w:rPr>
          <w:color w:val="auto"/>
          <w:sz w:val="22"/>
          <w:szCs w:val="22"/>
          <w:lang w:val="bs-Latn-BA"/>
        </w:rPr>
        <w:t>će</w:t>
      </w:r>
      <w:r w:rsidR="00AF25D2" w:rsidRPr="00DD1532">
        <w:rPr>
          <w:color w:val="auto"/>
          <w:sz w:val="22"/>
          <w:szCs w:val="22"/>
          <w:lang w:val="bs-Latn-BA"/>
        </w:rPr>
        <w:t xml:space="preserve"> obuhvat</w:t>
      </w:r>
      <w:r w:rsidR="00AF25D2">
        <w:rPr>
          <w:color w:val="auto"/>
          <w:sz w:val="22"/>
          <w:szCs w:val="22"/>
          <w:lang w:val="bs-Latn-BA"/>
        </w:rPr>
        <w:t>iti</w:t>
      </w:r>
      <w:r w:rsidR="00AF25D2" w:rsidRPr="00DD1532">
        <w:rPr>
          <w:color w:val="auto"/>
          <w:sz w:val="22"/>
          <w:szCs w:val="22"/>
          <w:lang w:val="bs-Latn-BA"/>
        </w:rPr>
        <w:t xml:space="preserve"> </w:t>
      </w:r>
      <w:r w:rsidRPr="00DD1532">
        <w:rPr>
          <w:color w:val="auto"/>
          <w:sz w:val="22"/>
          <w:szCs w:val="22"/>
          <w:lang w:val="bs-Latn-BA"/>
        </w:rPr>
        <w:t xml:space="preserve">177.633 zgrada. </w:t>
      </w:r>
    </w:p>
    <w:p w14:paraId="2EE1BAAB" w14:textId="1C4F59CB" w:rsidR="002D43CA" w:rsidRPr="004E1F77"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 xml:space="preserve">Prema </w:t>
      </w:r>
      <w:r w:rsidR="00AB786E">
        <w:rPr>
          <w:color w:val="auto"/>
          <w:sz w:val="22"/>
          <w:szCs w:val="22"/>
          <w:lang w:val="bs-Latn-BA"/>
        </w:rPr>
        <w:t>definirano</w:t>
      </w:r>
      <w:r w:rsidRPr="004E1F77">
        <w:rPr>
          <w:color w:val="auto"/>
          <w:sz w:val="22"/>
          <w:szCs w:val="22"/>
          <w:lang w:val="bs-Latn-BA"/>
        </w:rPr>
        <w:t xml:space="preserve">j dinamici </w:t>
      </w:r>
      <w:r w:rsidR="00C748A6">
        <w:rPr>
          <w:color w:val="auto"/>
          <w:sz w:val="22"/>
          <w:szCs w:val="22"/>
          <w:lang w:val="bs-Latn-BA"/>
        </w:rPr>
        <w:t>obnove</w:t>
      </w:r>
      <w:r w:rsidRPr="004E1F77">
        <w:rPr>
          <w:color w:val="auto"/>
          <w:sz w:val="22"/>
          <w:szCs w:val="22"/>
          <w:lang w:val="bs-Latn-BA"/>
        </w:rPr>
        <w:t xml:space="preserve"> izračunate su očekivane uštede energije za period do 2050. godine, sa naznačenim uštedama za karakteristične periode od po 10 godina. Za procjenu potrošnje energije stambenog sektora za period do 2050. godine uobzirena je i potrošnja novoizgrađenih zgrada za koje je uvedena pretpostavka da će biti visokoefikasne sa integracijom obnovljivih izvora energije u sistem snabdijevanja. </w:t>
      </w:r>
      <w:r>
        <w:rPr>
          <w:color w:val="auto"/>
          <w:sz w:val="22"/>
          <w:szCs w:val="22"/>
          <w:lang w:val="bs-Latn-BA"/>
        </w:rPr>
        <w:t>Za postojeće zgrade</w:t>
      </w:r>
      <w:r w:rsidRPr="004E1F77">
        <w:rPr>
          <w:color w:val="auto"/>
          <w:sz w:val="22"/>
          <w:szCs w:val="22"/>
          <w:lang w:val="bs-Latn-BA"/>
        </w:rPr>
        <w:t xml:space="preserve"> koje nisu planirane za energijsku </w:t>
      </w:r>
      <w:r w:rsidR="00C748A6">
        <w:rPr>
          <w:color w:val="auto"/>
          <w:sz w:val="22"/>
          <w:szCs w:val="22"/>
          <w:lang w:val="bs-Latn-BA"/>
        </w:rPr>
        <w:t>obnovu</w:t>
      </w:r>
      <w:r w:rsidRPr="004E1F77">
        <w:rPr>
          <w:color w:val="auto"/>
          <w:sz w:val="22"/>
          <w:szCs w:val="22"/>
          <w:lang w:val="bs-Latn-BA"/>
        </w:rPr>
        <w:t xml:space="preserve">, </w:t>
      </w:r>
      <w:r>
        <w:rPr>
          <w:color w:val="auto"/>
          <w:sz w:val="22"/>
          <w:szCs w:val="22"/>
          <w:lang w:val="bs-Latn-BA"/>
        </w:rPr>
        <w:t xml:space="preserve">uvedena je pretpostavka da se će se </w:t>
      </w:r>
      <w:r w:rsidRPr="0087301F">
        <w:rPr>
          <w:color w:val="auto"/>
          <w:sz w:val="22"/>
          <w:szCs w:val="22"/>
          <w:lang w:val="bs-Latn-BA"/>
        </w:rPr>
        <w:t>energijske karakteristike postojećeg stambenog fonda postepeno pogoršavati, kao rezultat promjene svojstava ugrađenih materijala, te će potrošnja postojećeg stambenog fonda rasti za po 0,15 % svake godine.</w:t>
      </w:r>
    </w:p>
    <w:p w14:paraId="24C2F5A2" w14:textId="743D8236" w:rsidR="002D43CA" w:rsidRPr="00135C99"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Uštede emisije CO</w:t>
      </w:r>
      <w:r w:rsidRPr="004E1F77">
        <w:rPr>
          <w:color w:val="auto"/>
          <w:sz w:val="22"/>
          <w:szCs w:val="22"/>
          <w:vertAlign w:val="subscript"/>
          <w:lang w:val="bs-Latn-BA"/>
        </w:rPr>
        <w:t>2</w:t>
      </w:r>
      <w:r w:rsidRPr="004E1F77">
        <w:rPr>
          <w:color w:val="auto"/>
          <w:sz w:val="22"/>
          <w:szCs w:val="22"/>
          <w:lang w:val="bs-Latn-BA"/>
        </w:rPr>
        <w:t xml:space="preserve"> su </w:t>
      </w:r>
      <w:r>
        <w:rPr>
          <w:color w:val="auto"/>
          <w:sz w:val="22"/>
          <w:szCs w:val="22"/>
          <w:lang w:val="bs-Latn-BA"/>
        </w:rPr>
        <w:t xml:space="preserve">rezultat ušteda u energiji uz pretpostavku da </w:t>
      </w:r>
      <w:r w:rsidR="0068193E">
        <w:rPr>
          <w:color w:val="auto"/>
          <w:sz w:val="22"/>
          <w:szCs w:val="22"/>
          <w:lang w:val="bs-Latn-BA"/>
        </w:rPr>
        <w:t xml:space="preserve">će </w:t>
      </w:r>
      <w:r w:rsidR="00712E17">
        <w:rPr>
          <w:color w:val="auto"/>
          <w:sz w:val="22"/>
          <w:szCs w:val="22"/>
          <w:lang w:val="bs-Latn-BA"/>
        </w:rPr>
        <w:t>obnovljene</w:t>
      </w:r>
      <w:r>
        <w:rPr>
          <w:color w:val="auto"/>
          <w:sz w:val="22"/>
          <w:szCs w:val="22"/>
          <w:lang w:val="bs-Latn-BA"/>
        </w:rPr>
        <w:t xml:space="preserve"> zgrade </w:t>
      </w:r>
      <w:r w:rsidR="0068193E">
        <w:rPr>
          <w:color w:val="auto"/>
          <w:sz w:val="22"/>
          <w:szCs w:val="22"/>
          <w:lang w:val="bs-Latn-BA"/>
        </w:rPr>
        <w:t xml:space="preserve">koristiti </w:t>
      </w:r>
      <w:r>
        <w:rPr>
          <w:color w:val="auto"/>
          <w:sz w:val="22"/>
          <w:szCs w:val="22"/>
          <w:lang w:val="bs-Latn-BA"/>
        </w:rPr>
        <w:t>obnovljive izvore energije ili se priključ</w:t>
      </w:r>
      <w:r w:rsidR="0068193E">
        <w:rPr>
          <w:color w:val="auto"/>
          <w:sz w:val="22"/>
          <w:szCs w:val="22"/>
          <w:lang w:val="bs-Latn-BA"/>
        </w:rPr>
        <w:t>iti</w:t>
      </w:r>
      <w:r>
        <w:rPr>
          <w:color w:val="auto"/>
          <w:sz w:val="22"/>
          <w:szCs w:val="22"/>
          <w:lang w:val="bs-Latn-BA"/>
        </w:rPr>
        <w:t xml:space="preserve"> na daljinske sisteme grijanja</w:t>
      </w:r>
      <w:r w:rsidR="0068193E">
        <w:rPr>
          <w:color w:val="auto"/>
          <w:sz w:val="22"/>
          <w:szCs w:val="22"/>
          <w:lang w:val="bs-Latn-BA"/>
        </w:rPr>
        <w:t>,</w:t>
      </w:r>
      <w:r>
        <w:rPr>
          <w:color w:val="auto"/>
          <w:sz w:val="22"/>
          <w:szCs w:val="22"/>
          <w:lang w:val="bs-Latn-BA"/>
        </w:rPr>
        <w:t xml:space="preserve"> te </w:t>
      </w:r>
      <w:r w:rsidR="0068193E">
        <w:rPr>
          <w:color w:val="auto"/>
          <w:sz w:val="22"/>
          <w:szCs w:val="22"/>
          <w:lang w:val="bs-Latn-BA"/>
        </w:rPr>
        <w:t xml:space="preserve">će se desiti </w:t>
      </w:r>
      <w:r>
        <w:rPr>
          <w:color w:val="auto"/>
          <w:sz w:val="22"/>
          <w:szCs w:val="22"/>
          <w:lang w:val="bs-Latn-BA"/>
        </w:rPr>
        <w:t>promjena u energijskom miksu zgrada. Takođe</w:t>
      </w:r>
      <w:r w:rsidR="0087301F">
        <w:rPr>
          <w:color w:val="auto"/>
          <w:sz w:val="22"/>
          <w:szCs w:val="22"/>
          <w:lang w:val="bs-Latn-BA"/>
        </w:rPr>
        <w:t>r</w:t>
      </w:r>
      <w:r>
        <w:rPr>
          <w:color w:val="auto"/>
          <w:sz w:val="22"/>
          <w:szCs w:val="22"/>
          <w:lang w:val="bs-Latn-BA"/>
        </w:rPr>
        <w:t xml:space="preserve">, uobzireno je planirano </w:t>
      </w:r>
      <w:r w:rsidRPr="002C77EE">
        <w:rPr>
          <w:color w:val="auto"/>
          <w:sz w:val="22"/>
          <w:szCs w:val="22"/>
          <w:lang w:val="bs-Latn-BA"/>
        </w:rPr>
        <w:t xml:space="preserve">smanjenje </w:t>
      </w:r>
      <w:r w:rsidRPr="0087301F">
        <w:rPr>
          <w:color w:val="auto"/>
          <w:sz w:val="22"/>
          <w:szCs w:val="52"/>
          <w:lang w:val="bs-Latn-BA"/>
        </w:rPr>
        <w:t>koeficijenta emisije CO</w:t>
      </w:r>
      <w:r w:rsidRPr="0087301F">
        <w:rPr>
          <w:color w:val="auto"/>
          <w:sz w:val="22"/>
          <w:szCs w:val="52"/>
          <w:vertAlign w:val="subscript"/>
          <w:lang w:val="bs-Latn-BA"/>
        </w:rPr>
        <w:t>2</w:t>
      </w:r>
      <w:r w:rsidRPr="0087301F">
        <w:rPr>
          <w:color w:val="auto"/>
          <w:sz w:val="22"/>
          <w:szCs w:val="52"/>
          <w:vertAlign w:val="superscript"/>
          <w:lang w:val="bs-Latn-BA"/>
        </w:rPr>
        <w:t xml:space="preserve"> </w:t>
      </w:r>
      <w:r w:rsidRPr="0087301F">
        <w:rPr>
          <w:color w:val="auto"/>
          <w:sz w:val="22"/>
          <w:szCs w:val="52"/>
          <w:lang w:val="bs-Latn-BA"/>
        </w:rPr>
        <w:t>električne energije i sistema daljinskog grijanja za period 2021.-2030</w:t>
      </w:r>
      <w:r w:rsidRPr="0087301F">
        <w:rPr>
          <w:color w:val="auto"/>
          <w:sz w:val="22"/>
          <w:szCs w:val="52"/>
          <w:vertAlign w:val="superscript"/>
          <w:lang w:val="bs-Latn-BA"/>
        </w:rPr>
        <w:footnoteReference w:id="22"/>
      </w:r>
      <w:r w:rsidRPr="0087301F">
        <w:rPr>
          <w:color w:val="auto"/>
          <w:sz w:val="22"/>
          <w:szCs w:val="52"/>
          <w:lang w:val="bs-Latn-BA"/>
        </w:rPr>
        <w:t>, sa trendom smanjenja do 2050. godine</w:t>
      </w:r>
      <w:r w:rsidR="0087301F">
        <w:rPr>
          <w:color w:val="auto"/>
          <w:sz w:val="22"/>
          <w:szCs w:val="52"/>
          <w:lang w:val="bs-Latn-BA"/>
        </w:rPr>
        <w:t>.</w:t>
      </w:r>
    </w:p>
    <w:p w14:paraId="72D23C04" w14:textId="7C1C89BC" w:rsidR="00CB7327" w:rsidRDefault="00CB7327"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 xml:space="preserve">Za svaki nivo </w:t>
      </w:r>
      <w:r>
        <w:rPr>
          <w:color w:val="auto"/>
          <w:sz w:val="22"/>
          <w:szCs w:val="22"/>
          <w:lang w:val="bs-Latn-BA"/>
        </w:rPr>
        <w:t>obnove</w:t>
      </w:r>
      <w:r w:rsidRPr="004E1F77">
        <w:rPr>
          <w:color w:val="auto"/>
          <w:sz w:val="22"/>
          <w:szCs w:val="22"/>
          <w:lang w:val="bs-Latn-BA"/>
        </w:rPr>
        <w:t xml:space="preserve"> i kategoriju zgrada izračunat</w:t>
      </w:r>
      <w:r>
        <w:rPr>
          <w:color w:val="auto"/>
          <w:sz w:val="22"/>
          <w:szCs w:val="22"/>
          <w:lang w:val="bs-Latn-BA"/>
        </w:rPr>
        <w:t xml:space="preserve">a </w:t>
      </w:r>
      <w:r w:rsidR="00C774CE">
        <w:rPr>
          <w:color w:val="auto"/>
          <w:sz w:val="22"/>
          <w:szCs w:val="22"/>
          <w:lang w:val="bs-Latn-BA"/>
        </w:rPr>
        <w:t xml:space="preserve">je </w:t>
      </w:r>
      <w:r w:rsidR="008352D9">
        <w:rPr>
          <w:color w:val="auto"/>
          <w:sz w:val="22"/>
          <w:szCs w:val="22"/>
          <w:lang w:val="bs-Latn-BA"/>
        </w:rPr>
        <w:t>angažirana</w:t>
      </w:r>
      <w:r>
        <w:rPr>
          <w:color w:val="auto"/>
          <w:sz w:val="22"/>
          <w:szCs w:val="22"/>
          <w:lang w:val="bs-Latn-BA"/>
        </w:rPr>
        <w:t xml:space="preserve"> radna snaga iskazana kroz paramet</w:t>
      </w:r>
      <w:r w:rsidR="00C774CE">
        <w:rPr>
          <w:color w:val="auto"/>
          <w:sz w:val="22"/>
          <w:szCs w:val="22"/>
          <w:lang w:val="bs-Latn-BA"/>
        </w:rPr>
        <w:t>re</w:t>
      </w:r>
      <w:r>
        <w:rPr>
          <w:color w:val="auto"/>
          <w:sz w:val="22"/>
          <w:szCs w:val="22"/>
          <w:lang w:val="bs-Latn-BA"/>
        </w:rPr>
        <w:t xml:space="preserve"> „broj čovjek dana“</w:t>
      </w:r>
      <w:r w:rsidR="00C774CE">
        <w:rPr>
          <w:color w:val="auto"/>
          <w:sz w:val="22"/>
          <w:szCs w:val="22"/>
          <w:lang w:val="bs-Latn-BA"/>
        </w:rPr>
        <w:t xml:space="preserve"> i „</w:t>
      </w:r>
      <w:r w:rsidR="00C774CE" w:rsidRPr="00DD1532">
        <w:rPr>
          <w:color w:val="auto"/>
          <w:sz w:val="22"/>
          <w:szCs w:val="22"/>
          <w:lang w:val="bs-Latn-BA"/>
        </w:rPr>
        <w:t>ekvivalent punog radnog vremena (FTE)</w:t>
      </w:r>
      <w:r w:rsidR="00C774CE">
        <w:rPr>
          <w:color w:val="auto"/>
          <w:sz w:val="22"/>
          <w:szCs w:val="22"/>
          <w:lang w:val="bs-Latn-BA"/>
        </w:rPr>
        <w:t>“</w:t>
      </w:r>
      <w:r w:rsidR="00AC319B">
        <w:rPr>
          <w:color w:val="auto"/>
          <w:sz w:val="22"/>
          <w:szCs w:val="22"/>
          <w:lang w:val="bs-Latn-BA"/>
        </w:rPr>
        <w:t>.</w:t>
      </w:r>
      <w:r w:rsidR="00E71A4E">
        <w:rPr>
          <w:color w:val="auto"/>
          <w:sz w:val="22"/>
          <w:szCs w:val="22"/>
          <w:lang w:val="bs-Latn-BA"/>
        </w:rPr>
        <w:t xml:space="preserve"> Analiza je pokazala da će se provođenje</w:t>
      </w:r>
      <w:r w:rsidR="00A11755">
        <w:rPr>
          <w:color w:val="auto"/>
          <w:sz w:val="22"/>
          <w:szCs w:val="22"/>
          <w:lang w:val="bs-Latn-BA"/>
        </w:rPr>
        <w:t>m</w:t>
      </w:r>
      <w:r w:rsidR="00E71A4E">
        <w:rPr>
          <w:color w:val="auto"/>
          <w:sz w:val="22"/>
          <w:szCs w:val="22"/>
          <w:lang w:val="bs-Latn-BA"/>
        </w:rPr>
        <w:t xml:space="preserve"> energijske </w:t>
      </w:r>
      <w:r w:rsidR="002F2E73">
        <w:rPr>
          <w:color w:val="auto"/>
          <w:sz w:val="22"/>
          <w:szCs w:val="22"/>
          <w:lang w:val="bs-Latn-BA"/>
        </w:rPr>
        <w:t>obnove</w:t>
      </w:r>
      <w:r w:rsidR="00E71A4E">
        <w:rPr>
          <w:color w:val="auto"/>
          <w:sz w:val="22"/>
          <w:szCs w:val="22"/>
          <w:lang w:val="bs-Latn-BA"/>
        </w:rPr>
        <w:t xml:space="preserve"> stambenog sektora do 2050. godine kumulativno gener</w:t>
      </w:r>
      <w:r w:rsidR="00A11755">
        <w:rPr>
          <w:color w:val="auto"/>
          <w:sz w:val="22"/>
          <w:szCs w:val="22"/>
          <w:lang w:val="bs-Latn-BA"/>
        </w:rPr>
        <w:t>irati</w:t>
      </w:r>
      <w:r w:rsidR="00E71A4E">
        <w:rPr>
          <w:color w:val="auto"/>
          <w:sz w:val="22"/>
          <w:szCs w:val="22"/>
          <w:lang w:val="bs-Latn-BA"/>
        </w:rPr>
        <w:t xml:space="preserve"> 34.105.143 broj čovjek dana i 131.174 FTE. </w:t>
      </w:r>
    </w:p>
    <w:p w14:paraId="6FE65892" w14:textId="481325ED" w:rsidR="002D43CA" w:rsidRPr="006E5703"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 xml:space="preserve">Prikazana je raspodjela </w:t>
      </w:r>
      <w:r>
        <w:rPr>
          <w:color w:val="auto"/>
          <w:sz w:val="22"/>
          <w:szCs w:val="22"/>
          <w:lang w:val="bs-Latn-BA"/>
        </w:rPr>
        <w:t xml:space="preserve">broja individualnih zgrada i zgrada kolektivnog stanovanja koje se planiraju </w:t>
      </w:r>
      <w:r w:rsidR="00712E17">
        <w:rPr>
          <w:color w:val="auto"/>
          <w:sz w:val="22"/>
          <w:szCs w:val="22"/>
          <w:lang w:val="bs-Latn-BA"/>
        </w:rPr>
        <w:t>obnoviti</w:t>
      </w:r>
      <w:r>
        <w:rPr>
          <w:color w:val="auto"/>
          <w:sz w:val="22"/>
          <w:szCs w:val="22"/>
          <w:lang w:val="bs-Latn-BA"/>
        </w:rPr>
        <w:t xml:space="preserve"> za svaki pojedini </w:t>
      </w:r>
      <w:r w:rsidR="00C748A6">
        <w:rPr>
          <w:color w:val="auto"/>
          <w:sz w:val="22"/>
          <w:szCs w:val="22"/>
          <w:lang w:val="bs-Latn-BA"/>
        </w:rPr>
        <w:t xml:space="preserve">kanton </w:t>
      </w:r>
      <w:r>
        <w:rPr>
          <w:color w:val="auto"/>
          <w:sz w:val="22"/>
          <w:szCs w:val="22"/>
          <w:lang w:val="bs-Latn-BA"/>
        </w:rPr>
        <w:t xml:space="preserve">i data procjena </w:t>
      </w:r>
      <w:r w:rsidR="00712E17">
        <w:rPr>
          <w:color w:val="auto"/>
          <w:sz w:val="22"/>
          <w:szCs w:val="22"/>
          <w:lang w:val="bs-Latn-BA"/>
        </w:rPr>
        <w:t>obnovljene</w:t>
      </w:r>
      <w:r>
        <w:rPr>
          <w:color w:val="auto"/>
          <w:sz w:val="22"/>
          <w:szCs w:val="22"/>
          <w:lang w:val="bs-Latn-BA"/>
        </w:rPr>
        <w:t xml:space="preserve"> korisne grijane površine za svaki </w:t>
      </w:r>
      <w:r w:rsidR="00C748A6">
        <w:rPr>
          <w:color w:val="auto"/>
          <w:sz w:val="22"/>
          <w:szCs w:val="22"/>
          <w:lang w:val="bs-Latn-BA"/>
        </w:rPr>
        <w:lastRenderedPageBreak/>
        <w:t xml:space="preserve">kanton </w:t>
      </w:r>
      <w:r>
        <w:rPr>
          <w:color w:val="auto"/>
          <w:sz w:val="22"/>
          <w:szCs w:val="22"/>
          <w:lang w:val="bs-Latn-BA"/>
        </w:rPr>
        <w:t xml:space="preserve">za period </w:t>
      </w:r>
      <w:r w:rsidRPr="004E1F77">
        <w:rPr>
          <w:color w:val="auto"/>
          <w:sz w:val="22"/>
          <w:szCs w:val="22"/>
          <w:lang w:val="bs-Latn-BA"/>
        </w:rPr>
        <w:t>do 2050. godine, sa naznačenim porastom za karakteristične periode od po 10 godina.</w:t>
      </w:r>
    </w:p>
    <w:p w14:paraId="72E0CDB3" w14:textId="71439E8F" w:rsidR="002D43CA" w:rsidRPr="004E1F77" w:rsidRDefault="002D43CA" w:rsidP="000E3D79">
      <w:pPr>
        <w:pStyle w:val="Nazivprojekta"/>
        <w:spacing w:after="120" w:line="276" w:lineRule="auto"/>
        <w:jc w:val="both"/>
        <w:rPr>
          <w:color w:val="auto"/>
          <w:sz w:val="22"/>
          <w:szCs w:val="22"/>
          <w:lang w:val="bs-Latn-BA"/>
        </w:rPr>
      </w:pPr>
      <w:r w:rsidRPr="004E1F77">
        <w:rPr>
          <w:color w:val="auto"/>
          <w:sz w:val="22"/>
          <w:szCs w:val="22"/>
          <w:lang w:val="bs-Latn-BA"/>
        </w:rPr>
        <w:t>Metodologija proračuna ušteda energije i emisije CO</w:t>
      </w:r>
      <w:r w:rsidRPr="004E1F77">
        <w:rPr>
          <w:color w:val="auto"/>
          <w:sz w:val="22"/>
          <w:szCs w:val="22"/>
          <w:vertAlign w:val="subscript"/>
          <w:lang w:val="bs-Latn-BA"/>
        </w:rPr>
        <w:t>2</w:t>
      </w:r>
      <w:r w:rsidRPr="004E1F77">
        <w:rPr>
          <w:color w:val="auto"/>
          <w:sz w:val="22"/>
          <w:szCs w:val="22"/>
          <w:lang w:val="bs-Latn-BA"/>
        </w:rPr>
        <w:t xml:space="preserve"> kroz primjenu mjera energijske </w:t>
      </w:r>
      <w:r w:rsidR="00C748A6">
        <w:rPr>
          <w:color w:val="auto"/>
          <w:sz w:val="22"/>
          <w:szCs w:val="22"/>
          <w:lang w:val="bs-Latn-BA"/>
        </w:rPr>
        <w:t>obnove</w:t>
      </w:r>
      <w:r w:rsidR="00C748A6" w:rsidRPr="004E1F77">
        <w:rPr>
          <w:color w:val="auto"/>
          <w:sz w:val="22"/>
          <w:szCs w:val="22"/>
          <w:lang w:val="bs-Latn-BA"/>
        </w:rPr>
        <w:t xml:space="preserve"> </w:t>
      </w:r>
      <w:r>
        <w:rPr>
          <w:color w:val="auto"/>
          <w:sz w:val="22"/>
          <w:szCs w:val="22"/>
          <w:lang w:val="bs-Latn-BA"/>
        </w:rPr>
        <w:t>javnih zgrada</w:t>
      </w:r>
      <w:r w:rsidRPr="004E1F77">
        <w:rPr>
          <w:color w:val="auto"/>
          <w:sz w:val="22"/>
          <w:szCs w:val="22"/>
          <w:lang w:val="bs-Latn-BA"/>
        </w:rPr>
        <w:t xml:space="preserve"> izvršena je na sljedeći način: </w:t>
      </w:r>
    </w:p>
    <w:p w14:paraId="35404530" w14:textId="131C4B20" w:rsidR="002D43CA"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Izvršena je procjena rasta post</w:t>
      </w:r>
      <w:r w:rsidR="0087301F">
        <w:rPr>
          <w:color w:val="auto"/>
          <w:sz w:val="22"/>
          <w:szCs w:val="22"/>
          <w:lang w:val="bs-Latn-BA"/>
        </w:rPr>
        <w:t>o</w:t>
      </w:r>
      <w:r w:rsidRPr="004E1F77">
        <w:rPr>
          <w:color w:val="auto"/>
          <w:sz w:val="22"/>
          <w:szCs w:val="22"/>
          <w:lang w:val="bs-Latn-BA"/>
        </w:rPr>
        <w:t xml:space="preserve">jećeg broja zgrada, bruto i korisne površine zgrada za period do 2050. godine, sa naznačenim porastom za karakteristične periode od po 10 godina. </w:t>
      </w:r>
    </w:p>
    <w:p w14:paraId="7DAB1155" w14:textId="3E352E12" w:rsidR="002D43CA" w:rsidRPr="004E1F77" w:rsidRDefault="00884261" w:rsidP="00581C1C">
      <w:pPr>
        <w:pStyle w:val="Nazivprojekta"/>
        <w:numPr>
          <w:ilvl w:val="0"/>
          <w:numId w:val="56"/>
        </w:numPr>
        <w:spacing w:after="120" w:line="276" w:lineRule="auto"/>
        <w:jc w:val="both"/>
        <w:rPr>
          <w:color w:val="auto"/>
          <w:sz w:val="22"/>
          <w:szCs w:val="22"/>
          <w:lang w:val="bs-Latn-BA"/>
        </w:rPr>
      </w:pPr>
      <w:r>
        <w:rPr>
          <w:color w:val="auto"/>
          <w:sz w:val="22"/>
          <w:szCs w:val="22"/>
          <w:lang w:val="bs-Latn-BA"/>
        </w:rPr>
        <w:t>Za d</w:t>
      </w:r>
      <w:r w:rsidR="00004409">
        <w:rPr>
          <w:color w:val="auto"/>
          <w:sz w:val="22"/>
          <w:szCs w:val="22"/>
          <w:lang w:val="bs-Latn-BA"/>
        </w:rPr>
        <w:t>io f</w:t>
      </w:r>
      <w:r w:rsidR="002D43CA">
        <w:rPr>
          <w:color w:val="auto"/>
          <w:sz w:val="22"/>
          <w:szCs w:val="22"/>
          <w:lang w:val="bs-Latn-BA"/>
        </w:rPr>
        <w:t>ond</w:t>
      </w:r>
      <w:r w:rsidR="00004409">
        <w:rPr>
          <w:color w:val="auto"/>
          <w:sz w:val="22"/>
          <w:szCs w:val="22"/>
          <w:lang w:val="bs-Latn-BA"/>
        </w:rPr>
        <w:t>a</w:t>
      </w:r>
      <w:r w:rsidR="002D43CA">
        <w:rPr>
          <w:color w:val="auto"/>
          <w:sz w:val="22"/>
          <w:szCs w:val="22"/>
          <w:lang w:val="bs-Latn-BA"/>
        </w:rPr>
        <w:t xml:space="preserve"> zgrada</w:t>
      </w:r>
      <w:r w:rsidR="00004409">
        <w:rPr>
          <w:color w:val="auto"/>
          <w:sz w:val="22"/>
          <w:szCs w:val="22"/>
          <w:lang w:val="bs-Latn-BA"/>
        </w:rPr>
        <w:t xml:space="preserve"> </w:t>
      </w:r>
      <w:r w:rsidR="002D43CA">
        <w:rPr>
          <w:color w:val="auto"/>
          <w:sz w:val="22"/>
          <w:szCs w:val="22"/>
          <w:lang w:val="bs-Latn-BA"/>
        </w:rPr>
        <w:t xml:space="preserve">koje koriste </w:t>
      </w:r>
      <w:r w:rsidR="002D43CA" w:rsidRPr="00CB6F91">
        <w:rPr>
          <w:color w:val="auto"/>
          <w:sz w:val="22"/>
          <w:szCs w:val="22"/>
          <w:lang w:val="bs-Latn-BA"/>
        </w:rPr>
        <w:t xml:space="preserve">Institucije Federacije </w:t>
      </w:r>
      <w:r w:rsidR="002D43CA">
        <w:rPr>
          <w:color w:val="auto"/>
          <w:sz w:val="22"/>
          <w:szCs w:val="22"/>
          <w:lang w:val="bs-Latn-BA"/>
        </w:rPr>
        <w:t>će se en</w:t>
      </w:r>
      <w:r w:rsidR="002D43CA" w:rsidRPr="00CB6F91">
        <w:rPr>
          <w:color w:val="auto"/>
          <w:sz w:val="22"/>
          <w:szCs w:val="22"/>
          <w:lang w:val="bs-Latn-BA"/>
        </w:rPr>
        <w:t xml:space="preserve">ergijska </w:t>
      </w:r>
      <w:r w:rsidR="00AF56AF">
        <w:rPr>
          <w:color w:val="auto"/>
          <w:sz w:val="22"/>
          <w:szCs w:val="22"/>
          <w:lang w:val="bs-Latn-BA"/>
        </w:rPr>
        <w:t>obnova</w:t>
      </w:r>
      <w:r w:rsidR="00AF56AF" w:rsidRPr="00CB6F91">
        <w:rPr>
          <w:color w:val="auto"/>
          <w:sz w:val="22"/>
          <w:szCs w:val="22"/>
          <w:lang w:val="bs-Latn-BA"/>
        </w:rPr>
        <w:t xml:space="preserve"> </w:t>
      </w:r>
      <w:r w:rsidR="002D43CA" w:rsidRPr="00CB6F91">
        <w:rPr>
          <w:color w:val="auto"/>
          <w:sz w:val="22"/>
          <w:szCs w:val="22"/>
          <w:lang w:val="bs-Latn-BA"/>
        </w:rPr>
        <w:t>realizirati</w:t>
      </w:r>
      <w:r w:rsidR="002D43CA">
        <w:rPr>
          <w:color w:val="auto"/>
          <w:sz w:val="22"/>
          <w:szCs w:val="22"/>
          <w:lang w:val="bs-Latn-BA"/>
        </w:rPr>
        <w:t xml:space="preserve"> u skladu sa</w:t>
      </w:r>
      <w:r w:rsidR="002D43CA" w:rsidRPr="00CB6F91">
        <w:rPr>
          <w:color w:val="auto"/>
          <w:sz w:val="22"/>
          <w:szCs w:val="22"/>
          <w:lang w:val="bs-Latn-BA"/>
        </w:rPr>
        <w:t xml:space="preserve"> Operativnim planom poboljšanja energijske efikasnosti u institucijama FBiH </w:t>
      </w:r>
      <w:r w:rsidR="002D43CA">
        <w:rPr>
          <w:color w:val="auto"/>
          <w:sz w:val="22"/>
          <w:szCs w:val="22"/>
          <w:lang w:val="bs-Latn-BA"/>
        </w:rPr>
        <w:t>usvojenim</w:t>
      </w:r>
      <w:r w:rsidR="002D43CA" w:rsidRPr="00CB6F91">
        <w:rPr>
          <w:color w:val="auto"/>
          <w:sz w:val="22"/>
          <w:szCs w:val="22"/>
          <w:lang w:val="bs-Latn-BA"/>
        </w:rPr>
        <w:t xml:space="preserve"> 2021. godine</w:t>
      </w:r>
      <w:r w:rsidR="002D43CA" w:rsidRPr="0087301F">
        <w:rPr>
          <w:color w:val="auto"/>
          <w:vertAlign w:val="superscript"/>
          <w:lang w:val="bs-Latn-BA"/>
        </w:rPr>
        <w:footnoteReference w:id="23"/>
      </w:r>
      <w:r w:rsidR="002D43CA">
        <w:rPr>
          <w:color w:val="auto"/>
          <w:sz w:val="22"/>
          <w:szCs w:val="22"/>
          <w:lang w:val="bs-Latn-BA"/>
        </w:rPr>
        <w:t>.</w:t>
      </w:r>
      <w:r w:rsidR="002D43CA" w:rsidRPr="004E1F77">
        <w:rPr>
          <w:color w:val="auto"/>
          <w:sz w:val="22"/>
          <w:szCs w:val="22"/>
          <w:lang w:val="bs-Latn-BA"/>
        </w:rPr>
        <w:t xml:space="preserve"> </w:t>
      </w:r>
    </w:p>
    <w:p w14:paraId="26C4F459" w14:textId="1A8A66BC" w:rsidR="002D43CA" w:rsidRPr="0029617E" w:rsidRDefault="002D43CA" w:rsidP="00581C1C">
      <w:pPr>
        <w:pStyle w:val="Nazivprojekta"/>
        <w:numPr>
          <w:ilvl w:val="0"/>
          <w:numId w:val="56"/>
        </w:numPr>
        <w:spacing w:after="120" w:line="276" w:lineRule="auto"/>
        <w:jc w:val="both"/>
        <w:rPr>
          <w:color w:val="auto"/>
          <w:sz w:val="22"/>
          <w:lang w:val="bs-Latn-BA"/>
        </w:rPr>
      </w:pPr>
      <w:r w:rsidRPr="0029617E">
        <w:rPr>
          <w:color w:val="auto"/>
          <w:sz w:val="22"/>
          <w:szCs w:val="22"/>
          <w:lang w:val="bs-Latn-BA"/>
        </w:rPr>
        <w:t xml:space="preserve">Razmatrane mjere energijske </w:t>
      </w:r>
      <w:r w:rsidR="006A5773" w:rsidRPr="0029617E">
        <w:rPr>
          <w:color w:val="auto"/>
          <w:sz w:val="22"/>
          <w:szCs w:val="22"/>
          <w:lang w:val="bs-Latn-BA"/>
        </w:rPr>
        <w:t>obnove</w:t>
      </w:r>
      <w:r w:rsidRPr="0029617E">
        <w:rPr>
          <w:color w:val="auto"/>
          <w:sz w:val="22"/>
          <w:szCs w:val="22"/>
          <w:lang w:val="bs-Latn-BA"/>
        </w:rPr>
        <w:t xml:space="preserve"> obuhvataju setove mjera </w:t>
      </w:r>
      <w:r w:rsidR="006A5773" w:rsidRPr="0029617E">
        <w:rPr>
          <w:color w:val="auto"/>
          <w:sz w:val="22"/>
          <w:szCs w:val="22"/>
          <w:lang w:val="bs-Latn-BA"/>
        </w:rPr>
        <w:t>obnove</w:t>
      </w:r>
      <w:r w:rsidRPr="0029617E">
        <w:rPr>
          <w:color w:val="auto"/>
          <w:sz w:val="22"/>
          <w:szCs w:val="22"/>
          <w:lang w:val="bs-Latn-BA"/>
        </w:rPr>
        <w:t xml:space="preserve"> ovojnice zgrade i instalaciju visokoefikasnih termotehničkih sistema, a koje će rezultirati smanjenjem potrošnje energije i dovođenjem zgrade u energijski efikasnu kategoriju. </w:t>
      </w:r>
      <w:r w:rsidRPr="0029617E">
        <w:rPr>
          <w:color w:val="000000"/>
          <w:sz w:val="22"/>
          <w:szCs w:val="22"/>
          <w:lang w:val="bs-Latn-BA"/>
        </w:rPr>
        <w:t xml:space="preserve">Ove vrijednosti su korištene za proračun najveće dopuštene vrijednosti finalne energije za grijanje nakon provedenih mjera energijske efikasnosti za period 2020.-2030. godine. </w:t>
      </w:r>
      <w:r w:rsidRPr="0029617E">
        <w:rPr>
          <w:color w:val="000000"/>
          <w:sz w:val="22"/>
          <w:lang w:val="bs-Latn-BA"/>
        </w:rPr>
        <w:t xml:space="preserve">Za zgrade </w:t>
      </w:r>
      <w:r w:rsidR="00AF56AF" w:rsidRPr="00DD1532">
        <w:rPr>
          <w:color w:val="000000"/>
          <w:sz w:val="22"/>
          <w:lang w:val="bs-Latn-BA"/>
        </w:rPr>
        <w:t>obnovljene</w:t>
      </w:r>
      <w:r w:rsidR="00AF56AF" w:rsidRPr="0029617E">
        <w:rPr>
          <w:color w:val="000000"/>
          <w:sz w:val="22"/>
          <w:lang w:val="bs-Latn-BA"/>
        </w:rPr>
        <w:t xml:space="preserve"> </w:t>
      </w:r>
      <w:r w:rsidRPr="0029617E">
        <w:rPr>
          <w:color w:val="000000"/>
          <w:sz w:val="22"/>
          <w:lang w:val="bs-Latn-BA"/>
        </w:rPr>
        <w:t xml:space="preserve">nakon tog perioda, uvedena je pretpostavka da </w:t>
      </w:r>
      <w:r w:rsidR="0029617E" w:rsidRPr="00DD1532">
        <w:rPr>
          <w:color w:val="000000"/>
          <w:sz w:val="22"/>
          <w:lang w:val="bs-Latn-BA"/>
        </w:rPr>
        <w:t>bi sve</w:t>
      </w:r>
      <w:r w:rsidR="0029617E" w:rsidRPr="0029617E">
        <w:rPr>
          <w:color w:val="000000"/>
          <w:sz w:val="22"/>
          <w:lang w:val="bs-Latn-BA"/>
        </w:rPr>
        <w:t xml:space="preserve"> </w:t>
      </w:r>
      <w:r w:rsidR="00AF56AF" w:rsidRPr="00DD1532">
        <w:rPr>
          <w:color w:val="000000"/>
          <w:sz w:val="22"/>
          <w:lang w:val="bs-Latn-BA"/>
        </w:rPr>
        <w:t>obnovljene</w:t>
      </w:r>
      <w:r w:rsidR="00AF56AF" w:rsidRPr="0029617E">
        <w:rPr>
          <w:color w:val="000000"/>
          <w:sz w:val="22"/>
          <w:lang w:val="bs-Latn-BA"/>
        </w:rPr>
        <w:t xml:space="preserve"> </w:t>
      </w:r>
      <w:r w:rsidRPr="0029617E">
        <w:rPr>
          <w:color w:val="000000"/>
          <w:sz w:val="22"/>
          <w:lang w:val="bs-Latn-BA"/>
        </w:rPr>
        <w:t xml:space="preserve">zgrade </w:t>
      </w:r>
      <w:r w:rsidR="0029617E" w:rsidRPr="00DD1532">
        <w:rPr>
          <w:color w:val="000000"/>
          <w:sz w:val="22"/>
          <w:lang w:val="bs-Latn-BA"/>
        </w:rPr>
        <w:t xml:space="preserve">trebale </w:t>
      </w:r>
      <w:r w:rsidRPr="0029617E">
        <w:rPr>
          <w:color w:val="000000"/>
          <w:sz w:val="22"/>
          <w:lang w:val="bs-Latn-BA"/>
        </w:rPr>
        <w:t>ispunjavati u</w:t>
      </w:r>
      <w:r w:rsidR="00A11755">
        <w:rPr>
          <w:color w:val="000000"/>
          <w:sz w:val="22"/>
          <w:lang w:val="bs-Latn-BA"/>
        </w:rPr>
        <w:t>vjete</w:t>
      </w:r>
      <w:r w:rsidRPr="0029617E">
        <w:rPr>
          <w:color w:val="000000"/>
          <w:sz w:val="22"/>
          <w:lang w:val="bs-Latn-BA"/>
        </w:rPr>
        <w:t xml:space="preserve"> za zgrade gotovo nulte energije, energijski efikasne i gdje je skoro nulta ili niska potrošnja energije potrebna</w:t>
      </w:r>
      <w:r w:rsidRPr="0029617E">
        <w:rPr>
          <w:color w:val="000000"/>
          <w:sz w:val="22"/>
          <w:szCs w:val="22"/>
          <w:lang w:val="bs-Latn-BA"/>
        </w:rPr>
        <w:t xml:space="preserve"> </w:t>
      </w:r>
      <w:r w:rsidRPr="0029617E">
        <w:rPr>
          <w:color w:val="000000"/>
          <w:sz w:val="22"/>
          <w:lang w:val="bs-Latn-BA"/>
        </w:rPr>
        <w:t xml:space="preserve">za funkcioniranje zgrade, </w:t>
      </w:r>
      <w:r w:rsidR="0087301F" w:rsidRPr="0029617E">
        <w:rPr>
          <w:color w:val="000000"/>
          <w:sz w:val="22"/>
          <w:lang w:val="bs-Latn-BA"/>
        </w:rPr>
        <w:t>dobivena</w:t>
      </w:r>
      <w:r w:rsidRPr="0029617E">
        <w:rPr>
          <w:color w:val="000000"/>
          <w:sz w:val="22"/>
          <w:lang w:val="bs-Latn-BA"/>
        </w:rPr>
        <w:t xml:space="preserve"> u velikoj mjeri iz obnovljivih izvora energije. </w:t>
      </w:r>
    </w:p>
    <w:p w14:paraId="6CDEC795" w14:textId="001A935C" w:rsidR="002D43CA" w:rsidRDefault="002D43CA" w:rsidP="00581C1C">
      <w:pPr>
        <w:pStyle w:val="Nazivprojekta"/>
        <w:numPr>
          <w:ilvl w:val="0"/>
          <w:numId w:val="56"/>
        </w:numPr>
        <w:spacing w:after="120" w:line="276" w:lineRule="auto"/>
        <w:jc w:val="both"/>
        <w:rPr>
          <w:color w:val="auto"/>
          <w:sz w:val="22"/>
          <w:lang w:val="bs-Latn-BA"/>
        </w:rPr>
      </w:pPr>
      <w:r w:rsidRPr="00DD1532">
        <w:rPr>
          <w:rFonts w:eastAsiaTheme="minorEastAsia"/>
          <w:color w:val="auto"/>
          <w:sz w:val="22"/>
          <w:lang w:val="bs-Latn-BA"/>
        </w:rPr>
        <w:t xml:space="preserve">Troškovi </w:t>
      </w:r>
      <w:r w:rsidR="00AF56AF">
        <w:rPr>
          <w:rFonts w:eastAsiaTheme="minorEastAsia"/>
          <w:color w:val="auto"/>
          <w:sz w:val="22"/>
          <w:lang w:val="bs-Latn-BA"/>
        </w:rPr>
        <w:t>obnove</w:t>
      </w:r>
      <w:r w:rsidR="00AF56AF" w:rsidRPr="00DD1532">
        <w:rPr>
          <w:rFonts w:eastAsiaTheme="minorEastAsia"/>
          <w:color w:val="auto"/>
          <w:sz w:val="22"/>
          <w:lang w:val="bs-Latn-BA"/>
        </w:rPr>
        <w:t xml:space="preserve"> </w:t>
      </w:r>
      <w:r w:rsidRPr="00DD1532">
        <w:rPr>
          <w:rFonts w:eastAsiaTheme="minorEastAsia"/>
          <w:color w:val="auto"/>
          <w:sz w:val="22"/>
          <w:lang w:val="bs-Latn-BA"/>
        </w:rPr>
        <w:t xml:space="preserve">svake kategorije zgrada određeni su </w:t>
      </w:r>
      <w:r w:rsidRPr="00DD1532">
        <w:rPr>
          <w:rFonts w:eastAsiaTheme="minorEastAsia"/>
          <w:color w:val="000000" w:themeColor="text1"/>
          <w:sz w:val="22"/>
          <w:lang w:val="bs-Latn-BA"/>
        </w:rPr>
        <w:t xml:space="preserve">u skladu sa podacima iz </w:t>
      </w:r>
      <w:r w:rsidR="00AF56AF">
        <w:rPr>
          <w:rFonts w:eastAsiaTheme="minorEastAsia" w:cs="Calibri"/>
          <w:color w:val="auto"/>
          <w:sz w:val="22"/>
          <w:szCs w:val="22"/>
          <w:lang w:val="bs-Latn-BA" w:eastAsia="ja-JP"/>
        </w:rPr>
        <w:t>projekta</w:t>
      </w:r>
      <w:r w:rsidR="00AF56AF" w:rsidRPr="00AF56AF">
        <w:rPr>
          <w:rFonts w:eastAsiaTheme="minorEastAsia"/>
          <w:color w:val="000000" w:themeColor="text1"/>
          <w:sz w:val="22"/>
          <w:lang w:val="bs-Latn-BA"/>
        </w:rPr>
        <w:t xml:space="preserve"> </w:t>
      </w:r>
      <w:r w:rsidRPr="00DD1532">
        <w:rPr>
          <w:rFonts w:eastAsiaTheme="minorEastAsia"/>
          <w:color w:val="000000" w:themeColor="text1"/>
          <w:sz w:val="22"/>
          <w:lang w:val="bs-Latn-BA"/>
        </w:rPr>
        <w:t>BEEP</w:t>
      </w:r>
      <w:r w:rsidRPr="00DD1532">
        <w:rPr>
          <w:rFonts w:eastAsiaTheme="minorEastAsia"/>
          <w:color w:val="auto"/>
          <w:sz w:val="22"/>
          <w:vertAlign w:val="superscript"/>
          <w:lang w:val="bs-Latn-BA"/>
        </w:rPr>
        <w:footnoteReference w:id="24"/>
      </w:r>
      <w:r w:rsidRPr="00DD1532">
        <w:rPr>
          <w:rFonts w:eastAsiaTheme="minorEastAsia"/>
          <w:color w:val="auto"/>
          <w:sz w:val="22"/>
          <w:lang w:val="bs-Latn-BA"/>
        </w:rPr>
        <w:t xml:space="preserve"> </w:t>
      </w:r>
      <w:r w:rsidRPr="00DD1532">
        <w:rPr>
          <w:rFonts w:eastAsiaTheme="minorEastAsia"/>
          <w:color w:val="000000" w:themeColor="text1"/>
          <w:sz w:val="22"/>
          <w:lang w:val="bs-Latn-BA"/>
        </w:rPr>
        <w:t>koji je, do sada</w:t>
      </w:r>
      <w:r w:rsidR="00BA5FA4">
        <w:rPr>
          <w:rFonts w:eastAsiaTheme="minorEastAsia"/>
          <w:color w:val="000000" w:themeColor="text1"/>
          <w:sz w:val="22"/>
          <w:lang w:val="bs-Latn-BA"/>
        </w:rPr>
        <w:t>,</w:t>
      </w:r>
      <w:r w:rsidRPr="00DD1532">
        <w:rPr>
          <w:rFonts w:eastAsiaTheme="minorEastAsia"/>
          <w:color w:val="000000" w:themeColor="text1"/>
          <w:sz w:val="22"/>
          <w:lang w:val="bs-Latn-BA"/>
        </w:rPr>
        <w:t xml:space="preserve"> obuhvatio energijsku </w:t>
      </w:r>
      <w:r w:rsidR="00AF56AF">
        <w:rPr>
          <w:rFonts w:eastAsiaTheme="minorEastAsia"/>
          <w:color w:val="000000" w:themeColor="text1"/>
          <w:sz w:val="22"/>
          <w:lang w:val="bs-Latn-BA"/>
        </w:rPr>
        <w:t>obnovu</w:t>
      </w:r>
      <w:r w:rsidR="00AF56AF" w:rsidRPr="00DD1532">
        <w:rPr>
          <w:rFonts w:eastAsiaTheme="minorEastAsia"/>
          <w:color w:val="000000" w:themeColor="text1"/>
          <w:sz w:val="22"/>
          <w:lang w:val="bs-Latn-BA"/>
        </w:rPr>
        <w:t xml:space="preserve"> </w:t>
      </w:r>
      <w:r w:rsidRPr="00DD1532">
        <w:rPr>
          <w:rFonts w:eastAsiaTheme="minorEastAsia"/>
          <w:color w:val="000000" w:themeColor="text1"/>
          <w:sz w:val="22"/>
          <w:lang w:val="bs-Latn-BA"/>
        </w:rPr>
        <w:t xml:space="preserve">83 zgrade javne namjene, te predstavlja validan izvor podataka za ukupne troškove energijske </w:t>
      </w:r>
      <w:r w:rsidR="00AF56AF">
        <w:rPr>
          <w:rFonts w:eastAsiaTheme="minorEastAsia"/>
          <w:color w:val="000000" w:themeColor="text1"/>
          <w:sz w:val="22"/>
          <w:lang w:val="bs-Latn-BA"/>
        </w:rPr>
        <w:t>obnove</w:t>
      </w:r>
      <w:r w:rsidR="00AF56AF" w:rsidRPr="00DD1532">
        <w:rPr>
          <w:rFonts w:eastAsiaTheme="minorEastAsia"/>
          <w:color w:val="000000" w:themeColor="text1"/>
          <w:sz w:val="22"/>
          <w:lang w:val="bs-Latn-BA"/>
        </w:rPr>
        <w:t xml:space="preserve"> </w:t>
      </w:r>
      <w:r w:rsidRPr="00DD1532">
        <w:rPr>
          <w:rFonts w:eastAsiaTheme="minorEastAsia"/>
          <w:color w:val="000000" w:themeColor="text1"/>
          <w:sz w:val="22"/>
          <w:lang w:val="bs-Latn-BA"/>
        </w:rPr>
        <w:t>javnih zgrada.</w:t>
      </w:r>
      <w:r w:rsidRPr="00DD1532">
        <w:rPr>
          <w:color w:val="auto"/>
          <w:sz w:val="22"/>
          <w:lang w:val="bs-Latn-BA"/>
        </w:rPr>
        <w:t xml:space="preserve"> </w:t>
      </w:r>
    </w:p>
    <w:p w14:paraId="49F5ABA1" w14:textId="4258992B" w:rsidR="00AF25D2" w:rsidRPr="00B56A06" w:rsidRDefault="00AF25D2" w:rsidP="00581C1C">
      <w:pPr>
        <w:pStyle w:val="Nazivprojekta"/>
        <w:numPr>
          <w:ilvl w:val="0"/>
          <w:numId w:val="56"/>
        </w:numPr>
        <w:spacing w:after="120" w:line="276" w:lineRule="auto"/>
        <w:jc w:val="both"/>
        <w:rPr>
          <w:color w:val="auto"/>
          <w:sz w:val="22"/>
          <w:szCs w:val="22"/>
          <w:lang w:val="bs-Latn-BA"/>
        </w:rPr>
      </w:pPr>
      <w:r w:rsidRPr="00B56A06">
        <w:rPr>
          <w:color w:val="auto"/>
          <w:sz w:val="22"/>
          <w:szCs w:val="22"/>
          <w:lang w:val="bs-Latn-BA"/>
        </w:rPr>
        <w:t xml:space="preserve">Razmatran je scenarij dugoročne energijske obnove </w:t>
      </w:r>
      <w:r>
        <w:rPr>
          <w:color w:val="auto"/>
          <w:sz w:val="22"/>
          <w:szCs w:val="22"/>
          <w:lang w:val="bs-Latn-BA"/>
        </w:rPr>
        <w:t>javnih</w:t>
      </w:r>
      <w:r w:rsidRPr="00B56A06">
        <w:rPr>
          <w:color w:val="auto"/>
          <w:sz w:val="22"/>
          <w:szCs w:val="22"/>
          <w:lang w:val="bs-Latn-BA"/>
        </w:rPr>
        <w:t xml:space="preserve"> zgrada, sa obuhvaćenom korisnom grijanom površinom stambenog fonda od </w:t>
      </w:r>
      <w:r>
        <w:rPr>
          <w:color w:val="auto"/>
          <w:sz w:val="22"/>
          <w:szCs w:val="22"/>
          <w:lang w:val="bs-Latn-BA"/>
        </w:rPr>
        <w:t>2</w:t>
      </w:r>
      <w:r w:rsidRPr="00B56A06">
        <w:rPr>
          <w:color w:val="auto"/>
          <w:sz w:val="22"/>
          <w:szCs w:val="22"/>
          <w:lang w:val="bs-Latn-BA"/>
        </w:rPr>
        <w:t xml:space="preserve">,5 % godišnje obnovljene površine. Kumulativno, do 2050. godine, izvršiti će se obnova </w:t>
      </w:r>
      <w:r w:rsidRPr="00DD1532">
        <w:rPr>
          <w:color w:val="auto"/>
          <w:sz w:val="22"/>
          <w:szCs w:val="22"/>
          <w:lang w:val="bs-Latn-BA"/>
        </w:rPr>
        <w:t>4,3</w:t>
      </w:r>
      <w:r w:rsidR="00884261">
        <w:rPr>
          <w:color w:val="auto"/>
          <w:sz w:val="22"/>
          <w:szCs w:val="22"/>
          <w:lang w:val="bs-Latn-BA"/>
        </w:rPr>
        <w:t>6</w:t>
      </w:r>
      <w:r w:rsidRPr="00DD1532">
        <w:rPr>
          <w:i/>
          <w:iCs/>
          <w:color w:val="auto"/>
          <w:sz w:val="22"/>
          <w:szCs w:val="22"/>
          <w:lang w:val="bs-Latn-BA"/>
        </w:rPr>
        <w:t xml:space="preserve"> </w:t>
      </w:r>
      <w:r w:rsidRPr="00B56A06">
        <w:rPr>
          <w:color w:val="auto"/>
          <w:sz w:val="22"/>
          <w:szCs w:val="22"/>
          <w:lang w:val="bs-Latn-BA"/>
        </w:rPr>
        <w:t>mil.m</w:t>
      </w:r>
      <w:r w:rsidRPr="00B56A06">
        <w:rPr>
          <w:color w:val="auto"/>
          <w:sz w:val="22"/>
          <w:szCs w:val="22"/>
          <w:vertAlign w:val="superscript"/>
          <w:lang w:val="bs-Latn-BA"/>
        </w:rPr>
        <w:t>2</w:t>
      </w:r>
      <w:r w:rsidRPr="00B56A06">
        <w:rPr>
          <w:color w:val="auto"/>
          <w:sz w:val="22"/>
          <w:szCs w:val="22"/>
          <w:lang w:val="bs-Latn-BA"/>
        </w:rPr>
        <w:t xml:space="preserve"> korisne grijane površine, koja </w:t>
      </w:r>
      <w:r>
        <w:rPr>
          <w:color w:val="auto"/>
          <w:sz w:val="22"/>
          <w:szCs w:val="22"/>
          <w:lang w:val="bs-Latn-BA"/>
        </w:rPr>
        <w:t>će</w:t>
      </w:r>
      <w:r w:rsidRPr="00B56A06">
        <w:rPr>
          <w:color w:val="auto"/>
          <w:sz w:val="22"/>
          <w:szCs w:val="22"/>
          <w:lang w:val="bs-Latn-BA"/>
        </w:rPr>
        <w:t xml:space="preserve"> obuhvat</w:t>
      </w:r>
      <w:r>
        <w:rPr>
          <w:color w:val="auto"/>
          <w:sz w:val="22"/>
          <w:szCs w:val="22"/>
          <w:lang w:val="bs-Latn-BA"/>
        </w:rPr>
        <w:t>iti</w:t>
      </w:r>
      <w:r w:rsidRPr="00B56A06">
        <w:rPr>
          <w:color w:val="auto"/>
          <w:sz w:val="22"/>
          <w:szCs w:val="22"/>
          <w:lang w:val="bs-Latn-BA"/>
        </w:rPr>
        <w:t xml:space="preserve"> </w:t>
      </w:r>
      <w:r>
        <w:rPr>
          <w:color w:val="auto"/>
          <w:sz w:val="22"/>
          <w:szCs w:val="22"/>
          <w:lang w:val="bs-Latn-BA"/>
        </w:rPr>
        <w:t>3.6</w:t>
      </w:r>
      <w:r w:rsidR="00884261">
        <w:rPr>
          <w:color w:val="auto"/>
          <w:sz w:val="22"/>
          <w:szCs w:val="22"/>
          <w:lang w:val="bs-Latn-BA"/>
        </w:rPr>
        <w:t>89</w:t>
      </w:r>
      <w:r w:rsidRPr="00B56A06">
        <w:rPr>
          <w:color w:val="auto"/>
          <w:sz w:val="22"/>
          <w:szCs w:val="22"/>
          <w:lang w:val="bs-Latn-BA"/>
        </w:rPr>
        <w:t xml:space="preserve"> zgrada. </w:t>
      </w:r>
    </w:p>
    <w:p w14:paraId="1E0C21F1" w14:textId="397AA20C" w:rsidR="002D43CA" w:rsidRPr="009E071A" w:rsidRDefault="002D43CA" w:rsidP="00581C1C">
      <w:pPr>
        <w:pStyle w:val="Nazivprojekta"/>
        <w:numPr>
          <w:ilvl w:val="0"/>
          <w:numId w:val="56"/>
        </w:numPr>
        <w:spacing w:after="120" w:line="276" w:lineRule="auto"/>
        <w:jc w:val="both"/>
        <w:rPr>
          <w:color w:val="auto"/>
          <w:sz w:val="22"/>
          <w:szCs w:val="22"/>
          <w:lang w:val="bs-Latn-BA"/>
        </w:rPr>
      </w:pPr>
      <w:r w:rsidRPr="00CB6F91">
        <w:rPr>
          <w:color w:val="auto"/>
          <w:sz w:val="22"/>
          <w:szCs w:val="22"/>
          <w:lang w:val="bs-Latn-BA"/>
        </w:rPr>
        <w:t xml:space="preserve">Prema </w:t>
      </w:r>
      <w:r w:rsidR="00AB786E">
        <w:rPr>
          <w:color w:val="auto"/>
          <w:sz w:val="22"/>
          <w:szCs w:val="22"/>
          <w:lang w:val="bs-Latn-BA"/>
        </w:rPr>
        <w:t>definirano</w:t>
      </w:r>
      <w:r w:rsidRPr="00CB6F91">
        <w:rPr>
          <w:color w:val="auto"/>
          <w:sz w:val="22"/>
          <w:szCs w:val="22"/>
          <w:lang w:val="bs-Latn-BA"/>
        </w:rPr>
        <w:t xml:space="preserve">j dinamici </w:t>
      </w:r>
      <w:r w:rsidR="00AF56AF">
        <w:rPr>
          <w:color w:val="auto"/>
          <w:sz w:val="22"/>
          <w:szCs w:val="22"/>
          <w:lang w:val="bs-Latn-BA"/>
        </w:rPr>
        <w:t>obnove</w:t>
      </w:r>
      <w:r w:rsidRPr="00CB6F91">
        <w:rPr>
          <w:color w:val="auto"/>
          <w:sz w:val="22"/>
          <w:szCs w:val="22"/>
          <w:lang w:val="bs-Latn-BA"/>
        </w:rPr>
        <w:t xml:space="preserve">, izračunate su očekivane uštede energije za period do 2050. godine, sa naznačenim </w:t>
      </w:r>
      <w:r w:rsidRPr="00E54B4B">
        <w:rPr>
          <w:color w:val="auto"/>
          <w:sz w:val="22"/>
          <w:szCs w:val="22"/>
          <w:lang w:val="bs-Latn-BA"/>
        </w:rPr>
        <w:t xml:space="preserve">uštedama za karakteristične periode od po 10 godina. Za procjenu potrošnje energije fonda javnih zgrada za </w:t>
      </w:r>
      <w:r w:rsidRPr="009E071A">
        <w:rPr>
          <w:color w:val="auto"/>
          <w:sz w:val="22"/>
          <w:szCs w:val="22"/>
          <w:lang w:val="bs-Latn-BA"/>
        </w:rPr>
        <w:t xml:space="preserve">period do 2050. godine uobzirena je i potrošnje energije novoizgrađenih zgrada uz pretpostavku da će njihove </w:t>
      </w:r>
      <w:r w:rsidR="00010793">
        <w:rPr>
          <w:color w:val="auto"/>
          <w:sz w:val="22"/>
          <w:szCs w:val="22"/>
          <w:lang w:val="bs-Latn-BA"/>
        </w:rPr>
        <w:t>energij</w:t>
      </w:r>
      <w:r w:rsidRPr="009E071A">
        <w:rPr>
          <w:color w:val="auto"/>
          <w:sz w:val="22"/>
          <w:szCs w:val="22"/>
          <w:lang w:val="bs-Latn-BA"/>
        </w:rPr>
        <w:t xml:space="preserve">ske karakteristike biti visokoefikasne, a nakon 2030. godine </w:t>
      </w:r>
      <w:r w:rsidR="00004409">
        <w:rPr>
          <w:color w:val="auto"/>
          <w:sz w:val="22"/>
          <w:szCs w:val="22"/>
          <w:lang w:val="bs-Latn-BA"/>
        </w:rPr>
        <w:t>bi</w:t>
      </w:r>
      <w:r w:rsidRPr="009E071A">
        <w:rPr>
          <w:color w:val="auto"/>
          <w:sz w:val="22"/>
          <w:szCs w:val="22"/>
          <w:lang w:val="bs-Latn-BA"/>
        </w:rPr>
        <w:t xml:space="preserve"> sve novoizgrađene zgrade </w:t>
      </w:r>
      <w:r w:rsidR="00004409">
        <w:rPr>
          <w:color w:val="auto"/>
          <w:sz w:val="22"/>
          <w:szCs w:val="22"/>
          <w:lang w:val="bs-Latn-BA"/>
        </w:rPr>
        <w:t xml:space="preserve">trebale </w:t>
      </w:r>
      <w:r w:rsidRPr="009E071A">
        <w:rPr>
          <w:color w:val="auto"/>
          <w:sz w:val="22"/>
          <w:szCs w:val="22"/>
          <w:lang w:val="bs-Latn-BA"/>
        </w:rPr>
        <w:t xml:space="preserve">biti zgrade gotovo nulte energije. Za postojeće zgrade koje nisu planirane za energijsku </w:t>
      </w:r>
      <w:r w:rsidR="00AF56AF">
        <w:rPr>
          <w:color w:val="auto"/>
          <w:sz w:val="22"/>
          <w:szCs w:val="22"/>
          <w:lang w:val="bs-Latn-BA"/>
        </w:rPr>
        <w:t>obnovu</w:t>
      </w:r>
      <w:r w:rsidRPr="009E071A">
        <w:rPr>
          <w:color w:val="auto"/>
          <w:sz w:val="22"/>
          <w:szCs w:val="22"/>
          <w:lang w:val="bs-Latn-BA"/>
        </w:rPr>
        <w:t xml:space="preserve">, usvojena je pretpostavka da će se energijske karakteristike postojećeg fonda javnih zgrada postepeno pogoršavati, kao rezultat promjene svojstava ugrađenih materijala, te će potrošnja postojećeg fonda </w:t>
      </w:r>
      <w:r w:rsidR="006C25DE">
        <w:rPr>
          <w:color w:val="auto"/>
          <w:sz w:val="22"/>
          <w:szCs w:val="22"/>
          <w:lang w:val="bs-Latn-BA"/>
        </w:rPr>
        <w:t xml:space="preserve">javnih zgrada </w:t>
      </w:r>
      <w:r w:rsidRPr="009E071A">
        <w:rPr>
          <w:color w:val="auto"/>
          <w:sz w:val="22"/>
          <w:szCs w:val="22"/>
          <w:lang w:val="bs-Latn-BA"/>
        </w:rPr>
        <w:t xml:space="preserve">rasti za </w:t>
      </w:r>
      <w:r w:rsidRPr="00791F8F">
        <w:rPr>
          <w:color w:val="auto"/>
          <w:sz w:val="22"/>
          <w:szCs w:val="22"/>
          <w:lang w:val="bs-Latn-BA"/>
        </w:rPr>
        <w:t>po 0,1</w:t>
      </w:r>
      <w:r w:rsidR="00A522F2">
        <w:rPr>
          <w:color w:val="auto"/>
          <w:sz w:val="22"/>
          <w:szCs w:val="22"/>
          <w:lang w:val="bs-Latn-BA"/>
        </w:rPr>
        <w:t>0</w:t>
      </w:r>
      <w:r w:rsidRPr="00791F8F">
        <w:rPr>
          <w:color w:val="auto"/>
          <w:sz w:val="22"/>
          <w:szCs w:val="22"/>
          <w:lang w:val="bs-Latn-BA"/>
        </w:rPr>
        <w:t xml:space="preserve"> %</w:t>
      </w:r>
      <w:r w:rsidRPr="009E071A">
        <w:rPr>
          <w:color w:val="auto"/>
          <w:sz w:val="22"/>
          <w:szCs w:val="22"/>
          <w:lang w:val="bs-Latn-BA"/>
        </w:rPr>
        <w:t xml:space="preserve"> svake godine.</w:t>
      </w:r>
    </w:p>
    <w:p w14:paraId="1EA50935" w14:textId="77777777" w:rsidR="00613662" w:rsidRPr="001808D0" w:rsidRDefault="00613662"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Uštede emisije CO</w:t>
      </w:r>
      <w:r w:rsidRPr="004E1F77">
        <w:rPr>
          <w:color w:val="auto"/>
          <w:sz w:val="22"/>
          <w:szCs w:val="22"/>
          <w:vertAlign w:val="subscript"/>
          <w:lang w:val="bs-Latn-BA"/>
        </w:rPr>
        <w:t>2</w:t>
      </w:r>
      <w:r w:rsidRPr="004E1F77">
        <w:rPr>
          <w:color w:val="auto"/>
          <w:sz w:val="22"/>
          <w:szCs w:val="22"/>
          <w:lang w:val="bs-Latn-BA"/>
        </w:rPr>
        <w:t xml:space="preserve"> su </w:t>
      </w:r>
      <w:r>
        <w:rPr>
          <w:color w:val="auto"/>
          <w:sz w:val="22"/>
          <w:szCs w:val="22"/>
          <w:lang w:val="bs-Latn-BA"/>
        </w:rPr>
        <w:t xml:space="preserve">rezultat ušteda u energiji uz pretpostavku da će obnovljene zgrade koristiti obnovljive izvore energije ili se priključiti na daljinske sisteme grijanja, te će se desiti promjena u </w:t>
      </w:r>
      <w:r>
        <w:rPr>
          <w:color w:val="auto"/>
          <w:sz w:val="22"/>
          <w:szCs w:val="22"/>
          <w:lang w:val="bs-Latn-BA"/>
        </w:rPr>
        <w:lastRenderedPageBreak/>
        <w:t xml:space="preserve">energijskom miksu zgrada. Također, uobzireno je planirano </w:t>
      </w:r>
      <w:r w:rsidRPr="002C77EE">
        <w:rPr>
          <w:color w:val="auto"/>
          <w:sz w:val="22"/>
          <w:szCs w:val="22"/>
          <w:lang w:val="bs-Latn-BA"/>
        </w:rPr>
        <w:t xml:space="preserve">smanjenje </w:t>
      </w:r>
      <w:r w:rsidRPr="0087301F">
        <w:rPr>
          <w:color w:val="auto"/>
          <w:sz w:val="22"/>
          <w:szCs w:val="52"/>
          <w:lang w:val="bs-Latn-BA"/>
        </w:rPr>
        <w:t>koeficijenta emisije CO</w:t>
      </w:r>
      <w:r w:rsidRPr="0087301F">
        <w:rPr>
          <w:color w:val="auto"/>
          <w:sz w:val="22"/>
          <w:szCs w:val="52"/>
          <w:vertAlign w:val="subscript"/>
          <w:lang w:val="bs-Latn-BA"/>
        </w:rPr>
        <w:t>2</w:t>
      </w:r>
      <w:r w:rsidRPr="0087301F">
        <w:rPr>
          <w:color w:val="auto"/>
          <w:sz w:val="22"/>
          <w:szCs w:val="52"/>
          <w:vertAlign w:val="superscript"/>
          <w:lang w:val="bs-Latn-BA"/>
        </w:rPr>
        <w:t xml:space="preserve"> </w:t>
      </w:r>
      <w:r w:rsidRPr="0087301F">
        <w:rPr>
          <w:color w:val="auto"/>
          <w:sz w:val="22"/>
          <w:szCs w:val="52"/>
          <w:lang w:val="bs-Latn-BA"/>
        </w:rPr>
        <w:t>električne energije i sistema daljinskog grijanja za period 2021.-2030</w:t>
      </w:r>
      <w:r w:rsidRPr="0087301F">
        <w:rPr>
          <w:color w:val="auto"/>
          <w:sz w:val="22"/>
          <w:szCs w:val="52"/>
          <w:vertAlign w:val="superscript"/>
          <w:lang w:val="bs-Latn-BA"/>
        </w:rPr>
        <w:footnoteReference w:id="25"/>
      </w:r>
      <w:r w:rsidRPr="0087301F">
        <w:rPr>
          <w:color w:val="auto"/>
          <w:sz w:val="22"/>
          <w:szCs w:val="52"/>
          <w:lang w:val="bs-Latn-BA"/>
        </w:rPr>
        <w:t>, sa trendom smanjenja do 2050. godine</w:t>
      </w:r>
      <w:r>
        <w:rPr>
          <w:color w:val="auto"/>
          <w:sz w:val="22"/>
          <w:szCs w:val="52"/>
          <w:lang w:val="bs-Latn-BA"/>
        </w:rPr>
        <w:t>.</w:t>
      </w:r>
    </w:p>
    <w:p w14:paraId="6E618327" w14:textId="2A2F1E6B" w:rsidR="0024516E" w:rsidRPr="0024516E" w:rsidRDefault="006C25DE" w:rsidP="00581C1C">
      <w:pPr>
        <w:pStyle w:val="Nazivprojekta"/>
        <w:numPr>
          <w:ilvl w:val="0"/>
          <w:numId w:val="56"/>
        </w:numPr>
        <w:spacing w:after="120" w:line="276" w:lineRule="auto"/>
        <w:jc w:val="both"/>
        <w:rPr>
          <w:color w:val="auto"/>
          <w:sz w:val="22"/>
          <w:szCs w:val="22"/>
          <w:lang w:val="bs-Latn-BA"/>
        </w:rPr>
      </w:pPr>
      <w:r w:rsidRPr="00DD1532">
        <w:rPr>
          <w:color w:val="auto"/>
          <w:sz w:val="22"/>
          <w:szCs w:val="22"/>
          <w:lang w:val="bs-Latn-BA"/>
        </w:rPr>
        <w:t xml:space="preserve">Za </w:t>
      </w:r>
      <w:r w:rsidR="0029617E" w:rsidRPr="00DD1532">
        <w:rPr>
          <w:color w:val="auto"/>
          <w:sz w:val="22"/>
          <w:szCs w:val="22"/>
          <w:lang w:val="bs-Latn-BA"/>
        </w:rPr>
        <w:t xml:space="preserve">provođenje energijske </w:t>
      </w:r>
      <w:r w:rsidR="002F2E73">
        <w:rPr>
          <w:color w:val="auto"/>
          <w:sz w:val="22"/>
          <w:szCs w:val="22"/>
          <w:lang w:val="bs-Latn-BA"/>
        </w:rPr>
        <w:t>obnove</w:t>
      </w:r>
      <w:r w:rsidR="0029617E" w:rsidRPr="00DD1532">
        <w:rPr>
          <w:color w:val="auto"/>
          <w:sz w:val="22"/>
          <w:szCs w:val="22"/>
          <w:lang w:val="bs-Latn-BA"/>
        </w:rPr>
        <w:t xml:space="preserve"> fonda javnih zgrada</w:t>
      </w:r>
      <w:r w:rsidRPr="00DD1532">
        <w:rPr>
          <w:color w:val="auto"/>
          <w:sz w:val="22"/>
          <w:szCs w:val="22"/>
          <w:lang w:val="bs-Latn-BA"/>
        </w:rPr>
        <w:t xml:space="preserve"> </w:t>
      </w:r>
      <w:r w:rsidR="008352D9">
        <w:rPr>
          <w:color w:val="auto"/>
          <w:sz w:val="22"/>
          <w:szCs w:val="22"/>
          <w:lang w:val="bs-Latn-BA"/>
        </w:rPr>
        <w:t>angažirana</w:t>
      </w:r>
      <w:r w:rsidRPr="00DD1532">
        <w:rPr>
          <w:color w:val="auto"/>
          <w:sz w:val="22"/>
          <w:szCs w:val="22"/>
          <w:lang w:val="bs-Latn-BA"/>
        </w:rPr>
        <w:t xml:space="preserve"> radna snaga </w:t>
      </w:r>
      <w:r w:rsidR="0029617E">
        <w:rPr>
          <w:color w:val="auto"/>
          <w:sz w:val="22"/>
          <w:szCs w:val="22"/>
          <w:lang w:val="bs-Latn-BA"/>
        </w:rPr>
        <w:t>je iskazana</w:t>
      </w:r>
      <w:r w:rsidRPr="00DD1532">
        <w:rPr>
          <w:color w:val="auto"/>
          <w:sz w:val="22"/>
          <w:szCs w:val="22"/>
          <w:lang w:val="bs-Latn-BA"/>
        </w:rPr>
        <w:t xml:space="preserve"> kroz parametre „broj čovjek dana“ i „ekvivalent punog radnog vremena (FTE)“. Analiza je pokazala da će se provođenje</w:t>
      </w:r>
      <w:r w:rsidR="00CE3A51">
        <w:rPr>
          <w:color w:val="auto"/>
          <w:sz w:val="22"/>
          <w:szCs w:val="22"/>
          <w:lang w:val="bs-Latn-BA"/>
        </w:rPr>
        <w:t>m</w:t>
      </w:r>
      <w:r w:rsidRPr="00DD1532">
        <w:rPr>
          <w:color w:val="auto"/>
          <w:sz w:val="22"/>
          <w:szCs w:val="22"/>
          <w:lang w:val="bs-Latn-BA"/>
        </w:rPr>
        <w:t xml:space="preserve"> energijske </w:t>
      </w:r>
      <w:r w:rsidR="002F2E73">
        <w:rPr>
          <w:color w:val="auto"/>
          <w:sz w:val="22"/>
          <w:szCs w:val="22"/>
          <w:lang w:val="bs-Latn-BA"/>
        </w:rPr>
        <w:t>obnove</w:t>
      </w:r>
      <w:r w:rsidRPr="00DD1532">
        <w:rPr>
          <w:color w:val="auto"/>
          <w:sz w:val="22"/>
          <w:szCs w:val="22"/>
          <w:lang w:val="bs-Latn-BA"/>
        </w:rPr>
        <w:t xml:space="preserve"> sektora </w:t>
      </w:r>
      <w:r w:rsidR="0029617E" w:rsidRPr="00DD1532">
        <w:rPr>
          <w:color w:val="auto"/>
          <w:sz w:val="22"/>
          <w:szCs w:val="22"/>
          <w:lang w:val="bs-Latn-BA"/>
        </w:rPr>
        <w:t xml:space="preserve">javnih zgrada </w:t>
      </w:r>
      <w:r w:rsidRPr="00DD1532">
        <w:rPr>
          <w:color w:val="auto"/>
          <w:sz w:val="22"/>
          <w:szCs w:val="22"/>
          <w:lang w:val="bs-Latn-BA"/>
        </w:rPr>
        <w:t>do 2050. godine kumulativno generi</w:t>
      </w:r>
      <w:r w:rsidR="00CE3A51">
        <w:rPr>
          <w:color w:val="auto"/>
          <w:sz w:val="22"/>
          <w:szCs w:val="22"/>
          <w:lang w:val="bs-Latn-BA"/>
        </w:rPr>
        <w:t>rati</w:t>
      </w:r>
      <w:r w:rsidRPr="00DD1532">
        <w:rPr>
          <w:color w:val="auto"/>
          <w:sz w:val="22"/>
          <w:szCs w:val="22"/>
          <w:lang w:val="bs-Latn-BA"/>
        </w:rPr>
        <w:t xml:space="preserve"> </w:t>
      </w:r>
      <w:r w:rsidR="0029617E" w:rsidRPr="00DD1532">
        <w:rPr>
          <w:color w:val="auto"/>
          <w:sz w:val="22"/>
          <w:szCs w:val="22"/>
          <w:lang w:val="bs-Latn-BA"/>
        </w:rPr>
        <w:t>4.6</w:t>
      </w:r>
      <w:r w:rsidR="0024516E">
        <w:rPr>
          <w:color w:val="auto"/>
          <w:sz w:val="22"/>
          <w:szCs w:val="22"/>
          <w:lang w:val="bs-Latn-BA"/>
        </w:rPr>
        <w:t>7</w:t>
      </w:r>
      <w:r w:rsidR="0029617E" w:rsidRPr="00DD1532">
        <w:rPr>
          <w:color w:val="auto"/>
          <w:sz w:val="22"/>
          <w:szCs w:val="22"/>
          <w:lang w:val="bs-Latn-BA"/>
        </w:rPr>
        <w:t>6.</w:t>
      </w:r>
      <w:r w:rsidR="0024516E">
        <w:rPr>
          <w:color w:val="auto"/>
          <w:sz w:val="22"/>
          <w:szCs w:val="22"/>
          <w:lang w:val="bs-Latn-BA"/>
        </w:rPr>
        <w:t>850</w:t>
      </w:r>
      <w:r w:rsidRPr="00DD1532">
        <w:rPr>
          <w:color w:val="auto"/>
          <w:sz w:val="22"/>
          <w:szCs w:val="22"/>
          <w:lang w:val="bs-Latn-BA"/>
        </w:rPr>
        <w:t xml:space="preserve"> broj čovjek dana i </w:t>
      </w:r>
      <w:r w:rsidR="0029617E" w:rsidRPr="00DD1532">
        <w:rPr>
          <w:color w:val="auto"/>
          <w:sz w:val="22"/>
          <w:szCs w:val="22"/>
          <w:lang w:val="bs-Latn-BA"/>
        </w:rPr>
        <w:t>17.</w:t>
      </w:r>
      <w:r w:rsidR="0024516E">
        <w:rPr>
          <w:color w:val="auto"/>
          <w:sz w:val="22"/>
          <w:szCs w:val="22"/>
          <w:lang w:val="bs-Latn-BA"/>
        </w:rPr>
        <w:t>988</w:t>
      </w:r>
      <w:r w:rsidRPr="00DD1532">
        <w:rPr>
          <w:color w:val="auto"/>
          <w:sz w:val="22"/>
          <w:szCs w:val="22"/>
          <w:lang w:val="bs-Latn-BA"/>
        </w:rPr>
        <w:t xml:space="preserve"> FTE</w:t>
      </w:r>
      <w:r w:rsidRPr="0029617E">
        <w:rPr>
          <w:color w:val="auto"/>
          <w:sz w:val="22"/>
          <w:szCs w:val="22"/>
          <w:lang w:val="bs-Latn-BA"/>
        </w:rPr>
        <w:t>.</w:t>
      </w:r>
    </w:p>
    <w:p w14:paraId="7C3433BE" w14:textId="537D8164" w:rsidR="002D43CA" w:rsidRPr="000E3D79" w:rsidRDefault="002D43CA" w:rsidP="00581C1C">
      <w:pPr>
        <w:pStyle w:val="Nazivprojekta"/>
        <w:numPr>
          <w:ilvl w:val="0"/>
          <w:numId w:val="56"/>
        </w:numPr>
        <w:spacing w:after="120" w:line="276" w:lineRule="auto"/>
        <w:jc w:val="both"/>
        <w:rPr>
          <w:color w:val="auto"/>
          <w:sz w:val="22"/>
          <w:szCs w:val="22"/>
          <w:lang w:val="bs-Latn-BA"/>
        </w:rPr>
      </w:pPr>
      <w:r w:rsidRPr="004E1F77">
        <w:rPr>
          <w:color w:val="auto"/>
          <w:sz w:val="22"/>
          <w:szCs w:val="22"/>
          <w:lang w:val="bs-Latn-BA"/>
        </w:rPr>
        <w:t xml:space="preserve">Prikazana je raspodjela </w:t>
      </w:r>
      <w:r>
        <w:rPr>
          <w:color w:val="auto"/>
          <w:sz w:val="22"/>
          <w:szCs w:val="22"/>
          <w:lang w:val="bs-Latn-BA"/>
        </w:rPr>
        <w:t xml:space="preserve">broja javnih </w:t>
      </w:r>
      <w:r w:rsidR="00C05E37">
        <w:rPr>
          <w:color w:val="auto"/>
          <w:sz w:val="22"/>
          <w:szCs w:val="22"/>
          <w:lang w:val="bs-Latn-BA"/>
        </w:rPr>
        <w:t xml:space="preserve">zgrada </w:t>
      </w:r>
      <w:r>
        <w:rPr>
          <w:color w:val="auto"/>
          <w:sz w:val="22"/>
          <w:szCs w:val="22"/>
          <w:lang w:val="bs-Latn-BA"/>
        </w:rPr>
        <w:t xml:space="preserve">koje se planiraju </w:t>
      </w:r>
      <w:r w:rsidR="00AF56AF">
        <w:rPr>
          <w:color w:val="auto"/>
          <w:sz w:val="22"/>
          <w:szCs w:val="22"/>
          <w:lang w:val="bs-Latn-BA"/>
        </w:rPr>
        <w:t xml:space="preserve">obnoviti </w:t>
      </w:r>
      <w:r>
        <w:rPr>
          <w:color w:val="auto"/>
          <w:sz w:val="22"/>
          <w:szCs w:val="22"/>
          <w:lang w:val="bs-Latn-BA"/>
        </w:rPr>
        <w:t xml:space="preserve">za svaki pojedini </w:t>
      </w:r>
      <w:r w:rsidR="00AF56AF">
        <w:rPr>
          <w:color w:val="auto"/>
          <w:sz w:val="22"/>
          <w:szCs w:val="22"/>
          <w:lang w:val="bs-Latn-BA"/>
        </w:rPr>
        <w:t xml:space="preserve">kanton </w:t>
      </w:r>
      <w:r>
        <w:rPr>
          <w:color w:val="auto"/>
          <w:sz w:val="22"/>
          <w:szCs w:val="22"/>
          <w:lang w:val="bs-Latn-BA"/>
        </w:rPr>
        <w:t xml:space="preserve">i data procjena </w:t>
      </w:r>
      <w:r w:rsidR="00AF56AF">
        <w:rPr>
          <w:color w:val="auto"/>
          <w:sz w:val="22"/>
          <w:szCs w:val="22"/>
          <w:lang w:val="bs-Latn-BA"/>
        </w:rPr>
        <w:t xml:space="preserve">obnovljene </w:t>
      </w:r>
      <w:r>
        <w:rPr>
          <w:color w:val="auto"/>
          <w:sz w:val="22"/>
          <w:szCs w:val="22"/>
          <w:lang w:val="bs-Latn-BA"/>
        </w:rPr>
        <w:t xml:space="preserve">korisne grijane površine za svaki </w:t>
      </w:r>
      <w:r w:rsidR="00AF56AF">
        <w:rPr>
          <w:color w:val="auto"/>
          <w:sz w:val="22"/>
          <w:szCs w:val="22"/>
          <w:lang w:val="bs-Latn-BA"/>
        </w:rPr>
        <w:t>kanton</w:t>
      </w:r>
      <w:r>
        <w:rPr>
          <w:color w:val="auto"/>
          <w:sz w:val="22"/>
          <w:szCs w:val="22"/>
          <w:lang w:val="bs-Latn-BA"/>
        </w:rPr>
        <w:t xml:space="preserve">, za period </w:t>
      </w:r>
      <w:r w:rsidRPr="004E1F77">
        <w:rPr>
          <w:color w:val="auto"/>
          <w:sz w:val="22"/>
          <w:szCs w:val="22"/>
          <w:lang w:val="bs-Latn-BA"/>
        </w:rPr>
        <w:t>do 2050. godine, sa naznačenim porastom za karakteristične periode od po 10 godina.</w:t>
      </w:r>
    </w:p>
    <w:p w14:paraId="79B20684" w14:textId="0201C248" w:rsidR="002D43CA" w:rsidRDefault="002D43CA" w:rsidP="002D43CA">
      <w:pPr>
        <w:spacing w:after="120" w:line="276" w:lineRule="auto"/>
        <w:rPr>
          <w:lang w:val="bs-Latn-BA"/>
        </w:rPr>
      </w:pPr>
      <w:r>
        <w:rPr>
          <w:lang w:val="bs-Latn-BA"/>
        </w:rPr>
        <w:t>D</w:t>
      </w:r>
      <w:r w:rsidRPr="00D3680F">
        <w:rPr>
          <w:lang w:val="bs-Latn-BA"/>
        </w:rPr>
        <w:t>etaljn</w:t>
      </w:r>
      <w:r>
        <w:rPr>
          <w:lang w:val="bs-Latn-BA"/>
        </w:rPr>
        <w:t>a</w:t>
      </w:r>
      <w:r w:rsidRPr="00D3680F">
        <w:rPr>
          <w:lang w:val="bs-Latn-BA"/>
        </w:rPr>
        <w:t xml:space="preserve"> procjen</w:t>
      </w:r>
      <w:r>
        <w:rPr>
          <w:lang w:val="bs-Latn-BA"/>
        </w:rPr>
        <w:t>a</w:t>
      </w:r>
      <w:r w:rsidRPr="00D3680F">
        <w:rPr>
          <w:lang w:val="bs-Latn-BA"/>
        </w:rPr>
        <w:t xml:space="preserve"> energijskih karakteristika i potencijala za uštedu energije</w:t>
      </w:r>
      <w:r>
        <w:rPr>
          <w:lang w:val="bs-Latn-BA"/>
        </w:rPr>
        <w:t xml:space="preserve"> komercijalnih zgrada</w:t>
      </w:r>
      <w:r w:rsidRPr="00D3680F">
        <w:rPr>
          <w:lang w:val="bs-Latn-BA"/>
        </w:rPr>
        <w:t>, te odgovarajućih troškova</w:t>
      </w:r>
      <w:r>
        <w:rPr>
          <w:lang w:val="bs-Latn-BA"/>
        </w:rPr>
        <w:t>,</w:t>
      </w:r>
      <w:r w:rsidRPr="00D3680F">
        <w:rPr>
          <w:lang w:val="bs-Latn-BA"/>
        </w:rPr>
        <w:t xml:space="preserve"> </w:t>
      </w:r>
      <w:r>
        <w:rPr>
          <w:lang w:val="bs-Latn-BA"/>
        </w:rPr>
        <w:t>biće predstavljena u okviru</w:t>
      </w:r>
      <w:r w:rsidRPr="00D3680F">
        <w:rPr>
          <w:lang w:val="bs-Latn-BA"/>
        </w:rPr>
        <w:t xml:space="preserve"> </w:t>
      </w:r>
      <w:r w:rsidRPr="009D7405">
        <w:rPr>
          <w:rFonts w:eastAsia="Times New Roman"/>
          <w:color w:val="000000"/>
          <w:lang w:val="bs-Latn-BA" w:eastAsia="en-GB"/>
        </w:rPr>
        <w:t>„Program</w:t>
      </w:r>
      <w:r>
        <w:rPr>
          <w:rFonts w:eastAsia="Times New Roman"/>
          <w:color w:val="000000"/>
          <w:lang w:val="bs-Latn-BA" w:eastAsia="en-GB"/>
        </w:rPr>
        <w:t>a</w:t>
      </w:r>
      <w:r w:rsidRPr="009D7405">
        <w:rPr>
          <w:rFonts w:eastAsia="Times New Roman"/>
          <w:color w:val="000000"/>
          <w:lang w:val="bs-Latn-BA" w:eastAsia="en-GB"/>
        </w:rPr>
        <w:t xml:space="preserve"> energijske obnove komercijalnih zgrada“, te </w:t>
      </w:r>
      <w:r>
        <w:rPr>
          <w:rFonts w:eastAsia="Times New Roman"/>
          <w:color w:val="000000"/>
          <w:lang w:val="bs-Latn-BA" w:eastAsia="en-GB"/>
        </w:rPr>
        <w:t xml:space="preserve">će se </w:t>
      </w:r>
      <w:r w:rsidRPr="00D3680F">
        <w:rPr>
          <w:rFonts w:eastAsia="Times New Roman"/>
          <w:color w:val="000000"/>
          <w:lang w:val="bs-Latn-BA" w:eastAsia="en-GB"/>
        </w:rPr>
        <w:t xml:space="preserve">isti </w:t>
      </w:r>
      <w:r w:rsidRPr="009D7405">
        <w:rPr>
          <w:rFonts w:eastAsia="Times New Roman"/>
          <w:color w:val="000000"/>
          <w:lang w:val="bs-Latn-BA" w:eastAsia="en-GB"/>
        </w:rPr>
        <w:t xml:space="preserve">kontinuirano </w:t>
      </w:r>
      <w:r w:rsidRPr="00D3680F">
        <w:rPr>
          <w:rFonts w:eastAsia="Times New Roman"/>
          <w:color w:val="000000"/>
          <w:lang w:val="bs-Latn-BA" w:eastAsia="en-GB"/>
        </w:rPr>
        <w:t xml:space="preserve">ažurirati. </w:t>
      </w:r>
      <w:r>
        <w:rPr>
          <w:rFonts w:eastAsia="Times New Roman"/>
          <w:color w:val="000000"/>
          <w:lang w:val="bs-Latn-BA" w:eastAsia="en-GB"/>
        </w:rPr>
        <w:t xml:space="preserve">Program treba da sadrži i podatke o raspodjeli komercijalnih zgrada (broj zgrada, korisnu i bruto površinu i detaljne energijske karakteristike) za FBiH i za svaki </w:t>
      </w:r>
      <w:r w:rsidR="00AF56AF">
        <w:rPr>
          <w:rFonts w:eastAsia="Times New Roman"/>
          <w:color w:val="000000"/>
          <w:lang w:val="bs-Latn-BA" w:eastAsia="en-GB"/>
        </w:rPr>
        <w:t>k</w:t>
      </w:r>
      <w:r>
        <w:rPr>
          <w:rFonts w:eastAsia="Times New Roman"/>
          <w:color w:val="000000"/>
          <w:lang w:val="bs-Latn-BA" w:eastAsia="en-GB"/>
        </w:rPr>
        <w:t>anton. Jednake preporuke se daju i</w:t>
      </w:r>
      <w:r>
        <w:rPr>
          <w:lang w:val="bs-Latn-BA"/>
        </w:rPr>
        <w:t xml:space="preserve"> za </w:t>
      </w:r>
      <w:r w:rsidRPr="004E1F77">
        <w:rPr>
          <w:lang w:val="bs-Latn-BA"/>
        </w:rPr>
        <w:t xml:space="preserve">zgrade sa statusom </w:t>
      </w:r>
      <w:r w:rsidR="00C05E37" w:rsidRPr="00DD1532">
        <w:rPr>
          <w:lang w:val="bs-Latn-BA"/>
        </w:rPr>
        <w:t>nacionaln</w:t>
      </w:r>
      <w:r w:rsidR="00C05E37">
        <w:rPr>
          <w:lang w:val="bs-Latn-BA"/>
        </w:rPr>
        <w:t xml:space="preserve">og </w:t>
      </w:r>
      <w:r w:rsidRPr="00DD1532">
        <w:rPr>
          <w:lang w:val="bs-Latn-BA"/>
        </w:rPr>
        <w:t xml:space="preserve">spomenika </w:t>
      </w:r>
      <w:r w:rsidRPr="004E1F77">
        <w:rPr>
          <w:lang w:val="bs-Latn-BA"/>
        </w:rPr>
        <w:t>i zgrade u vlasništvu i korištenju Oružanih snaga BiH.</w:t>
      </w:r>
    </w:p>
    <w:p w14:paraId="3DB0F7F4" w14:textId="7AC32786" w:rsidR="002D43CA" w:rsidRPr="001E504A" w:rsidRDefault="002D43CA" w:rsidP="002D43CA">
      <w:pPr>
        <w:rPr>
          <w:lang w:val="bs-Latn-BA"/>
        </w:rPr>
      </w:pPr>
      <w:r w:rsidRPr="004E1F77">
        <w:rPr>
          <w:lang w:val="bs-Latn-BA"/>
        </w:rPr>
        <w:t>Procenat broja zgrada koje imaju status nelegalno izgrađenih zgrada izgrađenih u periodu prije 2014. godine iznosi u prosjeku 22,2 %</w:t>
      </w:r>
      <w:r>
        <w:rPr>
          <w:lang w:val="bs-Latn-BA"/>
        </w:rPr>
        <w:t xml:space="preserve"> od ukupnog broja individualnih stambenih zgrada</w:t>
      </w:r>
      <w:r w:rsidRPr="004E1F77">
        <w:rPr>
          <w:lang w:val="bs-Latn-BA"/>
        </w:rPr>
        <w:t xml:space="preserve">, sa tendencijom porasta ovog procenta za zgrade izgrađene u periodu nakon 2014. godine. </w:t>
      </w:r>
      <w:r>
        <w:rPr>
          <w:lang w:val="bs-Latn-BA"/>
        </w:rPr>
        <w:t xml:space="preserve">Energijska </w:t>
      </w:r>
      <w:r w:rsidR="00AF56AF">
        <w:rPr>
          <w:lang w:val="bs-Latn-BA"/>
        </w:rPr>
        <w:t xml:space="preserve">obnova </w:t>
      </w:r>
      <w:r>
        <w:rPr>
          <w:lang w:val="bs-Latn-BA"/>
        </w:rPr>
        <w:t xml:space="preserve">nelegalno izgrađenih zgrada zahtjeva </w:t>
      </w:r>
      <w:r w:rsidRPr="001E504A">
        <w:rPr>
          <w:lang w:val="bs-Latn-BA"/>
        </w:rPr>
        <w:t>usvajanje sistemskog pristupa u rješavanju ovog problema  na nivou svih kantona u FBiH,</w:t>
      </w:r>
      <w:r>
        <w:rPr>
          <w:lang w:val="bs-Latn-BA"/>
        </w:rPr>
        <w:t xml:space="preserve"> u</w:t>
      </w:r>
      <w:r w:rsidRPr="001E504A">
        <w:rPr>
          <w:lang w:val="bs-Latn-BA"/>
        </w:rPr>
        <w:t>spostavljanje registra nelegalno izgrađenih zgrada na nivou općina</w:t>
      </w:r>
      <w:r w:rsidR="002E4CDE">
        <w:rPr>
          <w:lang w:val="bs-Latn-BA"/>
        </w:rPr>
        <w:t xml:space="preserve"> i gradova, </w:t>
      </w:r>
      <w:r>
        <w:rPr>
          <w:lang w:val="bs-Latn-BA"/>
        </w:rPr>
        <w:t xml:space="preserve"> i u</w:t>
      </w:r>
      <w:r w:rsidRPr="001E504A">
        <w:rPr>
          <w:lang w:val="bs-Latn-BA"/>
        </w:rPr>
        <w:t>svajanje procedure za legalizaciju nelegalno izgrađenih zgrada na nivou svih kantona u FBiH</w:t>
      </w:r>
      <w:r>
        <w:rPr>
          <w:lang w:val="bs-Latn-BA"/>
        </w:rPr>
        <w:t>.</w:t>
      </w:r>
    </w:p>
    <w:p w14:paraId="651E155F" w14:textId="77777777" w:rsidR="002D43CA" w:rsidRPr="002D43CA" w:rsidRDefault="002D43CA" w:rsidP="002D43CA">
      <w:pPr>
        <w:rPr>
          <w:lang w:val="bs-Latn-BA"/>
        </w:rPr>
      </w:pPr>
    </w:p>
    <w:p w14:paraId="2A3B48BB" w14:textId="0FD80CCD" w:rsidR="00607C8A" w:rsidRPr="008924E0" w:rsidRDefault="00607C8A" w:rsidP="00524717">
      <w:pPr>
        <w:pStyle w:val="Heading2"/>
        <w:numPr>
          <w:ilvl w:val="1"/>
          <w:numId w:val="33"/>
        </w:numPr>
        <w:ind w:left="792"/>
        <w:rPr>
          <w:lang w:val="bs-Latn-BA"/>
        </w:rPr>
      </w:pPr>
      <w:bookmarkStart w:id="86" w:name="_Toc134011763"/>
      <w:bookmarkStart w:id="87" w:name="_Hlk130954585"/>
      <w:r w:rsidRPr="008924E0">
        <w:rPr>
          <w:lang w:val="bs-Latn-BA"/>
        </w:rPr>
        <w:t>S</w:t>
      </w:r>
      <w:r w:rsidR="00FE3FE2">
        <w:rPr>
          <w:lang w:val="bs-Latn-BA"/>
        </w:rPr>
        <w:t>tambeni fond</w:t>
      </w:r>
      <w:bookmarkEnd w:id="86"/>
    </w:p>
    <w:bookmarkEnd w:id="87"/>
    <w:p w14:paraId="70C1C458" w14:textId="0406A636" w:rsidR="00607C8A" w:rsidRPr="008924E0" w:rsidRDefault="00607C8A" w:rsidP="007C0200">
      <w:pPr>
        <w:pBdr>
          <w:top w:val="nil"/>
          <w:left w:val="nil"/>
          <w:bottom w:val="nil"/>
          <w:right w:val="nil"/>
          <w:between w:val="nil"/>
        </w:pBdr>
        <w:spacing w:after="0" w:line="240" w:lineRule="auto"/>
        <w:rPr>
          <w:rFonts w:eastAsia="Calibri"/>
          <w:color w:val="000000"/>
          <w:lang w:val="bs-Latn-BA"/>
        </w:rPr>
      </w:pPr>
      <w:r w:rsidRPr="008924E0">
        <w:rPr>
          <w:rFonts w:eastAsia="Calibri"/>
          <w:color w:val="000000"/>
          <w:lang w:val="bs-Latn-BA"/>
        </w:rPr>
        <w:t>Prema podacima o fondu stambenih zgrada za 2020. godinu izvršena je analiza ušteda energije, emisije CO</w:t>
      </w:r>
      <w:r w:rsidRPr="008924E0">
        <w:rPr>
          <w:rFonts w:eastAsia="Calibri"/>
          <w:color w:val="000000"/>
          <w:vertAlign w:val="subscript"/>
          <w:lang w:val="bs-Latn-BA"/>
        </w:rPr>
        <w:t>2</w:t>
      </w:r>
      <w:r w:rsidRPr="008924E0">
        <w:rPr>
          <w:rFonts w:eastAsia="Calibri"/>
          <w:color w:val="000000"/>
          <w:lang w:val="bs-Latn-BA"/>
        </w:rPr>
        <w:t xml:space="preserve"> i troškova energijske </w:t>
      </w:r>
      <w:r w:rsidR="00AF56AF">
        <w:rPr>
          <w:rFonts w:eastAsia="Calibri"/>
          <w:color w:val="000000"/>
          <w:lang w:val="bs-Latn-BA"/>
        </w:rPr>
        <w:t>obnove</w:t>
      </w:r>
      <w:r w:rsidR="00AF56AF" w:rsidRPr="008924E0">
        <w:rPr>
          <w:rFonts w:eastAsia="Calibri"/>
          <w:color w:val="000000"/>
          <w:lang w:val="bs-Latn-BA"/>
        </w:rPr>
        <w:t xml:space="preserve"> </w:t>
      </w:r>
      <w:r w:rsidRPr="008924E0">
        <w:rPr>
          <w:rFonts w:eastAsia="Calibri"/>
          <w:color w:val="000000"/>
          <w:lang w:val="bs-Latn-BA"/>
        </w:rPr>
        <w:t xml:space="preserve">za period do 2050. godine. Razmatrane mjere energijske </w:t>
      </w:r>
      <w:r w:rsidR="00AF56AF">
        <w:rPr>
          <w:rFonts w:eastAsia="Calibri"/>
          <w:color w:val="000000"/>
          <w:lang w:val="bs-Latn-BA"/>
        </w:rPr>
        <w:t>obnove</w:t>
      </w:r>
      <w:r w:rsidR="00AF56AF" w:rsidRPr="008924E0">
        <w:rPr>
          <w:rFonts w:eastAsia="Calibri"/>
          <w:color w:val="000000"/>
          <w:lang w:val="bs-Latn-BA"/>
        </w:rPr>
        <w:t xml:space="preserve"> </w:t>
      </w:r>
      <w:r w:rsidRPr="008924E0">
        <w:rPr>
          <w:rFonts w:eastAsia="Calibri"/>
          <w:color w:val="000000"/>
          <w:lang w:val="bs-Latn-BA"/>
        </w:rPr>
        <w:t xml:space="preserve">obuhvataju setove mjera </w:t>
      </w:r>
      <w:r w:rsidR="006A5773">
        <w:rPr>
          <w:rFonts w:eastAsia="Calibri"/>
          <w:color w:val="000000"/>
          <w:lang w:val="bs-Latn-BA"/>
        </w:rPr>
        <w:t>obnove</w:t>
      </w:r>
      <w:r w:rsidRPr="008924E0">
        <w:rPr>
          <w:rFonts w:eastAsia="Calibri"/>
          <w:color w:val="000000"/>
          <w:lang w:val="bs-Latn-BA"/>
        </w:rPr>
        <w:t xml:space="preserve"> ovojnice zgrade i mjera kojima se značajno poboljšava efikasnost termotehničkog sistema, </w:t>
      </w:r>
      <w:r w:rsidR="00AF56AF" w:rsidRPr="008924E0">
        <w:rPr>
          <w:rFonts w:eastAsia="Calibri"/>
          <w:color w:val="000000"/>
          <w:lang w:val="bs-Latn-BA"/>
        </w:rPr>
        <w:t>kombin</w:t>
      </w:r>
      <w:r w:rsidR="00AF56AF">
        <w:rPr>
          <w:rFonts w:eastAsia="Calibri"/>
          <w:color w:val="000000"/>
          <w:lang w:val="bs-Latn-BA"/>
        </w:rPr>
        <w:t>irane</w:t>
      </w:r>
      <w:r w:rsidR="00AF56AF" w:rsidRPr="008924E0">
        <w:rPr>
          <w:rFonts w:eastAsia="Calibri"/>
          <w:color w:val="000000"/>
          <w:lang w:val="bs-Latn-BA"/>
        </w:rPr>
        <w:t xml:space="preserve"> </w:t>
      </w:r>
      <w:r w:rsidRPr="008924E0">
        <w:rPr>
          <w:rFonts w:eastAsia="Calibri"/>
          <w:color w:val="000000"/>
          <w:lang w:val="bs-Latn-BA"/>
        </w:rPr>
        <w:t xml:space="preserve">u različite nivoe </w:t>
      </w:r>
      <w:r w:rsidR="00AF56AF">
        <w:rPr>
          <w:rFonts w:eastAsia="Calibri"/>
          <w:color w:val="000000"/>
          <w:lang w:val="bs-Latn-BA"/>
        </w:rPr>
        <w:t>obnoove</w:t>
      </w:r>
      <w:r w:rsidR="00AF56AF" w:rsidRPr="008924E0">
        <w:rPr>
          <w:rFonts w:eastAsia="Calibri"/>
          <w:color w:val="000000"/>
          <w:lang w:val="bs-Latn-BA"/>
        </w:rPr>
        <w:t xml:space="preserve"> </w:t>
      </w:r>
      <w:r w:rsidRPr="008924E0">
        <w:rPr>
          <w:rFonts w:eastAsia="Calibri"/>
          <w:color w:val="000000"/>
          <w:lang w:val="bs-Latn-BA"/>
        </w:rPr>
        <w:t xml:space="preserve">prema Tabelama </w:t>
      </w:r>
      <w:r w:rsidR="00D04178" w:rsidRPr="008924E0">
        <w:rPr>
          <w:rFonts w:eastAsia="Calibri"/>
          <w:color w:val="000000"/>
          <w:lang w:val="bs-Latn-BA"/>
        </w:rPr>
        <w:t>6</w:t>
      </w:r>
      <w:r w:rsidRPr="008924E0">
        <w:rPr>
          <w:rFonts w:eastAsia="Calibri"/>
          <w:color w:val="000000"/>
          <w:lang w:val="bs-Latn-BA"/>
        </w:rPr>
        <w:t>.1.-</w:t>
      </w:r>
      <w:r w:rsidR="00D04178" w:rsidRPr="008924E0">
        <w:rPr>
          <w:rFonts w:eastAsia="Calibri"/>
          <w:color w:val="000000"/>
          <w:lang w:val="bs-Latn-BA"/>
        </w:rPr>
        <w:t>6</w:t>
      </w:r>
      <w:r w:rsidRPr="008924E0">
        <w:rPr>
          <w:rFonts w:eastAsia="Calibri"/>
          <w:color w:val="000000"/>
          <w:lang w:val="bs-Latn-BA"/>
        </w:rPr>
        <w:t xml:space="preserve">.4. Predložene mjere i nivoi </w:t>
      </w:r>
      <w:r w:rsidR="00AF56AF">
        <w:rPr>
          <w:rFonts w:eastAsia="Calibri"/>
          <w:color w:val="000000"/>
          <w:lang w:val="bs-Latn-BA"/>
        </w:rPr>
        <w:t>obnove</w:t>
      </w:r>
      <w:r w:rsidR="00AF56AF" w:rsidRPr="008924E0">
        <w:rPr>
          <w:rFonts w:eastAsia="Calibri"/>
          <w:color w:val="000000"/>
          <w:lang w:val="bs-Latn-BA"/>
        </w:rPr>
        <w:t xml:space="preserve"> </w:t>
      </w:r>
      <w:r w:rsidRPr="008924E0">
        <w:rPr>
          <w:rFonts w:eastAsia="Calibri"/>
          <w:color w:val="000000"/>
          <w:lang w:val="bs-Latn-BA"/>
        </w:rPr>
        <w:t>su izabrani u skladu sa metodologijom razvijenom u okviru projekta „Analiza kapaciteta privatnog sektora za provođenje strategije obnove zgrada u Bosni i Hercegovini„</w:t>
      </w:r>
      <w:r w:rsidRPr="008924E0">
        <w:rPr>
          <w:rFonts w:eastAsia="Calibri"/>
          <w:color w:val="000000"/>
          <w:vertAlign w:val="superscript"/>
          <w:lang w:val="bs-Latn-BA"/>
        </w:rPr>
        <w:footnoteReference w:id="26"/>
      </w:r>
      <w:r w:rsidRPr="00DD1532">
        <w:rPr>
          <w:rFonts w:eastAsia="Calibri"/>
          <w:color w:val="000000"/>
          <w:vertAlign w:val="superscript"/>
          <w:lang w:val="bs-Latn-BA"/>
        </w:rPr>
        <w:t>,</w:t>
      </w:r>
      <w:r w:rsidRPr="008924E0">
        <w:rPr>
          <w:rFonts w:eastAsia="Calibri"/>
          <w:color w:val="000000"/>
          <w:vertAlign w:val="superscript"/>
          <w:lang w:val="bs-Latn-BA"/>
        </w:rPr>
        <w:footnoteReference w:id="27"/>
      </w:r>
      <w:r w:rsidRPr="008924E0">
        <w:rPr>
          <w:rFonts w:eastAsia="Calibri"/>
          <w:color w:val="000000"/>
          <w:lang w:val="bs-Latn-BA"/>
        </w:rPr>
        <w:t>.</w:t>
      </w:r>
      <w:bookmarkStart w:id="88" w:name="_heading=h.26in1rg" w:colFirst="0" w:colLast="0"/>
      <w:bookmarkEnd w:id="88"/>
    </w:p>
    <w:p w14:paraId="1F63FFD0" w14:textId="77777777" w:rsidR="007C0200" w:rsidRPr="008924E0" w:rsidRDefault="007C0200" w:rsidP="007C0200">
      <w:pPr>
        <w:pBdr>
          <w:top w:val="nil"/>
          <w:left w:val="nil"/>
          <w:bottom w:val="nil"/>
          <w:right w:val="nil"/>
          <w:between w:val="nil"/>
        </w:pBdr>
        <w:spacing w:after="0" w:line="240" w:lineRule="auto"/>
        <w:rPr>
          <w:rFonts w:eastAsia="Calibri"/>
          <w:color w:val="000000"/>
          <w:lang w:val="bs-Latn-BA"/>
        </w:rPr>
      </w:pPr>
    </w:p>
    <w:p w14:paraId="7A1B56E6" w14:textId="4BAE9122" w:rsidR="007C0200" w:rsidRPr="008924E0" w:rsidRDefault="007C0200" w:rsidP="007C0200">
      <w:pPr>
        <w:pStyle w:val="Caption"/>
        <w:keepNext/>
      </w:pPr>
      <w:bookmarkStart w:id="89" w:name="_Ref130735874"/>
      <w:bookmarkStart w:id="90" w:name="_Toc133499546"/>
      <w:r w:rsidRPr="008924E0">
        <w:lastRenderedPageBreak/>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1</w:t>
      </w:r>
      <w:r w:rsidR="00000000">
        <w:rPr>
          <w:noProof/>
        </w:rPr>
        <w:fldChar w:fldCharType="end"/>
      </w:r>
      <w:bookmarkEnd w:id="89"/>
      <w:r w:rsidRPr="008924E0">
        <w:t xml:space="preserve"> Mjere </w:t>
      </w:r>
      <w:r w:rsidR="00AF56AF">
        <w:t>obnove</w:t>
      </w:r>
      <w:r w:rsidR="00AF56AF" w:rsidRPr="008924E0">
        <w:t xml:space="preserve"> </w:t>
      </w:r>
      <w:r w:rsidRPr="008924E0">
        <w:t xml:space="preserve">koje ulaze u nivoe </w:t>
      </w:r>
      <w:r w:rsidR="00AF56AF">
        <w:t>obnove</w:t>
      </w:r>
      <w:r w:rsidR="00AF56AF" w:rsidRPr="008924E0">
        <w:t xml:space="preserve"> </w:t>
      </w:r>
      <w:r w:rsidRPr="008924E0">
        <w:t>za kategorije SFH i TH</w:t>
      </w:r>
      <w:bookmarkEnd w:id="90"/>
    </w:p>
    <w:tbl>
      <w:tblPr>
        <w:tblStyle w:val="12"/>
        <w:tblW w:w="0" w:type="auto"/>
        <w:tblLook w:val="04A0" w:firstRow="1" w:lastRow="0" w:firstColumn="1" w:lastColumn="0" w:noHBand="0" w:noVBand="1"/>
      </w:tblPr>
      <w:tblGrid>
        <w:gridCol w:w="1080"/>
        <w:gridCol w:w="5169"/>
        <w:gridCol w:w="925"/>
        <w:gridCol w:w="1087"/>
        <w:gridCol w:w="1099"/>
      </w:tblGrid>
      <w:tr w:rsidR="00607C8A" w:rsidRPr="008924E0" w14:paraId="778BC19C" w14:textId="77777777" w:rsidTr="00611BF0">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80" w:type="dxa"/>
            <w:vMerge w:val="restart"/>
            <w:shd w:val="clear" w:color="auto" w:fill="005837"/>
            <w:vAlign w:val="center"/>
          </w:tcPr>
          <w:p w14:paraId="54965B07" w14:textId="77777777" w:rsidR="00607C8A" w:rsidRPr="008924E0" w:rsidRDefault="00607C8A" w:rsidP="009A0E6F">
            <w:pPr>
              <w:rPr>
                <w:rFonts w:eastAsia="Calibri"/>
                <w:lang w:val="bs-Latn-BA"/>
              </w:rPr>
            </w:pPr>
            <w:r w:rsidRPr="008924E0">
              <w:rPr>
                <w:rFonts w:eastAsia="Calibri"/>
                <w:lang w:val="bs-Latn-BA"/>
              </w:rPr>
              <w:t>Broj.</w:t>
            </w:r>
          </w:p>
        </w:tc>
        <w:tc>
          <w:tcPr>
            <w:tcW w:w="5169" w:type="dxa"/>
            <w:vMerge w:val="restart"/>
            <w:shd w:val="clear" w:color="auto" w:fill="005837"/>
            <w:vAlign w:val="center"/>
          </w:tcPr>
          <w:p w14:paraId="272F0D83" w14:textId="77777777" w:rsidR="00607C8A" w:rsidRPr="008924E0" w:rsidRDefault="00607C8A" w:rsidP="009A0E6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Opis mjere</w:t>
            </w:r>
          </w:p>
        </w:tc>
        <w:tc>
          <w:tcPr>
            <w:tcW w:w="0" w:type="auto"/>
            <w:gridSpan w:val="3"/>
            <w:shd w:val="clear" w:color="auto" w:fill="005837"/>
            <w:vAlign w:val="center"/>
          </w:tcPr>
          <w:p w14:paraId="532618A1" w14:textId="530E7226" w:rsidR="00607C8A" w:rsidRPr="008924E0" w:rsidRDefault="00607C8A" w:rsidP="009A0E6F">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Nivo </w:t>
            </w:r>
            <w:r w:rsidR="006A5773">
              <w:rPr>
                <w:rFonts w:ascii="Calibri" w:eastAsia="Calibri" w:hAnsi="Calibri" w:cs="Calibri"/>
                <w:lang w:val="bs-Latn-BA"/>
              </w:rPr>
              <w:t>obnove</w:t>
            </w:r>
          </w:p>
        </w:tc>
      </w:tr>
      <w:tr w:rsidR="0011398F" w:rsidRPr="008924E0" w14:paraId="10CA80B3" w14:textId="77777777" w:rsidTr="00C52938">
        <w:trPr>
          <w:cnfStyle w:val="000000100000" w:firstRow="0" w:lastRow="0" w:firstColumn="0" w:lastColumn="0" w:oddVBand="0" w:evenVBand="0" w:oddHBand="1" w:evenHBand="0" w:firstRowFirstColumn="0" w:firstRowLastColumn="0" w:lastRowFirstColumn="0" w:lastRowLastColumn="0"/>
          <w:trHeight w:val="306"/>
        </w:trPr>
        <w:tc>
          <w:tcPr>
            <w:cnfStyle w:val="001000000000" w:firstRow="0" w:lastRow="0" w:firstColumn="1" w:lastColumn="0" w:oddVBand="0" w:evenVBand="0" w:oddHBand="0" w:evenHBand="0" w:firstRowFirstColumn="0" w:firstRowLastColumn="0" w:lastRowFirstColumn="0" w:lastRowLastColumn="0"/>
            <w:tcW w:w="1080" w:type="dxa"/>
            <w:vMerge/>
            <w:shd w:val="clear" w:color="auto" w:fill="005837"/>
          </w:tcPr>
          <w:p w14:paraId="478F77CE" w14:textId="77777777" w:rsidR="00607C8A" w:rsidRPr="008924E0" w:rsidRDefault="00607C8A" w:rsidP="000B085B">
            <w:pPr>
              <w:widowControl w:val="0"/>
              <w:pBdr>
                <w:top w:val="nil"/>
                <w:left w:val="nil"/>
                <w:bottom w:val="nil"/>
                <w:right w:val="nil"/>
                <w:between w:val="nil"/>
              </w:pBdr>
              <w:spacing w:line="276" w:lineRule="auto"/>
              <w:rPr>
                <w:rFonts w:eastAsia="Calibri"/>
                <w:color w:val="FFFFFF"/>
                <w:lang w:val="bs-Latn-BA"/>
              </w:rPr>
            </w:pPr>
          </w:p>
        </w:tc>
        <w:tc>
          <w:tcPr>
            <w:tcW w:w="5169" w:type="dxa"/>
            <w:vMerge/>
            <w:shd w:val="clear" w:color="auto" w:fill="005837"/>
          </w:tcPr>
          <w:p w14:paraId="65F3F6AC" w14:textId="77777777" w:rsidR="00607C8A" w:rsidRPr="008924E0" w:rsidRDefault="00607C8A" w:rsidP="000B08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color w:val="FFFFFF"/>
                <w:lang w:val="bs-Latn-BA"/>
              </w:rPr>
            </w:pPr>
          </w:p>
        </w:tc>
        <w:tc>
          <w:tcPr>
            <w:tcW w:w="0" w:type="auto"/>
            <w:shd w:val="clear" w:color="auto" w:fill="005837"/>
            <w:vAlign w:val="center"/>
          </w:tcPr>
          <w:p w14:paraId="5B4B0058" w14:textId="406C39C5" w:rsidR="00607C8A" w:rsidRPr="008924E0" w:rsidRDefault="00607C8A" w:rsidP="009A0E6F">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auto"/>
                <w:lang w:val="bs-Latn-BA"/>
              </w:rPr>
            </w:pPr>
            <w:r w:rsidRPr="008924E0">
              <w:rPr>
                <w:rFonts w:ascii="Calibri" w:eastAsia="Calibri" w:hAnsi="Calibri" w:cs="Calibri"/>
                <w:b/>
                <w:color w:val="auto"/>
                <w:lang w:val="bs-Latn-BA"/>
              </w:rPr>
              <w:t>Plitka</w:t>
            </w:r>
          </w:p>
        </w:tc>
        <w:tc>
          <w:tcPr>
            <w:tcW w:w="0" w:type="auto"/>
            <w:shd w:val="clear" w:color="auto" w:fill="005837"/>
            <w:vAlign w:val="center"/>
          </w:tcPr>
          <w:p w14:paraId="67592455" w14:textId="77777777" w:rsidR="00607C8A" w:rsidRPr="008924E0" w:rsidRDefault="00607C8A" w:rsidP="009A0E6F">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auto"/>
                <w:lang w:val="bs-Latn-BA"/>
              </w:rPr>
            </w:pPr>
            <w:r w:rsidRPr="008924E0">
              <w:rPr>
                <w:rFonts w:ascii="Calibri" w:eastAsia="Calibri" w:hAnsi="Calibri" w:cs="Calibri"/>
                <w:b/>
                <w:color w:val="auto"/>
                <w:lang w:val="bs-Latn-BA"/>
              </w:rPr>
              <w:t>Srednja</w:t>
            </w:r>
          </w:p>
        </w:tc>
        <w:tc>
          <w:tcPr>
            <w:tcW w:w="0" w:type="auto"/>
            <w:shd w:val="clear" w:color="auto" w:fill="005837"/>
            <w:vAlign w:val="center"/>
          </w:tcPr>
          <w:p w14:paraId="61D3AE17" w14:textId="77777777" w:rsidR="00607C8A" w:rsidRPr="008924E0" w:rsidRDefault="00607C8A" w:rsidP="009A0E6F">
            <w:pPr>
              <w:ind w:left="113" w:right="1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auto"/>
                <w:lang w:val="bs-Latn-BA"/>
              </w:rPr>
            </w:pPr>
            <w:r w:rsidRPr="008924E0">
              <w:rPr>
                <w:rFonts w:ascii="Calibri" w:eastAsia="Calibri" w:hAnsi="Calibri" w:cs="Calibri"/>
                <w:b/>
                <w:color w:val="auto"/>
                <w:lang w:val="bs-Latn-BA"/>
              </w:rPr>
              <w:t>Duboka</w:t>
            </w:r>
          </w:p>
        </w:tc>
      </w:tr>
      <w:tr w:rsidR="0011398F" w:rsidRPr="008924E0" w14:paraId="37BD5C0A" w14:textId="77777777" w:rsidTr="00611BF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43B80C6C" w14:textId="77777777" w:rsidR="00607C8A" w:rsidRPr="008924E0" w:rsidRDefault="00607C8A" w:rsidP="000B085B">
            <w:pPr>
              <w:rPr>
                <w:rFonts w:eastAsia="Calibri"/>
                <w:lang w:val="bs-Latn-BA"/>
              </w:rPr>
            </w:pPr>
            <w:r w:rsidRPr="008924E0">
              <w:rPr>
                <w:rFonts w:eastAsia="Calibri"/>
                <w:b w:val="0"/>
                <w:lang w:val="bs-Latn-BA"/>
              </w:rPr>
              <w:t xml:space="preserve">Mjera 1: </w:t>
            </w:r>
          </w:p>
        </w:tc>
        <w:tc>
          <w:tcPr>
            <w:tcW w:w="5169" w:type="dxa"/>
          </w:tcPr>
          <w:p w14:paraId="06C16A52" w14:textId="77777777" w:rsidR="00607C8A" w:rsidRPr="008924E0" w:rsidRDefault="00607C8A" w:rsidP="000B085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Zamjena stolarije  </w:t>
            </w:r>
            <w:r w:rsidRPr="008924E0">
              <w:rPr>
                <w:rFonts w:ascii="Calibri" w:eastAsia="Calibri" w:hAnsi="Calibri" w:cs="Calibri"/>
                <w:i/>
                <w:lang w:val="bs-Latn-BA"/>
              </w:rPr>
              <w:t>U</w:t>
            </w:r>
            <w:r w:rsidRPr="008924E0">
              <w:rPr>
                <w:rFonts w:ascii="Calibri" w:eastAsia="Calibri" w:hAnsi="Calibri" w:cs="Calibri"/>
                <w:vertAlign w:val="subscript"/>
                <w:lang w:val="bs-Latn-BA"/>
              </w:rPr>
              <w:t>w</w:t>
            </w:r>
            <w:r w:rsidRPr="008924E0">
              <w:rPr>
                <w:rFonts w:ascii="Calibri" w:eastAsia="Calibri" w:hAnsi="Calibri" w:cs="Calibri"/>
                <w:lang w:val="bs-Latn-BA"/>
              </w:rPr>
              <w:t xml:space="preserve"> =1,0 W/m</w:t>
            </w:r>
            <w:r w:rsidRPr="008924E0">
              <w:rPr>
                <w:rFonts w:ascii="Calibri" w:eastAsia="Calibri" w:hAnsi="Calibri" w:cs="Calibri"/>
                <w:vertAlign w:val="superscript"/>
                <w:lang w:val="bs-Latn-BA"/>
              </w:rPr>
              <w:t>2</w:t>
            </w:r>
            <w:r w:rsidRPr="008924E0">
              <w:rPr>
                <w:rFonts w:ascii="Calibri" w:eastAsia="Calibri" w:hAnsi="Calibri" w:cs="Calibri"/>
                <w:lang w:val="bs-Latn-BA"/>
              </w:rPr>
              <w:t xml:space="preserve">K  </w:t>
            </w:r>
          </w:p>
        </w:tc>
        <w:tc>
          <w:tcPr>
            <w:tcW w:w="0" w:type="auto"/>
          </w:tcPr>
          <w:p w14:paraId="45189285"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5AB9E423"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2871FB2B"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r>
      <w:tr w:rsidR="0011398F" w:rsidRPr="008924E0" w14:paraId="08856F57" w14:textId="77777777" w:rsidTr="00611B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7680C70B" w14:textId="77777777" w:rsidR="00607C8A" w:rsidRPr="008924E0" w:rsidRDefault="00607C8A" w:rsidP="000B085B">
            <w:pPr>
              <w:rPr>
                <w:rFonts w:eastAsia="Calibri"/>
                <w:lang w:val="bs-Latn-BA"/>
              </w:rPr>
            </w:pPr>
            <w:r w:rsidRPr="008924E0">
              <w:rPr>
                <w:rFonts w:eastAsia="Calibri"/>
                <w:b w:val="0"/>
                <w:lang w:val="bs-Latn-BA"/>
              </w:rPr>
              <w:t xml:space="preserve">Mjera 2: </w:t>
            </w:r>
          </w:p>
        </w:tc>
        <w:tc>
          <w:tcPr>
            <w:tcW w:w="5169" w:type="dxa"/>
          </w:tcPr>
          <w:p w14:paraId="4560E1EA" w14:textId="77777777" w:rsidR="00607C8A" w:rsidRPr="008924E0" w:rsidRDefault="00607C8A" w:rsidP="000B085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Izolacija vanjskih zidova (ETICS sistem EPS 15 cm)</w:t>
            </w:r>
          </w:p>
        </w:tc>
        <w:tc>
          <w:tcPr>
            <w:tcW w:w="0" w:type="auto"/>
          </w:tcPr>
          <w:p w14:paraId="30C79DA8"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74F81317"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 </w:t>
            </w:r>
          </w:p>
        </w:tc>
        <w:tc>
          <w:tcPr>
            <w:tcW w:w="0" w:type="auto"/>
          </w:tcPr>
          <w:p w14:paraId="6C014A1F"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 </w:t>
            </w:r>
          </w:p>
        </w:tc>
      </w:tr>
      <w:tr w:rsidR="0011398F" w:rsidRPr="008924E0" w14:paraId="6A7E8078" w14:textId="77777777" w:rsidTr="00611BF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020D1BA0" w14:textId="77777777" w:rsidR="00607C8A" w:rsidRPr="008924E0" w:rsidRDefault="00607C8A" w:rsidP="000B085B">
            <w:pPr>
              <w:rPr>
                <w:rFonts w:eastAsia="Calibri"/>
                <w:lang w:val="bs-Latn-BA"/>
              </w:rPr>
            </w:pPr>
            <w:r w:rsidRPr="008924E0">
              <w:rPr>
                <w:rFonts w:eastAsia="Calibri"/>
                <w:b w:val="0"/>
                <w:lang w:val="bs-Latn-BA"/>
              </w:rPr>
              <w:t>Mjera 2a:</w:t>
            </w:r>
          </w:p>
        </w:tc>
        <w:tc>
          <w:tcPr>
            <w:tcW w:w="5169" w:type="dxa"/>
          </w:tcPr>
          <w:p w14:paraId="4BE97362" w14:textId="77777777" w:rsidR="00607C8A" w:rsidRPr="008924E0" w:rsidRDefault="00607C8A" w:rsidP="000B085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Izolacija vanjskih zidova (ETICS sistem EPS 20 cm)</w:t>
            </w:r>
          </w:p>
        </w:tc>
        <w:tc>
          <w:tcPr>
            <w:tcW w:w="0" w:type="auto"/>
          </w:tcPr>
          <w:p w14:paraId="55FC6187"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 </w:t>
            </w:r>
          </w:p>
        </w:tc>
        <w:tc>
          <w:tcPr>
            <w:tcW w:w="0" w:type="auto"/>
          </w:tcPr>
          <w:p w14:paraId="4E364A3D"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13CAE9F8"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r>
      <w:tr w:rsidR="0011398F" w:rsidRPr="008924E0" w14:paraId="13D9642E" w14:textId="77777777" w:rsidTr="00611B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12137056" w14:textId="77777777" w:rsidR="00607C8A" w:rsidRPr="008924E0" w:rsidRDefault="00607C8A" w:rsidP="000B085B">
            <w:pPr>
              <w:rPr>
                <w:rFonts w:eastAsia="Calibri"/>
                <w:lang w:val="bs-Latn-BA"/>
              </w:rPr>
            </w:pPr>
            <w:r w:rsidRPr="008924E0">
              <w:rPr>
                <w:rFonts w:eastAsia="Calibri"/>
                <w:b w:val="0"/>
                <w:lang w:val="bs-Latn-BA"/>
              </w:rPr>
              <w:t xml:space="preserve">Mjera 3: </w:t>
            </w:r>
          </w:p>
        </w:tc>
        <w:tc>
          <w:tcPr>
            <w:tcW w:w="5169" w:type="dxa"/>
          </w:tcPr>
          <w:p w14:paraId="0EC94692" w14:textId="77777777" w:rsidR="00607C8A" w:rsidRPr="008924E0" w:rsidRDefault="00607C8A" w:rsidP="000B085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Izolacija stropa prema negrijanom tavanu (mineralna vuna, 20 cm)</w:t>
            </w:r>
          </w:p>
        </w:tc>
        <w:tc>
          <w:tcPr>
            <w:tcW w:w="0" w:type="auto"/>
          </w:tcPr>
          <w:p w14:paraId="5AA512C6"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09CE1791"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426ABCCA"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w:t>
            </w:r>
          </w:p>
        </w:tc>
      </w:tr>
      <w:tr w:rsidR="0011398F" w:rsidRPr="008924E0" w14:paraId="322E222A" w14:textId="77777777" w:rsidTr="00611BF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15E5078A" w14:textId="77777777" w:rsidR="00607C8A" w:rsidRPr="008924E0" w:rsidRDefault="00607C8A" w:rsidP="000B085B">
            <w:pPr>
              <w:rPr>
                <w:rFonts w:eastAsia="Calibri"/>
                <w:lang w:val="bs-Latn-BA"/>
              </w:rPr>
            </w:pPr>
            <w:r w:rsidRPr="008924E0">
              <w:rPr>
                <w:rFonts w:eastAsia="Calibri"/>
                <w:b w:val="0"/>
                <w:lang w:val="bs-Latn-BA"/>
              </w:rPr>
              <w:t>Mjera 4:</w:t>
            </w:r>
          </w:p>
        </w:tc>
        <w:tc>
          <w:tcPr>
            <w:tcW w:w="5169" w:type="dxa"/>
          </w:tcPr>
          <w:p w14:paraId="0E5EEFE9" w14:textId="77777777" w:rsidR="00607C8A" w:rsidRPr="008924E0" w:rsidRDefault="00607C8A" w:rsidP="000B085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Izolacija poda na tlu (XPS 8 cm)</w:t>
            </w:r>
          </w:p>
        </w:tc>
        <w:tc>
          <w:tcPr>
            <w:tcW w:w="0" w:type="auto"/>
          </w:tcPr>
          <w:p w14:paraId="6B2668A7"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 </w:t>
            </w:r>
          </w:p>
        </w:tc>
        <w:tc>
          <w:tcPr>
            <w:tcW w:w="0" w:type="auto"/>
          </w:tcPr>
          <w:p w14:paraId="3B89B28C"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 </w:t>
            </w:r>
          </w:p>
        </w:tc>
        <w:tc>
          <w:tcPr>
            <w:tcW w:w="0" w:type="auto"/>
          </w:tcPr>
          <w:p w14:paraId="2C9383A5"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r>
      <w:tr w:rsidR="0011398F" w:rsidRPr="008924E0" w14:paraId="64AD6403" w14:textId="77777777" w:rsidTr="00611BF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2EE17B34" w14:textId="77777777" w:rsidR="00607C8A" w:rsidRPr="008924E0" w:rsidRDefault="00607C8A" w:rsidP="000B085B">
            <w:pPr>
              <w:rPr>
                <w:rFonts w:eastAsia="Calibri"/>
                <w:lang w:val="bs-Latn-BA"/>
              </w:rPr>
            </w:pPr>
            <w:r w:rsidRPr="008924E0">
              <w:rPr>
                <w:rFonts w:eastAsia="Calibri"/>
                <w:b w:val="0"/>
                <w:lang w:val="bs-Latn-BA"/>
              </w:rPr>
              <w:t xml:space="preserve">Mjera 5: </w:t>
            </w:r>
          </w:p>
        </w:tc>
        <w:tc>
          <w:tcPr>
            <w:tcW w:w="5169" w:type="dxa"/>
          </w:tcPr>
          <w:p w14:paraId="1B403A7B" w14:textId="77777777" w:rsidR="00607C8A" w:rsidRPr="008924E0" w:rsidRDefault="00607C8A" w:rsidP="000B085B">
            <w:pP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Uvođenje centralnog sistema za grijanje, η=0,85</w:t>
            </w:r>
          </w:p>
        </w:tc>
        <w:tc>
          <w:tcPr>
            <w:tcW w:w="0" w:type="auto"/>
          </w:tcPr>
          <w:p w14:paraId="0A104A31"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2DFAF48C"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 </w:t>
            </w:r>
          </w:p>
        </w:tc>
        <w:tc>
          <w:tcPr>
            <w:tcW w:w="0" w:type="auto"/>
          </w:tcPr>
          <w:p w14:paraId="0F8461EC" w14:textId="77777777" w:rsidR="00607C8A" w:rsidRPr="008924E0" w:rsidRDefault="00607C8A"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lang w:val="bs-Latn-BA"/>
              </w:rPr>
              <w:t> </w:t>
            </w:r>
          </w:p>
        </w:tc>
      </w:tr>
      <w:tr w:rsidR="0011398F" w:rsidRPr="008924E0" w14:paraId="62F5B835" w14:textId="77777777" w:rsidTr="00611BF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80" w:type="dxa"/>
          </w:tcPr>
          <w:p w14:paraId="6AE2B9A7" w14:textId="77777777" w:rsidR="00607C8A" w:rsidRPr="008924E0" w:rsidRDefault="00607C8A" w:rsidP="000B085B">
            <w:pPr>
              <w:rPr>
                <w:rFonts w:eastAsia="Calibri"/>
                <w:lang w:val="bs-Latn-BA"/>
              </w:rPr>
            </w:pPr>
            <w:r w:rsidRPr="008924E0">
              <w:rPr>
                <w:rFonts w:eastAsia="Calibri"/>
                <w:b w:val="0"/>
                <w:lang w:val="bs-Latn-BA"/>
              </w:rPr>
              <w:t xml:space="preserve">Mjera 6: </w:t>
            </w:r>
          </w:p>
        </w:tc>
        <w:tc>
          <w:tcPr>
            <w:tcW w:w="5169" w:type="dxa"/>
          </w:tcPr>
          <w:p w14:paraId="16F93175" w14:textId="5914C223" w:rsidR="00607C8A" w:rsidRPr="008924E0" w:rsidRDefault="00607C8A" w:rsidP="000B085B">
            <w:pP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Uvođenje centralnog sistema za grijanje, termostats</w:t>
            </w:r>
            <w:r w:rsidR="00611BF0">
              <w:rPr>
                <w:rFonts w:ascii="Calibri" w:eastAsia="Calibri" w:hAnsi="Calibri" w:cs="Calibri"/>
                <w:lang w:val="bs-Latn-BA"/>
              </w:rPr>
              <w:t>ki</w:t>
            </w:r>
            <w:r w:rsidRPr="008924E0">
              <w:rPr>
                <w:rFonts w:ascii="Calibri" w:eastAsia="Calibri" w:hAnsi="Calibri" w:cs="Calibri"/>
                <w:lang w:val="bs-Latn-BA"/>
              </w:rPr>
              <w:t xml:space="preserve"> ventili, η=0,90</w:t>
            </w:r>
          </w:p>
        </w:tc>
        <w:tc>
          <w:tcPr>
            <w:tcW w:w="0" w:type="auto"/>
          </w:tcPr>
          <w:p w14:paraId="70EB1DA8"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 </w:t>
            </w:r>
          </w:p>
        </w:tc>
        <w:tc>
          <w:tcPr>
            <w:tcW w:w="0" w:type="auto"/>
          </w:tcPr>
          <w:p w14:paraId="06DDB32A"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c>
          <w:tcPr>
            <w:tcW w:w="0" w:type="auto"/>
          </w:tcPr>
          <w:p w14:paraId="022F12ED" w14:textId="77777777" w:rsidR="00607C8A" w:rsidRPr="008924E0" w:rsidRDefault="00607C8A"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lang w:val="bs-Latn-BA"/>
              </w:rPr>
              <w:t>+</w:t>
            </w:r>
          </w:p>
        </w:tc>
      </w:tr>
    </w:tbl>
    <w:p w14:paraId="6BFE72F6" w14:textId="5415A726" w:rsidR="00607C8A" w:rsidRPr="008924E0" w:rsidRDefault="00607C8A" w:rsidP="00607C8A">
      <w:pPr>
        <w:pBdr>
          <w:top w:val="nil"/>
          <w:left w:val="nil"/>
          <w:bottom w:val="nil"/>
          <w:right w:val="nil"/>
          <w:between w:val="nil"/>
        </w:pBdr>
        <w:spacing w:after="0" w:line="240" w:lineRule="auto"/>
        <w:jc w:val="left"/>
        <w:rPr>
          <w:rFonts w:eastAsia="Calibri"/>
          <w:b/>
          <w:i/>
          <w:color w:val="000000"/>
          <w:lang w:val="bs-Latn-BA"/>
        </w:rPr>
      </w:pPr>
      <w:bookmarkStart w:id="91" w:name="_heading=h.1hmsyys" w:colFirst="0" w:colLast="0"/>
      <w:bookmarkEnd w:id="91"/>
    </w:p>
    <w:p w14:paraId="6CCCBC7C" w14:textId="77777777" w:rsidR="00F73614" w:rsidRDefault="00F73614"/>
    <w:p w14:paraId="10927AFD" w14:textId="4876AD9C" w:rsidR="009C362D" w:rsidRPr="00F73614" w:rsidRDefault="009C362D" w:rsidP="00F73614">
      <w:pPr>
        <w:pStyle w:val="Caption"/>
        <w:keepNext/>
      </w:pPr>
      <w:bookmarkStart w:id="92" w:name="_Toc133499547"/>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2</w:t>
        </w:r>
      </w:fldSimple>
      <w:r w:rsidRPr="008924E0">
        <w:t xml:space="preserve"> </w:t>
      </w:r>
      <w:r w:rsidRPr="00F73614">
        <w:t xml:space="preserve">Mjere </w:t>
      </w:r>
      <w:r w:rsidR="00AF56AF" w:rsidRPr="00F73614">
        <w:t xml:space="preserve">obnove </w:t>
      </w:r>
      <w:r w:rsidRPr="00F73614">
        <w:t xml:space="preserve">koje ulaze u nivoe </w:t>
      </w:r>
      <w:r w:rsidR="0077645A" w:rsidRPr="00F73614">
        <w:t xml:space="preserve">obnove </w:t>
      </w:r>
      <w:r w:rsidRPr="00F73614">
        <w:t>za kategoriju MH</w:t>
      </w:r>
      <w:bookmarkEnd w:id="92"/>
    </w:p>
    <w:tbl>
      <w:tblPr>
        <w:tblW w:w="0" w:type="auto"/>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899"/>
        <w:gridCol w:w="5080"/>
        <w:gridCol w:w="1213"/>
        <w:gridCol w:w="1073"/>
        <w:gridCol w:w="1085"/>
      </w:tblGrid>
      <w:tr w:rsidR="00607C8A" w:rsidRPr="008924E0" w14:paraId="6EC6A65B" w14:textId="77777777" w:rsidTr="00644174">
        <w:trPr>
          <w:trHeight w:val="269"/>
          <w:jc w:val="center"/>
        </w:trPr>
        <w:tc>
          <w:tcPr>
            <w:tcW w:w="0" w:type="auto"/>
            <w:vMerge w:val="restart"/>
            <w:shd w:val="clear" w:color="auto" w:fill="005837"/>
            <w:vAlign w:val="center"/>
          </w:tcPr>
          <w:p w14:paraId="1B8D2A6D" w14:textId="77777777" w:rsidR="00607C8A" w:rsidRPr="008924E0" w:rsidRDefault="00607C8A" w:rsidP="00644174">
            <w:pPr>
              <w:ind w:left="113" w:right="113"/>
              <w:jc w:val="center"/>
              <w:rPr>
                <w:rFonts w:eastAsia="Calibri"/>
                <w:color w:val="FFFFFF"/>
                <w:lang w:val="bs-Latn-BA"/>
              </w:rPr>
            </w:pPr>
            <w:r w:rsidRPr="008924E0">
              <w:rPr>
                <w:rFonts w:eastAsia="Calibri"/>
                <w:color w:val="FFFFFF"/>
                <w:sz w:val="20"/>
                <w:szCs w:val="20"/>
                <w:lang w:val="bs-Latn-BA"/>
              </w:rPr>
              <w:t>Broj.</w:t>
            </w:r>
          </w:p>
        </w:tc>
        <w:tc>
          <w:tcPr>
            <w:tcW w:w="0" w:type="auto"/>
            <w:vMerge w:val="restart"/>
            <w:shd w:val="clear" w:color="auto" w:fill="005837"/>
            <w:vAlign w:val="center"/>
          </w:tcPr>
          <w:p w14:paraId="11A1502C" w14:textId="77777777" w:rsidR="00607C8A" w:rsidRPr="008924E0" w:rsidRDefault="00607C8A" w:rsidP="00644174">
            <w:pPr>
              <w:ind w:left="113" w:right="113"/>
              <w:jc w:val="center"/>
              <w:rPr>
                <w:rFonts w:eastAsia="Calibri"/>
                <w:color w:val="FFFFFF"/>
                <w:lang w:val="bs-Latn-BA"/>
              </w:rPr>
            </w:pPr>
            <w:r w:rsidRPr="008924E0">
              <w:rPr>
                <w:rFonts w:eastAsia="Calibri"/>
                <w:color w:val="FFFFFF"/>
                <w:sz w:val="20"/>
                <w:szCs w:val="20"/>
                <w:lang w:val="bs-Latn-BA"/>
              </w:rPr>
              <w:t>Opis mjere</w:t>
            </w:r>
          </w:p>
        </w:tc>
        <w:tc>
          <w:tcPr>
            <w:tcW w:w="0" w:type="auto"/>
            <w:gridSpan w:val="3"/>
            <w:shd w:val="clear" w:color="auto" w:fill="005837"/>
            <w:vAlign w:val="center"/>
          </w:tcPr>
          <w:p w14:paraId="748D60C7" w14:textId="0D685384" w:rsidR="00607C8A" w:rsidRPr="008924E0" w:rsidRDefault="00607C8A" w:rsidP="00644174">
            <w:pPr>
              <w:ind w:left="113" w:right="113"/>
              <w:jc w:val="center"/>
              <w:rPr>
                <w:rFonts w:eastAsia="Calibri"/>
                <w:color w:val="FFFFFF"/>
                <w:lang w:val="bs-Latn-BA"/>
              </w:rPr>
            </w:pPr>
            <w:r w:rsidRPr="008924E0">
              <w:rPr>
                <w:rFonts w:eastAsia="Calibri"/>
                <w:color w:val="FFFFFF"/>
                <w:sz w:val="20"/>
                <w:szCs w:val="20"/>
                <w:lang w:val="bs-Latn-BA"/>
              </w:rPr>
              <w:t xml:space="preserve">Nivo </w:t>
            </w:r>
            <w:r w:rsidR="005F377F" w:rsidRPr="008924E0">
              <w:rPr>
                <w:rFonts w:eastAsia="Calibri"/>
                <w:color w:val="FFFFFF"/>
                <w:sz w:val="20"/>
                <w:szCs w:val="20"/>
                <w:lang w:val="bs-Latn-BA"/>
              </w:rPr>
              <w:t>s</w:t>
            </w:r>
            <w:r w:rsidR="005F377F">
              <w:rPr>
                <w:rFonts w:eastAsia="Calibri"/>
                <w:color w:val="FFFFFF"/>
                <w:sz w:val="20"/>
                <w:szCs w:val="20"/>
                <w:lang w:val="bs-Latn-BA"/>
              </w:rPr>
              <w:t>obnove</w:t>
            </w:r>
          </w:p>
        </w:tc>
      </w:tr>
      <w:tr w:rsidR="00644174" w:rsidRPr="008924E0" w14:paraId="4A2227E7" w14:textId="77777777" w:rsidTr="002350E2">
        <w:trPr>
          <w:trHeight w:val="287"/>
          <w:jc w:val="center"/>
        </w:trPr>
        <w:tc>
          <w:tcPr>
            <w:tcW w:w="0" w:type="auto"/>
            <w:vMerge/>
            <w:shd w:val="clear" w:color="auto" w:fill="005837"/>
            <w:vAlign w:val="center"/>
          </w:tcPr>
          <w:p w14:paraId="55E8D8D5" w14:textId="77777777" w:rsidR="00607C8A" w:rsidRPr="008924E0" w:rsidRDefault="00607C8A" w:rsidP="00644174">
            <w:pPr>
              <w:widowControl w:val="0"/>
              <w:pBdr>
                <w:top w:val="nil"/>
                <w:left w:val="nil"/>
                <w:bottom w:val="nil"/>
                <w:right w:val="nil"/>
                <w:between w:val="nil"/>
              </w:pBdr>
              <w:spacing w:line="276" w:lineRule="auto"/>
              <w:jc w:val="center"/>
              <w:rPr>
                <w:rFonts w:eastAsia="Calibri"/>
                <w:color w:val="FFFFFF"/>
                <w:lang w:val="bs-Latn-BA"/>
              </w:rPr>
            </w:pPr>
          </w:p>
        </w:tc>
        <w:tc>
          <w:tcPr>
            <w:tcW w:w="0" w:type="auto"/>
            <w:vMerge/>
            <w:shd w:val="clear" w:color="auto" w:fill="005837"/>
            <w:vAlign w:val="center"/>
          </w:tcPr>
          <w:p w14:paraId="60D3533F" w14:textId="77777777" w:rsidR="00607C8A" w:rsidRPr="008924E0" w:rsidRDefault="00607C8A" w:rsidP="00644174">
            <w:pPr>
              <w:widowControl w:val="0"/>
              <w:pBdr>
                <w:top w:val="nil"/>
                <w:left w:val="nil"/>
                <w:bottom w:val="nil"/>
                <w:right w:val="nil"/>
                <w:between w:val="nil"/>
              </w:pBdr>
              <w:spacing w:line="276" w:lineRule="auto"/>
              <w:jc w:val="center"/>
              <w:rPr>
                <w:rFonts w:eastAsia="Calibri"/>
                <w:color w:val="FFFFFF"/>
                <w:lang w:val="bs-Latn-BA"/>
              </w:rPr>
            </w:pPr>
          </w:p>
        </w:tc>
        <w:tc>
          <w:tcPr>
            <w:tcW w:w="0" w:type="auto"/>
            <w:tcBorders>
              <w:bottom w:val="single" w:sz="4" w:space="0" w:color="DBDBDB"/>
            </w:tcBorders>
            <w:shd w:val="clear" w:color="auto" w:fill="005837"/>
            <w:vAlign w:val="center"/>
          </w:tcPr>
          <w:p w14:paraId="262D78FF" w14:textId="46EF5E23" w:rsidR="00607C8A" w:rsidRPr="008924E0" w:rsidRDefault="00607C8A" w:rsidP="00644174">
            <w:pPr>
              <w:ind w:left="113" w:right="113"/>
              <w:jc w:val="center"/>
              <w:rPr>
                <w:rFonts w:eastAsia="Calibri"/>
                <w:b/>
                <w:color w:val="FFFFFF"/>
                <w:lang w:val="bs-Latn-BA"/>
              </w:rPr>
            </w:pPr>
            <w:r w:rsidRPr="008924E0">
              <w:rPr>
                <w:rFonts w:eastAsia="Calibri"/>
                <w:b/>
                <w:color w:val="FFFFFF"/>
                <w:sz w:val="20"/>
                <w:szCs w:val="20"/>
                <w:lang w:val="bs-Latn-BA"/>
              </w:rPr>
              <w:t>Plitka</w:t>
            </w:r>
          </w:p>
        </w:tc>
        <w:tc>
          <w:tcPr>
            <w:tcW w:w="0" w:type="auto"/>
            <w:shd w:val="clear" w:color="auto" w:fill="005837"/>
            <w:vAlign w:val="center"/>
          </w:tcPr>
          <w:p w14:paraId="398791B3" w14:textId="77777777" w:rsidR="00607C8A" w:rsidRPr="008924E0" w:rsidRDefault="00607C8A" w:rsidP="00644174">
            <w:pPr>
              <w:ind w:left="113" w:right="113"/>
              <w:jc w:val="center"/>
              <w:rPr>
                <w:rFonts w:eastAsia="Calibri"/>
                <w:b/>
                <w:color w:val="FFFFFF"/>
                <w:lang w:val="bs-Latn-BA"/>
              </w:rPr>
            </w:pPr>
            <w:r w:rsidRPr="008924E0">
              <w:rPr>
                <w:rFonts w:eastAsia="Calibri"/>
                <w:b/>
                <w:color w:val="FFFFFF"/>
                <w:sz w:val="20"/>
                <w:szCs w:val="20"/>
                <w:lang w:val="bs-Latn-BA"/>
              </w:rPr>
              <w:t>Srednja</w:t>
            </w:r>
          </w:p>
        </w:tc>
        <w:tc>
          <w:tcPr>
            <w:tcW w:w="0" w:type="auto"/>
            <w:shd w:val="clear" w:color="auto" w:fill="005837"/>
            <w:vAlign w:val="center"/>
          </w:tcPr>
          <w:p w14:paraId="20ED494F" w14:textId="77777777" w:rsidR="00607C8A" w:rsidRPr="008924E0" w:rsidRDefault="00607C8A" w:rsidP="00644174">
            <w:pPr>
              <w:ind w:left="113" w:right="113"/>
              <w:jc w:val="center"/>
              <w:rPr>
                <w:rFonts w:eastAsia="Calibri"/>
                <w:b/>
                <w:color w:val="FFFFFF"/>
                <w:lang w:val="bs-Latn-BA"/>
              </w:rPr>
            </w:pPr>
            <w:r w:rsidRPr="008924E0">
              <w:rPr>
                <w:rFonts w:eastAsia="Calibri"/>
                <w:b/>
                <w:color w:val="FFFFFF"/>
                <w:sz w:val="20"/>
                <w:szCs w:val="20"/>
                <w:lang w:val="bs-Latn-BA"/>
              </w:rPr>
              <w:t>Duboka</w:t>
            </w:r>
          </w:p>
        </w:tc>
      </w:tr>
      <w:tr w:rsidR="00607C8A" w:rsidRPr="008924E0" w14:paraId="7C9BC69C" w14:textId="77777777" w:rsidTr="00030B41">
        <w:trPr>
          <w:trHeight w:val="274"/>
          <w:jc w:val="center"/>
        </w:trPr>
        <w:tc>
          <w:tcPr>
            <w:tcW w:w="0" w:type="auto"/>
            <w:shd w:val="clear" w:color="auto" w:fill="E9E9E9"/>
          </w:tcPr>
          <w:p w14:paraId="1B619858"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1: </w:t>
            </w:r>
          </w:p>
        </w:tc>
        <w:tc>
          <w:tcPr>
            <w:tcW w:w="0" w:type="auto"/>
            <w:tcBorders>
              <w:right w:val="single" w:sz="4" w:space="0" w:color="DBDBDB"/>
            </w:tcBorders>
            <w:shd w:val="clear" w:color="auto" w:fill="E9E9E9"/>
          </w:tcPr>
          <w:p w14:paraId="0A1E3021"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 xml:space="preserve">Zamjena stolarije  </w:t>
            </w:r>
            <w:r w:rsidRPr="008924E0">
              <w:rPr>
                <w:rFonts w:eastAsia="Calibri"/>
                <w:i/>
                <w:color w:val="000000"/>
                <w:sz w:val="20"/>
                <w:szCs w:val="20"/>
                <w:lang w:val="bs-Latn-BA"/>
              </w:rPr>
              <w:t>U</w:t>
            </w:r>
            <w:r w:rsidRPr="008924E0">
              <w:rPr>
                <w:rFonts w:eastAsia="Calibri"/>
                <w:color w:val="000000"/>
                <w:sz w:val="20"/>
                <w:szCs w:val="20"/>
                <w:vertAlign w:val="subscript"/>
                <w:lang w:val="bs-Latn-BA"/>
              </w:rPr>
              <w:t>w</w:t>
            </w:r>
            <w:r w:rsidRPr="008924E0">
              <w:rPr>
                <w:rFonts w:eastAsia="Calibri"/>
                <w:color w:val="000000"/>
                <w:sz w:val="20"/>
                <w:szCs w:val="20"/>
                <w:lang w:val="bs-Latn-BA"/>
              </w:rPr>
              <w:t xml:space="preserve"> =1,1 W/m</w:t>
            </w:r>
            <w:r w:rsidRPr="008924E0">
              <w:rPr>
                <w:rFonts w:eastAsia="Calibri"/>
                <w:color w:val="000000"/>
                <w:sz w:val="20"/>
                <w:szCs w:val="20"/>
                <w:vertAlign w:val="superscript"/>
                <w:lang w:val="bs-Latn-BA"/>
              </w:rPr>
              <w:t>2</w:t>
            </w:r>
            <w:r w:rsidRPr="008924E0">
              <w:rPr>
                <w:rFonts w:eastAsia="Calibri"/>
                <w:color w:val="000000"/>
                <w:sz w:val="20"/>
                <w:szCs w:val="20"/>
                <w:lang w:val="bs-Latn-BA"/>
              </w:rPr>
              <w:t xml:space="preserve">K  </w:t>
            </w:r>
          </w:p>
        </w:tc>
        <w:tc>
          <w:tcPr>
            <w:tcW w:w="0" w:type="auto"/>
            <w:vMerge w:val="restart"/>
            <w:tcBorders>
              <w:left w:val="single" w:sz="4" w:space="0" w:color="DBDBDB"/>
              <w:right w:val="single" w:sz="4" w:space="0" w:color="DBDBDB"/>
            </w:tcBorders>
            <w:shd w:val="clear" w:color="auto" w:fill="F2F2F2"/>
            <w:vAlign w:val="center"/>
          </w:tcPr>
          <w:p w14:paraId="43291264"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Nije razmatran</w:t>
            </w:r>
          </w:p>
        </w:tc>
        <w:tc>
          <w:tcPr>
            <w:tcW w:w="0" w:type="auto"/>
            <w:tcBorders>
              <w:left w:val="single" w:sz="4" w:space="0" w:color="DBDBDB"/>
            </w:tcBorders>
            <w:shd w:val="clear" w:color="auto" w:fill="F2F2F2"/>
          </w:tcPr>
          <w:p w14:paraId="19B36D35"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c>
          <w:tcPr>
            <w:tcW w:w="0" w:type="auto"/>
            <w:shd w:val="clear" w:color="auto" w:fill="F2F2F2"/>
          </w:tcPr>
          <w:p w14:paraId="13714CCB"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22EA211F" w14:textId="77777777" w:rsidTr="007601C6">
        <w:trPr>
          <w:trHeight w:val="288"/>
          <w:jc w:val="center"/>
        </w:trPr>
        <w:tc>
          <w:tcPr>
            <w:tcW w:w="0" w:type="auto"/>
            <w:shd w:val="clear" w:color="auto" w:fill="E9E9E9"/>
          </w:tcPr>
          <w:p w14:paraId="7F1F37B8"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2: </w:t>
            </w:r>
          </w:p>
        </w:tc>
        <w:tc>
          <w:tcPr>
            <w:tcW w:w="0" w:type="auto"/>
            <w:tcBorders>
              <w:right w:val="single" w:sz="4" w:space="0" w:color="DBDBDB"/>
            </w:tcBorders>
            <w:shd w:val="clear" w:color="auto" w:fill="E9E9E9"/>
          </w:tcPr>
          <w:p w14:paraId="6BA98128" w14:textId="77777777" w:rsidR="00607C8A" w:rsidRPr="008924E0" w:rsidRDefault="00607C8A" w:rsidP="0024516E">
            <w:pPr>
              <w:spacing w:after="0"/>
              <w:jc w:val="left"/>
              <w:rPr>
                <w:rFonts w:eastAsia="Calibri"/>
                <w:lang w:val="bs-Latn-BA"/>
              </w:rPr>
            </w:pPr>
            <w:r w:rsidRPr="008924E0">
              <w:rPr>
                <w:rFonts w:eastAsia="Calibri"/>
                <w:sz w:val="20"/>
                <w:szCs w:val="20"/>
                <w:lang w:val="bs-Latn-BA"/>
              </w:rPr>
              <w:t>Izolacija vanjskih zidova (ETICS sistem EPS 15 cm)</w:t>
            </w:r>
          </w:p>
        </w:tc>
        <w:tc>
          <w:tcPr>
            <w:tcW w:w="0" w:type="auto"/>
            <w:vMerge/>
            <w:tcBorders>
              <w:left w:val="single" w:sz="4" w:space="0" w:color="DBDBDB"/>
              <w:right w:val="single" w:sz="4" w:space="0" w:color="DBDBDB"/>
            </w:tcBorders>
            <w:shd w:val="clear" w:color="auto" w:fill="F2F2F2"/>
          </w:tcPr>
          <w:p w14:paraId="60CCCA59"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left w:val="single" w:sz="4" w:space="0" w:color="DBDBDB"/>
            </w:tcBorders>
            <w:shd w:val="clear" w:color="auto" w:fill="F2F2F2"/>
          </w:tcPr>
          <w:p w14:paraId="2B7BAB0C"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c>
          <w:tcPr>
            <w:tcW w:w="0" w:type="auto"/>
            <w:shd w:val="clear" w:color="auto" w:fill="F2F2F2"/>
          </w:tcPr>
          <w:p w14:paraId="425DC8B8"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2469AAE9" w14:textId="77777777" w:rsidTr="00030B41">
        <w:trPr>
          <w:trHeight w:val="266"/>
          <w:jc w:val="center"/>
        </w:trPr>
        <w:tc>
          <w:tcPr>
            <w:tcW w:w="0" w:type="auto"/>
            <w:shd w:val="clear" w:color="auto" w:fill="E9E9E9"/>
          </w:tcPr>
          <w:p w14:paraId="0B0579C8"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3: </w:t>
            </w:r>
          </w:p>
        </w:tc>
        <w:tc>
          <w:tcPr>
            <w:tcW w:w="0" w:type="auto"/>
            <w:tcBorders>
              <w:right w:val="single" w:sz="4" w:space="0" w:color="DBDBDB"/>
            </w:tcBorders>
            <w:shd w:val="clear" w:color="auto" w:fill="E9E9E9"/>
          </w:tcPr>
          <w:p w14:paraId="6C1DA720" w14:textId="77777777" w:rsidR="00607C8A" w:rsidRPr="008924E0" w:rsidRDefault="00607C8A" w:rsidP="0024516E">
            <w:pPr>
              <w:spacing w:after="0"/>
              <w:jc w:val="left"/>
              <w:rPr>
                <w:rFonts w:eastAsia="Calibri"/>
                <w:lang w:val="bs-Latn-BA"/>
              </w:rPr>
            </w:pPr>
            <w:r w:rsidRPr="008924E0">
              <w:rPr>
                <w:rFonts w:eastAsia="Calibri"/>
                <w:sz w:val="20"/>
                <w:szCs w:val="20"/>
                <w:lang w:val="bs-Latn-BA"/>
              </w:rPr>
              <w:t>Izolacija krova (mineralna vuna, 20 cm)</w:t>
            </w:r>
          </w:p>
        </w:tc>
        <w:tc>
          <w:tcPr>
            <w:tcW w:w="0" w:type="auto"/>
            <w:vMerge/>
            <w:tcBorders>
              <w:left w:val="single" w:sz="4" w:space="0" w:color="DBDBDB"/>
              <w:right w:val="single" w:sz="4" w:space="0" w:color="DBDBDB"/>
            </w:tcBorders>
            <w:shd w:val="clear" w:color="auto" w:fill="F2F2F2"/>
          </w:tcPr>
          <w:p w14:paraId="48A15CAD"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left w:val="single" w:sz="4" w:space="0" w:color="DBDBDB"/>
            </w:tcBorders>
            <w:shd w:val="clear" w:color="auto" w:fill="F2F2F2"/>
          </w:tcPr>
          <w:p w14:paraId="716D41F8" w14:textId="77777777" w:rsidR="00607C8A" w:rsidRPr="008924E0" w:rsidRDefault="00607C8A" w:rsidP="0024516E">
            <w:pPr>
              <w:spacing w:after="0"/>
              <w:jc w:val="center"/>
              <w:rPr>
                <w:rFonts w:eastAsia="Calibri"/>
                <w:lang w:val="bs-Latn-BA"/>
              </w:rPr>
            </w:pPr>
          </w:p>
        </w:tc>
        <w:tc>
          <w:tcPr>
            <w:tcW w:w="0" w:type="auto"/>
            <w:shd w:val="clear" w:color="auto" w:fill="F2F2F2"/>
          </w:tcPr>
          <w:p w14:paraId="0788C13B"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35DFA40D" w14:textId="77777777" w:rsidTr="00030B41">
        <w:trPr>
          <w:trHeight w:val="372"/>
          <w:jc w:val="center"/>
        </w:trPr>
        <w:tc>
          <w:tcPr>
            <w:tcW w:w="0" w:type="auto"/>
            <w:shd w:val="clear" w:color="auto" w:fill="E9E9E9"/>
          </w:tcPr>
          <w:p w14:paraId="04CE6226"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4: </w:t>
            </w:r>
          </w:p>
        </w:tc>
        <w:tc>
          <w:tcPr>
            <w:tcW w:w="0" w:type="auto"/>
            <w:tcBorders>
              <w:right w:val="single" w:sz="4" w:space="0" w:color="DBDBDB"/>
            </w:tcBorders>
            <w:shd w:val="clear" w:color="auto" w:fill="E9E9E9"/>
          </w:tcPr>
          <w:p w14:paraId="7C97F370"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Izolacija stropa prema negrijanom podrumu (EPS, 10 cm)</w:t>
            </w:r>
          </w:p>
        </w:tc>
        <w:tc>
          <w:tcPr>
            <w:tcW w:w="0" w:type="auto"/>
            <w:vMerge/>
            <w:tcBorders>
              <w:left w:val="single" w:sz="4" w:space="0" w:color="DBDBDB"/>
              <w:right w:val="single" w:sz="4" w:space="0" w:color="DBDBDB"/>
            </w:tcBorders>
            <w:shd w:val="clear" w:color="auto" w:fill="F2F2F2"/>
          </w:tcPr>
          <w:p w14:paraId="6C631342"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left w:val="single" w:sz="4" w:space="0" w:color="DBDBDB"/>
            </w:tcBorders>
            <w:shd w:val="clear" w:color="auto" w:fill="F2F2F2"/>
          </w:tcPr>
          <w:p w14:paraId="2FE6C9AE" w14:textId="77777777" w:rsidR="00607C8A" w:rsidRPr="008924E0" w:rsidRDefault="00607C8A" w:rsidP="0024516E">
            <w:pPr>
              <w:spacing w:after="0"/>
              <w:jc w:val="center"/>
              <w:rPr>
                <w:rFonts w:eastAsia="Calibri"/>
                <w:lang w:val="bs-Latn-BA"/>
              </w:rPr>
            </w:pPr>
          </w:p>
        </w:tc>
        <w:tc>
          <w:tcPr>
            <w:tcW w:w="0" w:type="auto"/>
            <w:shd w:val="clear" w:color="auto" w:fill="F2F2F2"/>
          </w:tcPr>
          <w:p w14:paraId="43D3F80B"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626B1552" w14:textId="77777777" w:rsidTr="00030B41">
        <w:trPr>
          <w:trHeight w:val="477"/>
          <w:jc w:val="center"/>
        </w:trPr>
        <w:tc>
          <w:tcPr>
            <w:tcW w:w="0" w:type="auto"/>
            <w:shd w:val="clear" w:color="auto" w:fill="E9E9E9"/>
          </w:tcPr>
          <w:p w14:paraId="5FA54955"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Mjera 5:</w:t>
            </w:r>
          </w:p>
        </w:tc>
        <w:tc>
          <w:tcPr>
            <w:tcW w:w="0" w:type="auto"/>
            <w:tcBorders>
              <w:right w:val="single" w:sz="4" w:space="0" w:color="DBDBDB"/>
            </w:tcBorders>
            <w:shd w:val="clear" w:color="auto" w:fill="E9E9E9"/>
          </w:tcPr>
          <w:p w14:paraId="62FB2E13"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Uvođenje centralnog sistema za grijanje, niskotemperaturno grijanje, kotao, η=0,85</w:t>
            </w:r>
          </w:p>
        </w:tc>
        <w:tc>
          <w:tcPr>
            <w:tcW w:w="0" w:type="auto"/>
            <w:vMerge/>
            <w:tcBorders>
              <w:left w:val="single" w:sz="4" w:space="0" w:color="DBDBDB"/>
              <w:right w:val="single" w:sz="4" w:space="0" w:color="DBDBDB"/>
            </w:tcBorders>
            <w:shd w:val="clear" w:color="auto" w:fill="F2F2F2"/>
          </w:tcPr>
          <w:p w14:paraId="592373D4"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left w:val="single" w:sz="4" w:space="0" w:color="DBDBDB"/>
            </w:tcBorders>
            <w:shd w:val="clear" w:color="auto" w:fill="F2F2F2"/>
          </w:tcPr>
          <w:p w14:paraId="401F7F8E"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c>
          <w:tcPr>
            <w:tcW w:w="0" w:type="auto"/>
            <w:shd w:val="clear" w:color="auto" w:fill="F2F2F2"/>
          </w:tcPr>
          <w:p w14:paraId="136D47E0" w14:textId="77777777" w:rsidR="00607C8A" w:rsidRPr="008924E0" w:rsidRDefault="00607C8A" w:rsidP="0024516E">
            <w:pPr>
              <w:spacing w:after="0"/>
              <w:jc w:val="center"/>
              <w:rPr>
                <w:rFonts w:eastAsia="Calibri"/>
                <w:lang w:val="bs-Latn-BA"/>
              </w:rPr>
            </w:pPr>
          </w:p>
        </w:tc>
      </w:tr>
      <w:tr w:rsidR="00607C8A" w:rsidRPr="008924E0" w14:paraId="52557FCF" w14:textId="77777777" w:rsidTr="00030B41">
        <w:trPr>
          <w:trHeight w:val="629"/>
          <w:jc w:val="center"/>
        </w:trPr>
        <w:tc>
          <w:tcPr>
            <w:tcW w:w="0" w:type="auto"/>
            <w:shd w:val="clear" w:color="auto" w:fill="E9E9E9"/>
          </w:tcPr>
          <w:p w14:paraId="411DC66D"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Mjera 6:</w:t>
            </w:r>
          </w:p>
        </w:tc>
        <w:tc>
          <w:tcPr>
            <w:tcW w:w="0" w:type="auto"/>
            <w:tcBorders>
              <w:right w:val="single" w:sz="4" w:space="0" w:color="DBDBDB"/>
            </w:tcBorders>
            <w:shd w:val="clear" w:color="auto" w:fill="E9E9E9"/>
          </w:tcPr>
          <w:p w14:paraId="2E52230F"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Uvođenje centralnog sistema za grijanje, termostats. ventili, niskotemperaturno grijanje, kotao, η=0,90</w:t>
            </w:r>
          </w:p>
        </w:tc>
        <w:tc>
          <w:tcPr>
            <w:tcW w:w="0" w:type="auto"/>
            <w:vMerge/>
            <w:tcBorders>
              <w:left w:val="single" w:sz="4" w:space="0" w:color="DBDBDB"/>
              <w:right w:val="single" w:sz="4" w:space="0" w:color="DBDBDB"/>
            </w:tcBorders>
            <w:shd w:val="clear" w:color="auto" w:fill="F2F2F2"/>
          </w:tcPr>
          <w:p w14:paraId="2017B9AA"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left w:val="single" w:sz="4" w:space="0" w:color="DBDBDB"/>
            </w:tcBorders>
            <w:shd w:val="clear" w:color="auto" w:fill="F2F2F2"/>
          </w:tcPr>
          <w:p w14:paraId="493A5F9C" w14:textId="77777777" w:rsidR="00607C8A" w:rsidRPr="008924E0" w:rsidRDefault="00607C8A" w:rsidP="0024516E">
            <w:pPr>
              <w:spacing w:after="0"/>
              <w:jc w:val="center"/>
              <w:rPr>
                <w:rFonts w:eastAsia="Calibri"/>
                <w:lang w:val="bs-Latn-BA"/>
              </w:rPr>
            </w:pPr>
          </w:p>
        </w:tc>
        <w:tc>
          <w:tcPr>
            <w:tcW w:w="0" w:type="auto"/>
            <w:shd w:val="clear" w:color="auto" w:fill="F2F2F2"/>
          </w:tcPr>
          <w:p w14:paraId="5F72CDFE"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54CDC13C" w14:textId="77777777" w:rsidTr="00030B41">
        <w:trPr>
          <w:trHeight w:val="652"/>
          <w:jc w:val="center"/>
        </w:trPr>
        <w:tc>
          <w:tcPr>
            <w:tcW w:w="0" w:type="auto"/>
            <w:shd w:val="clear" w:color="auto" w:fill="E9E9E9"/>
          </w:tcPr>
          <w:p w14:paraId="35150FAD" w14:textId="2560488B"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w:t>
            </w:r>
            <w:r w:rsidR="00030B41" w:rsidRPr="008924E0">
              <w:rPr>
                <w:rFonts w:eastAsia="Calibri"/>
                <w:color w:val="000000"/>
                <w:sz w:val="20"/>
                <w:szCs w:val="20"/>
                <w:lang w:val="bs-Latn-BA"/>
              </w:rPr>
              <w:t>6</w:t>
            </w:r>
            <w:r w:rsidR="00030B41">
              <w:rPr>
                <w:rFonts w:eastAsia="Calibri"/>
                <w:color w:val="000000"/>
                <w:sz w:val="20"/>
                <w:szCs w:val="20"/>
                <w:lang w:val="bs-Latn-BA"/>
              </w:rPr>
              <w:t>a</w:t>
            </w:r>
            <w:r w:rsidRPr="008924E0">
              <w:rPr>
                <w:rFonts w:eastAsia="Calibri"/>
                <w:color w:val="000000"/>
                <w:sz w:val="20"/>
                <w:szCs w:val="20"/>
                <w:lang w:val="bs-Latn-BA"/>
              </w:rPr>
              <w:t xml:space="preserve">: </w:t>
            </w:r>
          </w:p>
        </w:tc>
        <w:tc>
          <w:tcPr>
            <w:tcW w:w="0" w:type="auto"/>
            <w:tcBorders>
              <w:right w:val="single" w:sz="4" w:space="0" w:color="DBDBDB"/>
            </w:tcBorders>
            <w:shd w:val="clear" w:color="auto" w:fill="E9E9E9"/>
          </w:tcPr>
          <w:p w14:paraId="040733C5"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Uvođenje centralnog sistema za grijanje, termostats. ventili, niskotemperaturno grijanje, toplotna pumpa, COP=3</w:t>
            </w:r>
          </w:p>
        </w:tc>
        <w:tc>
          <w:tcPr>
            <w:tcW w:w="0" w:type="auto"/>
            <w:vMerge/>
            <w:tcBorders>
              <w:left w:val="single" w:sz="4" w:space="0" w:color="DBDBDB"/>
              <w:right w:val="single" w:sz="4" w:space="0" w:color="DBDBDB"/>
            </w:tcBorders>
            <w:shd w:val="clear" w:color="auto" w:fill="F2F2F2"/>
          </w:tcPr>
          <w:p w14:paraId="2359D0D4"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left w:val="single" w:sz="4" w:space="0" w:color="DBDBDB"/>
            </w:tcBorders>
            <w:shd w:val="clear" w:color="auto" w:fill="F2F2F2"/>
          </w:tcPr>
          <w:p w14:paraId="47AD1AB3" w14:textId="77777777" w:rsidR="00607C8A" w:rsidRPr="008924E0" w:rsidRDefault="00607C8A" w:rsidP="0024516E">
            <w:pPr>
              <w:spacing w:after="0"/>
              <w:jc w:val="center"/>
              <w:rPr>
                <w:rFonts w:eastAsia="Calibri"/>
                <w:lang w:val="bs-Latn-BA"/>
              </w:rPr>
            </w:pPr>
          </w:p>
        </w:tc>
        <w:tc>
          <w:tcPr>
            <w:tcW w:w="0" w:type="auto"/>
            <w:shd w:val="clear" w:color="auto" w:fill="F2F2F2"/>
          </w:tcPr>
          <w:p w14:paraId="56E61C05"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bl>
    <w:p w14:paraId="747AF755" w14:textId="77777777" w:rsidR="00607C8A" w:rsidRPr="008924E0" w:rsidRDefault="00607C8A" w:rsidP="002350E2">
      <w:pPr>
        <w:pBdr>
          <w:top w:val="nil"/>
          <w:left w:val="nil"/>
          <w:bottom w:val="nil"/>
          <w:right w:val="nil"/>
          <w:between w:val="nil"/>
        </w:pBdr>
        <w:spacing w:after="0" w:line="240" w:lineRule="auto"/>
        <w:jc w:val="left"/>
        <w:rPr>
          <w:rFonts w:eastAsia="Calibri"/>
          <w:b/>
          <w:i/>
          <w:color w:val="000000"/>
          <w:lang w:val="bs-Latn-BA"/>
        </w:rPr>
      </w:pPr>
    </w:p>
    <w:p w14:paraId="477EDC11" w14:textId="035DCE62" w:rsidR="00607C8A" w:rsidRPr="008924E0" w:rsidRDefault="00607C8A" w:rsidP="002350E2">
      <w:pPr>
        <w:pBdr>
          <w:top w:val="nil"/>
          <w:left w:val="nil"/>
          <w:bottom w:val="nil"/>
          <w:right w:val="nil"/>
          <w:between w:val="nil"/>
        </w:pBdr>
        <w:spacing w:after="0" w:line="240" w:lineRule="auto"/>
        <w:jc w:val="left"/>
        <w:rPr>
          <w:rFonts w:eastAsia="Calibri"/>
          <w:b/>
          <w:i/>
          <w:color w:val="000000"/>
          <w:lang w:val="bs-Latn-BA"/>
        </w:rPr>
      </w:pPr>
      <w:bookmarkStart w:id="93" w:name="_heading=h.28h4qwu" w:colFirst="0" w:colLast="0"/>
      <w:bookmarkEnd w:id="93"/>
    </w:p>
    <w:p w14:paraId="4860BDFD" w14:textId="3A7A7710" w:rsidR="00462BCD" w:rsidRPr="008924E0" w:rsidRDefault="00462BCD" w:rsidP="00462BCD">
      <w:pPr>
        <w:pStyle w:val="Caption"/>
        <w:keepNext/>
      </w:pPr>
      <w:bookmarkStart w:id="94" w:name="_Toc133499548"/>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3</w:t>
        </w:r>
      </w:fldSimple>
      <w:r w:rsidRPr="008924E0">
        <w:t xml:space="preserve"> </w:t>
      </w:r>
      <w:r w:rsidRPr="00F73614">
        <w:t xml:space="preserve">Mjere </w:t>
      </w:r>
      <w:r w:rsidR="008D063C" w:rsidRPr="00F73614">
        <w:t xml:space="preserve">obnove </w:t>
      </w:r>
      <w:r w:rsidRPr="00F73614">
        <w:t xml:space="preserve">koje ulaze u nivoe </w:t>
      </w:r>
      <w:r w:rsidR="008D063C" w:rsidRPr="00F73614">
        <w:t xml:space="preserve">obnove </w:t>
      </w:r>
      <w:r w:rsidRPr="00F73614">
        <w:t>za kategoriju AB</w:t>
      </w:r>
      <w:bookmarkEnd w:id="94"/>
    </w:p>
    <w:tbl>
      <w:tblPr>
        <w:tblW w:w="0" w:type="auto"/>
        <w:jc w:val="center"/>
        <w:tblBorders>
          <w:top w:val="nil"/>
          <w:left w:val="single" w:sz="8" w:space="0" w:color="DBDBDB"/>
          <w:bottom w:val="single" w:sz="8" w:space="0" w:color="DBDBDB"/>
          <w:right w:val="single" w:sz="8" w:space="0" w:color="DBDBDB"/>
          <w:insideH w:val="nil"/>
          <w:insideV w:val="single" w:sz="8" w:space="0" w:color="DBDBDB"/>
        </w:tblBorders>
        <w:tblLook w:val="04A0" w:firstRow="1" w:lastRow="0" w:firstColumn="1" w:lastColumn="0" w:noHBand="0" w:noVBand="1"/>
      </w:tblPr>
      <w:tblGrid>
        <w:gridCol w:w="990"/>
        <w:gridCol w:w="4880"/>
        <w:gridCol w:w="1322"/>
        <w:gridCol w:w="1073"/>
        <w:gridCol w:w="1085"/>
      </w:tblGrid>
      <w:tr w:rsidR="00607C8A" w:rsidRPr="008924E0" w14:paraId="4B751076" w14:textId="77777777" w:rsidTr="002350E2">
        <w:trPr>
          <w:trHeight w:val="390"/>
          <w:jc w:val="center"/>
        </w:trPr>
        <w:tc>
          <w:tcPr>
            <w:tcW w:w="99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68CD61D3" w14:textId="77777777" w:rsidR="00607C8A" w:rsidRPr="008924E0" w:rsidRDefault="00607C8A" w:rsidP="00462BCD">
            <w:pPr>
              <w:jc w:val="center"/>
              <w:rPr>
                <w:rFonts w:eastAsia="Calibri"/>
                <w:b/>
                <w:bCs/>
                <w:color w:val="FFFFFF"/>
                <w:lang w:val="bs-Latn-BA"/>
              </w:rPr>
            </w:pPr>
            <w:r w:rsidRPr="008924E0">
              <w:rPr>
                <w:rFonts w:eastAsia="Calibri"/>
                <w:b/>
                <w:bCs/>
                <w:color w:val="FFFFFF"/>
                <w:sz w:val="20"/>
                <w:szCs w:val="20"/>
                <w:lang w:val="bs-Latn-BA"/>
              </w:rPr>
              <w:t>Broj.</w:t>
            </w:r>
          </w:p>
        </w:tc>
        <w:tc>
          <w:tcPr>
            <w:tcW w:w="488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2A2EB9D7" w14:textId="77777777" w:rsidR="00607C8A" w:rsidRPr="008924E0" w:rsidRDefault="00607C8A" w:rsidP="00462BCD">
            <w:pPr>
              <w:jc w:val="center"/>
              <w:rPr>
                <w:rFonts w:eastAsia="Calibri"/>
                <w:b/>
                <w:bCs/>
                <w:color w:val="FFFFFF"/>
                <w:lang w:val="bs-Latn-BA"/>
              </w:rPr>
            </w:pPr>
            <w:r w:rsidRPr="008924E0">
              <w:rPr>
                <w:rFonts w:eastAsia="Calibri"/>
                <w:b/>
                <w:bCs/>
                <w:color w:val="FFFFFF"/>
                <w:sz w:val="20"/>
                <w:szCs w:val="20"/>
                <w:lang w:val="bs-Latn-BA"/>
              </w:rPr>
              <w:t>Opis mjere</w:t>
            </w:r>
          </w:p>
        </w:tc>
        <w:tc>
          <w:tcPr>
            <w:tcW w:w="0" w:type="auto"/>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5D9C2CF1" w14:textId="5B808D02" w:rsidR="00607C8A" w:rsidRPr="008924E0" w:rsidRDefault="00607C8A" w:rsidP="00462BCD">
            <w:pPr>
              <w:jc w:val="center"/>
              <w:rPr>
                <w:rFonts w:eastAsia="Calibri"/>
                <w:b/>
                <w:bCs/>
                <w:color w:val="FFFFFF"/>
                <w:lang w:val="bs-Latn-BA"/>
              </w:rPr>
            </w:pPr>
            <w:r w:rsidRPr="008924E0">
              <w:rPr>
                <w:rFonts w:eastAsia="Calibri"/>
                <w:b/>
                <w:bCs/>
                <w:color w:val="FFFFFF"/>
                <w:sz w:val="20"/>
                <w:szCs w:val="20"/>
                <w:lang w:val="bs-Latn-BA"/>
              </w:rPr>
              <w:t xml:space="preserve">Nivo </w:t>
            </w:r>
            <w:r w:rsidR="005F377F">
              <w:rPr>
                <w:rFonts w:eastAsia="Calibri"/>
                <w:b/>
                <w:bCs/>
                <w:color w:val="FFFFFF"/>
                <w:sz w:val="20"/>
                <w:szCs w:val="20"/>
                <w:lang w:val="bs-Latn-BA"/>
              </w:rPr>
              <w:t>obnove</w:t>
            </w:r>
          </w:p>
        </w:tc>
      </w:tr>
      <w:tr w:rsidR="00462BCD" w:rsidRPr="008924E0" w14:paraId="3E6A28D0" w14:textId="77777777" w:rsidTr="002350E2">
        <w:trPr>
          <w:trHeight w:val="105"/>
          <w:jc w:val="center"/>
        </w:trPr>
        <w:tc>
          <w:tcPr>
            <w:tcW w:w="99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650562D2" w14:textId="77777777" w:rsidR="00607C8A" w:rsidRPr="008924E0" w:rsidRDefault="00607C8A" w:rsidP="00462BCD">
            <w:pPr>
              <w:widowControl w:val="0"/>
              <w:pBdr>
                <w:top w:val="nil"/>
                <w:left w:val="nil"/>
                <w:bottom w:val="nil"/>
                <w:right w:val="nil"/>
                <w:between w:val="nil"/>
              </w:pBdr>
              <w:spacing w:line="276" w:lineRule="auto"/>
              <w:jc w:val="center"/>
              <w:rPr>
                <w:rFonts w:eastAsia="Calibri"/>
                <w:b/>
                <w:bCs/>
                <w:color w:val="FFFFFF"/>
                <w:lang w:val="bs-Latn-BA"/>
              </w:rPr>
            </w:pPr>
          </w:p>
        </w:tc>
        <w:tc>
          <w:tcPr>
            <w:tcW w:w="488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1AACF7F8" w14:textId="77777777" w:rsidR="00607C8A" w:rsidRPr="008924E0" w:rsidRDefault="00607C8A" w:rsidP="00462BCD">
            <w:pPr>
              <w:widowControl w:val="0"/>
              <w:pBdr>
                <w:top w:val="nil"/>
                <w:left w:val="nil"/>
                <w:bottom w:val="nil"/>
                <w:right w:val="nil"/>
                <w:between w:val="nil"/>
              </w:pBdr>
              <w:spacing w:line="276" w:lineRule="auto"/>
              <w:jc w:val="center"/>
              <w:rPr>
                <w:rFonts w:eastAsia="Calibri"/>
                <w:b/>
                <w:bCs/>
                <w:color w:val="FFFFFF"/>
                <w:lang w:val="bs-Latn-BA"/>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78B1AB39" w14:textId="1A88C023" w:rsidR="00607C8A" w:rsidRPr="008924E0" w:rsidRDefault="00607C8A" w:rsidP="00462BCD">
            <w:pPr>
              <w:ind w:left="113" w:right="113"/>
              <w:jc w:val="center"/>
              <w:rPr>
                <w:rFonts w:eastAsia="Calibri"/>
                <w:b/>
                <w:bCs/>
                <w:color w:val="FFFFFF"/>
                <w:lang w:val="bs-Latn-BA"/>
              </w:rPr>
            </w:pPr>
            <w:r w:rsidRPr="008924E0">
              <w:rPr>
                <w:rFonts w:eastAsia="Calibri"/>
                <w:b/>
                <w:bCs/>
                <w:color w:val="FFFFFF"/>
                <w:sz w:val="20"/>
                <w:szCs w:val="20"/>
                <w:lang w:val="bs-Latn-BA"/>
              </w:rPr>
              <w:t>Plitka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5302AA82" w14:textId="77777777" w:rsidR="00607C8A" w:rsidRPr="008924E0" w:rsidRDefault="00607C8A" w:rsidP="00462BCD">
            <w:pPr>
              <w:ind w:left="113" w:right="113"/>
              <w:jc w:val="center"/>
              <w:rPr>
                <w:rFonts w:eastAsia="Calibri"/>
                <w:b/>
                <w:bCs/>
                <w:color w:val="FFFFFF"/>
                <w:lang w:val="bs-Latn-BA"/>
              </w:rPr>
            </w:pPr>
            <w:r w:rsidRPr="008924E0">
              <w:rPr>
                <w:rFonts w:eastAsia="Calibri"/>
                <w:b/>
                <w:bCs/>
                <w:color w:val="FFFFFF"/>
                <w:sz w:val="20"/>
                <w:szCs w:val="20"/>
                <w:lang w:val="bs-Latn-BA"/>
              </w:rPr>
              <w:t>Srednja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2854205C" w14:textId="77777777" w:rsidR="00607C8A" w:rsidRPr="008924E0" w:rsidRDefault="00607C8A" w:rsidP="00462BCD">
            <w:pPr>
              <w:ind w:left="113" w:right="113"/>
              <w:jc w:val="center"/>
              <w:rPr>
                <w:rFonts w:eastAsia="Calibri"/>
                <w:b/>
                <w:bCs/>
                <w:color w:val="FFFFFF"/>
                <w:lang w:val="bs-Latn-BA"/>
              </w:rPr>
            </w:pPr>
            <w:r w:rsidRPr="008924E0">
              <w:rPr>
                <w:rFonts w:eastAsia="Calibri"/>
                <w:b/>
                <w:bCs/>
                <w:color w:val="FFFFFF"/>
                <w:sz w:val="20"/>
                <w:szCs w:val="20"/>
                <w:lang w:val="bs-Latn-BA"/>
              </w:rPr>
              <w:t>Duboka</w:t>
            </w:r>
          </w:p>
        </w:tc>
      </w:tr>
      <w:tr w:rsidR="00607C8A" w:rsidRPr="008924E0" w14:paraId="390C1344" w14:textId="77777777" w:rsidTr="002350E2">
        <w:trPr>
          <w:trHeight w:val="288"/>
          <w:jc w:val="center"/>
        </w:trPr>
        <w:tc>
          <w:tcPr>
            <w:tcW w:w="990" w:type="dxa"/>
            <w:tcBorders>
              <w:top w:val="single" w:sz="4" w:space="0" w:color="FFFFFF" w:themeColor="background1"/>
              <w:bottom w:val="single" w:sz="4" w:space="0" w:color="DBDBDB"/>
            </w:tcBorders>
            <w:shd w:val="clear" w:color="auto" w:fill="E9E9E9"/>
          </w:tcPr>
          <w:p w14:paraId="09AC80AB"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1: </w:t>
            </w:r>
          </w:p>
        </w:tc>
        <w:tc>
          <w:tcPr>
            <w:tcW w:w="4880" w:type="dxa"/>
            <w:tcBorders>
              <w:top w:val="single" w:sz="4" w:space="0" w:color="FFFFFF" w:themeColor="background1"/>
              <w:bottom w:val="single" w:sz="4" w:space="0" w:color="DBDBDB"/>
            </w:tcBorders>
            <w:shd w:val="clear" w:color="auto" w:fill="E9E9E9"/>
          </w:tcPr>
          <w:p w14:paraId="39D0D013"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 xml:space="preserve">Zamjena stolarije  </w:t>
            </w:r>
            <w:r w:rsidRPr="008924E0">
              <w:rPr>
                <w:rFonts w:eastAsia="Calibri"/>
                <w:i/>
                <w:color w:val="000000"/>
                <w:sz w:val="20"/>
                <w:szCs w:val="20"/>
                <w:lang w:val="bs-Latn-BA"/>
              </w:rPr>
              <w:t>U</w:t>
            </w:r>
            <w:r w:rsidRPr="008924E0">
              <w:rPr>
                <w:rFonts w:eastAsia="Calibri"/>
                <w:color w:val="000000"/>
                <w:sz w:val="20"/>
                <w:szCs w:val="20"/>
                <w:vertAlign w:val="subscript"/>
                <w:lang w:val="bs-Latn-BA"/>
              </w:rPr>
              <w:t>w</w:t>
            </w:r>
            <w:r w:rsidRPr="008924E0">
              <w:rPr>
                <w:rFonts w:eastAsia="Calibri"/>
                <w:color w:val="000000"/>
                <w:sz w:val="20"/>
                <w:szCs w:val="20"/>
                <w:lang w:val="bs-Latn-BA"/>
              </w:rPr>
              <w:t xml:space="preserve"> =1,1 W/m</w:t>
            </w:r>
            <w:r w:rsidRPr="008924E0">
              <w:rPr>
                <w:rFonts w:eastAsia="Calibri"/>
                <w:color w:val="000000"/>
                <w:sz w:val="20"/>
                <w:szCs w:val="20"/>
                <w:vertAlign w:val="superscript"/>
                <w:lang w:val="bs-Latn-BA"/>
              </w:rPr>
              <w:t>2</w:t>
            </w:r>
            <w:r w:rsidRPr="008924E0">
              <w:rPr>
                <w:rFonts w:eastAsia="Calibri"/>
                <w:color w:val="000000"/>
                <w:sz w:val="20"/>
                <w:szCs w:val="20"/>
                <w:lang w:val="bs-Latn-BA"/>
              </w:rPr>
              <w:t xml:space="preserve">K  </w:t>
            </w:r>
          </w:p>
        </w:tc>
        <w:tc>
          <w:tcPr>
            <w:tcW w:w="0" w:type="auto"/>
            <w:vMerge w:val="restart"/>
            <w:tcBorders>
              <w:top w:val="single" w:sz="4" w:space="0" w:color="FFFFFF" w:themeColor="background1"/>
              <w:bottom w:val="single" w:sz="4" w:space="0" w:color="DBDBDB"/>
            </w:tcBorders>
            <w:shd w:val="clear" w:color="auto" w:fill="F2F2F2"/>
            <w:vAlign w:val="center"/>
          </w:tcPr>
          <w:p w14:paraId="1ACB4C56"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Nije razmatran</w:t>
            </w:r>
          </w:p>
        </w:tc>
        <w:tc>
          <w:tcPr>
            <w:tcW w:w="0" w:type="auto"/>
            <w:tcBorders>
              <w:top w:val="single" w:sz="4" w:space="0" w:color="FFFFFF" w:themeColor="background1"/>
              <w:bottom w:val="single" w:sz="4" w:space="0" w:color="DBDBDB"/>
            </w:tcBorders>
            <w:shd w:val="clear" w:color="auto" w:fill="F2F2F2"/>
            <w:vAlign w:val="center"/>
          </w:tcPr>
          <w:p w14:paraId="043C3425" w14:textId="77777777" w:rsidR="00607C8A" w:rsidRPr="008924E0" w:rsidRDefault="00607C8A" w:rsidP="0024516E">
            <w:pPr>
              <w:spacing w:after="0"/>
              <w:jc w:val="center"/>
              <w:rPr>
                <w:rFonts w:eastAsia="Calibri"/>
                <w:lang w:val="bs-Latn-BA"/>
              </w:rPr>
            </w:pPr>
            <w:r w:rsidRPr="008924E0">
              <w:rPr>
                <w:color w:val="000000"/>
                <w:sz w:val="20"/>
                <w:szCs w:val="20"/>
                <w:lang w:val="bs-Latn-BA"/>
              </w:rPr>
              <w:t>+</w:t>
            </w:r>
          </w:p>
        </w:tc>
        <w:tc>
          <w:tcPr>
            <w:tcW w:w="0" w:type="auto"/>
            <w:tcBorders>
              <w:top w:val="single" w:sz="4" w:space="0" w:color="FFFFFF" w:themeColor="background1"/>
              <w:bottom w:val="single" w:sz="4" w:space="0" w:color="DBDBDB"/>
            </w:tcBorders>
            <w:shd w:val="clear" w:color="auto" w:fill="F2F2F2"/>
            <w:vAlign w:val="center"/>
          </w:tcPr>
          <w:p w14:paraId="14A92C10" w14:textId="77777777" w:rsidR="00607C8A" w:rsidRPr="008924E0" w:rsidRDefault="00607C8A" w:rsidP="0024516E">
            <w:pPr>
              <w:spacing w:after="0"/>
              <w:jc w:val="center"/>
              <w:rPr>
                <w:rFonts w:eastAsia="Calibri"/>
                <w:lang w:val="bs-Latn-BA"/>
              </w:rPr>
            </w:pPr>
            <w:r w:rsidRPr="008924E0">
              <w:rPr>
                <w:color w:val="000000"/>
                <w:sz w:val="20"/>
                <w:szCs w:val="20"/>
                <w:lang w:val="bs-Latn-BA"/>
              </w:rPr>
              <w:t>+</w:t>
            </w:r>
          </w:p>
        </w:tc>
      </w:tr>
      <w:tr w:rsidR="009C362D" w:rsidRPr="008924E0" w14:paraId="1B8EF84E" w14:textId="77777777" w:rsidTr="00F931DE">
        <w:trPr>
          <w:trHeight w:val="288"/>
          <w:jc w:val="center"/>
        </w:trPr>
        <w:tc>
          <w:tcPr>
            <w:tcW w:w="990" w:type="dxa"/>
            <w:tcBorders>
              <w:top w:val="single" w:sz="4" w:space="0" w:color="DBDBDB"/>
              <w:bottom w:val="single" w:sz="4" w:space="0" w:color="DBDBDB"/>
            </w:tcBorders>
            <w:shd w:val="clear" w:color="auto" w:fill="E9E9E9"/>
          </w:tcPr>
          <w:p w14:paraId="1F4BED0C"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2: </w:t>
            </w:r>
          </w:p>
        </w:tc>
        <w:tc>
          <w:tcPr>
            <w:tcW w:w="4880" w:type="dxa"/>
            <w:tcBorders>
              <w:top w:val="single" w:sz="4" w:space="0" w:color="DBDBDB"/>
              <w:bottom w:val="single" w:sz="4" w:space="0" w:color="DBDBDB"/>
            </w:tcBorders>
            <w:shd w:val="clear" w:color="auto" w:fill="E9E9E9"/>
          </w:tcPr>
          <w:p w14:paraId="3ED1BAEE" w14:textId="77777777" w:rsidR="00607C8A" w:rsidRPr="008924E0" w:rsidRDefault="00607C8A" w:rsidP="0024516E">
            <w:pPr>
              <w:spacing w:after="0"/>
              <w:jc w:val="left"/>
              <w:rPr>
                <w:rFonts w:eastAsia="Calibri"/>
                <w:lang w:val="bs-Latn-BA"/>
              </w:rPr>
            </w:pPr>
            <w:r w:rsidRPr="008924E0">
              <w:rPr>
                <w:rFonts w:eastAsia="Calibri"/>
                <w:sz w:val="20"/>
                <w:szCs w:val="20"/>
                <w:lang w:val="bs-Latn-BA"/>
              </w:rPr>
              <w:t>Izolacija vanjskih zidova (ETICS sistem EPS 15 cm)</w:t>
            </w:r>
          </w:p>
        </w:tc>
        <w:tc>
          <w:tcPr>
            <w:tcW w:w="0" w:type="auto"/>
            <w:vMerge/>
            <w:tcBorders>
              <w:bottom w:val="single" w:sz="4" w:space="0" w:color="DBDBDB"/>
            </w:tcBorders>
            <w:shd w:val="clear" w:color="auto" w:fill="F2F2F2"/>
          </w:tcPr>
          <w:p w14:paraId="0EFD0093"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top w:val="single" w:sz="4" w:space="0" w:color="DBDBDB"/>
              <w:bottom w:val="single" w:sz="4" w:space="0" w:color="DBDBDB"/>
            </w:tcBorders>
            <w:shd w:val="clear" w:color="auto" w:fill="F2F2F2"/>
          </w:tcPr>
          <w:p w14:paraId="1B0BBF27" w14:textId="77777777" w:rsidR="00607C8A" w:rsidRPr="008924E0" w:rsidRDefault="00607C8A" w:rsidP="0024516E">
            <w:pPr>
              <w:spacing w:after="0"/>
              <w:jc w:val="center"/>
              <w:rPr>
                <w:rFonts w:eastAsia="Calibri"/>
                <w:lang w:val="bs-Latn-BA"/>
              </w:rPr>
            </w:pPr>
            <w:r w:rsidRPr="008924E0">
              <w:rPr>
                <w:color w:val="000000"/>
                <w:lang w:val="bs-Latn-BA"/>
              </w:rPr>
              <w:t>+</w:t>
            </w:r>
          </w:p>
        </w:tc>
        <w:tc>
          <w:tcPr>
            <w:tcW w:w="0" w:type="auto"/>
            <w:tcBorders>
              <w:top w:val="single" w:sz="4" w:space="0" w:color="DBDBDB"/>
              <w:bottom w:val="single" w:sz="4" w:space="0" w:color="DBDBDB"/>
            </w:tcBorders>
            <w:shd w:val="clear" w:color="auto" w:fill="F2F2F2"/>
            <w:vAlign w:val="center"/>
          </w:tcPr>
          <w:p w14:paraId="2CB0F40A" w14:textId="77777777" w:rsidR="00607C8A" w:rsidRPr="008924E0" w:rsidRDefault="00607C8A" w:rsidP="0024516E">
            <w:pPr>
              <w:spacing w:after="0"/>
              <w:jc w:val="center"/>
              <w:rPr>
                <w:rFonts w:eastAsia="Calibri"/>
                <w:lang w:val="bs-Latn-BA"/>
              </w:rPr>
            </w:pPr>
            <w:r w:rsidRPr="008924E0">
              <w:rPr>
                <w:color w:val="000000"/>
                <w:sz w:val="20"/>
                <w:szCs w:val="20"/>
                <w:lang w:val="bs-Latn-BA"/>
              </w:rPr>
              <w:t>+</w:t>
            </w:r>
          </w:p>
        </w:tc>
      </w:tr>
      <w:tr w:rsidR="009C362D" w:rsidRPr="008924E0" w14:paraId="7A014E67" w14:textId="77777777" w:rsidTr="00F931DE">
        <w:trPr>
          <w:trHeight w:val="288"/>
          <w:jc w:val="center"/>
        </w:trPr>
        <w:tc>
          <w:tcPr>
            <w:tcW w:w="990" w:type="dxa"/>
            <w:tcBorders>
              <w:top w:val="single" w:sz="4" w:space="0" w:color="DBDBDB"/>
              <w:bottom w:val="single" w:sz="4" w:space="0" w:color="DBDBDB"/>
            </w:tcBorders>
            <w:shd w:val="clear" w:color="auto" w:fill="E9E9E9"/>
          </w:tcPr>
          <w:p w14:paraId="56D8858D"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3: </w:t>
            </w:r>
          </w:p>
        </w:tc>
        <w:tc>
          <w:tcPr>
            <w:tcW w:w="4880" w:type="dxa"/>
            <w:tcBorders>
              <w:top w:val="single" w:sz="4" w:space="0" w:color="DBDBDB"/>
              <w:bottom w:val="single" w:sz="4" w:space="0" w:color="DBDBDB"/>
            </w:tcBorders>
            <w:shd w:val="clear" w:color="auto" w:fill="E9E9E9"/>
          </w:tcPr>
          <w:p w14:paraId="4B885B6C" w14:textId="77777777" w:rsidR="00607C8A" w:rsidRPr="008924E0" w:rsidRDefault="00607C8A" w:rsidP="0024516E">
            <w:pPr>
              <w:spacing w:after="0"/>
              <w:jc w:val="left"/>
              <w:rPr>
                <w:rFonts w:eastAsia="Calibri"/>
                <w:lang w:val="bs-Latn-BA"/>
              </w:rPr>
            </w:pPr>
            <w:r w:rsidRPr="008924E0">
              <w:rPr>
                <w:rFonts w:eastAsia="Calibri"/>
                <w:sz w:val="20"/>
                <w:szCs w:val="20"/>
                <w:lang w:val="bs-Latn-BA"/>
              </w:rPr>
              <w:t>Izolacija stropa prema negrijanim prostorima (EPS, 15 cm)</w:t>
            </w:r>
          </w:p>
        </w:tc>
        <w:tc>
          <w:tcPr>
            <w:tcW w:w="0" w:type="auto"/>
            <w:vMerge/>
            <w:tcBorders>
              <w:bottom w:val="single" w:sz="4" w:space="0" w:color="DBDBDB"/>
            </w:tcBorders>
            <w:shd w:val="clear" w:color="auto" w:fill="F2F2F2"/>
          </w:tcPr>
          <w:p w14:paraId="492818F9"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top w:val="single" w:sz="4" w:space="0" w:color="DBDBDB"/>
              <w:bottom w:val="single" w:sz="4" w:space="0" w:color="DBDBDB"/>
            </w:tcBorders>
            <w:shd w:val="clear" w:color="auto" w:fill="F2F2F2"/>
            <w:vAlign w:val="center"/>
          </w:tcPr>
          <w:p w14:paraId="2252E106" w14:textId="77777777" w:rsidR="00607C8A" w:rsidRPr="008924E0" w:rsidRDefault="00607C8A" w:rsidP="0024516E">
            <w:pPr>
              <w:spacing w:after="0"/>
              <w:jc w:val="center"/>
              <w:rPr>
                <w:rFonts w:eastAsia="Calibri"/>
                <w:lang w:val="bs-Latn-BA"/>
              </w:rPr>
            </w:pPr>
            <w:r w:rsidRPr="008924E0">
              <w:rPr>
                <w:color w:val="000000"/>
                <w:sz w:val="20"/>
                <w:szCs w:val="20"/>
                <w:lang w:val="bs-Latn-BA"/>
              </w:rPr>
              <w:t> </w:t>
            </w:r>
          </w:p>
        </w:tc>
        <w:tc>
          <w:tcPr>
            <w:tcW w:w="0" w:type="auto"/>
            <w:tcBorders>
              <w:top w:val="single" w:sz="4" w:space="0" w:color="DBDBDB"/>
              <w:bottom w:val="single" w:sz="4" w:space="0" w:color="DBDBDB"/>
            </w:tcBorders>
            <w:shd w:val="clear" w:color="auto" w:fill="F2F2F2"/>
            <w:vAlign w:val="center"/>
          </w:tcPr>
          <w:p w14:paraId="608F717A" w14:textId="77777777" w:rsidR="00607C8A" w:rsidRPr="008924E0" w:rsidRDefault="00607C8A" w:rsidP="0024516E">
            <w:pPr>
              <w:spacing w:after="0"/>
              <w:jc w:val="center"/>
              <w:rPr>
                <w:rFonts w:eastAsia="Calibri"/>
                <w:lang w:val="bs-Latn-BA"/>
              </w:rPr>
            </w:pPr>
            <w:r w:rsidRPr="008924E0">
              <w:rPr>
                <w:color w:val="000000"/>
                <w:sz w:val="20"/>
                <w:szCs w:val="20"/>
                <w:lang w:val="bs-Latn-BA"/>
              </w:rPr>
              <w:t>+</w:t>
            </w:r>
          </w:p>
        </w:tc>
      </w:tr>
      <w:tr w:rsidR="009C362D" w:rsidRPr="008924E0" w14:paraId="3BFCCB07" w14:textId="77777777" w:rsidTr="00F931DE">
        <w:trPr>
          <w:trHeight w:val="288"/>
          <w:jc w:val="center"/>
        </w:trPr>
        <w:tc>
          <w:tcPr>
            <w:tcW w:w="990" w:type="dxa"/>
            <w:tcBorders>
              <w:top w:val="single" w:sz="4" w:space="0" w:color="DBDBDB"/>
              <w:bottom w:val="single" w:sz="4" w:space="0" w:color="DBDBDB"/>
            </w:tcBorders>
            <w:shd w:val="clear" w:color="auto" w:fill="E9E9E9"/>
          </w:tcPr>
          <w:p w14:paraId="1F29B3A4"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 xml:space="preserve">Mjera 4: </w:t>
            </w:r>
          </w:p>
        </w:tc>
        <w:tc>
          <w:tcPr>
            <w:tcW w:w="4880" w:type="dxa"/>
            <w:tcBorders>
              <w:top w:val="single" w:sz="4" w:space="0" w:color="DBDBDB"/>
              <w:bottom w:val="single" w:sz="4" w:space="0" w:color="DBDBDB"/>
            </w:tcBorders>
            <w:shd w:val="clear" w:color="auto" w:fill="E9E9E9"/>
          </w:tcPr>
          <w:p w14:paraId="1DDD558D"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Izolacija stropa prema negrijanom podrumu (</w:t>
            </w:r>
            <w:r w:rsidRPr="008924E0">
              <w:rPr>
                <w:rFonts w:eastAsia="Calibri"/>
                <w:sz w:val="20"/>
                <w:szCs w:val="20"/>
                <w:lang w:val="bs-Latn-BA"/>
              </w:rPr>
              <w:t>EPS</w:t>
            </w:r>
            <w:r w:rsidRPr="008924E0">
              <w:rPr>
                <w:rFonts w:eastAsia="Calibri"/>
                <w:color w:val="000000"/>
                <w:sz w:val="20"/>
                <w:szCs w:val="20"/>
                <w:lang w:val="bs-Latn-BA"/>
              </w:rPr>
              <w:t>, 10 cm)</w:t>
            </w:r>
          </w:p>
        </w:tc>
        <w:tc>
          <w:tcPr>
            <w:tcW w:w="0" w:type="auto"/>
            <w:vMerge/>
            <w:tcBorders>
              <w:bottom w:val="single" w:sz="4" w:space="0" w:color="DBDBDB"/>
            </w:tcBorders>
            <w:shd w:val="clear" w:color="auto" w:fill="F2F2F2"/>
          </w:tcPr>
          <w:p w14:paraId="4F27B3D3"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top w:val="single" w:sz="4" w:space="0" w:color="DBDBDB"/>
              <w:bottom w:val="single" w:sz="4" w:space="0" w:color="DBDBDB"/>
            </w:tcBorders>
            <w:shd w:val="clear" w:color="auto" w:fill="F2F2F2"/>
            <w:vAlign w:val="center"/>
          </w:tcPr>
          <w:p w14:paraId="412A88EF" w14:textId="77777777" w:rsidR="00607C8A" w:rsidRPr="008924E0" w:rsidRDefault="00607C8A" w:rsidP="0024516E">
            <w:pPr>
              <w:spacing w:after="0"/>
              <w:jc w:val="center"/>
              <w:rPr>
                <w:rFonts w:eastAsia="Calibri"/>
                <w:lang w:val="bs-Latn-BA"/>
              </w:rPr>
            </w:pPr>
            <w:r w:rsidRPr="008924E0">
              <w:rPr>
                <w:color w:val="000000"/>
                <w:sz w:val="20"/>
                <w:szCs w:val="20"/>
                <w:lang w:val="bs-Latn-BA"/>
              </w:rPr>
              <w:t> </w:t>
            </w:r>
          </w:p>
        </w:tc>
        <w:tc>
          <w:tcPr>
            <w:tcW w:w="0" w:type="auto"/>
            <w:tcBorders>
              <w:top w:val="single" w:sz="4" w:space="0" w:color="DBDBDB"/>
              <w:bottom w:val="single" w:sz="4" w:space="0" w:color="DBDBDB"/>
            </w:tcBorders>
            <w:shd w:val="clear" w:color="auto" w:fill="F2F2F2"/>
            <w:vAlign w:val="center"/>
          </w:tcPr>
          <w:p w14:paraId="17D40627" w14:textId="77777777" w:rsidR="00607C8A" w:rsidRPr="008924E0" w:rsidRDefault="00607C8A" w:rsidP="0024516E">
            <w:pPr>
              <w:spacing w:after="0"/>
              <w:jc w:val="center"/>
              <w:rPr>
                <w:rFonts w:eastAsia="Calibri"/>
                <w:lang w:val="bs-Latn-BA"/>
              </w:rPr>
            </w:pPr>
            <w:r w:rsidRPr="008924E0">
              <w:rPr>
                <w:color w:val="000000"/>
                <w:sz w:val="20"/>
                <w:szCs w:val="20"/>
                <w:lang w:val="bs-Latn-BA"/>
              </w:rPr>
              <w:t>+</w:t>
            </w:r>
          </w:p>
        </w:tc>
      </w:tr>
      <w:tr w:rsidR="009C362D" w:rsidRPr="008924E0" w14:paraId="5B2AAD65" w14:textId="77777777" w:rsidTr="00F931DE">
        <w:trPr>
          <w:trHeight w:val="288"/>
          <w:jc w:val="center"/>
        </w:trPr>
        <w:tc>
          <w:tcPr>
            <w:tcW w:w="990" w:type="dxa"/>
            <w:tcBorders>
              <w:top w:val="single" w:sz="4" w:space="0" w:color="DBDBDB"/>
              <w:bottom w:val="single" w:sz="4" w:space="0" w:color="DBDBDB"/>
            </w:tcBorders>
            <w:shd w:val="clear" w:color="auto" w:fill="E9E9E9"/>
          </w:tcPr>
          <w:p w14:paraId="6C05A29B"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Mjera 5:</w:t>
            </w:r>
          </w:p>
        </w:tc>
        <w:tc>
          <w:tcPr>
            <w:tcW w:w="4880" w:type="dxa"/>
            <w:tcBorders>
              <w:top w:val="single" w:sz="4" w:space="0" w:color="DBDBDB"/>
              <w:bottom w:val="single" w:sz="4" w:space="0" w:color="DBDBDB"/>
            </w:tcBorders>
            <w:shd w:val="clear" w:color="auto" w:fill="E9E9E9"/>
          </w:tcPr>
          <w:p w14:paraId="2F3C170F"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Zamjena toplotne podstanice, η=0,90</w:t>
            </w:r>
          </w:p>
        </w:tc>
        <w:tc>
          <w:tcPr>
            <w:tcW w:w="0" w:type="auto"/>
            <w:vMerge/>
            <w:tcBorders>
              <w:bottom w:val="single" w:sz="4" w:space="0" w:color="DBDBDB"/>
            </w:tcBorders>
            <w:shd w:val="clear" w:color="auto" w:fill="F2F2F2"/>
          </w:tcPr>
          <w:p w14:paraId="2F4D72F1"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top w:val="single" w:sz="4" w:space="0" w:color="DBDBDB"/>
              <w:bottom w:val="single" w:sz="4" w:space="0" w:color="DBDBDB"/>
            </w:tcBorders>
            <w:shd w:val="clear" w:color="auto" w:fill="F2F2F2"/>
            <w:vAlign w:val="center"/>
          </w:tcPr>
          <w:p w14:paraId="493F4EE2" w14:textId="77777777" w:rsidR="00607C8A" w:rsidRPr="008924E0" w:rsidRDefault="00607C8A" w:rsidP="0024516E">
            <w:pPr>
              <w:spacing w:after="0"/>
              <w:jc w:val="center"/>
              <w:rPr>
                <w:rFonts w:eastAsia="Calibri"/>
                <w:lang w:val="bs-Latn-BA"/>
              </w:rPr>
            </w:pPr>
            <w:r w:rsidRPr="008924E0">
              <w:rPr>
                <w:color w:val="000000"/>
                <w:sz w:val="20"/>
                <w:szCs w:val="20"/>
                <w:lang w:val="bs-Latn-BA"/>
              </w:rPr>
              <w:t>+</w:t>
            </w:r>
          </w:p>
        </w:tc>
        <w:tc>
          <w:tcPr>
            <w:tcW w:w="0" w:type="auto"/>
            <w:tcBorders>
              <w:top w:val="single" w:sz="4" w:space="0" w:color="DBDBDB"/>
              <w:bottom w:val="single" w:sz="4" w:space="0" w:color="DBDBDB"/>
            </w:tcBorders>
            <w:shd w:val="clear" w:color="auto" w:fill="F2F2F2"/>
          </w:tcPr>
          <w:p w14:paraId="1CC20AF2" w14:textId="77777777" w:rsidR="00607C8A" w:rsidRPr="008924E0" w:rsidRDefault="00607C8A" w:rsidP="0024516E">
            <w:pPr>
              <w:spacing w:after="0"/>
              <w:jc w:val="center"/>
              <w:rPr>
                <w:rFonts w:eastAsia="Calibri"/>
                <w:lang w:val="bs-Latn-BA"/>
              </w:rPr>
            </w:pPr>
            <w:r w:rsidRPr="008924E0">
              <w:rPr>
                <w:color w:val="000000"/>
                <w:lang w:val="bs-Latn-BA"/>
              </w:rPr>
              <w:t> </w:t>
            </w:r>
          </w:p>
        </w:tc>
      </w:tr>
      <w:tr w:rsidR="009C362D" w:rsidRPr="008924E0" w14:paraId="6F3B6BFD" w14:textId="77777777" w:rsidTr="00F931DE">
        <w:trPr>
          <w:trHeight w:val="288"/>
          <w:jc w:val="center"/>
        </w:trPr>
        <w:tc>
          <w:tcPr>
            <w:tcW w:w="990" w:type="dxa"/>
            <w:tcBorders>
              <w:top w:val="single" w:sz="4" w:space="0" w:color="DBDBDB"/>
              <w:bottom w:val="single" w:sz="8" w:space="0" w:color="DBDBDB"/>
            </w:tcBorders>
            <w:shd w:val="clear" w:color="auto" w:fill="E9E9E9"/>
          </w:tcPr>
          <w:p w14:paraId="0F4AE079" w14:textId="77777777" w:rsidR="00607C8A" w:rsidRPr="008924E0" w:rsidRDefault="00607C8A" w:rsidP="0024516E">
            <w:pPr>
              <w:spacing w:after="0"/>
              <w:rPr>
                <w:rFonts w:eastAsia="Calibri"/>
                <w:lang w:val="bs-Latn-BA"/>
              </w:rPr>
            </w:pPr>
            <w:r w:rsidRPr="008924E0">
              <w:rPr>
                <w:rFonts w:eastAsia="Calibri"/>
                <w:color w:val="000000"/>
                <w:sz w:val="20"/>
                <w:szCs w:val="20"/>
                <w:lang w:val="bs-Latn-BA"/>
              </w:rPr>
              <w:t>Mjera 6:</w:t>
            </w:r>
          </w:p>
        </w:tc>
        <w:tc>
          <w:tcPr>
            <w:tcW w:w="4880" w:type="dxa"/>
            <w:tcBorders>
              <w:top w:val="single" w:sz="4" w:space="0" w:color="DBDBDB"/>
              <w:bottom w:val="single" w:sz="8" w:space="0" w:color="DBDBDB"/>
            </w:tcBorders>
            <w:shd w:val="clear" w:color="auto" w:fill="E9E9E9"/>
          </w:tcPr>
          <w:p w14:paraId="46924132"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Zamjena toplovodne podstanice, hidr. balans., termostatski ventili, η=0,95</w:t>
            </w:r>
          </w:p>
        </w:tc>
        <w:tc>
          <w:tcPr>
            <w:tcW w:w="0" w:type="auto"/>
            <w:vMerge/>
            <w:tcBorders>
              <w:bottom w:val="single" w:sz="4" w:space="0" w:color="DBDBDB"/>
            </w:tcBorders>
            <w:shd w:val="clear" w:color="auto" w:fill="F2F2F2"/>
          </w:tcPr>
          <w:p w14:paraId="73DC00B0"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tcBorders>
              <w:top w:val="single" w:sz="4" w:space="0" w:color="DBDBDB"/>
              <w:bottom w:val="single" w:sz="8" w:space="0" w:color="DBDBDB"/>
            </w:tcBorders>
            <w:shd w:val="clear" w:color="auto" w:fill="F2F2F2"/>
          </w:tcPr>
          <w:p w14:paraId="5A1364DC" w14:textId="77777777" w:rsidR="00607C8A" w:rsidRPr="008924E0" w:rsidRDefault="00607C8A" w:rsidP="0024516E">
            <w:pPr>
              <w:spacing w:after="0"/>
              <w:jc w:val="center"/>
              <w:rPr>
                <w:rFonts w:eastAsia="Calibri"/>
                <w:lang w:val="bs-Latn-BA"/>
              </w:rPr>
            </w:pPr>
            <w:r w:rsidRPr="008924E0">
              <w:rPr>
                <w:color w:val="000000"/>
                <w:lang w:val="bs-Latn-BA"/>
              </w:rPr>
              <w:t> </w:t>
            </w:r>
          </w:p>
        </w:tc>
        <w:tc>
          <w:tcPr>
            <w:tcW w:w="0" w:type="auto"/>
            <w:tcBorders>
              <w:top w:val="single" w:sz="4" w:space="0" w:color="DBDBDB"/>
              <w:bottom w:val="single" w:sz="8" w:space="0" w:color="DBDBDB"/>
            </w:tcBorders>
            <w:shd w:val="clear" w:color="auto" w:fill="F2F2F2"/>
            <w:vAlign w:val="center"/>
          </w:tcPr>
          <w:p w14:paraId="35112EC1" w14:textId="77777777" w:rsidR="00607C8A" w:rsidRPr="008924E0" w:rsidRDefault="00607C8A" w:rsidP="0024516E">
            <w:pPr>
              <w:spacing w:after="0"/>
              <w:jc w:val="center"/>
              <w:rPr>
                <w:rFonts w:eastAsia="Calibri"/>
                <w:lang w:val="bs-Latn-BA"/>
              </w:rPr>
            </w:pPr>
            <w:r w:rsidRPr="008924E0">
              <w:rPr>
                <w:color w:val="000000"/>
                <w:sz w:val="20"/>
                <w:szCs w:val="20"/>
                <w:lang w:val="bs-Latn-BA"/>
              </w:rPr>
              <w:t>+</w:t>
            </w:r>
          </w:p>
        </w:tc>
      </w:tr>
    </w:tbl>
    <w:p w14:paraId="5F819DA2" w14:textId="0593121B" w:rsidR="00CC776D" w:rsidRPr="008924E0" w:rsidRDefault="00CC776D" w:rsidP="00F73614">
      <w:pPr>
        <w:pStyle w:val="Caption"/>
        <w:keepNext/>
      </w:pPr>
      <w:bookmarkStart w:id="95" w:name="_heading=h.2lwamvv" w:colFirst="0" w:colLast="0"/>
      <w:bookmarkStart w:id="96" w:name="_Ref130735879"/>
      <w:bookmarkStart w:id="97" w:name="_Toc133499549"/>
      <w:bookmarkEnd w:id="95"/>
      <w:r w:rsidRPr="008924E0">
        <w:lastRenderedPageBreak/>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4</w:t>
      </w:r>
      <w:r w:rsidR="00000000">
        <w:rPr>
          <w:noProof/>
        </w:rPr>
        <w:fldChar w:fldCharType="end"/>
      </w:r>
      <w:bookmarkEnd w:id="96"/>
      <w:r w:rsidRPr="008924E0">
        <w:t xml:space="preserve"> </w:t>
      </w:r>
      <w:r w:rsidRPr="00F73614">
        <w:t xml:space="preserve">Mjere </w:t>
      </w:r>
      <w:r w:rsidR="008D063C" w:rsidRPr="00F73614">
        <w:t xml:space="preserve">obnove </w:t>
      </w:r>
      <w:r w:rsidRPr="00F73614">
        <w:t xml:space="preserve">koje ulaze u nivoe </w:t>
      </w:r>
      <w:r w:rsidR="008D063C" w:rsidRPr="00F73614">
        <w:t xml:space="preserve">obnove </w:t>
      </w:r>
      <w:r w:rsidRPr="00F73614">
        <w:t>za kategoriju H</w:t>
      </w:r>
      <w:bookmarkEnd w:id="97"/>
    </w:p>
    <w:tbl>
      <w:tblPr>
        <w:tblW w:w="0" w:type="auto"/>
        <w:jc w:val="center"/>
        <w:tblBorders>
          <w:top w:val="nil"/>
          <w:left w:val="single" w:sz="4" w:space="0" w:color="DBDBDB"/>
          <w:bottom w:val="single" w:sz="4" w:space="0" w:color="DBDBDB"/>
          <w:right w:val="single" w:sz="4" w:space="0" w:color="DBDBDB"/>
          <w:insideH w:val="single" w:sz="4" w:space="0" w:color="DBDBDB"/>
          <w:insideV w:val="single" w:sz="4" w:space="0" w:color="E7E6E6"/>
        </w:tblBorders>
        <w:tblLook w:val="04A0" w:firstRow="1" w:lastRow="0" w:firstColumn="1" w:lastColumn="0" w:noHBand="0" w:noVBand="1"/>
      </w:tblPr>
      <w:tblGrid>
        <w:gridCol w:w="1080"/>
        <w:gridCol w:w="4579"/>
        <w:gridCol w:w="1543"/>
        <w:gridCol w:w="1073"/>
        <w:gridCol w:w="1085"/>
      </w:tblGrid>
      <w:tr w:rsidR="00607C8A" w:rsidRPr="008924E0" w14:paraId="5179598B" w14:textId="77777777" w:rsidTr="00F931DE">
        <w:trPr>
          <w:trHeight w:val="285"/>
          <w:jc w:val="center"/>
        </w:trPr>
        <w:tc>
          <w:tcPr>
            <w:tcW w:w="1080" w:type="dxa"/>
            <w:vMerge w:val="restart"/>
            <w:tcBorders>
              <w:top w:val="nil"/>
              <w:left w:val="nil"/>
              <w:bottom w:val="nil"/>
              <w:right w:val="nil"/>
            </w:tcBorders>
            <w:shd w:val="clear" w:color="auto" w:fill="005837"/>
            <w:vAlign w:val="center"/>
          </w:tcPr>
          <w:p w14:paraId="56CD6C0C" w14:textId="77777777" w:rsidR="00607C8A" w:rsidRPr="008924E0" w:rsidRDefault="00607C8A" w:rsidP="00553C94">
            <w:pPr>
              <w:jc w:val="center"/>
              <w:rPr>
                <w:rFonts w:eastAsia="Calibri"/>
                <w:b/>
                <w:bCs/>
                <w:color w:val="FFFFFF"/>
                <w:lang w:val="bs-Latn-BA"/>
              </w:rPr>
            </w:pPr>
            <w:r w:rsidRPr="008924E0">
              <w:rPr>
                <w:rFonts w:eastAsia="Calibri"/>
                <w:b/>
                <w:bCs/>
                <w:color w:val="FFFFFF"/>
                <w:sz w:val="20"/>
                <w:szCs w:val="20"/>
                <w:lang w:val="bs-Latn-BA"/>
              </w:rPr>
              <w:t>Broj.</w:t>
            </w:r>
          </w:p>
        </w:tc>
        <w:tc>
          <w:tcPr>
            <w:tcW w:w="4579" w:type="dxa"/>
            <w:vMerge w:val="restart"/>
            <w:tcBorders>
              <w:top w:val="nil"/>
              <w:left w:val="nil"/>
              <w:bottom w:val="nil"/>
              <w:right w:val="nil"/>
            </w:tcBorders>
            <w:shd w:val="clear" w:color="auto" w:fill="005837"/>
            <w:vAlign w:val="center"/>
          </w:tcPr>
          <w:p w14:paraId="21B6E533" w14:textId="77777777" w:rsidR="00607C8A" w:rsidRPr="008924E0" w:rsidRDefault="00607C8A" w:rsidP="00553C94">
            <w:pPr>
              <w:jc w:val="center"/>
              <w:rPr>
                <w:rFonts w:eastAsia="Calibri"/>
                <w:b/>
                <w:bCs/>
                <w:color w:val="FFFFFF"/>
                <w:lang w:val="bs-Latn-BA"/>
              </w:rPr>
            </w:pPr>
            <w:r w:rsidRPr="008924E0">
              <w:rPr>
                <w:rFonts w:eastAsia="Calibri"/>
                <w:b/>
                <w:bCs/>
                <w:color w:val="FFFFFF"/>
                <w:sz w:val="20"/>
                <w:szCs w:val="20"/>
                <w:lang w:val="bs-Latn-BA"/>
              </w:rPr>
              <w:t>Opis mjere</w:t>
            </w:r>
          </w:p>
        </w:tc>
        <w:tc>
          <w:tcPr>
            <w:tcW w:w="0" w:type="auto"/>
            <w:gridSpan w:val="3"/>
            <w:tcBorders>
              <w:top w:val="nil"/>
              <w:left w:val="nil"/>
              <w:bottom w:val="nil"/>
              <w:right w:val="nil"/>
            </w:tcBorders>
            <w:shd w:val="clear" w:color="auto" w:fill="005837"/>
            <w:vAlign w:val="center"/>
          </w:tcPr>
          <w:p w14:paraId="00838B08" w14:textId="76229BBF" w:rsidR="00607C8A" w:rsidRPr="008924E0" w:rsidRDefault="00607C8A" w:rsidP="00553C94">
            <w:pPr>
              <w:jc w:val="center"/>
              <w:rPr>
                <w:rFonts w:eastAsia="Calibri"/>
                <w:b/>
                <w:bCs/>
                <w:color w:val="FFFFFF"/>
                <w:lang w:val="bs-Latn-BA"/>
              </w:rPr>
            </w:pPr>
            <w:r w:rsidRPr="008924E0">
              <w:rPr>
                <w:rFonts w:eastAsia="Calibri"/>
                <w:b/>
                <w:bCs/>
                <w:color w:val="FFFFFF"/>
                <w:sz w:val="20"/>
                <w:szCs w:val="20"/>
                <w:lang w:val="bs-Latn-BA"/>
              </w:rPr>
              <w:t xml:space="preserve">Nivo </w:t>
            </w:r>
            <w:r w:rsidR="005F377F">
              <w:rPr>
                <w:rFonts w:eastAsia="Calibri"/>
                <w:b/>
                <w:bCs/>
                <w:color w:val="FFFFFF"/>
                <w:sz w:val="20"/>
                <w:szCs w:val="20"/>
                <w:lang w:val="bs-Latn-BA"/>
              </w:rPr>
              <w:t>obnove</w:t>
            </w:r>
          </w:p>
        </w:tc>
      </w:tr>
      <w:tr w:rsidR="00553C94" w:rsidRPr="008924E0" w14:paraId="749017C1" w14:textId="77777777" w:rsidTr="002350E2">
        <w:trPr>
          <w:trHeight w:val="95"/>
          <w:jc w:val="center"/>
        </w:trPr>
        <w:tc>
          <w:tcPr>
            <w:tcW w:w="1080" w:type="dxa"/>
            <w:vMerge/>
            <w:tcBorders>
              <w:top w:val="nil"/>
              <w:left w:val="nil"/>
              <w:bottom w:val="nil"/>
              <w:right w:val="nil"/>
            </w:tcBorders>
            <w:shd w:val="clear" w:color="auto" w:fill="005837"/>
            <w:vAlign w:val="center"/>
          </w:tcPr>
          <w:p w14:paraId="376D06B5" w14:textId="77777777" w:rsidR="00607C8A" w:rsidRPr="008924E0" w:rsidRDefault="00607C8A" w:rsidP="00553C94">
            <w:pPr>
              <w:widowControl w:val="0"/>
              <w:pBdr>
                <w:top w:val="nil"/>
                <w:left w:val="nil"/>
                <w:bottom w:val="nil"/>
                <w:right w:val="nil"/>
                <w:between w:val="nil"/>
              </w:pBdr>
              <w:spacing w:line="276" w:lineRule="auto"/>
              <w:jc w:val="center"/>
              <w:rPr>
                <w:rFonts w:eastAsia="Calibri"/>
                <w:b/>
                <w:bCs/>
                <w:color w:val="FFFFFF"/>
                <w:lang w:val="bs-Latn-BA"/>
              </w:rPr>
            </w:pPr>
          </w:p>
        </w:tc>
        <w:tc>
          <w:tcPr>
            <w:tcW w:w="4579" w:type="dxa"/>
            <w:vMerge/>
            <w:tcBorders>
              <w:top w:val="nil"/>
              <w:left w:val="nil"/>
              <w:bottom w:val="nil"/>
              <w:right w:val="nil"/>
            </w:tcBorders>
            <w:shd w:val="clear" w:color="auto" w:fill="005837"/>
            <w:vAlign w:val="center"/>
          </w:tcPr>
          <w:p w14:paraId="6CA7318E" w14:textId="77777777" w:rsidR="00607C8A" w:rsidRPr="008924E0" w:rsidRDefault="00607C8A" w:rsidP="00553C94">
            <w:pPr>
              <w:widowControl w:val="0"/>
              <w:pBdr>
                <w:top w:val="nil"/>
                <w:left w:val="nil"/>
                <w:bottom w:val="nil"/>
                <w:right w:val="nil"/>
                <w:between w:val="nil"/>
              </w:pBdr>
              <w:spacing w:line="276" w:lineRule="auto"/>
              <w:jc w:val="center"/>
              <w:rPr>
                <w:rFonts w:eastAsia="Calibri"/>
                <w:b/>
                <w:bCs/>
                <w:color w:val="FFFFFF"/>
                <w:lang w:val="bs-Latn-BA"/>
              </w:rPr>
            </w:pPr>
          </w:p>
        </w:tc>
        <w:tc>
          <w:tcPr>
            <w:tcW w:w="0" w:type="auto"/>
            <w:shd w:val="clear" w:color="auto" w:fill="005837"/>
            <w:vAlign w:val="center"/>
          </w:tcPr>
          <w:p w14:paraId="652512B0" w14:textId="32DF225E" w:rsidR="00607C8A" w:rsidRPr="008924E0" w:rsidRDefault="00607C8A" w:rsidP="00553C94">
            <w:pPr>
              <w:ind w:left="113" w:right="113"/>
              <w:jc w:val="center"/>
              <w:rPr>
                <w:rFonts w:eastAsia="Calibri"/>
                <w:b/>
                <w:bCs/>
                <w:color w:val="FFFFFF"/>
                <w:lang w:val="bs-Latn-BA"/>
              </w:rPr>
            </w:pPr>
            <w:r w:rsidRPr="008924E0">
              <w:rPr>
                <w:rFonts w:eastAsia="Calibri"/>
                <w:b/>
                <w:bCs/>
                <w:color w:val="FFFFFF"/>
                <w:sz w:val="20"/>
                <w:szCs w:val="20"/>
                <w:lang w:val="bs-Latn-BA"/>
              </w:rPr>
              <w:t>Plitka</w:t>
            </w:r>
          </w:p>
        </w:tc>
        <w:tc>
          <w:tcPr>
            <w:tcW w:w="0" w:type="auto"/>
            <w:shd w:val="clear" w:color="auto" w:fill="005837"/>
            <w:vAlign w:val="center"/>
          </w:tcPr>
          <w:p w14:paraId="5A4ADEC0" w14:textId="77777777" w:rsidR="00607C8A" w:rsidRPr="008924E0" w:rsidRDefault="00607C8A" w:rsidP="00553C94">
            <w:pPr>
              <w:ind w:left="113" w:right="113"/>
              <w:jc w:val="center"/>
              <w:rPr>
                <w:rFonts w:eastAsia="Calibri"/>
                <w:b/>
                <w:bCs/>
                <w:color w:val="FFFFFF"/>
                <w:lang w:val="bs-Latn-BA"/>
              </w:rPr>
            </w:pPr>
            <w:r w:rsidRPr="008924E0">
              <w:rPr>
                <w:rFonts w:eastAsia="Calibri"/>
                <w:b/>
                <w:bCs/>
                <w:color w:val="FFFFFF"/>
                <w:sz w:val="20"/>
                <w:szCs w:val="20"/>
                <w:lang w:val="bs-Latn-BA"/>
              </w:rPr>
              <w:t>Srednja</w:t>
            </w:r>
          </w:p>
        </w:tc>
        <w:tc>
          <w:tcPr>
            <w:tcW w:w="0" w:type="auto"/>
            <w:shd w:val="clear" w:color="auto" w:fill="005837"/>
            <w:vAlign w:val="center"/>
          </w:tcPr>
          <w:p w14:paraId="05504C69" w14:textId="77777777" w:rsidR="00607C8A" w:rsidRPr="008924E0" w:rsidRDefault="00607C8A" w:rsidP="00553C94">
            <w:pPr>
              <w:ind w:left="113" w:right="113"/>
              <w:jc w:val="center"/>
              <w:rPr>
                <w:rFonts w:eastAsia="Calibri"/>
                <w:b/>
                <w:bCs/>
                <w:color w:val="FFFFFF"/>
                <w:lang w:val="bs-Latn-BA"/>
              </w:rPr>
            </w:pPr>
            <w:r w:rsidRPr="008924E0">
              <w:rPr>
                <w:rFonts w:eastAsia="Calibri"/>
                <w:b/>
                <w:bCs/>
                <w:color w:val="FFFFFF"/>
                <w:sz w:val="20"/>
                <w:szCs w:val="20"/>
                <w:lang w:val="bs-Latn-BA"/>
              </w:rPr>
              <w:t>Duboka</w:t>
            </w:r>
          </w:p>
        </w:tc>
      </w:tr>
      <w:tr w:rsidR="00607C8A" w:rsidRPr="008924E0" w14:paraId="3811F3CC" w14:textId="77777777" w:rsidTr="00F931DE">
        <w:trPr>
          <w:trHeight w:val="288"/>
          <w:jc w:val="center"/>
        </w:trPr>
        <w:tc>
          <w:tcPr>
            <w:tcW w:w="1080" w:type="dxa"/>
            <w:shd w:val="clear" w:color="auto" w:fill="E9E9E9"/>
          </w:tcPr>
          <w:p w14:paraId="56EC4F7B"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 xml:space="preserve">Mjera 1: </w:t>
            </w:r>
          </w:p>
        </w:tc>
        <w:tc>
          <w:tcPr>
            <w:tcW w:w="4579" w:type="dxa"/>
            <w:shd w:val="clear" w:color="auto" w:fill="E9E9E9"/>
          </w:tcPr>
          <w:p w14:paraId="42B21200"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 xml:space="preserve">Zamjena stolarije  </w:t>
            </w:r>
            <w:r w:rsidRPr="008924E0">
              <w:rPr>
                <w:rFonts w:eastAsia="Calibri"/>
                <w:i/>
                <w:color w:val="000000"/>
                <w:sz w:val="20"/>
                <w:szCs w:val="20"/>
                <w:lang w:val="bs-Latn-BA"/>
              </w:rPr>
              <w:t>U</w:t>
            </w:r>
            <w:r w:rsidRPr="008924E0">
              <w:rPr>
                <w:rFonts w:eastAsia="Calibri"/>
                <w:color w:val="000000"/>
                <w:sz w:val="20"/>
                <w:szCs w:val="20"/>
                <w:vertAlign w:val="subscript"/>
                <w:lang w:val="bs-Latn-BA"/>
              </w:rPr>
              <w:t>w</w:t>
            </w:r>
            <w:r w:rsidRPr="008924E0">
              <w:rPr>
                <w:rFonts w:eastAsia="Calibri"/>
                <w:color w:val="000000"/>
                <w:sz w:val="20"/>
                <w:szCs w:val="20"/>
                <w:lang w:val="bs-Latn-BA"/>
              </w:rPr>
              <w:t xml:space="preserve"> =1,1 W/m</w:t>
            </w:r>
            <w:r w:rsidRPr="008924E0">
              <w:rPr>
                <w:rFonts w:eastAsia="Calibri"/>
                <w:color w:val="000000"/>
                <w:sz w:val="20"/>
                <w:szCs w:val="20"/>
                <w:vertAlign w:val="superscript"/>
                <w:lang w:val="bs-Latn-BA"/>
              </w:rPr>
              <w:t>2</w:t>
            </w:r>
            <w:r w:rsidRPr="008924E0">
              <w:rPr>
                <w:rFonts w:eastAsia="Calibri"/>
                <w:color w:val="000000"/>
                <w:sz w:val="20"/>
                <w:szCs w:val="20"/>
                <w:lang w:val="bs-Latn-BA"/>
              </w:rPr>
              <w:t xml:space="preserve">K  </w:t>
            </w:r>
          </w:p>
        </w:tc>
        <w:tc>
          <w:tcPr>
            <w:tcW w:w="0" w:type="auto"/>
            <w:vMerge w:val="restart"/>
            <w:shd w:val="clear" w:color="auto" w:fill="F2F2F2"/>
            <w:vAlign w:val="center"/>
          </w:tcPr>
          <w:p w14:paraId="44696E8E" w14:textId="77777777" w:rsidR="00607C8A" w:rsidRPr="008924E0" w:rsidRDefault="00607C8A" w:rsidP="0024516E">
            <w:pPr>
              <w:spacing w:after="0"/>
              <w:ind w:left="113" w:right="113"/>
              <w:jc w:val="center"/>
              <w:rPr>
                <w:rFonts w:eastAsia="Calibri"/>
                <w:lang w:val="bs-Latn-BA"/>
              </w:rPr>
            </w:pPr>
            <w:r w:rsidRPr="008924E0">
              <w:rPr>
                <w:rFonts w:eastAsia="Calibri"/>
                <w:color w:val="000000"/>
                <w:sz w:val="20"/>
                <w:szCs w:val="20"/>
                <w:lang w:val="bs-Latn-BA"/>
              </w:rPr>
              <w:t>Nije razmatran</w:t>
            </w:r>
          </w:p>
        </w:tc>
        <w:tc>
          <w:tcPr>
            <w:tcW w:w="0" w:type="auto"/>
            <w:shd w:val="clear" w:color="auto" w:fill="F2F2F2"/>
          </w:tcPr>
          <w:p w14:paraId="1BC30E49"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c>
          <w:tcPr>
            <w:tcW w:w="0" w:type="auto"/>
            <w:shd w:val="clear" w:color="auto" w:fill="F2F2F2"/>
          </w:tcPr>
          <w:p w14:paraId="2507D20D"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3B22D483" w14:textId="77777777" w:rsidTr="00F931DE">
        <w:trPr>
          <w:trHeight w:val="288"/>
          <w:jc w:val="center"/>
        </w:trPr>
        <w:tc>
          <w:tcPr>
            <w:tcW w:w="1080" w:type="dxa"/>
            <w:shd w:val="clear" w:color="auto" w:fill="E9E9E9"/>
          </w:tcPr>
          <w:p w14:paraId="23C29FFE"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 xml:space="preserve">Mjera 2: </w:t>
            </w:r>
          </w:p>
        </w:tc>
        <w:tc>
          <w:tcPr>
            <w:tcW w:w="4579" w:type="dxa"/>
            <w:shd w:val="clear" w:color="auto" w:fill="E9E9E9"/>
          </w:tcPr>
          <w:p w14:paraId="7C80A6AA" w14:textId="77777777" w:rsidR="00607C8A" w:rsidRPr="008924E0" w:rsidRDefault="00607C8A" w:rsidP="0024516E">
            <w:pPr>
              <w:spacing w:after="0"/>
              <w:jc w:val="left"/>
              <w:rPr>
                <w:rFonts w:eastAsia="Calibri"/>
                <w:lang w:val="bs-Latn-BA"/>
              </w:rPr>
            </w:pPr>
            <w:r w:rsidRPr="008924E0">
              <w:rPr>
                <w:rFonts w:eastAsia="Calibri"/>
                <w:sz w:val="20"/>
                <w:szCs w:val="20"/>
                <w:lang w:val="bs-Latn-BA"/>
              </w:rPr>
              <w:t>Izolacija vanjskih zidova (ETICS sistem sa kamenom vunom 15 cm)</w:t>
            </w:r>
          </w:p>
        </w:tc>
        <w:tc>
          <w:tcPr>
            <w:tcW w:w="0" w:type="auto"/>
            <w:vMerge/>
            <w:shd w:val="clear" w:color="auto" w:fill="F2F2F2"/>
          </w:tcPr>
          <w:p w14:paraId="6E86CE54"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shd w:val="clear" w:color="auto" w:fill="F2F2F2"/>
          </w:tcPr>
          <w:p w14:paraId="44A64F0C"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c>
          <w:tcPr>
            <w:tcW w:w="0" w:type="auto"/>
            <w:shd w:val="clear" w:color="auto" w:fill="F2F2F2"/>
          </w:tcPr>
          <w:p w14:paraId="3B3353CE"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35C49920" w14:textId="77777777" w:rsidTr="00F931DE">
        <w:trPr>
          <w:trHeight w:val="288"/>
          <w:jc w:val="center"/>
        </w:trPr>
        <w:tc>
          <w:tcPr>
            <w:tcW w:w="1080" w:type="dxa"/>
            <w:shd w:val="clear" w:color="auto" w:fill="E9E9E9"/>
          </w:tcPr>
          <w:p w14:paraId="423F74CA"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 xml:space="preserve">Mjera 3: </w:t>
            </w:r>
          </w:p>
        </w:tc>
        <w:tc>
          <w:tcPr>
            <w:tcW w:w="4579" w:type="dxa"/>
            <w:shd w:val="clear" w:color="auto" w:fill="E9E9E9"/>
          </w:tcPr>
          <w:p w14:paraId="17704300" w14:textId="77777777" w:rsidR="00607C8A" w:rsidRPr="008924E0" w:rsidRDefault="00607C8A" w:rsidP="0024516E">
            <w:pPr>
              <w:spacing w:after="0"/>
              <w:jc w:val="left"/>
              <w:rPr>
                <w:rFonts w:eastAsia="Calibri"/>
                <w:lang w:val="bs-Latn-BA"/>
              </w:rPr>
            </w:pPr>
            <w:r w:rsidRPr="008924E0">
              <w:rPr>
                <w:rFonts w:eastAsia="Calibri"/>
                <w:sz w:val="20"/>
                <w:szCs w:val="20"/>
                <w:lang w:val="bs-Latn-BA"/>
              </w:rPr>
              <w:t>Izolacija krova (XPS, 20 cm)</w:t>
            </w:r>
          </w:p>
        </w:tc>
        <w:tc>
          <w:tcPr>
            <w:tcW w:w="0" w:type="auto"/>
            <w:vMerge/>
            <w:shd w:val="clear" w:color="auto" w:fill="F2F2F2"/>
          </w:tcPr>
          <w:p w14:paraId="48C713C4"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shd w:val="clear" w:color="auto" w:fill="F2F2F2"/>
          </w:tcPr>
          <w:p w14:paraId="184E2BF5" w14:textId="77777777" w:rsidR="00607C8A" w:rsidRPr="008924E0" w:rsidRDefault="00607C8A" w:rsidP="0024516E">
            <w:pPr>
              <w:spacing w:after="0"/>
              <w:jc w:val="center"/>
              <w:rPr>
                <w:rFonts w:eastAsia="Calibri"/>
                <w:lang w:val="bs-Latn-BA"/>
              </w:rPr>
            </w:pPr>
          </w:p>
        </w:tc>
        <w:tc>
          <w:tcPr>
            <w:tcW w:w="0" w:type="auto"/>
            <w:shd w:val="clear" w:color="auto" w:fill="F2F2F2"/>
          </w:tcPr>
          <w:p w14:paraId="09F9231C"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3CBBED33" w14:textId="77777777" w:rsidTr="00F931DE">
        <w:trPr>
          <w:trHeight w:val="288"/>
          <w:jc w:val="center"/>
        </w:trPr>
        <w:tc>
          <w:tcPr>
            <w:tcW w:w="1080" w:type="dxa"/>
            <w:shd w:val="clear" w:color="auto" w:fill="E9E9E9"/>
          </w:tcPr>
          <w:p w14:paraId="5233440E"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 xml:space="preserve">Mjera 4: </w:t>
            </w:r>
          </w:p>
        </w:tc>
        <w:tc>
          <w:tcPr>
            <w:tcW w:w="4579" w:type="dxa"/>
            <w:shd w:val="clear" w:color="auto" w:fill="E9E9E9"/>
          </w:tcPr>
          <w:p w14:paraId="13C6A85A"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Izolacija stropa prema negrijanom podrumu (</w:t>
            </w:r>
            <w:r w:rsidRPr="008924E0">
              <w:rPr>
                <w:rFonts w:eastAsia="Calibri"/>
                <w:sz w:val="20"/>
                <w:szCs w:val="20"/>
                <w:lang w:val="bs-Latn-BA"/>
              </w:rPr>
              <w:t>EPS</w:t>
            </w:r>
            <w:r w:rsidRPr="008924E0">
              <w:rPr>
                <w:rFonts w:eastAsia="Calibri"/>
                <w:color w:val="000000"/>
                <w:sz w:val="20"/>
                <w:szCs w:val="20"/>
                <w:lang w:val="bs-Latn-BA"/>
              </w:rPr>
              <w:t>, 10 cm)</w:t>
            </w:r>
          </w:p>
        </w:tc>
        <w:tc>
          <w:tcPr>
            <w:tcW w:w="0" w:type="auto"/>
            <w:vMerge/>
            <w:shd w:val="clear" w:color="auto" w:fill="F2F2F2"/>
          </w:tcPr>
          <w:p w14:paraId="47354150"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shd w:val="clear" w:color="auto" w:fill="F2F2F2"/>
          </w:tcPr>
          <w:p w14:paraId="611771E0" w14:textId="77777777" w:rsidR="00607C8A" w:rsidRPr="008924E0" w:rsidRDefault="00607C8A" w:rsidP="0024516E">
            <w:pPr>
              <w:spacing w:after="0"/>
              <w:jc w:val="center"/>
              <w:rPr>
                <w:rFonts w:eastAsia="Calibri"/>
                <w:lang w:val="bs-Latn-BA"/>
              </w:rPr>
            </w:pPr>
          </w:p>
        </w:tc>
        <w:tc>
          <w:tcPr>
            <w:tcW w:w="0" w:type="auto"/>
            <w:shd w:val="clear" w:color="auto" w:fill="F2F2F2"/>
          </w:tcPr>
          <w:p w14:paraId="5B789A15"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r w:rsidR="00607C8A" w:rsidRPr="008924E0" w14:paraId="7A185428" w14:textId="77777777" w:rsidTr="00F931DE">
        <w:trPr>
          <w:trHeight w:val="288"/>
          <w:jc w:val="center"/>
        </w:trPr>
        <w:tc>
          <w:tcPr>
            <w:tcW w:w="1080" w:type="dxa"/>
            <w:shd w:val="clear" w:color="auto" w:fill="E9E9E9"/>
          </w:tcPr>
          <w:p w14:paraId="108781A4"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Mjera 5:</w:t>
            </w:r>
          </w:p>
        </w:tc>
        <w:tc>
          <w:tcPr>
            <w:tcW w:w="4579" w:type="dxa"/>
            <w:shd w:val="clear" w:color="auto" w:fill="E9E9E9"/>
          </w:tcPr>
          <w:p w14:paraId="39852853"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Zamjena toplotne podstanice, η=0,90</w:t>
            </w:r>
          </w:p>
        </w:tc>
        <w:tc>
          <w:tcPr>
            <w:tcW w:w="0" w:type="auto"/>
            <w:vMerge/>
            <w:shd w:val="clear" w:color="auto" w:fill="F2F2F2"/>
          </w:tcPr>
          <w:p w14:paraId="4468D763"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shd w:val="clear" w:color="auto" w:fill="F2F2F2"/>
          </w:tcPr>
          <w:p w14:paraId="051BC5A3"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c>
          <w:tcPr>
            <w:tcW w:w="0" w:type="auto"/>
            <w:shd w:val="clear" w:color="auto" w:fill="F2F2F2"/>
          </w:tcPr>
          <w:p w14:paraId="1579BB6F" w14:textId="77777777" w:rsidR="00607C8A" w:rsidRPr="008924E0" w:rsidRDefault="00607C8A" w:rsidP="0024516E">
            <w:pPr>
              <w:spacing w:after="0"/>
              <w:jc w:val="center"/>
              <w:rPr>
                <w:rFonts w:eastAsia="Calibri"/>
                <w:lang w:val="bs-Latn-BA"/>
              </w:rPr>
            </w:pPr>
          </w:p>
        </w:tc>
      </w:tr>
      <w:tr w:rsidR="00607C8A" w:rsidRPr="008924E0" w14:paraId="00D8074D" w14:textId="77777777" w:rsidTr="00A06FF4">
        <w:trPr>
          <w:trHeight w:val="521"/>
          <w:jc w:val="center"/>
        </w:trPr>
        <w:tc>
          <w:tcPr>
            <w:tcW w:w="1080" w:type="dxa"/>
            <w:shd w:val="clear" w:color="auto" w:fill="E9E9E9"/>
          </w:tcPr>
          <w:p w14:paraId="126183A3"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Mjera 6:</w:t>
            </w:r>
          </w:p>
        </w:tc>
        <w:tc>
          <w:tcPr>
            <w:tcW w:w="4579" w:type="dxa"/>
            <w:shd w:val="clear" w:color="auto" w:fill="E9E9E9"/>
          </w:tcPr>
          <w:p w14:paraId="4203B67E" w14:textId="77777777" w:rsidR="00607C8A" w:rsidRPr="008924E0" w:rsidRDefault="00607C8A" w:rsidP="0024516E">
            <w:pPr>
              <w:spacing w:after="0"/>
              <w:jc w:val="left"/>
              <w:rPr>
                <w:rFonts w:eastAsia="Calibri"/>
                <w:lang w:val="bs-Latn-BA"/>
              </w:rPr>
            </w:pPr>
            <w:r w:rsidRPr="008924E0">
              <w:rPr>
                <w:rFonts w:eastAsia="Calibri"/>
                <w:color w:val="000000"/>
                <w:sz w:val="20"/>
                <w:szCs w:val="20"/>
                <w:lang w:val="bs-Latn-BA"/>
              </w:rPr>
              <w:t>Zamjena toplovodne podstanice, hidr. balans., termostatski ventili, η=0,95</w:t>
            </w:r>
          </w:p>
        </w:tc>
        <w:tc>
          <w:tcPr>
            <w:tcW w:w="0" w:type="auto"/>
            <w:vMerge/>
            <w:shd w:val="clear" w:color="auto" w:fill="F2F2F2"/>
          </w:tcPr>
          <w:p w14:paraId="237CD50B" w14:textId="77777777" w:rsidR="00607C8A" w:rsidRPr="008924E0" w:rsidRDefault="00607C8A" w:rsidP="0024516E">
            <w:pPr>
              <w:widowControl w:val="0"/>
              <w:pBdr>
                <w:top w:val="nil"/>
                <w:left w:val="nil"/>
                <w:bottom w:val="nil"/>
                <w:right w:val="nil"/>
                <w:between w:val="nil"/>
              </w:pBdr>
              <w:spacing w:after="0" w:line="276" w:lineRule="auto"/>
              <w:rPr>
                <w:rFonts w:eastAsia="Calibri"/>
                <w:lang w:val="bs-Latn-BA"/>
              </w:rPr>
            </w:pPr>
          </w:p>
        </w:tc>
        <w:tc>
          <w:tcPr>
            <w:tcW w:w="0" w:type="auto"/>
            <w:shd w:val="clear" w:color="auto" w:fill="F2F2F2"/>
          </w:tcPr>
          <w:p w14:paraId="0705D59A" w14:textId="77777777" w:rsidR="00607C8A" w:rsidRPr="008924E0" w:rsidRDefault="00607C8A" w:rsidP="0024516E">
            <w:pPr>
              <w:spacing w:after="0"/>
              <w:jc w:val="center"/>
              <w:rPr>
                <w:rFonts w:eastAsia="Calibri"/>
                <w:lang w:val="bs-Latn-BA"/>
              </w:rPr>
            </w:pPr>
          </w:p>
        </w:tc>
        <w:tc>
          <w:tcPr>
            <w:tcW w:w="0" w:type="auto"/>
            <w:shd w:val="clear" w:color="auto" w:fill="F2F2F2"/>
          </w:tcPr>
          <w:p w14:paraId="05E016D1" w14:textId="77777777" w:rsidR="00607C8A" w:rsidRPr="008924E0" w:rsidRDefault="00607C8A" w:rsidP="0024516E">
            <w:pPr>
              <w:spacing w:after="0"/>
              <w:jc w:val="center"/>
              <w:rPr>
                <w:rFonts w:eastAsia="Calibri"/>
                <w:lang w:val="bs-Latn-BA"/>
              </w:rPr>
            </w:pPr>
            <w:r w:rsidRPr="008924E0">
              <w:rPr>
                <w:rFonts w:eastAsia="Calibri"/>
                <w:color w:val="000000"/>
                <w:sz w:val="20"/>
                <w:szCs w:val="20"/>
                <w:lang w:val="bs-Latn-BA"/>
              </w:rPr>
              <w:t>+</w:t>
            </w:r>
          </w:p>
        </w:tc>
      </w:tr>
    </w:tbl>
    <w:p w14:paraId="7A9CD15D" w14:textId="77777777" w:rsidR="00607C8A" w:rsidRPr="008924E0" w:rsidRDefault="00607C8A" w:rsidP="00607C8A">
      <w:pPr>
        <w:rPr>
          <w:lang w:val="bs-Latn-BA"/>
        </w:rPr>
      </w:pPr>
    </w:p>
    <w:p w14:paraId="6D18C60F" w14:textId="15C06B72" w:rsidR="00607C8A" w:rsidRPr="008924E0" w:rsidRDefault="00607C8A" w:rsidP="00607C8A">
      <w:pPr>
        <w:shd w:val="clear" w:color="auto" w:fill="FFFFFF"/>
        <w:spacing w:after="120" w:line="276" w:lineRule="auto"/>
        <w:rPr>
          <w:color w:val="FF0000"/>
          <w:lang w:val="bs-Latn-BA"/>
        </w:rPr>
      </w:pPr>
      <w:r w:rsidRPr="008924E0">
        <w:rPr>
          <w:lang w:val="bs-Latn-BA"/>
        </w:rPr>
        <w:t xml:space="preserve">Primjena mjera </w:t>
      </w:r>
      <w:r w:rsidR="008D063C">
        <w:rPr>
          <w:lang w:val="bs-Latn-BA"/>
        </w:rPr>
        <w:t>obnove</w:t>
      </w:r>
      <w:r w:rsidR="008D063C" w:rsidRPr="008924E0">
        <w:rPr>
          <w:lang w:val="bs-Latn-BA"/>
        </w:rPr>
        <w:t xml:space="preserve"> </w:t>
      </w:r>
      <w:r w:rsidRPr="008924E0">
        <w:rPr>
          <w:lang w:val="bs-Latn-BA"/>
        </w:rPr>
        <w:t xml:space="preserve">prema predloženim dubinama </w:t>
      </w:r>
      <w:r w:rsidR="008D063C">
        <w:rPr>
          <w:lang w:val="bs-Latn-BA"/>
        </w:rPr>
        <w:t>obnove</w:t>
      </w:r>
      <w:r w:rsidR="008D063C" w:rsidRPr="008924E0">
        <w:rPr>
          <w:lang w:val="bs-Latn-BA"/>
        </w:rPr>
        <w:t xml:space="preserve"> </w:t>
      </w:r>
      <w:r w:rsidRPr="008924E0">
        <w:rPr>
          <w:lang w:val="bs-Latn-BA"/>
        </w:rPr>
        <w:t xml:space="preserve">će rezultirati smanjenjem finalne energije za grijanje, prema Tabeli </w:t>
      </w:r>
      <w:r w:rsidR="00CD47E1" w:rsidRPr="008924E0">
        <w:rPr>
          <w:lang w:val="bs-Latn-BA"/>
        </w:rPr>
        <w:t>6</w:t>
      </w:r>
      <w:r w:rsidRPr="008924E0">
        <w:rPr>
          <w:lang w:val="bs-Latn-BA"/>
        </w:rPr>
        <w:t xml:space="preserve">.5. Procenat zgrada koje se </w:t>
      </w:r>
      <w:r w:rsidR="008D063C">
        <w:rPr>
          <w:lang w:val="bs-Latn-BA"/>
        </w:rPr>
        <w:t>obnavljaju</w:t>
      </w:r>
      <w:r w:rsidR="008D063C" w:rsidRPr="008924E0">
        <w:rPr>
          <w:lang w:val="bs-Latn-BA"/>
        </w:rPr>
        <w:t xml:space="preserve"> </w:t>
      </w:r>
      <w:r w:rsidRPr="008924E0">
        <w:rPr>
          <w:lang w:val="bs-Latn-BA"/>
        </w:rPr>
        <w:t xml:space="preserve">prema dubokim i veoma dubokim nivoima </w:t>
      </w:r>
      <w:r w:rsidR="00010793">
        <w:rPr>
          <w:lang w:val="bs-Latn-BA"/>
        </w:rPr>
        <w:t>energij</w:t>
      </w:r>
      <w:r w:rsidRPr="008924E0">
        <w:rPr>
          <w:lang w:val="bs-Latn-BA"/>
        </w:rPr>
        <w:t xml:space="preserve">ske </w:t>
      </w:r>
      <w:r w:rsidR="008D063C">
        <w:rPr>
          <w:lang w:val="bs-Latn-BA"/>
        </w:rPr>
        <w:t>obnove</w:t>
      </w:r>
      <w:r w:rsidR="008D063C" w:rsidRPr="008924E0">
        <w:rPr>
          <w:lang w:val="bs-Latn-BA"/>
        </w:rPr>
        <w:t xml:space="preserve">  </w:t>
      </w:r>
      <w:r w:rsidRPr="008924E0">
        <w:rPr>
          <w:lang w:val="bs-Latn-BA"/>
        </w:rPr>
        <w:t xml:space="preserve">povećava se u periodu do 2050. godine, dok se uštede energije ponovo preračunavaju u periodima od po 3 godine, radi korektne procjene potencijala za uštede. Svaka naredna revizija strategije i povezanih dokumenata treba da sadrži elemente koji uzimaju u obzir period trajanja efekta i </w:t>
      </w:r>
      <w:r w:rsidR="008D063C" w:rsidRPr="008924E0">
        <w:rPr>
          <w:lang w:val="bs-Latn-BA"/>
        </w:rPr>
        <w:t>garant</w:t>
      </w:r>
      <w:r w:rsidR="008D063C">
        <w:rPr>
          <w:lang w:val="bs-Latn-BA"/>
        </w:rPr>
        <w:t>iranih</w:t>
      </w:r>
      <w:r w:rsidR="008D063C" w:rsidRPr="008924E0">
        <w:rPr>
          <w:lang w:val="bs-Latn-BA"/>
        </w:rPr>
        <w:t xml:space="preserve"> </w:t>
      </w:r>
      <w:r w:rsidRPr="008924E0">
        <w:rPr>
          <w:lang w:val="bs-Latn-BA"/>
        </w:rPr>
        <w:t xml:space="preserve">karakteristika materijala i opreme ugrađene u okviru programa energijske </w:t>
      </w:r>
      <w:r w:rsidR="008D063C">
        <w:rPr>
          <w:lang w:val="bs-Latn-BA"/>
        </w:rPr>
        <w:t>obnove</w:t>
      </w:r>
      <w:r w:rsidRPr="008924E0">
        <w:rPr>
          <w:lang w:val="bs-Latn-BA"/>
        </w:rPr>
        <w:t xml:space="preserve">. Za ovu analizu je usvojeno da se svakih 10 godina potencijal za uštedu energije povećava za 8 % za svaku kategoriju zgrada i svaki nivo </w:t>
      </w:r>
      <w:r w:rsidR="008D063C">
        <w:rPr>
          <w:lang w:val="bs-Latn-BA"/>
        </w:rPr>
        <w:t>obnove</w:t>
      </w:r>
      <w:r w:rsidRPr="008924E0">
        <w:rPr>
          <w:lang w:val="bs-Latn-BA"/>
        </w:rPr>
        <w:t>.</w:t>
      </w:r>
    </w:p>
    <w:p w14:paraId="460A84D3" w14:textId="0553F418" w:rsidR="00C015D7" w:rsidRPr="008924E0" w:rsidRDefault="00C015D7" w:rsidP="00C015D7">
      <w:pPr>
        <w:pStyle w:val="Caption"/>
        <w:keepNext/>
      </w:pPr>
      <w:bookmarkStart w:id="98" w:name="_Toc133499550"/>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5</w:t>
        </w:r>
      </w:fldSimple>
      <w:r w:rsidRPr="008924E0">
        <w:t xml:space="preserve"> </w:t>
      </w:r>
      <w:r w:rsidRPr="00F73614">
        <w:t xml:space="preserve">Nivo </w:t>
      </w:r>
      <w:r w:rsidR="00010793" w:rsidRPr="00F73614">
        <w:t>energij</w:t>
      </w:r>
      <w:r w:rsidRPr="00F73614">
        <w:t xml:space="preserve">ske </w:t>
      </w:r>
      <w:r w:rsidR="008D063C" w:rsidRPr="00F73614">
        <w:t xml:space="preserve">obnove </w:t>
      </w:r>
      <w:r w:rsidRPr="00F73614">
        <w:t>stambenih zgrada u FBiH</w:t>
      </w:r>
      <w:bookmarkEnd w:id="98"/>
    </w:p>
    <w:tbl>
      <w:tblPr>
        <w:tblStyle w:val="12"/>
        <w:tblW w:w="0" w:type="auto"/>
        <w:tblLook w:val="04A0" w:firstRow="1" w:lastRow="0" w:firstColumn="1" w:lastColumn="0" w:noHBand="0" w:noVBand="1"/>
      </w:tblPr>
      <w:tblGrid>
        <w:gridCol w:w="4067"/>
        <w:gridCol w:w="1203"/>
        <w:gridCol w:w="1482"/>
        <w:gridCol w:w="1502"/>
        <w:gridCol w:w="1096"/>
      </w:tblGrid>
      <w:tr w:rsidR="00607C8A" w:rsidRPr="008924E0" w14:paraId="4A9FFCA3" w14:textId="77777777" w:rsidTr="00235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0D131442" w14:textId="1B809AAC" w:rsidR="00607C8A" w:rsidRPr="008924E0" w:rsidRDefault="00607C8A" w:rsidP="002350E2">
            <w:pPr>
              <w:jc w:val="center"/>
              <w:rPr>
                <w:rFonts w:eastAsia="Calibri"/>
                <w:lang w:val="bs-Latn-BA"/>
              </w:rPr>
            </w:pPr>
            <w:r w:rsidRPr="008924E0">
              <w:rPr>
                <w:rFonts w:eastAsia="Calibri"/>
                <w:lang w:val="bs-Latn-BA"/>
              </w:rPr>
              <w:t>Tip zgrade</w:t>
            </w:r>
          </w:p>
        </w:tc>
        <w:tc>
          <w:tcPr>
            <w:tcW w:w="0" w:type="auto"/>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2FFCD78F" w14:textId="6535C45E" w:rsidR="00607C8A" w:rsidRPr="008924E0" w:rsidRDefault="00607C8A" w:rsidP="00811F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Nivo </w:t>
            </w:r>
            <w:r w:rsidR="00010793">
              <w:rPr>
                <w:rFonts w:ascii="Calibri" w:eastAsia="Calibri" w:hAnsi="Calibri" w:cs="Calibri"/>
                <w:lang w:val="bs-Latn-BA"/>
              </w:rPr>
              <w:t>energij</w:t>
            </w:r>
            <w:r w:rsidRPr="008924E0">
              <w:rPr>
                <w:rFonts w:ascii="Calibri" w:eastAsia="Calibri" w:hAnsi="Calibri" w:cs="Calibri"/>
                <w:lang w:val="bs-Latn-BA"/>
              </w:rPr>
              <w:t xml:space="preserve">ske </w:t>
            </w:r>
            <w:r w:rsidR="008D063C">
              <w:rPr>
                <w:rFonts w:ascii="Calibri" w:eastAsia="Calibri" w:hAnsi="Calibri" w:cs="Calibri"/>
                <w:lang w:val="bs-Latn-BA"/>
              </w:rPr>
              <w:t>obnove</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E6498A" w14:textId="77777777" w:rsidR="00607C8A" w:rsidRPr="008924E0" w:rsidRDefault="00607C8A" w:rsidP="00811FE9">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p>
        </w:tc>
      </w:tr>
      <w:tr w:rsidR="00A87861" w:rsidRPr="008924E0" w14:paraId="5CFC4B17" w14:textId="77777777" w:rsidTr="002350E2">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76ABDA52" w14:textId="77777777" w:rsidR="00607C8A" w:rsidRPr="008924E0" w:rsidRDefault="00607C8A" w:rsidP="00811FE9">
            <w:pPr>
              <w:widowControl w:val="0"/>
              <w:pBdr>
                <w:top w:val="nil"/>
                <w:left w:val="nil"/>
                <w:bottom w:val="nil"/>
                <w:right w:val="nil"/>
                <w:between w:val="nil"/>
              </w:pBdr>
              <w:spacing w:line="276" w:lineRule="auto"/>
              <w:jc w:val="center"/>
              <w:rPr>
                <w:rFonts w:eastAsia="Calibri"/>
                <w:lang w:val="bs-Latn-BA"/>
              </w:rPr>
            </w:pP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39E36537" w14:textId="0CDEB1A4" w:rsidR="00607C8A" w:rsidRPr="008924E0" w:rsidRDefault="00607C8A" w:rsidP="00811FE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lang w:val="bs-Latn-BA"/>
              </w:rPr>
            </w:pPr>
            <w:r w:rsidRPr="008924E0">
              <w:rPr>
                <w:rFonts w:ascii="Calibri" w:eastAsia="Calibri" w:hAnsi="Calibri" w:cs="Calibri"/>
                <w:b/>
                <w:color w:val="FFFFFF"/>
                <w:lang w:val="bs-Latn-BA"/>
              </w:rPr>
              <w:t>Plitka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63AEB855" w14:textId="77777777" w:rsidR="00607C8A" w:rsidRPr="008924E0" w:rsidRDefault="00607C8A" w:rsidP="00811FE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lang w:val="bs-Latn-BA"/>
              </w:rPr>
            </w:pPr>
            <w:r w:rsidRPr="008924E0">
              <w:rPr>
                <w:rFonts w:ascii="Calibri" w:eastAsia="Calibri" w:hAnsi="Calibri" w:cs="Calibri"/>
                <w:b/>
                <w:color w:val="FFFFFF"/>
                <w:lang w:val="bs-Latn-BA"/>
              </w:rPr>
              <w:t>Srednja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40E28E6A" w14:textId="77777777" w:rsidR="00607C8A" w:rsidRPr="008924E0" w:rsidRDefault="00607C8A" w:rsidP="00811FE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lang w:val="bs-Latn-BA"/>
              </w:rPr>
            </w:pPr>
            <w:r w:rsidRPr="008924E0">
              <w:rPr>
                <w:rFonts w:ascii="Calibri" w:eastAsia="Calibri" w:hAnsi="Calibri" w:cs="Calibri"/>
                <w:b/>
                <w:color w:val="FFFFFF"/>
                <w:lang w:val="bs-Latn-BA"/>
              </w:rPr>
              <w:t>Duboka</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4E7E43CF" w14:textId="77777777" w:rsidR="00607C8A" w:rsidRPr="008924E0" w:rsidRDefault="00607C8A" w:rsidP="00811FE9">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lang w:val="bs-Latn-BA"/>
              </w:rPr>
            </w:pPr>
            <w:r w:rsidRPr="008924E0">
              <w:rPr>
                <w:rFonts w:ascii="Calibri" w:eastAsia="Calibri" w:hAnsi="Calibri" w:cs="Calibri"/>
                <w:b/>
                <w:color w:val="FFFFFF"/>
                <w:lang w:val="bs-Latn-BA"/>
              </w:rPr>
              <w:t>Duboka TP</w:t>
            </w:r>
          </w:p>
        </w:tc>
      </w:tr>
      <w:tr w:rsidR="00607C8A" w:rsidRPr="008924E0" w14:paraId="00C6D98E" w14:textId="77777777" w:rsidTr="002350E2">
        <w:trPr>
          <w:cnfStyle w:val="000000010000" w:firstRow="0" w:lastRow="0" w:firstColumn="0" w:lastColumn="0" w:oddVBand="0" w:evenVBand="0" w:oddHBand="0" w:evenHBand="1"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5D9AAF7" w14:textId="77777777" w:rsidR="00607C8A" w:rsidRPr="008924E0" w:rsidRDefault="00607C8A" w:rsidP="00811FE9">
            <w:pPr>
              <w:widowControl w:val="0"/>
              <w:pBdr>
                <w:top w:val="nil"/>
                <w:left w:val="nil"/>
                <w:bottom w:val="nil"/>
                <w:right w:val="nil"/>
                <w:between w:val="nil"/>
              </w:pBdr>
              <w:spacing w:line="276" w:lineRule="auto"/>
              <w:jc w:val="center"/>
              <w:rPr>
                <w:rFonts w:eastAsia="Calibri"/>
                <w:b w:val="0"/>
                <w:color w:val="FFFFFF"/>
                <w:lang w:val="bs-Latn-BA"/>
              </w:rPr>
            </w:pPr>
          </w:p>
        </w:tc>
        <w:tc>
          <w:tcPr>
            <w:tcW w:w="0" w:type="auto"/>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1A809801" w14:textId="77777777" w:rsidR="00607C8A" w:rsidRPr="008924E0" w:rsidRDefault="00607C8A" w:rsidP="00811FE9">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color w:val="FFFFFF"/>
                <w:lang w:val="bs-Latn-BA"/>
              </w:rPr>
            </w:pPr>
            <w:r w:rsidRPr="008924E0">
              <w:rPr>
                <w:rFonts w:ascii="Calibri" w:eastAsia="Calibri" w:hAnsi="Calibri" w:cs="Calibri"/>
                <w:b/>
                <w:color w:val="FFFFFF"/>
                <w:lang w:val="bs-Latn-BA"/>
              </w:rPr>
              <w:t>Specifična, finalna energija za grijanje kWh/m</w:t>
            </w:r>
            <w:r w:rsidRPr="008924E0">
              <w:rPr>
                <w:rFonts w:ascii="Calibri" w:eastAsia="Calibri" w:hAnsi="Calibri" w:cs="Calibri"/>
                <w:b/>
                <w:color w:val="FFFFFF"/>
                <w:vertAlign w:val="superscript"/>
                <w:lang w:val="bs-Latn-BA"/>
              </w:rPr>
              <w:t>2</w:t>
            </w:r>
            <w:r w:rsidRPr="008924E0">
              <w:rPr>
                <w:rFonts w:ascii="Calibri" w:eastAsia="Calibri" w:hAnsi="Calibri" w:cs="Calibri"/>
                <w:b/>
                <w:color w:val="FFFFFF"/>
                <w:lang w:val="bs-Latn-BA"/>
              </w:rPr>
              <w:t>god</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5837"/>
            <w:vAlign w:val="center"/>
          </w:tcPr>
          <w:p w14:paraId="525422C6" w14:textId="77777777" w:rsidR="00607C8A" w:rsidRPr="008924E0" w:rsidRDefault="00607C8A" w:rsidP="00811FE9">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b/>
                <w:color w:val="FFFFFF"/>
                <w:lang w:val="bs-Latn-BA"/>
              </w:rPr>
            </w:pPr>
          </w:p>
        </w:tc>
      </w:tr>
      <w:tr w:rsidR="00A87861" w:rsidRPr="008924E0" w14:paraId="234994B0" w14:textId="77777777" w:rsidTr="00235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FFFFFF" w:themeColor="background1"/>
            </w:tcBorders>
          </w:tcPr>
          <w:p w14:paraId="6794C4F8" w14:textId="77777777" w:rsidR="00607C8A" w:rsidRPr="008924E0" w:rsidRDefault="00607C8A" w:rsidP="000B085B">
            <w:pPr>
              <w:rPr>
                <w:rFonts w:eastAsia="Calibri"/>
                <w:lang w:val="bs-Latn-BA"/>
              </w:rPr>
            </w:pPr>
            <w:r w:rsidRPr="008924E0">
              <w:rPr>
                <w:rFonts w:eastAsia="Calibri"/>
                <w:b w:val="0"/>
                <w:lang w:val="bs-Latn-BA"/>
              </w:rPr>
              <w:t>Slobodnostojeće kuće (SFH i TH)</w:t>
            </w:r>
          </w:p>
        </w:tc>
        <w:tc>
          <w:tcPr>
            <w:tcW w:w="0" w:type="auto"/>
            <w:tcBorders>
              <w:top w:val="single" w:sz="4" w:space="0" w:color="FFFFFF" w:themeColor="background1"/>
            </w:tcBorders>
          </w:tcPr>
          <w:p w14:paraId="51555AA0"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0000"/>
                <w:lang w:val="bs-Latn-BA"/>
              </w:rPr>
            </w:pPr>
            <w:r w:rsidRPr="00AF25D2">
              <w:rPr>
                <w:rFonts w:ascii="Calibri" w:eastAsia="Calibri" w:hAnsi="Calibri" w:cs="Calibri"/>
                <w:lang w:val="bs-Latn-BA"/>
              </w:rPr>
              <w:t>102,4</w:t>
            </w:r>
          </w:p>
        </w:tc>
        <w:tc>
          <w:tcPr>
            <w:tcW w:w="0" w:type="auto"/>
            <w:tcBorders>
              <w:top w:val="single" w:sz="4" w:space="0" w:color="FFFFFF" w:themeColor="background1"/>
            </w:tcBorders>
          </w:tcPr>
          <w:p w14:paraId="52828D15"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0000"/>
                <w:lang w:val="bs-Latn-BA"/>
              </w:rPr>
            </w:pPr>
            <w:r w:rsidRPr="00AF25D2">
              <w:rPr>
                <w:rFonts w:ascii="Calibri" w:eastAsia="Calibri" w:hAnsi="Calibri" w:cs="Calibri"/>
                <w:lang w:val="bs-Latn-BA"/>
              </w:rPr>
              <w:t>88,0</w:t>
            </w:r>
          </w:p>
        </w:tc>
        <w:tc>
          <w:tcPr>
            <w:tcW w:w="0" w:type="auto"/>
            <w:tcBorders>
              <w:top w:val="single" w:sz="4" w:space="0" w:color="FFFFFF" w:themeColor="background1"/>
            </w:tcBorders>
          </w:tcPr>
          <w:p w14:paraId="756B3A1D"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0000"/>
                <w:lang w:val="bs-Latn-BA"/>
              </w:rPr>
            </w:pPr>
            <w:r w:rsidRPr="00AF25D2">
              <w:rPr>
                <w:rFonts w:ascii="Calibri" w:eastAsia="Calibri" w:hAnsi="Calibri" w:cs="Calibri"/>
                <w:lang w:val="bs-Latn-BA"/>
              </w:rPr>
              <w:t>68,6</w:t>
            </w:r>
          </w:p>
        </w:tc>
        <w:tc>
          <w:tcPr>
            <w:tcW w:w="0" w:type="auto"/>
            <w:tcBorders>
              <w:top w:val="single" w:sz="4" w:space="0" w:color="FFFFFF" w:themeColor="background1"/>
            </w:tcBorders>
          </w:tcPr>
          <w:p w14:paraId="2DA1626C"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lang w:val="bs-Latn-BA"/>
              </w:rPr>
            </w:pPr>
            <w:r w:rsidRPr="00AF25D2">
              <w:rPr>
                <w:lang w:val="bs-Latn-BA"/>
              </w:rPr>
              <w:t>-</w:t>
            </w:r>
          </w:p>
        </w:tc>
      </w:tr>
      <w:tr w:rsidR="00A87861" w:rsidRPr="008924E0" w14:paraId="7FD24771" w14:textId="77777777" w:rsidTr="00A87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8D9FA67" w14:textId="77777777" w:rsidR="00607C8A" w:rsidRPr="008924E0" w:rsidRDefault="00607C8A" w:rsidP="000B085B">
            <w:pPr>
              <w:rPr>
                <w:rFonts w:eastAsia="Calibri"/>
                <w:i/>
                <w:lang w:val="bs-Latn-BA"/>
              </w:rPr>
            </w:pPr>
            <w:r w:rsidRPr="008924E0">
              <w:rPr>
                <w:rFonts w:eastAsia="Calibri"/>
                <w:b w:val="0"/>
                <w:lang w:val="bs-Latn-BA"/>
              </w:rPr>
              <w:t>Slobodnostojeće kolektivne stambene zgrade (MH)</w:t>
            </w:r>
          </w:p>
        </w:tc>
        <w:tc>
          <w:tcPr>
            <w:tcW w:w="0" w:type="auto"/>
          </w:tcPr>
          <w:p w14:paraId="3D6832C9"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w:t>
            </w:r>
          </w:p>
        </w:tc>
        <w:tc>
          <w:tcPr>
            <w:tcW w:w="0" w:type="auto"/>
          </w:tcPr>
          <w:p w14:paraId="61711C0A"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84,6</w:t>
            </w:r>
          </w:p>
        </w:tc>
        <w:tc>
          <w:tcPr>
            <w:tcW w:w="0" w:type="auto"/>
          </w:tcPr>
          <w:p w14:paraId="4B4D8F5D"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36,7</w:t>
            </w:r>
          </w:p>
        </w:tc>
        <w:tc>
          <w:tcPr>
            <w:tcW w:w="0" w:type="auto"/>
          </w:tcPr>
          <w:p w14:paraId="7981B38E"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12,2</w:t>
            </w:r>
          </w:p>
        </w:tc>
      </w:tr>
      <w:tr w:rsidR="00A87861" w:rsidRPr="008924E0" w14:paraId="1F68651D" w14:textId="77777777" w:rsidTr="00A87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10BB9CE" w14:textId="77777777" w:rsidR="00607C8A" w:rsidRPr="008924E0" w:rsidRDefault="00607C8A" w:rsidP="000B085B">
            <w:pPr>
              <w:rPr>
                <w:rFonts w:eastAsia="Calibri"/>
                <w:i/>
                <w:lang w:val="bs-Latn-BA"/>
              </w:rPr>
            </w:pPr>
            <w:r w:rsidRPr="008924E0">
              <w:rPr>
                <w:rFonts w:eastAsia="Calibri"/>
                <w:b w:val="0"/>
                <w:lang w:val="bs-Latn-BA"/>
              </w:rPr>
              <w:t>Stambene zgrade u nizu (AB)</w:t>
            </w:r>
          </w:p>
        </w:tc>
        <w:tc>
          <w:tcPr>
            <w:tcW w:w="0" w:type="auto"/>
          </w:tcPr>
          <w:p w14:paraId="79E3E222"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w:t>
            </w:r>
          </w:p>
        </w:tc>
        <w:tc>
          <w:tcPr>
            <w:tcW w:w="0" w:type="auto"/>
          </w:tcPr>
          <w:p w14:paraId="36672B70"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45,9</w:t>
            </w:r>
          </w:p>
        </w:tc>
        <w:tc>
          <w:tcPr>
            <w:tcW w:w="0" w:type="auto"/>
          </w:tcPr>
          <w:p w14:paraId="2EFA2F8C"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31,0</w:t>
            </w:r>
          </w:p>
        </w:tc>
        <w:tc>
          <w:tcPr>
            <w:tcW w:w="0" w:type="auto"/>
          </w:tcPr>
          <w:p w14:paraId="4EFEC8C1" w14:textId="77777777" w:rsidR="00607C8A" w:rsidRPr="00AF25D2" w:rsidRDefault="00607C8A" w:rsidP="000B085B">
            <w:pPr>
              <w:jc w:val="right"/>
              <w:cnfStyle w:val="000000100000" w:firstRow="0" w:lastRow="0" w:firstColumn="0" w:lastColumn="0" w:oddVBand="0" w:evenVBand="0" w:oddHBand="1" w:evenHBand="0" w:firstRowFirstColumn="0" w:firstRowLastColumn="0" w:lastRowFirstColumn="0" w:lastRowLastColumn="0"/>
              <w:rPr>
                <w:lang w:val="bs-Latn-BA"/>
              </w:rPr>
            </w:pPr>
            <w:r w:rsidRPr="00AF25D2">
              <w:rPr>
                <w:lang w:val="bs-Latn-BA"/>
              </w:rPr>
              <w:t>-</w:t>
            </w:r>
          </w:p>
        </w:tc>
      </w:tr>
      <w:tr w:rsidR="00A87861" w:rsidRPr="008924E0" w14:paraId="29006F48" w14:textId="77777777" w:rsidTr="00A87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FBCA94" w14:textId="77777777" w:rsidR="00607C8A" w:rsidRPr="008924E0" w:rsidRDefault="00607C8A" w:rsidP="000B085B">
            <w:pPr>
              <w:rPr>
                <w:rFonts w:eastAsia="Calibri"/>
                <w:lang w:val="bs-Latn-BA"/>
              </w:rPr>
            </w:pPr>
            <w:r w:rsidRPr="008924E0">
              <w:rPr>
                <w:rFonts w:eastAsia="Calibri"/>
                <w:b w:val="0"/>
                <w:lang w:val="bs-Latn-BA"/>
              </w:rPr>
              <w:t xml:space="preserve">Neboderi (H) </w:t>
            </w:r>
          </w:p>
        </w:tc>
        <w:tc>
          <w:tcPr>
            <w:tcW w:w="0" w:type="auto"/>
          </w:tcPr>
          <w:p w14:paraId="1097365B"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w:t>
            </w:r>
          </w:p>
        </w:tc>
        <w:tc>
          <w:tcPr>
            <w:tcW w:w="0" w:type="auto"/>
          </w:tcPr>
          <w:p w14:paraId="140D0972"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38,4</w:t>
            </w:r>
          </w:p>
        </w:tc>
        <w:tc>
          <w:tcPr>
            <w:tcW w:w="0" w:type="auto"/>
          </w:tcPr>
          <w:p w14:paraId="5330105D"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AF25D2">
              <w:rPr>
                <w:rFonts w:ascii="Calibri" w:eastAsia="Calibri" w:hAnsi="Calibri" w:cs="Calibri"/>
                <w:lang w:val="bs-Latn-BA"/>
              </w:rPr>
              <w:t>26,3</w:t>
            </w:r>
          </w:p>
        </w:tc>
        <w:tc>
          <w:tcPr>
            <w:tcW w:w="0" w:type="auto"/>
          </w:tcPr>
          <w:p w14:paraId="75F0913B" w14:textId="77777777" w:rsidR="00607C8A" w:rsidRPr="00AF25D2" w:rsidRDefault="00607C8A" w:rsidP="000B085B">
            <w:pPr>
              <w:jc w:val="right"/>
              <w:cnfStyle w:val="000000010000" w:firstRow="0" w:lastRow="0" w:firstColumn="0" w:lastColumn="0" w:oddVBand="0" w:evenVBand="0" w:oddHBand="0" w:evenHBand="1" w:firstRowFirstColumn="0" w:firstRowLastColumn="0" w:lastRowFirstColumn="0" w:lastRowLastColumn="0"/>
              <w:rPr>
                <w:lang w:val="bs-Latn-BA"/>
              </w:rPr>
            </w:pPr>
            <w:r w:rsidRPr="00AF25D2">
              <w:rPr>
                <w:lang w:val="bs-Latn-BA"/>
              </w:rPr>
              <w:t>-</w:t>
            </w:r>
          </w:p>
        </w:tc>
      </w:tr>
    </w:tbl>
    <w:p w14:paraId="10B9F7E6" w14:textId="77777777" w:rsidR="00607C8A" w:rsidRPr="008924E0" w:rsidRDefault="00607C8A" w:rsidP="00607C8A">
      <w:pPr>
        <w:shd w:val="clear" w:color="auto" w:fill="FFFFFF"/>
        <w:spacing w:after="120" w:line="276" w:lineRule="auto"/>
        <w:rPr>
          <w:lang w:val="bs-Latn-BA"/>
        </w:rPr>
      </w:pPr>
    </w:p>
    <w:p w14:paraId="4967E4C2" w14:textId="3F45FB4D" w:rsidR="00607C8A" w:rsidRPr="008924E0" w:rsidRDefault="00607C8A" w:rsidP="00607C8A">
      <w:pPr>
        <w:shd w:val="clear" w:color="auto" w:fill="FFFFFF"/>
        <w:spacing w:after="120" w:line="276" w:lineRule="auto"/>
        <w:rPr>
          <w:lang w:val="bs-Latn-BA"/>
        </w:rPr>
      </w:pPr>
      <w:r w:rsidRPr="008924E0">
        <w:rPr>
          <w:lang w:val="bs-Latn-BA"/>
        </w:rPr>
        <w:t xml:space="preserve">Specifični troškovi energijske </w:t>
      </w:r>
      <w:r w:rsidR="008D063C">
        <w:rPr>
          <w:lang w:val="bs-Latn-BA"/>
        </w:rPr>
        <w:t>obnove</w:t>
      </w:r>
      <w:r w:rsidRPr="008924E0">
        <w:rPr>
          <w:lang w:val="bs-Latn-BA"/>
        </w:rPr>
        <w:t>, izraženi po m</w:t>
      </w:r>
      <w:r w:rsidRPr="008924E0">
        <w:rPr>
          <w:vertAlign w:val="superscript"/>
          <w:lang w:val="bs-Latn-BA"/>
        </w:rPr>
        <w:t>2</w:t>
      </w:r>
      <w:r w:rsidRPr="008924E0">
        <w:rPr>
          <w:lang w:val="bs-Latn-BA"/>
        </w:rPr>
        <w:t xml:space="preserve"> korisne grijane površine za sve tipove zgrada i nivoe </w:t>
      </w:r>
      <w:r w:rsidR="008D063C">
        <w:rPr>
          <w:lang w:val="bs-Latn-BA"/>
        </w:rPr>
        <w:t>obnove</w:t>
      </w:r>
      <w:r w:rsidR="008D063C" w:rsidRPr="008924E0">
        <w:rPr>
          <w:lang w:val="bs-Latn-BA"/>
        </w:rPr>
        <w:t xml:space="preserve"> </w:t>
      </w:r>
      <w:r w:rsidRPr="008924E0">
        <w:rPr>
          <w:lang w:val="bs-Latn-BA"/>
        </w:rPr>
        <w:t xml:space="preserve">predstavljeni su na </w:t>
      </w:r>
      <w:r w:rsidRPr="0015725F">
        <w:rPr>
          <w:color w:val="000000" w:themeColor="text1"/>
          <w:lang w:val="bs-Latn-BA"/>
        </w:rPr>
        <w:t xml:space="preserve">Slici </w:t>
      </w:r>
      <w:r w:rsidR="00C015D7" w:rsidRPr="0015725F">
        <w:rPr>
          <w:color w:val="000000" w:themeColor="text1"/>
          <w:lang w:val="bs-Latn-BA"/>
        </w:rPr>
        <w:t>6</w:t>
      </w:r>
      <w:r w:rsidRPr="0015725F">
        <w:rPr>
          <w:color w:val="000000" w:themeColor="text1"/>
          <w:lang w:val="bs-Latn-BA"/>
        </w:rPr>
        <w:t xml:space="preserve">.1. </w:t>
      </w:r>
      <w:r w:rsidRPr="008924E0">
        <w:rPr>
          <w:lang w:val="bs-Latn-BA"/>
        </w:rPr>
        <w:t xml:space="preserve">Vidi se da je specifični trošak energijske </w:t>
      </w:r>
      <w:r w:rsidR="008D063C">
        <w:rPr>
          <w:lang w:val="bs-Latn-BA"/>
        </w:rPr>
        <w:t>obnove</w:t>
      </w:r>
      <w:r w:rsidR="008D063C" w:rsidRPr="008924E0">
        <w:rPr>
          <w:lang w:val="bs-Latn-BA"/>
        </w:rPr>
        <w:t xml:space="preserve"> </w:t>
      </w:r>
      <w:r w:rsidRPr="008924E0">
        <w:rPr>
          <w:lang w:val="bs-Latn-BA"/>
        </w:rPr>
        <w:t xml:space="preserve">najveći sa individualne zgrade, u prosjeku preko 200 % veći od specifičnog troška </w:t>
      </w:r>
      <w:r w:rsidR="008D063C">
        <w:rPr>
          <w:lang w:val="bs-Latn-BA"/>
        </w:rPr>
        <w:t>obnove</w:t>
      </w:r>
      <w:r w:rsidR="008D063C" w:rsidRPr="008924E0">
        <w:rPr>
          <w:lang w:val="bs-Latn-BA"/>
        </w:rPr>
        <w:t xml:space="preserve"> </w:t>
      </w:r>
      <w:r w:rsidRPr="008924E0">
        <w:rPr>
          <w:lang w:val="bs-Latn-BA"/>
        </w:rPr>
        <w:t xml:space="preserve">zgrada kolektivnog stanovanja.  </w:t>
      </w:r>
    </w:p>
    <w:p w14:paraId="60370F1B" w14:textId="77777777" w:rsidR="00D35CCF" w:rsidRPr="008924E0" w:rsidRDefault="00607C8A" w:rsidP="00D35CCF">
      <w:pPr>
        <w:keepNext/>
        <w:pBdr>
          <w:top w:val="nil"/>
          <w:left w:val="nil"/>
          <w:bottom w:val="nil"/>
          <w:right w:val="nil"/>
          <w:between w:val="nil"/>
        </w:pBdr>
        <w:spacing w:after="200" w:line="240" w:lineRule="auto"/>
        <w:jc w:val="center"/>
        <w:rPr>
          <w:lang w:val="bs-Latn-BA"/>
        </w:rPr>
      </w:pPr>
      <w:r w:rsidRPr="008924E0">
        <w:rPr>
          <w:rFonts w:eastAsia="Calibri"/>
          <w:i/>
          <w:noProof/>
          <w:color w:val="000000"/>
          <w:lang w:val="bs-Latn-BA"/>
        </w:rPr>
        <w:lastRenderedPageBreak/>
        <w:drawing>
          <wp:inline distT="0" distB="0" distL="0" distR="0" wp14:anchorId="57919FBC" wp14:editId="08A9D8F3">
            <wp:extent cx="4573905" cy="284226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1BFB4C7" w14:textId="7EE5FCBC" w:rsidR="00607C8A" w:rsidRPr="008924E0" w:rsidRDefault="00D35CCF" w:rsidP="00D35CCF">
      <w:pPr>
        <w:pStyle w:val="Caption"/>
        <w:jc w:val="center"/>
        <w:rPr>
          <w:rFonts w:eastAsia="Calibri"/>
          <w:i w:val="0"/>
          <w:color w:val="000000"/>
        </w:rPr>
      </w:pPr>
      <w:bookmarkStart w:id="99" w:name="_Toc133499368"/>
      <w:r w:rsidRPr="008924E0">
        <w:t xml:space="preserve">Slika </w:t>
      </w:r>
      <w:r w:rsidR="00000000">
        <w:fldChar w:fldCharType="begin"/>
      </w:r>
      <w:r w:rsidR="00000000">
        <w:instrText xml:space="preserve"> STYLEREF 1 \s </w:instrText>
      </w:r>
      <w:r w:rsidR="00000000">
        <w:fldChar w:fldCharType="separate"/>
      </w:r>
      <w:r w:rsidR="00695AEF">
        <w:rPr>
          <w:noProof/>
        </w:rPr>
        <w:t>6</w:t>
      </w:r>
      <w:r w:rsidR="00000000">
        <w:rPr>
          <w:noProof/>
        </w:rPr>
        <w:fldChar w:fldCharType="end"/>
      </w:r>
      <w:r w:rsidR="00B82F4B" w:rsidRPr="008924E0">
        <w:t>.</w:t>
      </w:r>
      <w:fldSimple w:instr=" SEQ Slika \* ARABIC \s 1 ">
        <w:r w:rsidR="00695AEF">
          <w:rPr>
            <w:noProof/>
          </w:rPr>
          <w:t>1</w:t>
        </w:r>
      </w:fldSimple>
      <w:r w:rsidRPr="008924E0">
        <w:t xml:space="preserve"> </w:t>
      </w:r>
      <w:r w:rsidRPr="008924E0">
        <w:rPr>
          <w:rFonts w:eastAsia="Calibri"/>
          <w:color w:val="000000"/>
          <w:szCs w:val="22"/>
        </w:rPr>
        <w:t xml:space="preserve">Specifični trošak energijske </w:t>
      </w:r>
      <w:r w:rsidR="008D063C">
        <w:rPr>
          <w:rFonts w:eastAsia="Calibri"/>
          <w:color w:val="000000"/>
          <w:szCs w:val="22"/>
        </w:rPr>
        <w:t>obnove</w:t>
      </w:r>
      <w:r w:rsidR="008D063C" w:rsidRPr="008924E0">
        <w:rPr>
          <w:rFonts w:eastAsia="Calibri"/>
          <w:color w:val="000000"/>
          <w:szCs w:val="22"/>
        </w:rPr>
        <w:t xml:space="preserve"> </w:t>
      </w:r>
      <w:r w:rsidRPr="008924E0">
        <w:rPr>
          <w:rFonts w:eastAsia="Calibri"/>
          <w:color w:val="000000"/>
          <w:szCs w:val="22"/>
        </w:rPr>
        <w:t xml:space="preserve">za sve tipove zgrada i nivoe </w:t>
      </w:r>
      <w:r w:rsidR="008D063C">
        <w:rPr>
          <w:rFonts w:eastAsia="Calibri"/>
          <w:color w:val="000000"/>
          <w:szCs w:val="22"/>
        </w:rPr>
        <w:t>obnove</w:t>
      </w:r>
      <w:bookmarkEnd w:id="99"/>
    </w:p>
    <w:p w14:paraId="3171A650" w14:textId="6FCAB725" w:rsidR="00607C8A" w:rsidRPr="008924E0" w:rsidRDefault="00607C8A" w:rsidP="00607C8A">
      <w:pPr>
        <w:shd w:val="clear" w:color="auto" w:fill="FFFFFF"/>
        <w:spacing w:after="120" w:line="276" w:lineRule="auto"/>
        <w:rPr>
          <w:lang w:val="bs-Latn-BA"/>
        </w:rPr>
      </w:pPr>
      <w:r w:rsidRPr="008924E0">
        <w:rPr>
          <w:lang w:val="bs-Latn-BA"/>
        </w:rPr>
        <w:t xml:space="preserve">Prema podacima Zavoda za statistiku BiH, prosjek članova domaćinstva u BiH je 3,01. Koristeći podatak o broju stanova u pojedinim tipovima zgrada izračunat je ukupni broj članova domaćinstava te specifični trošak energijske </w:t>
      </w:r>
      <w:r w:rsidR="008D063C">
        <w:rPr>
          <w:lang w:val="bs-Latn-BA"/>
        </w:rPr>
        <w:t>obnove</w:t>
      </w:r>
      <w:r w:rsidR="008D063C" w:rsidRPr="008924E0">
        <w:rPr>
          <w:lang w:val="bs-Latn-BA"/>
        </w:rPr>
        <w:t xml:space="preserve"> </w:t>
      </w:r>
      <w:r w:rsidRPr="008924E0">
        <w:rPr>
          <w:lang w:val="bs-Latn-BA"/>
        </w:rPr>
        <w:t xml:space="preserve">za sve tipove zgrada i nivoe </w:t>
      </w:r>
      <w:r w:rsidR="008D063C">
        <w:rPr>
          <w:color w:val="000000" w:themeColor="text1"/>
          <w:lang w:val="bs-Latn-BA"/>
        </w:rPr>
        <w:t>obnove</w:t>
      </w:r>
      <w:r w:rsidR="008D063C" w:rsidRPr="005F5DF8">
        <w:rPr>
          <w:color w:val="000000" w:themeColor="text1"/>
          <w:lang w:val="bs-Latn-BA"/>
        </w:rPr>
        <w:t xml:space="preserve"> </w:t>
      </w:r>
      <w:r w:rsidRPr="005F5DF8">
        <w:rPr>
          <w:color w:val="000000" w:themeColor="text1"/>
          <w:lang w:val="bs-Latn-BA"/>
        </w:rPr>
        <w:t xml:space="preserve">(Slika </w:t>
      </w:r>
      <w:r w:rsidR="00D35CCF" w:rsidRPr="005F5DF8">
        <w:rPr>
          <w:color w:val="000000" w:themeColor="text1"/>
          <w:lang w:val="bs-Latn-BA"/>
        </w:rPr>
        <w:t>6</w:t>
      </w:r>
      <w:r w:rsidRPr="005F5DF8">
        <w:rPr>
          <w:color w:val="000000" w:themeColor="text1"/>
          <w:lang w:val="bs-Latn-BA"/>
        </w:rPr>
        <w:t xml:space="preserve">.2). </w:t>
      </w:r>
      <w:r w:rsidRPr="008924E0">
        <w:rPr>
          <w:lang w:val="bs-Latn-BA"/>
        </w:rPr>
        <w:t xml:space="preserve">Vidi se da je specifični trošak </w:t>
      </w:r>
      <w:r w:rsidR="008D063C">
        <w:rPr>
          <w:lang w:val="bs-Latn-BA"/>
        </w:rPr>
        <w:t>obnove</w:t>
      </w:r>
      <w:r w:rsidR="008D063C" w:rsidRPr="008924E0">
        <w:rPr>
          <w:lang w:val="bs-Latn-BA"/>
        </w:rPr>
        <w:t xml:space="preserve"> </w:t>
      </w:r>
      <w:r w:rsidRPr="008924E0">
        <w:rPr>
          <w:lang w:val="bs-Latn-BA"/>
        </w:rPr>
        <w:t xml:space="preserve">po članu domaćinstva najveći sa individualne zgrade, u prosjeku preko 250 % veći od specifičnog troška </w:t>
      </w:r>
      <w:r w:rsidR="008D063C">
        <w:rPr>
          <w:lang w:val="bs-Latn-BA"/>
        </w:rPr>
        <w:t>obnove</w:t>
      </w:r>
      <w:r w:rsidR="008D063C" w:rsidRPr="008924E0">
        <w:rPr>
          <w:lang w:val="bs-Latn-BA"/>
        </w:rPr>
        <w:t xml:space="preserve"> </w:t>
      </w:r>
      <w:r w:rsidRPr="008924E0">
        <w:rPr>
          <w:lang w:val="bs-Latn-BA"/>
        </w:rPr>
        <w:t xml:space="preserve">zgrada kolektivnog stanovanja.  </w:t>
      </w:r>
    </w:p>
    <w:p w14:paraId="61945904" w14:textId="77777777" w:rsidR="00100FDF" w:rsidRPr="008924E0" w:rsidRDefault="00607C8A" w:rsidP="00100FDF">
      <w:pPr>
        <w:keepNext/>
        <w:pBdr>
          <w:top w:val="nil"/>
          <w:left w:val="nil"/>
          <w:bottom w:val="nil"/>
          <w:right w:val="nil"/>
          <w:between w:val="nil"/>
        </w:pBdr>
        <w:spacing w:after="200" w:line="240" w:lineRule="auto"/>
        <w:jc w:val="center"/>
        <w:rPr>
          <w:lang w:val="bs-Latn-BA"/>
        </w:rPr>
      </w:pPr>
      <w:r w:rsidRPr="008924E0">
        <w:rPr>
          <w:rFonts w:eastAsia="Calibri"/>
          <w:i/>
          <w:noProof/>
          <w:color w:val="000000"/>
          <w:lang w:val="bs-Latn-BA"/>
        </w:rPr>
        <w:drawing>
          <wp:inline distT="0" distB="0" distL="0" distR="0" wp14:anchorId="76F49A19" wp14:editId="6DE8795F">
            <wp:extent cx="6019800" cy="27051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700605F4" w14:textId="3EC6F7E1" w:rsidR="00607C8A" w:rsidRPr="00331355" w:rsidRDefault="00100FDF" w:rsidP="00100FDF">
      <w:pPr>
        <w:pStyle w:val="Caption"/>
        <w:jc w:val="center"/>
      </w:pPr>
      <w:bookmarkStart w:id="100" w:name="_Toc133499369"/>
      <w:r w:rsidRPr="00331355">
        <w:t xml:space="preserve">Slika </w:t>
      </w:r>
      <w:fldSimple w:instr=" STYLEREF 1 \s ">
        <w:r w:rsidR="00695AEF">
          <w:rPr>
            <w:noProof/>
          </w:rPr>
          <w:t>6</w:t>
        </w:r>
      </w:fldSimple>
      <w:r w:rsidR="00B82F4B" w:rsidRPr="00331355">
        <w:t>.</w:t>
      </w:r>
      <w:r w:rsidR="00000000">
        <w:fldChar w:fldCharType="begin"/>
      </w:r>
      <w:r w:rsidR="00000000">
        <w:instrText xml:space="preserve"> SEQ Slika \* ARABIC \s 1 </w:instrText>
      </w:r>
      <w:r w:rsidR="00000000">
        <w:fldChar w:fldCharType="separate"/>
      </w:r>
      <w:r w:rsidR="00695AEF">
        <w:rPr>
          <w:noProof/>
        </w:rPr>
        <w:t>2</w:t>
      </w:r>
      <w:r w:rsidR="00000000">
        <w:rPr>
          <w:noProof/>
        </w:rPr>
        <w:fldChar w:fldCharType="end"/>
      </w:r>
      <w:r w:rsidRPr="008924E0">
        <w:t xml:space="preserve"> </w:t>
      </w:r>
      <w:r w:rsidRPr="00331355">
        <w:t xml:space="preserve">Specifični trošak energijske </w:t>
      </w:r>
      <w:r w:rsidR="008D063C" w:rsidRPr="00331355">
        <w:t xml:space="preserve">obnove </w:t>
      </w:r>
      <w:r w:rsidRPr="00331355">
        <w:t>po članu domaćinstva</w:t>
      </w:r>
      <w:bookmarkEnd w:id="100"/>
    </w:p>
    <w:p w14:paraId="3F6AE83E" w14:textId="6CAEC4E3" w:rsidR="00607C8A" w:rsidRPr="008924E0" w:rsidRDefault="00607C8A" w:rsidP="00607C8A">
      <w:pPr>
        <w:shd w:val="clear" w:color="auto" w:fill="FFFFFF"/>
        <w:spacing w:after="120" w:line="276" w:lineRule="auto"/>
        <w:rPr>
          <w:lang w:val="bs-Latn-BA"/>
        </w:rPr>
      </w:pPr>
      <w:r w:rsidRPr="008924E0">
        <w:rPr>
          <w:lang w:val="bs-Latn-BA"/>
        </w:rPr>
        <w:t xml:space="preserve">Specifični trošak energijske </w:t>
      </w:r>
      <w:r w:rsidR="008D063C">
        <w:rPr>
          <w:lang w:val="bs-Latn-BA"/>
        </w:rPr>
        <w:t>obnove</w:t>
      </w:r>
      <w:r w:rsidR="008D063C" w:rsidRPr="008924E0">
        <w:rPr>
          <w:lang w:val="bs-Latn-BA"/>
        </w:rPr>
        <w:t xml:space="preserve"> </w:t>
      </w:r>
      <w:r w:rsidRPr="008924E0">
        <w:rPr>
          <w:lang w:val="bs-Latn-BA"/>
        </w:rPr>
        <w:t xml:space="preserve">zgrada individualnog stanovanja u odnosu na zgrade kolektivnog stanovanja je značajno veći te analizirani scenarij </w:t>
      </w:r>
      <w:r w:rsidR="008D063C">
        <w:rPr>
          <w:lang w:val="bs-Latn-BA"/>
        </w:rPr>
        <w:t>obnove</w:t>
      </w:r>
      <w:r w:rsidR="008D063C" w:rsidRPr="008924E0">
        <w:rPr>
          <w:lang w:val="bs-Latn-BA"/>
        </w:rPr>
        <w:t xml:space="preserve"> favoriz</w:t>
      </w:r>
      <w:r w:rsidR="008D063C">
        <w:rPr>
          <w:lang w:val="bs-Latn-BA"/>
        </w:rPr>
        <w:t>ira</w:t>
      </w:r>
      <w:r w:rsidR="008D063C" w:rsidRPr="008924E0">
        <w:rPr>
          <w:lang w:val="bs-Latn-BA"/>
        </w:rPr>
        <w:t xml:space="preserve"> </w:t>
      </w:r>
      <w:r w:rsidRPr="008924E0">
        <w:rPr>
          <w:lang w:val="bs-Latn-BA"/>
        </w:rPr>
        <w:t xml:space="preserve">energijsku </w:t>
      </w:r>
      <w:r w:rsidR="008D063C">
        <w:rPr>
          <w:lang w:val="bs-Latn-BA"/>
        </w:rPr>
        <w:t>obnovu</w:t>
      </w:r>
      <w:r w:rsidR="008D063C" w:rsidRPr="008924E0">
        <w:rPr>
          <w:lang w:val="bs-Latn-BA"/>
        </w:rPr>
        <w:t xml:space="preserve"> </w:t>
      </w:r>
      <w:r w:rsidRPr="008924E0">
        <w:rPr>
          <w:lang w:val="bs-Latn-BA"/>
        </w:rPr>
        <w:t>zgrada kolektivnog stanovanja</w:t>
      </w:r>
      <w:r w:rsidR="00AF25D2">
        <w:rPr>
          <w:lang w:val="bs-Latn-BA"/>
        </w:rPr>
        <w:t xml:space="preserve"> za period 2020.-2030. godina</w:t>
      </w:r>
      <w:r w:rsidRPr="008924E0">
        <w:rPr>
          <w:lang w:val="bs-Latn-BA"/>
        </w:rPr>
        <w:t xml:space="preserve">. Nakon ovog perioda se povećava broj zgrada individualnog stanovanja uključenih u strategiju </w:t>
      </w:r>
      <w:r w:rsidR="008D063C">
        <w:rPr>
          <w:lang w:val="bs-Latn-BA"/>
        </w:rPr>
        <w:t>obnove</w:t>
      </w:r>
      <w:r w:rsidRPr="008924E0">
        <w:rPr>
          <w:lang w:val="bs-Latn-BA"/>
        </w:rPr>
        <w:t xml:space="preserve">. Ovaj pristup će omogućiti da se </w:t>
      </w:r>
      <w:r w:rsidR="00AF25D2">
        <w:rPr>
          <w:lang w:val="bs-Latn-BA"/>
        </w:rPr>
        <w:t xml:space="preserve">u prvom karakterističnom </w:t>
      </w:r>
      <w:r w:rsidR="00AF25D2">
        <w:rPr>
          <w:lang w:val="bs-Latn-BA"/>
        </w:rPr>
        <w:lastRenderedPageBreak/>
        <w:t xml:space="preserve">periodu </w:t>
      </w:r>
      <w:r w:rsidRPr="008924E0">
        <w:rPr>
          <w:lang w:val="bs-Latn-BA"/>
        </w:rPr>
        <w:t xml:space="preserve">obuhvati što veća korisna površina i veći broj korisnika kroz strategiju </w:t>
      </w:r>
      <w:r w:rsidR="008D063C">
        <w:rPr>
          <w:lang w:val="bs-Latn-BA"/>
        </w:rPr>
        <w:t>obnove</w:t>
      </w:r>
      <w:r w:rsidRPr="008924E0">
        <w:rPr>
          <w:lang w:val="bs-Latn-BA"/>
        </w:rPr>
        <w:t xml:space="preserve">. U okviru programa </w:t>
      </w:r>
      <w:r w:rsidR="006A5773">
        <w:rPr>
          <w:lang w:val="bs-Latn-BA"/>
        </w:rPr>
        <w:t>obnove</w:t>
      </w:r>
      <w:r w:rsidRPr="008924E0">
        <w:rPr>
          <w:lang w:val="bs-Latn-BA"/>
        </w:rPr>
        <w:t xml:space="preserve"> pojedinih kategorija zgrada biće </w:t>
      </w:r>
      <w:r w:rsidR="00AB786E">
        <w:rPr>
          <w:lang w:val="bs-Latn-BA"/>
        </w:rPr>
        <w:t>definirani</w:t>
      </w:r>
      <w:r w:rsidRPr="008924E0">
        <w:rPr>
          <w:lang w:val="bs-Latn-BA"/>
        </w:rPr>
        <w:t xml:space="preserve"> </w:t>
      </w:r>
      <w:r w:rsidR="00540A41">
        <w:rPr>
          <w:lang w:val="bs-Latn-BA"/>
        </w:rPr>
        <w:t>uvjet</w:t>
      </w:r>
      <w:r w:rsidRPr="008924E0">
        <w:rPr>
          <w:lang w:val="bs-Latn-BA"/>
        </w:rPr>
        <w:t xml:space="preserve">i u skladu sa kojim se pojedine zgrade mogu </w:t>
      </w:r>
      <w:r w:rsidR="008D063C" w:rsidRPr="008924E0">
        <w:rPr>
          <w:lang w:val="bs-Latn-BA"/>
        </w:rPr>
        <w:t>kandid</w:t>
      </w:r>
      <w:r w:rsidR="008D063C">
        <w:rPr>
          <w:lang w:val="bs-Latn-BA"/>
        </w:rPr>
        <w:t>irati</w:t>
      </w:r>
      <w:r w:rsidR="008D063C" w:rsidRPr="008924E0">
        <w:rPr>
          <w:lang w:val="bs-Latn-BA"/>
        </w:rPr>
        <w:t xml:space="preserve"> </w:t>
      </w:r>
      <w:r w:rsidRPr="008924E0">
        <w:rPr>
          <w:lang w:val="bs-Latn-BA"/>
        </w:rPr>
        <w:t xml:space="preserve">za programe obnove, da bi se ostvarile planirane uštede energije. </w:t>
      </w:r>
    </w:p>
    <w:p w14:paraId="7A546AE0" w14:textId="77777777" w:rsidR="00F73614" w:rsidRPr="001972F5" w:rsidRDefault="00607C8A" w:rsidP="00607C8A">
      <w:pPr>
        <w:shd w:val="clear" w:color="auto" w:fill="FFFFFF"/>
        <w:spacing w:after="120" w:line="276" w:lineRule="auto"/>
        <w:rPr>
          <w:noProof/>
          <w:lang w:val="bs-Latn-BA"/>
        </w:rPr>
      </w:pPr>
      <w:bookmarkStart w:id="101" w:name="_Hlk130722830"/>
      <w:r w:rsidRPr="008924E0">
        <w:rPr>
          <w:lang w:val="bs-Latn-BA"/>
        </w:rPr>
        <w:t>Razmatran</w:t>
      </w:r>
      <w:r w:rsidR="007C2CDE">
        <w:rPr>
          <w:lang w:val="bs-Latn-BA"/>
        </w:rPr>
        <w:t>i</w:t>
      </w:r>
      <w:r w:rsidRPr="008924E0">
        <w:rPr>
          <w:lang w:val="bs-Latn-BA"/>
        </w:rPr>
        <w:t xml:space="preserve"> scenarij </w:t>
      </w:r>
      <w:r w:rsidR="008D063C">
        <w:rPr>
          <w:lang w:val="bs-Latn-BA"/>
        </w:rPr>
        <w:t>obnove</w:t>
      </w:r>
      <w:r w:rsidR="008D063C" w:rsidRPr="008924E0">
        <w:rPr>
          <w:lang w:val="bs-Latn-BA"/>
        </w:rPr>
        <w:t xml:space="preserve"> </w:t>
      </w:r>
      <w:r w:rsidR="007C2CDE">
        <w:rPr>
          <w:lang w:val="bs-Latn-BA"/>
        </w:rPr>
        <w:t>se odnosi na planiranu godišnju obnovu</w:t>
      </w:r>
      <w:r w:rsidR="00B66D6C">
        <w:rPr>
          <w:lang w:val="bs-Latn-BA"/>
        </w:rPr>
        <w:t xml:space="preserve"> </w:t>
      </w:r>
      <w:r w:rsidRPr="008924E0">
        <w:rPr>
          <w:lang w:val="bs-Latn-BA"/>
        </w:rPr>
        <w:t>1,5 % korisne grijane površine stambenog fonda. Izračunate uštede energije</w:t>
      </w:r>
      <w:r w:rsidR="007C2CDE">
        <w:rPr>
          <w:lang w:val="bs-Latn-BA"/>
        </w:rPr>
        <w:t xml:space="preserve"> koje se mogu postići kroz implementaciju programa obnove</w:t>
      </w:r>
      <w:r w:rsidRPr="008924E0">
        <w:rPr>
          <w:lang w:val="bs-Latn-BA"/>
        </w:rPr>
        <w:t xml:space="preserve"> prikazane </w:t>
      </w:r>
      <w:r w:rsidR="005E0D82">
        <w:rPr>
          <w:lang w:val="bs-Latn-BA"/>
        </w:rPr>
        <w:t xml:space="preserve">su </w:t>
      </w:r>
      <w:r w:rsidRPr="008924E0">
        <w:rPr>
          <w:lang w:val="bs-Latn-BA"/>
        </w:rPr>
        <w:t xml:space="preserve">na Slici </w:t>
      </w:r>
      <w:r w:rsidR="00DA4B3E" w:rsidRPr="008924E0">
        <w:rPr>
          <w:lang w:val="bs-Latn-BA"/>
        </w:rPr>
        <w:t>6.3</w:t>
      </w:r>
      <w:r w:rsidRPr="008924E0">
        <w:rPr>
          <w:lang w:val="bs-Latn-BA"/>
        </w:rPr>
        <w:t>.</w:t>
      </w:r>
      <w:r w:rsidR="00F73614" w:rsidRPr="001972F5">
        <w:rPr>
          <w:noProof/>
          <w:lang w:val="bs-Latn-BA"/>
        </w:rPr>
        <w:t xml:space="preserve"> </w:t>
      </w:r>
    </w:p>
    <w:p w14:paraId="035C56CA" w14:textId="4E505186" w:rsidR="00607C8A" w:rsidRDefault="00F73614" w:rsidP="00607C8A">
      <w:pPr>
        <w:shd w:val="clear" w:color="auto" w:fill="FFFFFF"/>
        <w:spacing w:after="120" w:line="276" w:lineRule="auto"/>
        <w:rPr>
          <w:lang w:val="bs-Latn-BA"/>
        </w:rPr>
      </w:pPr>
      <w:r>
        <w:rPr>
          <w:noProof/>
        </w:rPr>
        <w:drawing>
          <wp:inline distT="0" distB="0" distL="0" distR="0" wp14:anchorId="30D6320A" wp14:editId="244A7DDB">
            <wp:extent cx="5709285" cy="1995805"/>
            <wp:effectExtent l="0" t="0" r="5715" b="4445"/>
            <wp:docPr id="32" name="Chart 32">
              <a:extLst xmlns:a="http://schemas.openxmlformats.org/drawingml/2006/main">
                <a:ext uri="{FF2B5EF4-FFF2-40B4-BE49-F238E27FC236}">
                  <a16:creationId xmlns:a16="http://schemas.microsoft.com/office/drawing/2014/main" id="{D2CE5134-17F3-4334-BAF3-B2BC2589572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EA4349D" w14:textId="2421D137" w:rsidR="00DA4B3E" w:rsidRPr="00331355" w:rsidRDefault="00DA4B3E" w:rsidP="00DA4B3E">
      <w:pPr>
        <w:pBdr>
          <w:top w:val="nil"/>
          <w:left w:val="nil"/>
          <w:bottom w:val="nil"/>
          <w:right w:val="nil"/>
          <w:between w:val="nil"/>
        </w:pBdr>
        <w:spacing w:after="200" w:line="240" w:lineRule="auto"/>
        <w:jc w:val="center"/>
        <w:rPr>
          <w:i/>
          <w:iCs/>
          <w:szCs w:val="18"/>
          <w:lang w:val="bs-Latn-BA"/>
        </w:rPr>
      </w:pPr>
      <w:bookmarkStart w:id="102" w:name="_Toc133499370"/>
      <w:r w:rsidRPr="00331355">
        <w:rPr>
          <w:i/>
          <w:iCs/>
          <w:szCs w:val="18"/>
          <w:lang w:val="bs-Latn-BA"/>
        </w:rPr>
        <w:t xml:space="preserve">Slika </w:t>
      </w:r>
      <w:r w:rsidR="00B82F4B" w:rsidRPr="00331355">
        <w:rPr>
          <w:i/>
          <w:iCs/>
          <w:szCs w:val="18"/>
          <w:lang w:val="bs-Latn-BA"/>
        </w:rPr>
        <w:fldChar w:fldCharType="begin"/>
      </w:r>
      <w:r w:rsidR="00B82F4B" w:rsidRPr="00331355">
        <w:rPr>
          <w:i/>
          <w:iCs/>
          <w:szCs w:val="18"/>
          <w:lang w:val="bs-Latn-BA"/>
        </w:rPr>
        <w:instrText xml:space="preserve"> STYLEREF 1 \s </w:instrText>
      </w:r>
      <w:r w:rsidR="00B82F4B" w:rsidRPr="00331355">
        <w:rPr>
          <w:i/>
          <w:iCs/>
          <w:szCs w:val="18"/>
          <w:lang w:val="bs-Latn-BA"/>
        </w:rPr>
        <w:fldChar w:fldCharType="separate"/>
      </w:r>
      <w:r w:rsidR="00695AEF">
        <w:rPr>
          <w:i/>
          <w:iCs/>
          <w:noProof/>
          <w:szCs w:val="18"/>
          <w:lang w:val="bs-Latn-BA"/>
        </w:rPr>
        <w:t>6</w:t>
      </w:r>
      <w:r w:rsidR="00B82F4B" w:rsidRPr="00331355">
        <w:rPr>
          <w:i/>
          <w:iCs/>
          <w:szCs w:val="18"/>
          <w:lang w:val="bs-Latn-BA"/>
        </w:rPr>
        <w:fldChar w:fldCharType="end"/>
      </w:r>
      <w:r w:rsidR="00B82F4B" w:rsidRPr="00331355">
        <w:rPr>
          <w:i/>
          <w:iCs/>
          <w:szCs w:val="18"/>
          <w:lang w:val="bs-Latn-BA"/>
        </w:rPr>
        <w:t>.</w:t>
      </w:r>
      <w:r w:rsidR="00B82F4B" w:rsidRPr="00331355">
        <w:rPr>
          <w:i/>
          <w:iCs/>
          <w:szCs w:val="18"/>
          <w:lang w:val="bs-Latn-BA"/>
        </w:rPr>
        <w:fldChar w:fldCharType="begin"/>
      </w:r>
      <w:r w:rsidR="00B82F4B" w:rsidRPr="00331355">
        <w:rPr>
          <w:i/>
          <w:iCs/>
          <w:szCs w:val="18"/>
          <w:lang w:val="bs-Latn-BA"/>
        </w:rPr>
        <w:instrText xml:space="preserve"> SEQ Slika \* ARABIC \s 1 </w:instrText>
      </w:r>
      <w:r w:rsidR="00B82F4B" w:rsidRPr="00331355">
        <w:rPr>
          <w:i/>
          <w:iCs/>
          <w:szCs w:val="18"/>
          <w:lang w:val="bs-Latn-BA"/>
        </w:rPr>
        <w:fldChar w:fldCharType="separate"/>
      </w:r>
      <w:r w:rsidR="00695AEF">
        <w:rPr>
          <w:i/>
          <w:iCs/>
          <w:noProof/>
          <w:szCs w:val="18"/>
          <w:lang w:val="bs-Latn-BA"/>
        </w:rPr>
        <w:t>3</w:t>
      </w:r>
      <w:r w:rsidR="00B82F4B" w:rsidRPr="00331355">
        <w:rPr>
          <w:i/>
          <w:iCs/>
          <w:szCs w:val="18"/>
          <w:lang w:val="bs-Latn-BA"/>
        </w:rPr>
        <w:fldChar w:fldCharType="end"/>
      </w:r>
      <w:r w:rsidRPr="00331355">
        <w:rPr>
          <w:i/>
          <w:iCs/>
          <w:szCs w:val="18"/>
          <w:lang w:val="bs-Latn-BA"/>
        </w:rPr>
        <w:t xml:space="preserve"> Predviđanje potrošnje energije zgrada za </w:t>
      </w:r>
      <w:r w:rsidR="00F2619D" w:rsidRPr="00331355">
        <w:rPr>
          <w:i/>
          <w:iCs/>
          <w:szCs w:val="18"/>
          <w:lang w:val="bs-Latn-BA"/>
        </w:rPr>
        <w:t>razmatrani scenarij obnove</w:t>
      </w:r>
      <w:r w:rsidR="008D063C" w:rsidRPr="00331355">
        <w:rPr>
          <w:i/>
          <w:iCs/>
          <w:szCs w:val="18"/>
          <w:lang w:val="bs-Latn-BA"/>
        </w:rPr>
        <w:t xml:space="preserve"> </w:t>
      </w:r>
      <w:r w:rsidRPr="00331355">
        <w:rPr>
          <w:i/>
          <w:iCs/>
          <w:szCs w:val="18"/>
          <w:lang w:val="bs-Latn-BA"/>
        </w:rPr>
        <w:t>u FBiH do 2050. godine</w:t>
      </w:r>
      <w:bookmarkEnd w:id="102"/>
    </w:p>
    <w:p w14:paraId="50922A62" w14:textId="04E39D73" w:rsidR="00607C8A" w:rsidRPr="008924E0" w:rsidRDefault="00607C8A" w:rsidP="00607C8A">
      <w:pPr>
        <w:rPr>
          <w:lang w:val="bs-Latn-BA"/>
        </w:rPr>
      </w:pPr>
      <w:r w:rsidRPr="008924E0">
        <w:rPr>
          <w:lang w:val="bs-Latn-BA"/>
        </w:rPr>
        <w:t xml:space="preserve">Prema modelima rasta broja i površine zgrada, broj stambenih zgrada u periodu 2020.-2050. će se povećati za 301.422 (linearni model). Za procjenu potrošnje energije novoizgrađenih zgrada usvojena je pretpostavka da će njihove </w:t>
      </w:r>
      <w:r w:rsidR="00010793">
        <w:rPr>
          <w:lang w:val="bs-Latn-BA"/>
        </w:rPr>
        <w:t>energij</w:t>
      </w:r>
      <w:r w:rsidRPr="008924E0">
        <w:rPr>
          <w:lang w:val="bs-Latn-BA"/>
        </w:rPr>
        <w:t xml:space="preserve">ske karakteristike biti visokoefikasne. Za scenarij </w:t>
      </w:r>
      <w:r w:rsidR="008D063C">
        <w:rPr>
          <w:lang w:val="bs-Latn-BA"/>
        </w:rPr>
        <w:t>obnove</w:t>
      </w:r>
      <w:r w:rsidR="008D063C" w:rsidRPr="008924E0">
        <w:rPr>
          <w:lang w:val="bs-Latn-BA"/>
        </w:rPr>
        <w:t xml:space="preserve"> </w:t>
      </w:r>
      <w:r w:rsidRPr="008924E0">
        <w:rPr>
          <w:lang w:val="bs-Latn-BA"/>
        </w:rPr>
        <w:t>je izračunata potrošnja energije stambenog fonda koja uobziruje potrošnju energije novoizgrađenih zgrada za period 2020-2050. godina. Takođe</w:t>
      </w:r>
      <w:r w:rsidR="0087301F">
        <w:rPr>
          <w:lang w:val="bs-Latn-BA"/>
        </w:rPr>
        <w:t>r</w:t>
      </w:r>
      <w:r w:rsidRPr="008924E0">
        <w:rPr>
          <w:lang w:val="bs-Latn-BA"/>
        </w:rPr>
        <w:t xml:space="preserve">, usvojena je pretpostavka da će se energijske karakteristike postojećeg stambenog fonda postepeno pogoršavati, kao rezultat promjene svojstava ugrađenih materijala, te će potrošnja postojećeg stambenog fonda rasti za po 0,15 % svake godine. </w:t>
      </w:r>
    </w:p>
    <w:p w14:paraId="1270C706" w14:textId="4E95D6DC" w:rsidR="00607C8A" w:rsidRPr="008924E0" w:rsidRDefault="00607C8A" w:rsidP="00607C8A">
      <w:pPr>
        <w:rPr>
          <w:color w:val="000000"/>
          <w:lang w:val="bs-Latn-BA"/>
        </w:rPr>
      </w:pPr>
      <w:r w:rsidRPr="008924E0">
        <w:rPr>
          <w:lang w:val="bs-Latn-BA"/>
        </w:rPr>
        <w:t xml:space="preserve">Na Slici </w:t>
      </w:r>
      <w:r w:rsidR="00DA4B3E" w:rsidRPr="008924E0">
        <w:rPr>
          <w:lang w:val="bs-Latn-BA"/>
        </w:rPr>
        <w:t>6</w:t>
      </w:r>
      <w:r w:rsidRPr="008924E0">
        <w:rPr>
          <w:lang w:val="bs-Latn-BA"/>
        </w:rPr>
        <w:t>.</w:t>
      </w:r>
      <w:r w:rsidR="00DA4B3E" w:rsidRPr="008924E0">
        <w:rPr>
          <w:lang w:val="bs-Latn-BA"/>
        </w:rPr>
        <w:t>4</w:t>
      </w:r>
      <w:r w:rsidRPr="008924E0">
        <w:rPr>
          <w:lang w:val="bs-Latn-BA"/>
        </w:rPr>
        <w:t xml:space="preserve">. je predstavljena procjena potrošnje stambenog fonda za godišnju </w:t>
      </w:r>
      <w:r w:rsidR="008D063C">
        <w:rPr>
          <w:lang w:val="bs-Latn-BA"/>
        </w:rPr>
        <w:t>obnovu</w:t>
      </w:r>
      <w:r w:rsidR="008D063C" w:rsidRPr="008924E0">
        <w:rPr>
          <w:lang w:val="bs-Latn-BA"/>
        </w:rPr>
        <w:t xml:space="preserve"> </w:t>
      </w:r>
      <w:r w:rsidRPr="008924E0">
        <w:rPr>
          <w:lang w:val="bs-Latn-BA"/>
        </w:rPr>
        <w:t>1,5 % korisne grijane površine postojećeg stambenog fonda (označeno zelenom linijom), potrošnjom postojećeg fonda zgrada i novoizgrađenih zgrada (označeno plavom linijom) te rezultujućom potrošnjom stambenog fonda (crvena linija). Vidi se da ukupna potrošnja bilježi trend smanjenja u poređenju sa baznom potrošnjom</w:t>
      </w:r>
      <w:r w:rsidR="00AF25D2">
        <w:rPr>
          <w:lang w:val="bs-Latn-BA"/>
        </w:rPr>
        <w:t>.</w:t>
      </w:r>
    </w:p>
    <w:p w14:paraId="7CCC40DC" w14:textId="77777777" w:rsidR="00DA4B3E" w:rsidRPr="00331355" w:rsidRDefault="00607C8A" w:rsidP="00331355">
      <w:pPr>
        <w:pStyle w:val="Caption"/>
        <w:jc w:val="center"/>
        <w:rPr>
          <w:i w:val="0"/>
          <w:iCs w:val="0"/>
          <w:szCs w:val="22"/>
        </w:rPr>
      </w:pPr>
      <w:r w:rsidRPr="00331355">
        <w:rPr>
          <w:i w:val="0"/>
          <w:iCs w:val="0"/>
          <w:noProof/>
          <w:szCs w:val="22"/>
        </w:rPr>
        <w:lastRenderedPageBreak/>
        <w:drawing>
          <wp:inline distT="0" distB="0" distL="0" distR="0" wp14:anchorId="575403AA" wp14:editId="7D196FD9">
            <wp:extent cx="5732145" cy="2950028"/>
            <wp:effectExtent l="0" t="0" r="1905" b="317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0B8FE75B" w14:textId="0A6B2A2B" w:rsidR="00607C8A" w:rsidRPr="00331355" w:rsidRDefault="00DA4B3E" w:rsidP="00DA4B3E">
      <w:pPr>
        <w:pStyle w:val="Caption"/>
        <w:jc w:val="center"/>
      </w:pPr>
      <w:bookmarkStart w:id="103" w:name="_Toc133499371"/>
      <w:r w:rsidRPr="00331355">
        <w:t xml:space="preserve">Slika </w:t>
      </w:r>
      <w:r w:rsidR="00000000">
        <w:fldChar w:fldCharType="begin"/>
      </w:r>
      <w:r w:rsidR="00000000">
        <w:instrText xml:space="preserve"> STYLEREF 1 \s </w:instrText>
      </w:r>
      <w:r w:rsidR="00000000">
        <w:fldChar w:fldCharType="separate"/>
      </w:r>
      <w:r w:rsidR="00695AEF">
        <w:rPr>
          <w:noProof/>
        </w:rPr>
        <w:t>6</w:t>
      </w:r>
      <w:r w:rsidR="00000000">
        <w:rPr>
          <w:noProof/>
        </w:rPr>
        <w:fldChar w:fldCharType="end"/>
      </w:r>
      <w:r w:rsidR="00B82F4B" w:rsidRPr="00331355">
        <w:t>.</w:t>
      </w:r>
      <w:fldSimple w:instr=" SEQ Slika \* ARABIC \s 1 ">
        <w:r w:rsidR="00695AEF">
          <w:rPr>
            <w:noProof/>
          </w:rPr>
          <w:t>4</w:t>
        </w:r>
      </w:fldSimple>
      <w:r w:rsidRPr="00331355">
        <w:t xml:space="preserve"> Predviđanje rasta potrošnje energije zgrada u FBiH do 2050. godine (</w:t>
      </w:r>
      <w:r w:rsidR="008D063C" w:rsidRPr="00331355">
        <w:t xml:space="preserve">obnova </w:t>
      </w:r>
      <w:r w:rsidRPr="00331355">
        <w:t>1,5 % korisne grijane površine)</w:t>
      </w:r>
      <w:bookmarkEnd w:id="103"/>
    </w:p>
    <w:p w14:paraId="2AAB4E0D" w14:textId="70730EEB" w:rsidR="00607C8A" w:rsidRPr="008924E0" w:rsidRDefault="00607C8A" w:rsidP="00607C8A">
      <w:pPr>
        <w:shd w:val="clear" w:color="auto" w:fill="FFFFFF"/>
        <w:spacing w:after="120" w:line="276" w:lineRule="auto"/>
        <w:rPr>
          <w:lang w:val="bs-Latn-BA"/>
        </w:rPr>
      </w:pPr>
      <w:r w:rsidRPr="008924E0">
        <w:rPr>
          <w:lang w:val="bs-Latn-BA"/>
        </w:rPr>
        <w:t>U Tabel</w:t>
      </w:r>
      <w:r w:rsidR="003250E4">
        <w:rPr>
          <w:lang w:val="bs-Latn-BA"/>
        </w:rPr>
        <w:t>ama</w:t>
      </w:r>
      <w:r w:rsidRPr="008924E0">
        <w:rPr>
          <w:lang w:val="bs-Latn-BA"/>
        </w:rPr>
        <w:t xml:space="preserve"> </w:t>
      </w:r>
      <w:r w:rsidR="00DA4B3E" w:rsidRPr="008924E0">
        <w:rPr>
          <w:lang w:val="bs-Latn-BA"/>
        </w:rPr>
        <w:t>6</w:t>
      </w:r>
      <w:r w:rsidRPr="008924E0">
        <w:rPr>
          <w:lang w:val="bs-Latn-BA"/>
        </w:rPr>
        <w:t>.6.-</w:t>
      </w:r>
      <w:r w:rsidR="00DA4B3E" w:rsidRPr="008924E0">
        <w:rPr>
          <w:lang w:val="bs-Latn-BA"/>
        </w:rPr>
        <w:t>6</w:t>
      </w:r>
      <w:r w:rsidRPr="008924E0">
        <w:rPr>
          <w:lang w:val="bs-Latn-BA"/>
        </w:rPr>
        <w:t xml:space="preserve">.8.  je predstavljen pregled osnovnih karakteristika stambenog fonda za početnu i ciljnu godinu (2050. godina). Vidi se da je planirani porast broja novoizgrađenih zgrada uz </w:t>
      </w:r>
      <w:r w:rsidR="001130F0">
        <w:rPr>
          <w:lang w:val="bs-Latn-BA"/>
        </w:rPr>
        <w:t>smanjenje</w:t>
      </w:r>
      <w:r w:rsidR="001130F0" w:rsidRPr="008924E0">
        <w:rPr>
          <w:lang w:val="bs-Latn-BA"/>
        </w:rPr>
        <w:t xml:space="preserve"> </w:t>
      </w:r>
      <w:r w:rsidRPr="008924E0">
        <w:rPr>
          <w:lang w:val="bs-Latn-BA"/>
        </w:rPr>
        <w:t xml:space="preserve">ukupne potrošnje stambenog fonda, što je rezultat primjene mjera energijske </w:t>
      </w:r>
      <w:r w:rsidR="008D063C">
        <w:rPr>
          <w:lang w:val="bs-Latn-BA"/>
        </w:rPr>
        <w:t>obnove</w:t>
      </w:r>
      <w:r w:rsidRPr="008924E0">
        <w:rPr>
          <w:lang w:val="bs-Latn-BA"/>
        </w:rPr>
        <w:t xml:space="preserve">. </w:t>
      </w:r>
    </w:p>
    <w:p w14:paraId="47D33A2E" w14:textId="2481922A" w:rsidR="00607C8A" w:rsidRPr="008924E0" w:rsidRDefault="00607C8A" w:rsidP="00747955">
      <w:pPr>
        <w:shd w:val="clear" w:color="auto" w:fill="FFFFFF"/>
        <w:spacing w:after="120" w:line="276" w:lineRule="auto"/>
        <w:rPr>
          <w:lang w:val="bs-Latn-BA"/>
        </w:rPr>
      </w:pPr>
      <w:r w:rsidRPr="008924E0">
        <w:rPr>
          <w:lang w:val="bs-Latn-BA"/>
        </w:rPr>
        <w:t xml:space="preserve">Ukupan broj zgrada obuhvaćenih programom </w:t>
      </w:r>
      <w:r w:rsidR="008D063C">
        <w:rPr>
          <w:lang w:val="bs-Latn-BA"/>
        </w:rPr>
        <w:t>obnove</w:t>
      </w:r>
      <w:r w:rsidR="008D063C" w:rsidRPr="008924E0">
        <w:rPr>
          <w:lang w:val="bs-Latn-BA"/>
        </w:rPr>
        <w:t xml:space="preserve"> </w:t>
      </w:r>
      <w:r w:rsidRPr="008924E0">
        <w:rPr>
          <w:lang w:val="bs-Latn-BA"/>
        </w:rPr>
        <w:t xml:space="preserve">iznosi 177.633. Ukupno </w:t>
      </w:r>
      <w:r w:rsidR="008D063C">
        <w:rPr>
          <w:lang w:val="bs-Latn-BA"/>
        </w:rPr>
        <w:t>obnovljena</w:t>
      </w:r>
      <w:r w:rsidR="008D063C" w:rsidRPr="008924E0">
        <w:rPr>
          <w:lang w:val="bs-Latn-BA"/>
        </w:rPr>
        <w:t xml:space="preserve"> </w:t>
      </w:r>
      <w:r w:rsidRPr="008924E0">
        <w:rPr>
          <w:lang w:val="bs-Latn-BA"/>
        </w:rPr>
        <w:t>korisna grijana površina zgrada iznosi 23.483.657 m</w:t>
      </w:r>
      <w:r w:rsidRPr="008924E0">
        <w:rPr>
          <w:vertAlign w:val="superscript"/>
          <w:lang w:val="bs-Latn-BA"/>
        </w:rPr>
        <w:t>2</w:t>
      </w:r>
      <w:r w:rsidRPr="008924E0">
        <w:rPr>
          <w:lang w:val="bs-Latn-BA"/>
        </w:rPr>
        <w:t xml:space="preserve">. Kao rezultat primjene mjera </w:t>
      </w:r>
      <w:r w:rsidR="008D063C">
        <w:rPr>
          <w:lang w:val="bs-Latn-BA"/>
        </w:rPr>
        <w:t>obnove</w:t>
      </w:r>
      <w:r w:rsidR="008D063C" w:rsidRPr="008924E0">
        <w:rPr>
          <w:lang w:val="bs-Latn-BA"/>
        </w:rPr>
        <w:t xml:space="preserve"> </w:t>
      </w:r>
      <w:r w:rsidRPr="008924E0">
        <w:rPr>
          <w:lang w:val="bs-Latn-BA"/>
        </w:rPr>
        <w:t>očekuje se ušteda u potrošnji energije od 3.532 GWh. Kumulativna ušteda emisije CO</w:t>
      </w:r>
      <w:r w:rsidRPr="008924E0">
        <w:rPr>
          <w:vertAlign w:val="subscript"/>
          <w:lang w:val="bs-Latn-BA"/>
        </w:rPr>
        <w:t>2</w:t>
      </w:r>
      <w:r w:rsidRPr="008924E0">
        <w:rPr>
          <w:lang w:val="bs-Latn-BA"/>
        </w:rPr>
        <w:t xml:space="preserve"> </w:t>
      </w:r>
      <w:r w:rsidR="00F2619D">
        <w:rPr>
          <w:lang w:val="bs-Latn-BA"/>
        </w:rPr>
        <w:t>iznosi</w:t>
      </w:r>
      <w:r w:rsidRPr="008924E0">
        <w:rPr>
          <w:lang w:val="bs-Latn-BA"/>
        </w:rPr>
        <w:t xml:space="preserve"> 1.507·10</w:t>
      </w:r>
      <w:r w:rsidR="00066C30">
        <w:rPr>
          <w:vertAlign w:val="superscript"/>
          <w:lang w:val="bs-Latn-BA"/>
        </w:rPr>
        <w:t>3</w:t>
      </w:r>
      <w:r w:rsidRPr="008924E0">
        <w:rPr>
          <w:lang w:val="bs-Latn-BA"/>
        </w:rPr>
        <w:t xml:space="preserve"> t. Smanjenje emisije CO</w:t>
      </w:r>
      <w:r w:rsidRPr="008924E0">
        <w:rPr>
          <w:vertAlign w:val="subscript"/>
          <w:lang w:val="bs-Latn-BA"/>
        </w:rPr>
        <w:t>2</w:t>
      </w:r>
      <w:r w:rsidRPr="008924E0">
        <w:rPr>
          <w:lang w:val="bs-Latn-BA"/>
        </w:rPr>
        <w:t xml:space="preserve"> nije samo rezultat smanjenja potrošnje energije niti promjene u </w:t>
      </w:r>
      <w:r w:rsidR="00010793">
        <w:rPr>
          <w:lang w:val="bs-Latn-BA"/>
        </w:rPr>
        <w:t>energij</w:t>
      </w:r>
      <w:r w:rsidRPr="008924E0">
        <w:rPr>
          <w:lang w:val="bs-Latn-BA"/>
        </w:rPr>
        <w:t>skom miksu, već i procjena da će se koeficijenti emisije CO</w:t>
      </w:r>
      <w:r w:rsidRPr="008924E0">
        <w:rPr>
          <w:vertAlign w:val="subscript"/>
          <w:lang w:val="bs-Latn-BA"/>
        </w:rPr>
        <w:t>2</w:t>
      </w:r>
      <w:r w:rsidRPr="008924E0">
        <w:rPr>
          <w:vertAlign w:val="superscript"/>
          <w:lang w:val="bs-Latn-BA"/>
        </w:rPr>
        <w:t xml:space="preserve"> </w:t>
      </w:r>
      <w:r w:rsidRPr="008924E0">
        <w:rPr>
          <w:lang w:val="bs-Latn-BA"/>
        </w:rPr>
        <w:t>električne energije i sistema daljinskog grijanja značajno smanjivati u periodu 2021.-2030</w:t>
      </w:r>
      <w:r w:rsidR="00F34E11">
        <w:rPr>
          <w:lang w:val="bs-Latn-BA"/>
        </w:rPr>
        <w:t>.</w:t>
      </w:r>
      <w:r w:rsidRPr="008924E0">
        <w:rPr>
          <w:vertAlign w:val="superscript"/>
          <w:lang w:val="bs-Latn-BA"/>
        </w:rPr>
        <w:footnoteReference w:id="28"/>
      </w:r>
      <w:r w:rsidRPr="008924E0">
        <w:rPr>
          <w:lang w:val="bs-Latn-BA"/>
        </w:rPr>
        <w:t xml:space="preserve">, sa trendom smanjenja do 2050. godine. </w:t>
      </w:r>
    </w:p>
    <w:p w14:paraId="52E58BEB" w14:textId="42AF09F7" w:rsidR="00747955" w:rsidRPr="008924E0" w:rsidRDefault="00747955" w:rsidP="00747955">
      <w:pPr>
        <w:pStyle w:val="Caption"/>
        <w:keepNext/>
      </w:pPr>
      <w:bookmarkStart w:id="104" w:name="_Toc133499551"/>
      <w:r w:rsidRPr="008924E0">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6</w:t>
      </w:r>
      <w:r w:rsidR="00000000">
        <w:rPr>
          <w:noProof/>
        </w:rPr>
        <w:fldChar w:fldCharType="end"/>
      </w:r>
      <w:r w:rsidRPr="008924E0">
        <w:t xml:space="preserve"> </w:t>
      </w:r>
      <w:r w:rsidRPr="00F73614">
        <w:t xml:space="preserve">Postojeće i ciljne karakteristike stambenog fonda zgrada FBiH (godišnja </w:t>
      </w:r>
      <w:r w:rsidR="008D063C" w:rsidRPr="00F73614">
        <w:t xml:space="preserve">obnova </w:t>
      </w:r>
      <w:r w:rsidRPr="00F73614">
        <w:t>1,5 % korisne grijane površine)</w:t>
      </w:r>
      <w:bookmarkEnd w:id="104"/>
    </w:p>
    <w:tbl>
      <w:tblPr>
        <w:tblStyle w:val="17"/>
        <w:tblW w:w="5000" w:type="pct"/>
        <w:tblLook w:val="04A0" w:firstRow="1" w:lastRow="0" w:firstColumn="1" w:lastColumn="0" w:noHBand="0" w:noVBand="1"/>
      </w:tblPr>
      <w:tblGrid>
        <w:gridCol w:w="4346"/>
        <w:gridCol w:w="921"/>
        <w:gridCol w:w="1513"/>
        <w:gridCol w:w="1395"/>
        <w:gridCol w:w="1185"/>
      </w:tblGrid>
      <w:tr w:rsidR="00747955" w:rsidRPr="008924E0" w14:paraId="6445A554" w14:textId="77777777" w:rsidTr="007479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0D6BDD24" w14:textId="77777777" w:rsidR="00607C8A" w:rsidRPr="008924E0" w:rsidRDefault="00607C8A" w:rsidP="000B085B">
            <w:pPr>
              <w:rPr>
                <w:rFonts w:eastAsia="Calibri"/>
                <w:lang w:val="bs-Latn-BA"/>
              </w:rPr>
            </w:pPr>
            <w:r w:rsidRPr="008924E0">
              <w:rPr>
                <w:rFonts w:eastAsia="Calibri"/>
                <w:lang w:val="bs-Latn-BA"/>
              </w:rPr>
              <w:t xml:space="preserve">Karakteristike stambenog fonda </w:t>
            </w:r>
          </w:p>
        </w:tc>
        <w:tc>
          <w:tcPr>
            <w:tcW w:w="492" w:type="pct"/>
          </w:tcPr>
          <w:p w14:paraId="7E0F6D2A"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2020. </w:t>
            </w:r>
          </w:p>
          <w:p w14:paraId="30DBE237"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godina</w:t>
            </w:r>
          </w:p>
        </w:tc>
        <w:tc>
          <w:tcPr>
            <w:tcW w:w="808" w:type="pct"/>
          </w:tcPr>
          <w:p w14:paraId="7E82187E"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2030. </w:t>
            </w:r>
          </w:p>
          <w:p w14:paraId="5FF282AC"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godina</w:t>
            </w:r>
          </w:p>
        </w:tc>
        <w:tc>
          <w:tcPr>
            <w:tcW w:w="745" w:type="pct"/>
          </w:tcPr>
          <w:p w14:paraId="758BE5B6"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2040. </w:t>
            </w:r>
          </w:p>
          <w:p w14:paraId="12F8602B"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godina</w:t>
            </w:r>
          </w:p>
        </w:tc>
        <w:tc>
          <w:tcPr>
            <w:tcW w:w="633" w:type="pct"/>
          </w:tcPr>
          <w:p w14:paraId="5D8E1E92"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2050. </w:t>
            </w:r>
          </w:p>
          <w:p w14:paraId="3037B5C9" w14:textId="77777777" w:rsidR="00607C8A" w:rsidRPr="008924E0" w:rsidRDefault="00607C8A" w:rsidP="000B085B">
            <w:pPr>
              <w:jc w:val="right"/>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godina </w:t>
            </w:r>
          </w:p>
        </w:tc>
      </w:tr>
      <w:tr w:rsidR="00747955" w:rsidRPr="008924E0" w14:paraId="1D481831" w14:textId="77777777"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5EE46207" w14:textId="77777777" w:rsidR="00607C8A" w:rsidRPr="008924E0" w:rsidRDefault="00607C8A" w:rsidP="000B085B">
            <w:pPr>
              <w:rPr>
                <w:rFonts w:eastAsia="Calibri"/>
                <w:lang w:val="bs-Latn-BA"/>
              </w:rPr>
            </w:pPr>
            <w:r w:rsidRPr="008924E0">
              <w:rPr>
                <w:lang w:val="bs-Latn-BA"/>
              </w:rPr>
              <w:t xml:space="preserve">Broj zgrada </w:t>
            </w:r>
          </w:p>
        </w:tc>
        <w:tc>
          <w:tcPr>
            <w:tcW w:w="492" w:type="pct"/>
          </w:tcPr>
          <w:p w14:paraId="7A919090"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688.864</w:t>
            </w:r>
          </w:p>
        </w:tc>
        <w:tc>
          <w:tcPr>
            <w:tcW w:w="808" w:type="pct"/>
          </w:tcPr>
          <w:p w14:paraId="3D63E557"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786.600</w:t>
            </w:r>
          </w:p>
        </w:tc>
        <w:tc>
          <w:tcPr>
            <w:tcW w:w="745" w:type="pct"/>
          </w:tcPr>
          <w:p w14:paraId="3C620C5A"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874.864</w:t>
            </w:r>
          </w:p>
        </w:tc>
        <w:tc>
          <w:tcPr>
            <w:tcW w:w="633" w:type="pct"/>
          </w:tcPr>
          <w:p w14:paraId="1880B90E"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990.286</w:t>
            </w:r>
          </w:p>
        </w:tc>
      </w:tr>
      <w:tr w:rsidR="00747955" w:rsidRPr="008924E0" w14:paraId="4EB72E28" w14:textId="77777777" w:rsidTr="00747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71D4DBED" w14:textId="77777777" w:rsidR="00607C8A" w:rsidRPr="008924E0" w:rsidRDefault="00607C8A" w:rsidP="000B085B">
            <w:pPr>
              <w:rPr>
                <w:rFonts w:eastAsia="Calibri"/>
                <w:lang w:val="bs-Latn-BA"/>
              </w:rPr>
            </w:pPr>
            <w:r w:rsidRPr="008924E0">
              <w:rPr>
                <w:lang w:val="bs-Latn-BA"/>
              </w:rPr>
              <w:t>Potrošnja energije, GWh/god.</w:t>
            </w:r>
          </w:p>
        </w:tc>
        <w:tc>
          <w:tcPr>
            <w:tcW w:w="492" w:type="pct"/>
          </w:tcPr>
          <w:p w14:paraId="0E0601EC"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11.116</w:t>
            </w:r>
          </w:p>
        </w:tc>
        <w:tc>
          <w:tcPr>
            <w:tcW w:w="808" w:type="pct"/>
          </w:tcPr>
          <w:p w14:paraId="178460BA"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10.715</w:t>
            </w:r>
          </w:p>
        </w:tc>
        <w:tc>
          <w:tcPr>
            <w:tcW w:w="745" w:type="pct"/>
          </w:tcPr>
          <w:p w14:paraId="4C7F7691"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9.944</w:t>
            </w:r>
          </w:p>
        </w:tc>
        <w:tc>
          <w:tcPr>
            <w:tcW w:w="633" w:type="pct"/>
          </w:tcPr>
          <w:p w14:paraId="50F47EF4"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8.986</w:t>
            </w:r>
          </w:p>
        </w:tc>
      </w:tr>
      <w:tr w:rsidR="00747955" w:rsidRPr="008924E0" w14:paraId="7F7E6F77" w14:textId="77777777"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6472945D" w14:textId="25DD8B37" w:rsidR="00607C8A" w:rsidRPr="008924E0" w:rsidRDefault="00607C8A" w:rsidP="000B085B">
            <w:pPr>
              <w:jc w:val="both"/>
              <w:rPr>
                <w:rFonts w:eastAsia="Calibri"/>
                <w:lang w:val="bs-Latn-BA"/>
              </w:rPr>
            </w:pPr>
            <w:r w:rsidRPr="008924E0">
              <w:rPr>
                <w:lang w:val="bs-Latn-BA"/>
              </w:rPr>
              <w:t xml:space="preserve">Broj zgrada obuhvaćenih </w:t>
            </w:r>
            <w:r w:rsidR="00712E17">
              <w:rPr>
                <w:lang w:val="bs-Latn-BA"/>
              </w:rPr>
              <w:t>obnovom</w:t>
            </w:r>
          </w:p>
        </w:tc>
        <w:tc>
          <w:tcPr>
            <w:tcW w:w="492" w:type="pct"/>
          </w:tcPr>
          <w:p w14:paraId="1AB299D7" w14:textId="2C2954C7" w:rsidR="00607C8A" w:rsidRPr="008924E0" w:rsidRDefault="001424DF"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0</w:t>
            </w:r>
          </w:p>
        </w:tc>
        <w:tc>
          <w:tcPr>
            <w:tcW w:w="808" w:type="pct"/>
          </w:tcPr>
          <w:p w14:paraId="50C48FB7"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32.722</w:t>
            </w:r>
          </w:p>
        </w:tc>
        <w:tc>
          <w:tcPr>
            <w:tcW w:w="745" w:type="pct"/>
          </w:tcPr>
          <w:p w14:paraId="1FCA4BAE"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105.177</w:t>
            </w:r>
          </w:p>
        </w:tc>
        <w:tc>
          <w:tcPr>
            <w:tcW w:w="633" w:type="pct"/>
          </w:tcPr>
          <w:p w14:paraId="2EC610C7"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177.633</w:t>
            </w:r>
          </w:p>
        </w:tc>
      </w:tr>
      <w:tr w:rsidR="00747955" w:rsidRPr="008924E0" w14:paraId="3FA0C4FB" w14:textId="77777777" w:rsidTr="00747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30872BE1" w14:textId="3F3280A4" w:rsidR="00607C8A" w:rsidRPr="008924E0" w:rsidRDefault="008D063C" w:rsidP="000B085B">
            <w:pPr>
              <w:rPr>
                <w:rFonts w:eastAsia="Calibri"/>
                <w:lang w:val="bs-Latn-BA"/>
              </w:rPr>
            </w:pPr>
            <w:r>
              <w:rPr>
                <w:lang w:val="bs-Latn-BA"/>
              </w:rPr>
              <w:t>Obnovljena</w:t>
            </w:r>
            <w:r w:rsidRPr="008924E0">
              <w:rPr>
                <w:lang w:val="bs-Latn-BA"/>
              </w:rPr>
              <w:t xml:space="preserve"> </w:t>
            </w:r>
            <w:r w:rsidR="00607C8A" w:rsidRPr="008924E0">
              <w:rPr>
                <w:lang w:val="bs-Latn-BA"/>
              </w:rPr>
              <w:t>korisna površina, m</w:t>
            </w:r>
            <w:r w:rsidR="00607C8A" w:rsidRPr="008924E0">
              <w:rPr>
                <w:vertAlign w:val="superscript"/>
                <w:lang w:val="bs-Latn-BA"/>
              </w:rPr>
              <w:t>2</w:t>
            </w:r>
          </w:p>
        </w:tc>
        <w:tc>
          <w:tcPr>
            <w:tcW w:w="492" w:type="pct"/>
          </w:tcPr>
          <w:p w14:paraId="4CAB361F"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0</w:t>
            </w:r>
          </w:p>
        </w:tc>
        <w:tc>
          <w:tcPr>
            <w:tcW w:w="808" w:type="pct"/>
          </w:tcPr>
          <w:p w14:paraId="5F4825DE"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8.344.088</w:t>
            </w:r>
          </w:p>
        </w:tc>
        <w:tc>
          <w:tcPr>
            <w:tcW w:w="745" w:type="pct"/>
          </w:tcPr>
          <w:p w14:paraId="6DE190FC"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15.922.298</w:t>
            </w:r>
          </w:p>
        </w:tc>
        <w:tc>
          <w:tcPr>
            <w:tcW w:w="633" w:type="pct"/>
          </w:tcPr>
          <w:p w14:paraId="0183FD80"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23.483.657</w:t>
            </w:r>
          </w:p>
        </w:tc>
      </w:tr>
      <w:tr w:rsidR="00747955" w:rsidRPr="008924E0" w14:paraId="32F8A5C3" w14:textId="77777777"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15B1B4D8" w14:textId="0F7DEE3F" w:rsidR="00607C8A" w:rsidRPr="008924E0" w:rsidRDefault="008D063C" w:rsidP="000B085B">
            <w:pPr>
              <w:rPr>
                <w:rFonts w:eastAsia="Calibri"/>
                <w:lang w:val="bs-Latn-BA"/>
              </w:rPr>
            </w:pPr>
            <w:r>
              <w:rPr>
                <w:lang w:val="bs-Latn-BA"/>
              </w:rPr>
              <w:t>Obnovljena</w:t>
            </w:r>
            <w:r w:rsidRPr="008924E0">
              <w:rPr>
                <w:lang w:val="bs-Latn-BA"/>
              </w:rPr>
              <w:t xml:space="preserve"> </w:t>
            </w:r>
            <w:r w:rsidR="00607C8A" w:rsidRPr="008924E0">
              <w:rPr>
                <w:lang w:val="bs-Latn-BA"/>
              </w:rPr>
              <w:t>bruto površina, m</w:t>
            </w:r>
            <w:r w:rsidR="00607C8A" w:rsidRPr="008924E0">
              <w:rPr>
                <w:vertAlign w:val="superscript"/>
                <w:lang w:val="bs-Latn-BA"/>
              </w:rPr>
              <w:t>2</w:t>
            </w:r>
          </w:p>
        </w:tc>
        <w:tc>
          <w:tcPr>
            <w:tcW w:w="492" w:type="pct"/>
          </w:tcPr>
          <w:p w14:paraId="5D73715F"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0</w:t>
            </w:r>
          </w:p>
        </w:tc>
        <w:tc>
          <w:tcPr>
            <w:tcW w:w="808" w:type="pct"/>
          </w:tcPr>
          <w:p w14:paraId="30D13E7A"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12.808.112</w:t>
            </w:r>
          </w:p>
        </w:tc>
        <w:tc>
          <w:tcPr>
            <w:tcW w:w="745" w:type="pct"/>
          </w:tcPr>
          <w:p w14:paraId="6656968D"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24.991.685</w:t>
            </w:r>
          </w:p>
        </w:tc>
        <w:tc>
          <w:tcPr>
            <w:tcW w:w="633" w:type="pct"/>
          </w:tcPr>
          <w:p w14:paraId="22DA7CF6"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37.149.971</w:t>
            </w:r>
          </w:p>
        </w:tc>
      </w:tr>
      <w:tr w:rsidR="00747955" w:rsidRPr="008924E0" w14:paraId="786CEB75" w14:textId="77777777" w:rsidTr="007479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07FBECC1" w14:textId="6D29921E" w:rsidR="00607C8A" w:rsidRPr="008924E0" w:rsidRDefault="00607C8A" w:rsidP="000B085B">
            <w:pPr>
              <w:rPr>
                <w:rFonts w:eastAsia="Calibri"/>
                <w:lang w:val="bs-Latn-BA"/>
              </w:rPr>
            </w:pPr>
            <w:r w:rsidRPr="008924E0">
              <w:rPr>
                <w:rFonts w:eastAsia="Calibri"/>
                <w:lang w:val="bs-Latn-BA"/>
              </w:rPr>
              <w:t xml:space="preserve">Ušteda energije primjenom mjera energijske </w:t>
            </w:r>
            <w:r w:rsidR="008D063C">
              <w:rPr>
                <w:rFonts w:eastAsia="Calibri"/>
                <w:lang w:val="bs-Latn-BA"/>
              </w:rPr>
              <w:t>obnove</w:t>
            </w:r>
            <w:r w:rsidRPr="008924E0">
              <w:rPr>
                <w:rFonts w:eastAsia="Calibri"/>
                <w:lang w:val="bs-Latn-BA"/>
              </w:rPr>
              <w:t>, GWh</w:t>
            </w:r>
          </w:p>
        </w:tc>
        <w:tc>
          <w:tcPr>
            <w:tcW w:w="492" w:type="pct"/>
          </w:tcPr>
          <w:p w14:paraId="66B66374"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0</w:t>
            </w:r>
          </w:p>
        </w:tc>
        <w:tc>
          <w:tcPr>
            <w:tcW w:w="808" w:type="pct"/>
          </w:tcPr>
          <w:p w14:paraId="7E1253F2"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928</w:t>
            </w:r>
          </w:p>
        </w:tc>
        <w:tc>
          <w:tcPr>
            <w:tcW w:w="745" w:type="pct"/>
          </w:tcPr>
          <w:p w14:paraId="202B5FF4"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2.151</w:t>
            </w:r>
          </w:p>
        </w:tc>
        <w:tc>
          <w:tcPr>
            <w:tcW w:w="633" w:type="pct"/>
          </w:tcPr>
          <w:p w14:paraId="3B0CE2FE" w14:textId="77777777" w:rsidR="00607C8A" w:rsidRPr="008924E0" w:rsidRDefault="00607C8A" w:rsidP="000B085B">
            <w:pPr>
              <w:jc w:val="right"/>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3.532</w:t>
            </w:r>
          </w:p>
        </w:tc>
      </w:tr>
      <w:tr w:rsidR="00747955" w:rsidRPr="008924E0" w14:paraId="19D6E3A3" w14:textId="77777777" w:rsidTr="00747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pct"/>
          </w:tcPr>
          <w:p w14:paraId="0591E8C2" w14:textId="7BC6D02A" w:rsidR="00607C8A" w:rsidRPr="008924E0" w:rsidRDefault="00607C8A" w:rsidP="000B085B">
            <w:pPr>
              <w:rPr>
                <w:rFonts w:eastAsia="Calibri"/>
                <w:lang w:val="bs-Latn-BA"/>
              </w:rPr>
            </w:pPr>
            <w:r w:rsidRPr="008924E0">
              <w:rPr>
                <w:rFonts w:eastAsia="Calibri"/>
                <w:lang w:val="bs-Latn-BA"/>
              </w:rPr>
              <w:t>Ušteda emisije CO</w:t>
            </w:r>
            <w:r w:rsidRPr="008924E0">
              <w:rPr>
                <w:rFonts w:eastAsia="Calibri"/>
                <w:vertAlign w:val="subscript"/>
                <w:lang w:val="bs-Latn-BA"/>
              </w:rPr>
              <w:t>2</w:t>
            </w:r>
            <w:r w:rsidRPr="008924E0">
              <w:rPr>
                <w:rFonts w:eastAsia="Calibri"/>
                <w:lang w:val="bs-Latn-BA"/>
              </w:rPr>
              <w:t>, 10</w:t>
            </w:r>
            <w:r w:rsidR="00066C30" w:rsidRPr="00066C30">
              <w:rPr>
                <w:rFonts w:eastAsia="Calibri"/>
                <w:vertAlign w:val="superscript"/>
                <w:lang w:val="bs-Latn-BA"/>
              </w:rPr>
              <w:t>3</w:t>
            </w:r>
            <w:r w:rsidRPr="008924E0">
              <w:rPr>
                <w:rFonts w:eastAsia="Calibri"/>
                <w:lang w:val="bs-Latn-BA"/>
              </w:rPr>
              <w:t>t/god.</w:t>
            </w:r>
          </w:p>
        </w:tc>
        <w:tc>
          <w:tcPr>
            <w:tcW w:w="492" w:type="pct"/>
          </w:tcPr>
          <w:p w14:paraId="499B1AB1"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0</w:t>
            </w:r>
          </w:p>
        </w:tc>
        <w:tc>
          <w:tcPr>
            <w:tcW w:w="808" w:type="pct"/>
          </w:tcPr>
          <w:p w14:paraId="5E5BC553"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1.017</w:t>
            </w:r>
          </w:p>
        </w:tc>
        <w:tc>
          <w:tcPr>
            <w:tcW w:w="745" w:type="pct"/>
          </w:tcPr>
          <w:p w14:paraId="01ADF6DE"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1.376</w:t>
            </w:r>
          </w:p>
        </w:tc>
        <w:tc>
          <w:tcPr>
            <w:tcW w:w="633" w:type="pct"/>
          </w:tcPr>
          <w:p w14:paraId="09E463D7" w14:textId="77777777" w:rsidR="00607C8A" w:rsidRPr="008924E0" w:rsidRDefault="00607C8A" w:rsidP="000B085B">
            <w:pPr>
              <w:jc w:val="right"/>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1.507</w:t>
            </w:r>
          </w:p>
        </w:tc>
      </w:tr>
    </w:tbl>
    <w:p w14:paraId="5C4E4F89" w14:textId="77777777" w:rsidR="000D3CFF" w:rsidRPr="008924E0" w:rsidRDefault="000D3CFF" w:rsidP="006F579C">
      <w:pPr>
        <w:rPr>
          <w:lang w:val="bs-Latn-BA"/>
        </w:rPr>
      </w:pPr>
    </w:p>
    <w:bookmarkEnd w:id="101"/>
    <w:p w14:paraId="5775044E" w14:textId="04123B1A" w:rsidR="006F579C" w:rsidRPr="008924E0" w:rsidRDefault="006F579C" w:rsidP="006F579C">
      <w:pPr>
        <w:pBdr>
          <w:top w:val="nil"/>
          <w:left w:val="nil"/>
          <w:bottom w:val="nil"/>
          <w:right w:val="nil"/>
          <w:between w:val="nil"/>
        </w:pBdr>
        <w:spacing w:after="0" w:line="240" w:lineRule="auto"/>
        <w:rPr>
          <w:rFonts w:eastAsia="Calibri"/>
          <w:color w:val="000000"/>
          <w:lang w:val="bs-Latn-BA"/>
        </w:rPr>
      </w:pPr>
      <w:r w:rsidRPr="008924E0">
        <w:rPr>
          <w:rFonts w:eastAsia="Calibri"/>
          <w:color w:val="000000"/>
          <w:lang w:val="bs-Latn-BA"/>
        </w:rPr>
        <w:t xml:space="preserve">Troškovi </w:t>
      </w:r>
      <w:r w:rsidR="009A1B42">
        <w:rPr>
          <w:rFonts w:eastAsia="Calibri"/>
          <w:color w:val="000000"/>
          <w:lang w:val="bs-Latn-BA"/>
        </w:rPr>
        <w:t>obnove</w:t>
      </w:r>
      <w:r w:rsidR="009A1B42" w:rsidRPr="008924E0">
        <w:rPr>
          <w:rFonts w:eastAsia="Calibri"/>
          <w:color w:val="000000"/>
          <w:lang w:val="bs-Latn-BA"/>
        </w:rPr>
        <w:t xml:space="preserve"> </w:t>
      </w:r>
      <w:r w:rsidRPr="008924E0">
        <w:rPr>
          <w:rFonts w:eastAsia="Calibri"/>
          <w:color w:val="000000"/>
          <w:lang w:val="bs-Latn-BA"/>
        </w:rPr>
        <w:t>svake kategorije zgrada određeni su korištenjem metodologije razvijene u okviru projekta „Troškovnik obnove zgrada predstavnika stambenog fonda u Bosni i Hercegovini„</w:t>
      </w:r>
      <w:r w:rsidRPr="008924E0">
        <w:rPr>
          <w:rFonts w:eastAsia="Calibri"/>
          <w:color w:val="000000"/>
          <w:vertAlign w:val="superscript"/>
          <w:lang w:val="bs-Latn-BA"/>
        </w:rPr>
        <w:footnoteReference w:id="29"/>
      </w:r>
      <w:r w:rsidRPr="00BD138C">
        <w:rPr>
          <w:rFonts w:eastAsia="Calibri"/>
          <w:color w:val="000000"/>
          <w:vertAlign w:val="superscript"/>
          <w:lang w:val="bs-Latn-BA"/>
        </w:rPr>
        <w:t>,</w:t>
      </w:r>
      <w:r w:rsidRPr="008924E0">
        <w:rPr>
          <w:rFonts w:eastAsia="Calibri"/>
          <w:color w:val="000000"/>
          <w:vertAlign w:val="superscript"/>
          <w:lang w:val="bs-Latn-BA"/>
        </w:rPr>
        <w:footnoteReference w:id="30"/>
      </w:r>
      <w:r w:rsidRPr="008924E0">
        <w:rPr>
          <w:rFonts w:eastAsia="Calibri"/>
          <w:color w:val="000000"/>
          <w:lang w:val="bs-Latn-BA"/>
        </w:rPr>
        <w:t>. Za različite kategorije zgrada</w:t>
      </w:r>
      <w:r w:rsidR="00F2619D">
        <w:rPr>
          <w:rFonts w:eastAsia="Calibri"/>
          <w:color w:val="000000"/>
          <w:lang w:val="bs-Latn-BA"/>
        </w:rPr>
        <w:t xml:space="preserve"> (SH</w:t>
      </w:r>
      <w:r w:rsidR="00D246FE">
        <w:rPr>
          <w:rFonts w:eastAsia="Calibri"/>
          <w:color w:val="000000"/>
          <w:lang w:val="bs-Latn-BA"/>
        </w:rPr>
        <w:t>, MH, AB i</w:t>
      </w:r>
      <w:r w:rsidR="00F2619D">
        <w:rPr>
          <w:rFonts w:eastAsia="Calibri"/>
          <w:color w:val="000000"/>
          <w:lang w:val="bs-Latn-BA"/>
        </w:rPr>
        <w:t xml:space="preserve"> H)</w:t>
      </w:r>
      <w:r w:rsidRPr="008924E0">
        <w:rPr>
          <w:rFonts w:eastAsia="Calibri"/>
          <w:color w:val="000000"/>
          <w:lang w:val="bs-Latn-BA"/>
        </w:rPr>
        <w:t xml:space="preserve"> i različite nivoe </w:t>
      </w:r>
      <w:r w:rsidR="007C7BEC">
        <w:rPr>
          <w:rFonts w:eastAsia="Calibri"/>
          <w:color w:val="000000"/>
          <w:lang w:val="bs-Latn-BA"/>
        </w:rPr>
        <w:t>obnove</w:t>
      </w:r>
      <w:r w:rsidR="007C7BEC" w:rsidRPr="008924E0">
        <w:rPr>
          <w:rFonts w:eastAsia="Calibri"/>
          <w:color w:val="000000"/>
          <w:lang w:val="bs-Latn-BA"/>
        </w:rPr>
        <w:t xml:space="preserve"> </w:t>
      </w:r>
      <w:r w:rsidR="00F2619D">
        <w:rPr>
          <w:rFonts w:eastAsia="Calibri"/>
          <w:color w:val="000000"/>
          <w:lang w:val="bs-Latn-BA"/>
        </w:rPr>
        <w:t xml:space="preserve">(plitka, srednja i duboka) </w:t>
      </w:r>
      <w:r w:rsidRPr="008924E0">
        <w:rPr>
          <w:rFonts w:eastAsia="Calibri"/>
          <w:color w:val="000000"/>
          <w:lang w:val="bs-Latn-BA"/>
        </w:rPr>
        <w:t xml:space="preserve">troškovi </w:t>
      </w:r>
      <w:r w:rsidR="007C7BEC">
        <w:rPr>
          <w:rFonts w:eastAsia="Calibri"/>
          <w:color w:val="000000"/>
          <w:lang w:val="bs-Latn-BA"/>
        </w:rPr>
        <w:t>obnove</w:t>
      </w:r>
      <w:r w:rsidR="007C7BEC" w:rsidRPr="008924E0">
        <w:rPr>
          <w:rFonts w:eastAsia="Calibri"/>
          <w:color w:val="000000"/>
          <w:lang w:val="bs-Latn-BA"/>
        </w:rPr>
        <w:t xml:space="preserve"> </w:t>
      </w:r>
      <w:r w:rsidRPr="008924E0">
        <w:rPr>
          <w:rFonts w:eastAsia="Calibri"/>
          <w:color w:val="000000"/>
          <w:lang w:val="bs-Latn-BA"/>
        </w:rPr>
        <w:t xml:space="preserve">variraju. Za planirani nivo </w:t>
      </w:r>
      <w:r w:rsidR="007C7BEC">
        <w:rPr>
          <w:rFonts w:eastAsia="Calibri"/>
          <w:color w:val="000000"/>
          <w:lang w:val="bs-Latn-BA"/>
        </w:rPr>
        <w:t>obnove</w:t>
      </w:r>
      <w:r w:rsidRPr="008924E0">
        <w:rPr>
          <w:rFonts w:eastAsia="Calibri"/>
          <w:color w:val="000000"/>
          <w:lang w:val="bs-Latn-BA"/>
        </w:rPr>
        <w:t xml:space="preserve">, tip zgrade i broj zgrada koje se </w:t>
      </w:r>
      <w:r w:rsidR="00F8605C">
        <w:rPr>
          <w:rFonts w:eastAsia="Calibri"/>
          <w:color w:val="000000"/>
          <w:lang w:val="bs-Latn-BA"/>
        </w:rPr>
        <w:t>obnavljaju</w:t>
      </w:r>
      <w:r w:rsidR="00F8605C" w:rsidRPr="008924E0">
        <w:rPr>
          <w:rFonts w:eastAsia="Calibri"/>
          <w:color w:val="000000"/>
          <w:lang w:val="bs-Latn-BA"/>
        </w:rPr>
        <w:t xml:space="preserve"> </w:t>
      </w:r>
      <w:r w:rsidRPr="008924E0">
        <w:rPr>
          <w:rFonts w:eastAsia="Calibri"/>
          <w:color w:val="000000"/>
          <w:lang w:val="bs-Latn-BA"/>
        </w:rPr>
        <w:t xml:space="preserve">izračunati su godišnji troškovi </w:t>
      </w:r>
      <w:r w:rsidR="007C7BEC">
        <w:rPr>
          <w:rFonts w:eastAsia="Calibri"/>
          <w:color w:val="000000"/>
          <w:lang w:val="bs-Latn-BA"/>
        </w:rPr>
        <w:t>obnove</w:t>
      </w:r>
      <w:r w:rsidRPr="008924E0">
        <w:rPr>
          <w:rFonts w:eastAsia="Calibri"/>
          <w:color w:val="000000"/>
          <w:lang w:val="bs-Latn-BA"/>
        </w:rPr>
        <w:t xml:space="preserve">. Ukupni troškovi </w:t>
      </w:r>
      <w:r w:rsidR="007C7BEC">
        <w:rPr>
          <w:rFonts w:eastAsia="Calibri"/>
          <w:color w:val="000000"/>
          <w:lang w:val="bs-Latn-BA"/>
        </w:rPr>
        <w:t>obnove</w:t>
      </w:r>
      <w:r w:rsidR="007C7BEC" w:rsidRPr="008924E0">
        <w:rPr>
          <w:rFonts w:eastAsia="Calibri"/>
          <w:color w:val="000000"/>
          <w:lang w:val="bs-Latn-BA"/>
        </w:rPr>
        <w:t xml:space="preserve"> </w:t>
      </w:r>
      <w:r w:rsidRPr="008924E0">
        <w:rPr>
          <w:rFonts w:eastAsia="Calibri"/>
          <w:color w:val="000000"/>
          <w:lang w:val="bs-Latn-BA"/>
        </w:rPr>
        <w:t xml:space="preserve">stambenog fonda u FBIH su prikazani u </w:t>
      </w:r>
      <w:r w:rsidR="003111CD">
        <w:rPr>
          <w:rFonts w:eastAsia="Calibri"/>
          <w:color w:val="000000"/>
          <w:lang w:val="bs-Latn-BA"/>
        </w:rPr>
        <w:t>Tabeli 6.7.</w:t>
      </w:r>
    </w:p>
    <w:p w14:paraId="3F3306DE" w14:textId="77777777" w:rsidR="006F579C" w:rsidRPr="008924E0" w:rsidRDefault="006F579C" w:rsidP="006F579C">
      <w:pPr>
        <w:pBdr>
          <w:top w:val="nil"/>
          <w:left w:val="nil"/>
          <w:bottom w:val="nil"/>
          <w:right w:val="nil"/>
          <w:between w:val="nil"/>
        </w:pBdr>
        <w:spacing w:after="0" w:line="240" w:lineRule="auto"/>
        <w:jc w:val="left"/>
        <w:rPr>
          <w:rFonts w:eastAsia="Calibri"/>
          <w:color w:val="000000"/>
          <w:lang w:val="bs-Latn-BA"/>
        </w:rPr>
      </w:pPr>
    </w:p>
    <w:p w14:paraId="051D9314" w14:textId="12AB9553" w:rsidR="001025F7" w:rsidRPr="008924E0" w:rsidRDefault="001025F7" w:rsidP="001025F7">
      <w:pPr>
        <w:pStyle w:val="Caption"/>
        <w:keepNext/>
      </w:pPr>
      <w:bookmarkStart w:id="105" w:name="_Ref130754556"/>
      <w:bookmarkStart w:id="106" w:name="_Toc133499552"/>
      <w:r w:rsidRPr="008924E0">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7</w:t>
      </w:r>
      <w:r w:rsidR="00000000">
        <w:rPr>
          <w:noProof/>
        </w:rPr>
        <w:fldChar w:fldCharType="end"/>
      </w:r>
      <w:bookmarkEnd w:id="105"/>
      <w:r w:rsidRPr="00F73614">
        <w:t xml:space="preserve"> Troškovi </w:t>
      </w:r>
      <w:r w:rsidR="00010793" w:rsidRPr="00F73614">
        <w:t>energij</w:t>
      </w:r>
      <w:r w:rsidRPr="00F73614">
        <w:t xml:space="preserve">ske </w:t>
      </w:r>
      <w:r w:rsidR="007C7BEC" w:rsidRPr="00F73614">
        <w:t xml:space="preserve">obnove </w:t>
      </w:r>
      <w:r w:rsidRPr="00F73614">
        <w:t>stambenog fonda zgrada FBiH</w:t>
      </w:r>
      <w:bookmarkEnd w:id="106"/>
    </w:p>
    <w:tbl>
      <w:tblPr>
        <w:tblpPr w:leftFromText="180" w:rightFromText="180" w:vertAnchor="text" w:tblpY="1"/>
        <w:tblOverlap w:val="never"/>
        <w:tblW w:w="7508"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543"/>
        <w:gridCol w:w="896"/>
        <w:gridCol w:w="943"/>
        <w:gridCol w:w="992"/>
        <w:gridCol w:w="1134"/>
      </w:tblGrid>
      <w:tr w:rsidR="006F579C" w:rsidRPr="008924E0" w14:paraId="026AB201" w14:textId="77777777" w:rsidTr="00F73614">
        <w:tc>
          <w:tcPr>
            <w:tcW w:w="7508" w:type="dxa"/>
            <w:gridSpan w:val="5"/>
            <w:shd w:val="clear" w:color="auto" w:fill="006432"/>
          </w:tcPr>
          <w:p w14:paraId="17005287" w14:textId="69D418CC" w:rsidR="006F579C" w:rsidRPr="008924E0" w:rsidRDefault="00F73614" w:rsidP="00F73614">
            <w:pPr>
              <w:tabs>
                <w:tab w:val="left" w:pos="1455"/>
                <w:tab w:val="center" w:pos="3646"/>
              </w:tabs>
              <w:spacing w:after="0" w:line="240" w:lineRule="auto"/>
              <w:jc w:val="left"/>
              <w:rPr>
                <w:rFonts w:eastAsia="Calibri"/>
                <w:b/>
                <w:sz w:val="20"/>
                <w:szCs w:val="20"/>
                <w:lang w:val="bs-Latn-BA"/>
              </w:rPr>
            </w:pPr>
            <w:r>
              <w:rPr>
                <w:rFonts w:eastAsia="Calibri"/>
                <w:b/>
                <w:sz w:val="20"/>
                <w:szCs w:val="20"/>
                <w:lang w:val="bs-Latn-BA"/>
              </w:rPr>
              <w:tab/>
            </w:r>
            <w:r>
              <w:rPr>
                <w:rFonts w:eastAsia="Calibri"/>
                <w:b/>
                <w:sz w:val="20"/>
                <w:szCs w:val="20"/>
                <w:lang w:val="bs-Latn-BA"/>
              </w:rPr>
              <w:tab/>
            </w:r>
            <w:r w:rsidR="006F579C" w:rsidRPr="00F73614">
              <w:rPr>
                <w:rFonts w:eastAsia="Calibri"/>
                <w:b/>
                <w:color w:val="FFFFFF" w:themeColor="background1"/>
                <w:sz w:val="20"/>
                <w:szCs w:val="20"/>
                <w:lang w:val="bs-Latn-BA"/>
              </w:rPr>
              <w:t xml:space="preserve">Trošak energijske </w:t>
            </w:r>
            <w:r w:rsidR="007C7BEC" w:rsidRPr="00F73614">
              <w:rPr>
                <w:rFonts w:eastAsia="Calibri"/>
                <w:b/>
                <w:color w:val="FFFFFF" w:themeColor="background1"/>
                <w:sz w:val="20"/>
                <w:szCs w:val="20"/>
                <w:lang w:val="bs-Latn-BA"/>
              </w:rPr>
              <w:t>obnove</w:t>
            </w:r>
            <w:r w:rsidR="006F579C" w:rsidRPr="00F73614">
              <w:rPr>
                <w:rFonts w:eastAsia="Calibri"/>
                <w:b/>
                <w:color w:val="FFFFFF" w:themeColor="background1"/>
                <w:sz w:val="20"/>
                <w:szCs w:val="20"/>
                <w:lang w:val="bs-Latn-BA"/>
              </w:rPr>
              <w:t>, 10</w:t>
            </w:r>
            <w:r w:rsidR="006F579C" w:rsidRPr="00F73614">
              <w:rPr>
                <w:rFonts w:eastAsia="Calibri"/>
                <w:b/>
                <w:color w:val="FFFFFF" w:themeColor="background1"/>
                <w:sz w:val="20"/>
                <w:szCs w:val="20"/>
                <w:vertAlign w:val="superscript"/>
                <w:lang w:val="bs-Latn-BA"/>
              </w:rPr>
              <w:t>6</w:t>
            </w:r>
            <w:r w:rsidR="006F579C" w:rsidRPr="00F73614">
              <w:rPr>
                <w:rFonts w:eastAsia="Calibri"/>
                <w:b/>
                <w:color w:val="FFFFFF" w:themeColor="background1"/>
                <w:sz w:val="20"/>
                <w:szCs w:val="20"/>
                <w:lang w:val="bs-Latn-BA"/>
              </w:rPr>
              <w:t xml:space="preserve"> BAM</w:t>
            </w:r>
          </w:p>
        </w:tc>
      </w:tr>
      <w:tr w:rsidR="006F579C" w:rsidRPr="008924E0" w14:paraId="43469B27" w14:textId="77777777" w:rsidTr="00F73614">
        <w:tc>
          <w:tcPr>
            <w:tcW w:w="3543" w:type="dxa"/>
            <w:shd w:val="clear" w:color="auto" w:fill="006432"/>
          </w:tcPr>
          <w:p w14:paraId="523B833D" w14:textId="6C08DD53" w:rsidR="006F579C" w:rsidRPr="008924E0" w:rsidRDefault="006F579C" w:rsidP="00F73614">
            <w:pPr>
              <w:tabs>
                <w:tab w:val="left" w:pos="2175"/>
              </w:tabs>
              <w:spacing w:after="0" w:line="240" w:lineRule="auto"/>
              <w:jc w:val="left"/>
              <w:rPr>
                <w:rFonts w:eastAsia="Calibri"/>
                <w:b/>
                <w:color w:val="FFFFFF"/>
                <w:sz w:val="20"/>
                <w:szCs w:val="20"/>
                <w:lang w:val="bs-Latn-BA"/>
              </w:rPr>
            </w:pPr>
            <w:r w:rsidRPr="008924E0">
              <w:rPr>
                <w:rFonts w:eastAsia="Calibri"/>
                <w:b/>
                <w:color w:val="FFFFFF"/>
                <w:sz w:val="20"/>
                <w:szCs w:val="20"/>
                <w:lang w:val="bs-Latn-BA"/>
              </w:rPr>
              <w:t xml:space="preserve">Scenarij </w:t>
            </w:r>
            <w:r w:rsidR="007C7BEC">
              <w:rPr>
                <w:rFonts w:eastAsia="Calibri"/>
                <w:b/>
                <w:color w:val="FFFFFF"/>
                <w:sz w:val="20"/>
                <w:szCs w:val="20"/>
                <w:lang w:val="bs-Latn-BA"/>
              </w:rPr>
              <w:t>obnove</w:t>
            </w:r>
            <w:r w:rsidR="00F73614">
              <w:rPr>
                <w:rFonts w:eastAsia="Calibri"/>
                <w:b/>
                <w:color w:val="FFFFFF"/>
                <w:sz w:val="20"/>
                <w:szCs w:val="20"/>
                <w:lang w:val="bs-Latn-BA"/>
              </w:rPr>
              <w:tab/>
            </w:r>
          </w:p>
        </w:tc>
        <w:tc>
          <w:tcPr>
            <w:tcW w:w="896" w:type="dxa"/>
            <w:shd w:val="clear" w:color="auto" w:fill="006432"/>
          </w:tcPr>
          <w:p w14:paraId="5026A1D0"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2020. </w:t>
            </w:r>
          </w:p>
          <w:p w14:paraId="751A938F"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943" w:type="dxa"/>
            <w:shd w:val="clear" w:color="auto" w:fill="006432"/>
          </w:tcPr>
          <w:p w14:paraId="179BBD7A"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2030. </w:t>
            </w:r>
          </w:p>
          <w:p w14:paraId="4CC0B3C8"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992" w:type="dxa"/>
            <w:shd w:val="clear" w:color="auto" w:fill="006432"/>
          </w:tcPr>
          <w:p w14:paraId="17BDDDEB"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2040. </w:t>
            </w:r>
          </w:p>
          <w:p w14:paraId="69F7472D"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1134" w:type="dxa"/>
            <w:shd w:val="clear" w:color="auto" w:fill="006432"/>
          </w:tcPr>
          <w:p w14:paraId="4E727C23"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2050. </w:t>
            </w:r>
          </w:p>
          <w:p w14:paraId="19112F0C" w14:textId="77777777" w:rsidR="006F579C" w:rsidRPr="008924E0" w:rsidRDefault="006F579C" w:rsidP="00F73614">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godina </w:t>
            </w:r>
          </w:p>
        </w:tc>
      </w:tr>
      <w:tr w:rsidR="003D6A20" w:rsidRPr="008924E0" w14:paraId="4432904A" w14:textId="77777777" w:rsidTr="00F73614">
        <w:tc>
          <w:tcPr>
            <w:tcW w:w="3543" w:type="dxa"/>
          </w:tcPr>
          <w:p w14:paraId="06BAFF10" w14:textId="7B018424" w:rsidR="003D6A20" w:rsidRPr="001C4182" w:rsidRDefault="003D6A20" w:rsidP="00F73614">
            <w:pPr>
              <w:spacing w:after="0" w:line="240" w:lineRule="auto"/>
              <w:jc w:val="left"/>
              <w:rPr>
                <w:rFonts w:eastAsia="Calibri"/>
                <w:b/>
                <w:color w:val="000000"/>
                <w:sz w:val="20"/>
                <w:szCs w:val="20"/>
                <w:lang w:val="bs-Latn-BA"/>
              </w:rPr>
            </w:pPr>
            <w:r w:rsidRPr="001C4182">
              <w:rPr>
                <w:rFonts w:eastAsia="Calibri"/>
                <w:b/>
                <w:color w:val="000000"/>
                <w:sz w:val="20"/>
                <w:szCs w:val="20"/>
                <w:lang w:val="bs-Latn-BA"/>
              </w:rPr>
              <w:t xml:space="preserve">Obnova 1,5 % korisne grijane površine  </w:t>
            </w:r>
          </w:p>
        </w:tc>
        <w:tc>
          <w:tcPr>
            <w:tcW w:w="896" w:type="dxa"/>
            <w:vAlign w:val="center"/>
          </w:tcPr>
          <w:p w14:paraId="4ED7BEC3" w14:textId="34433C11" w:rsidR="003D6A20" w:rsidRPr="003D6A20" w:rsidRDefault="003D6A20" w:rsidP="00F73614">
            <w:pPr>
              <w:spacing w:after="0" w:line="240" w:lineRule="auto"/>
              <w:jc w:val="right"/>
              <w:rPr>
                <w:rFonts w:ascii="Corbel" w:hAnsi="Corbel" w:cs="Corbel"/>
                <w:sz w:val="20"/>
                <w:szCs w:val="20"/>
                <w:lang w:val="bs-Latn-BA"/>
              </w:rPr>
            </w:pPr>
            <w:r w:rsidRPr="003D6A20">
              <w:rPr>
                <w:color w:val="000000"/>
                <w:sz w:val="20"/>
                <w:szCs w:val="20"/>
              </w:rPr>
              <w:t>325,23</w:t>
            </w:r>
          </w:p>
        </w:tc>
        <w:tc>
          <w:tcPr>
            <w:tcW w:w="943" w:type="dxa"/>
            <w:vAlign w:val="center"/>
          </w:tcPr>
          <w:p w14:paraId="45BE1049" w14:textId="2E40DA45" w:rsidR="003D6A20" w:rsidRPr="003D6A20" w:rsidRDefault="003D6A20" w:rsidP="00F73614">
            <w:pPr>
              <w:spacing w:after="0" w:line="240" w:lineRule="auto"/>
              <w:jc w:val="right"/>
              <w:rPr>
                <w:rFonts w:ascii="Corbel" w:hAnsi="Corbel" w:cs="Corbel"/>
                <w:sz w:val="20"/>
                <w:szCs w:val="20"/>
                <w:lang w:val="bs-Latn-BA"/>
              </w:rPr>
            </w:pPr>
            <w:r w:rsidRPr="003D6A20">
              <w:rPr>
                <w:sz w:val="20"/>
                <w:szCs w:val="20"/>
              </w:rPr>
              <w:t>3.504,38</w:t>
            </w:r>
          </w:p>
        </w:tc>
        <w:tc>
          <w:tcPr>
            <w:tcW w:w="992" w:type="dxa"/>
            <w:vAlign w:val="center"/>
          </w:tcPr>
          <w:p w14:paraId="2783AB5E" w14:textId="16B2DA05" w:rsidR="003D6A20" w:rsidRPr="003D6A20" w:rsidRDefault="003D6A20" w:rsidP="00F73614">
            <w:pPr>
              <w:spacing w:after="0" w:line="240" w:lineRule="auto"/>
              <w:jc w:val="right"/>
              <w:rPr>
                <w:rFonts w:ascii="Corbel" w:hAnsi="Corbel" w:cs="Corbel"/>
                <w:sz w:val="20"/>
                <w:szCs w:val="20"/>
                <w:lang w:val="bs-Latn-BA"/>
              </w:rPr>
            </w:pPr>
            <w:r w:rsidRPr="003D6A20">
              <w:rPr>
                <w:sz w:val="20"/>
                <w:szCs w:val="20"/>
              </w:rPr>
              <w:t>7.900,92</w:t>
            </w:r>
          </w:p>
        </w:tc>
        <w:tc>
          <w:tcPr>
            <w:tcW w:w="1134" w:type="dxa"/>
            <w:vAlign w:val="center"/>
          </w:tcPr>
          <w:p w14:paraId="01520FBE" w14:textId="59D03804" w:rsidR="003D6A20" w:rsidRPr="00BD138C" w:rsidRDefault="003D6A20" w:rsidP="00F73614">
            <w:pPr>
              <w:spacing w:after="0" w:line="240" w:lineRule="auto"/>
              <w:jc w:val="right"/>
              <w:rPr>
                <w:rFonts w:ascii="Corbel" w:hAnsi="Corbel" w:cs="Corbel"/>
                <w:sz w:val="20"/>
                <w:szCs w:val="20"/>
                <w:lang w:val="bs-Latn-BA"/>
              </w:rPr>
            </w:pPr>
            <w:r w:rsidRPr="00BD138C">
              <w:rPr>
                <w:sz w:val="20"/>
                <w:szCs w:val="20"/>
              </w:rPr>
              <w:t>12.355,29</w:t>
            </w:r>
          </w:p>
        </w:tc>
      </w:tr>
    </w:tbl>
    <w:p w14:paraId="2EB99A30" w14:textId="028359A2" w:rsidR="006F579C" w:rsidRPr="008924E0" w:rsidRDefault="00F73614" w:rsidP="006F579C">
      <w:pPr>
        <w:rPr>
          <w:lang w:val="bs-Latn-BA"/>
        </w:rPr>
      </w:pPr>
      <w:r>
        <w:rPr>
          <w:lang w:val="bs-Latn-BA"/>
        </w:rPr>
        <w:br w:type="textWrapping" w:clear="all"/>
      </w:r>
    </w:p>
    <w:p w14:paraId="6B0B0FC4" w14:textId="58B8F459" w:rsidR="006F579C" w:rsidRPr="008924E0" w:rsidRDefault="006F579C" w:rsidP="006F579C">
      <w:pPr>
        <w:keepNext/>
        <w:keepLines/>
        <w:spacing w:before="40"/>
        <w:outlineLvl w:val="4"/>
        <w:rPr>
          <w:rFonts w:asciiTheme="majorHAnsi" w:eastAsiaTheme="majorEastAsia" w:hAnsiTheme="majorHAnsi" w:cstheme="majorBidi"/>
          <w:b/>
          <w:color w:val="005837"/>
          <w:lang w:val="bs-Latn-BA"/>
        </w:rPr>
      </w:pPr>
      <w:bookmarkStart w:id="107" w:name="_heading=h.xvir7l" w:colFirst="0" w:colLast="0"/>
      <w:bookmarkEnd w:id="107"/>
      <w:r w:rsidRPr="008924E0">
        <w:rPr>
          <w:rFonts w:asciiTheme="majorHAnsi" w:eastAsiaTheme="majorEastAsia" w:hAnsiTheme="majorHAnsi" w:cstheme="majorBidi"/>
          <w:b/>
          <w:color w:val="005837"/>
          <w:lang w:val="bs-Latn-BA"/>
        </w:rPr>
        <w:t xml:space="preserve">Energijska obnova zgrada individualnog i kolektivnog stanovanja </w:t>
      </w:r>
    </w:p>
    <w:p w14:paraId="2268C273" w14:textId="4FA4F5A2" w:rsidR="006F579C" w:rsidRPr="008924E0" w:rsidRDefault="006F579C" w:rsidP="006F579C">
      <w:pPr>
        <w:rPr>
          <w:lang w:val="bs-Latn-BA"/>
        </w:rPr>
      </w:pPr>
      <w:r w:rsidRPr="008924E0">
        <w:rPr>
          <w:lang w:val="bs-Latn-BA"/>
        </w:rPr>
        <w:t xml:space="preserve">Korištenjem podataka o udjelu broja zgrada individualnog i kolektivnog stanovanja u ukupnom fondu zgrada, izračunat je broj zgrada pojedinih </w:t>
      </w:r>
      <w:r w:rsidR="00B17B41" w:rsidRPr="008924E0">
        <w:rPr>
          <w:lang w:val="bs-Latn-BA"/>
        </w:rPr>
        <w:t>kategorija</w:t>
      </w:r>
      <w:r w:rsidRPr="008924E0">
        <w:rPr>
          <w:lang w:val="bs-Latn-BA"/>
        </w:rPr>
        <w:t xml:space="preserve"> za 2020. godinu i data procjena broja </w:t>
      </w:r>
      <w:r w:rsidR="00712E17">
        <w:rPr>
          <w:lang w:val="bs-Latn-BA"/>
        </w:rPr>
        <w:t>obnovljenih</w:t>
      </w:r>
      <w:r w:rsidRPr="008924E0">
        <w:rPr>
          <w:lang w:val="bs-Latn-BA"/>
        </w:rPr>
        <w:t xml:space="preserve"> zgrada za 2050. godinu. Na isti način je izračunata korisna grijana i bruto podna površina zgrada individualnog stanovanja (SFH i TH) i kolektivnog stanovanja </w:t>
      </w:r>
      <w:r w:rsidR="00B23937">
        <w:rPr>
          <w:lang w:val="bs-Latn-BA"/>
        </w:rPr>
        <w:t>(</w:t>
      </w:r>
      <w:r w:rsidR="008D5896">
        <w:rPr>
          <w:lang w:val="bs-Latn-BA"/>
        </w:rPr>
        <w:t xml:space="preserve">MH, </w:t>
      </w:r>
      <w:r w:rsidR="00B23937">
        <w:rPr>
          <w:lang w:val="bs-Latn-BA"/>
        </w:rPr>
        <w:t xml:space="preserve">AB i H), </w:t>
      </w:r>
      <w:r w:rsidRPr="008924E0">
        <w:rPr>
          <w:lang w:val="bs-Latn-BA"/>
        </w:rPr>
        <w:t xml:space="preserve">za 2020. godinu i procjena vrijednosti </w:t>
      </w:r>
      <w:r w:rsidR="00712E17">
        <w:rPr>
          <w:lang w:val="bs-Latn-BA"/>
        </w:rPr>
        <w:t>obnovljene</w:t>
      </w:r>
      <w:r w:rsidRPr="008924E0">
        <w:rPr>
          <w:lang w:val="bs-Latn-BA"/>
        </w:rPr>
        <w:t xml:space="preserve"> korisne grijane i bruto </w:t>
      </w:r>
      <w:r w:rsidR="00B17B41" w:rsidRPr="008924E0">
        <w:rPr>
          <w:lang w:val="bs-Latn-BA"/>
        </w:rPr>
        <w:t>površine</w:t>
      </w:r>
      <w:r w:rsidRPr="008924E0">
        <w:rPr>
          <w:lang w:val="bs-Latn-BA"/>
        </w:rPr>
        <w:t xml:space="preserve"> za 2050. godinu. Ciljne vrijednosti </w:t>
      </w:r>
      <w:r w:rsidR="00F8605C">
        <w:rPr>
          <w:lang w:val="bs-Latn-BA"/>
        </w:rPr>
        <w:t>obnovljenog</w:t>
      </w:r>
      <w:r w:rsidR="00F8605C" w:rsidRPr="008924E0">
        <w:rPr>
          <w:lang w:val="bs-Latn-BA"/>
        </w:rPr>
        <w:t xml:space="preserve"> </w:t>
      </w:r>
      <w:r w:rsidRPr="008924E0">
        <w:rPr>
          <w:lang w:val="bs-Latn-BA"/>
        </w:rPr>
        <w:t xml:space="preserve">broja zgrada i korisne grijane površine za  godišnju </w:t>
      </w:r>
      <w:r w:rsidR="007C7BEC">
        <w:rPr>
          <w:lang w:val="bs-Latn-BA"/>
        </w:rPr>
        <w:t>obnovu</w:t>
      </w:r>
      <w:r w:rsidR="007C7BEC" w:rsidRPr="008924E0">
        <w:rPr>
          <w:lang w:val="bs-Latn-BA"/>
        </w:rPr>
        <w:t xml:space="preserve"> </w:t>
      </w:r>
      <w:r w:rsidRPr="008924E0">
        <w:rPr>
          <w:lang w:val="bs-Latn-BA"/>
        </w:rPr>
        <w:t xml:space="preserve">1,5% korisne grijane površine prema tipovima zgrada su date u Tabeli </w:t>
      </w:r>
      <w:r w:rsidR="004B147A" w:rsidRPr="008924E0">
        <w:rPr>
          <w:lang w:val="bs-Latn-BA"/>
        </w:rPr>
        <w:t>6</w:t>
      </w:r>
      <w:r w:rsidRPr="008924E0">
        <w:rPr>
          <w:lang w:val="bs-Latn-BA"/>
        </w:rPr>
        <w:t>.</w:t>
      </w:r>
      <w:r w:rsidR="003111CD">
        <w:rPr>
          <w:lang w:val="bs-Latn-BA"/>
        </w:rPr>
        <w:t>8</w:t>
      </w:r>
      <w:r w:rsidRPr="008924E0">
        <w:rPr>
          <w:lang w:val="bs-Latn-BA"/>
        </w:rPr>
        <w:t xml:space="preserve">. Vidi se da je udio broja zgrada individualnog stanovanja planiranih za </w:t>
      </w:r>
      <w:r w:rsidR="007C7BEC">
        <w:rPr>
          <w:lang w:val="bs-Latn-BA"/>
        </w:rPr>
        <w:t>obnovu</w:t>
      </w:r>
      <w:r w:rsidR="007C7BEC" w:rsidRPr="008924E0">
        <w:rPr>
          <w:lang w:val="bs-Latn-BA"/>
        </w:rPr>
        <w:t xml:space="preserve"> </w:t>
      </w:r>
      <w:r w:rsidRPr="008924E0">
        <w:rPr>
          <w:lang w:val="bs-Latn-BA"/>
        </w:rPr>
        <w:t xml:space="preserve">značajno veći od broja zgrada kolektivnog stanovanja dok vrijednost </w:t>
      </w:r>
      <w:r w:rsidR="00712E17">
        <w:rPr>
          <w:lang w:val="bs-Latn-BA"/>
        </w:rPr>
        <w:t>obnovljene</w:t>
      </w:r>
      <w:r w:rsidRPr="008924E0">
        <w:rPr>
          <w:lang w:val="bs-Latn-BA"/>
        </w:rPr>
        <w:t xml:space="preserve"> korisne grijane i bruto površine različitih tipova zgrada bilježi suprotan trend i značajno je veća korisna grijana i bruto podna površina </w:t>
      </w:r>
      <w:r w:rsidR="007C7BEC">
        <w:rPr>
          <w:lang w:val="bs-Latn-BA"/>
        </w:rPr>
        <w:t>obnovljenih</w:t>
      </w:r>
      <w:r w:rsidR="007C7BEC" w:rsidRPr="008924E0">
        <w:rPr>
          <w:lang w:val="bs-Latn-BA"/>
        </w:rPr>
        <w:t xml:space="preserve"> </w:t>
      </w:r>
      <w:r w:rsidRPr="008924E0">
        <w:rPr>
          <w:lang w:val="bs-Latn-BA"/>
        </w:rPr>
        <w:t xml:space="preserve">zgrada kolektivnog stanovanja od površine </w:t>
      </w:r>
      <w:r w:rsidR="007C7BEC">
        <w:rPr>
          <w:lang w:val="bs-Latn-BA"/>
        </w:rPr>
        <w:t>obnovljenih</w:t>
      </w:r>
      <w:r w:rsidR="007C7BEC" w:rsidRPr="008924E0">
        <w:rPr>
          <w:lang w:val="bs-Latn-BA"/>
        </w:rPr>
        <w:t xml:space="preserve"> </w:t>
      </w:r>
      <w:r w:rsidRPr="008924E0">
        <w:rPr>
          <w:lang w:val="bs-Latn-BA"/>
        </w:rPr>
        <w:t xml:space="preserve">zgrada individualnog stanovanja. </w:t>
      </w:r>
    </w:p>
    <w:p w14:paraId="0A98C8EE" w14:textId="6D2771B5" w:rsidR="00B735F5" w:rsidRPr="008924E0" w:rsidRDefault="00B735F5" w:rsidP="00B735F5">
      <w:pPr>
        <w:pStyle w:val="Caption"/>
        <w:keepNext/>
      </w:pPr>
      <w:bookmarkStart w:id="108" w:name="_Toc133499553"/>
      <w:r w:rsidRPr="008924E0">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8</w:t>
      </w:r>
      <w:r w:rsidR="00000000">
        <w:rPr>
          <w:noProof/>
        </w:rPr>
        <w:fldChar w:fldCharType="end"/>
      </w:r>
      <w:r w:rsidRPr="00F73614">
        <w:t xml:space="preserve"> Postojeće i ciljne karakteristike stambenog fonda zgrada FBiH prema tipu zgrade (godišnja </w:t>
      </w:r>
      <w:r w:rsidR="007C7BEC" w:rsidRPr="00F73614">
        <w:t xml:space="preserve">obnova </w:t>
      </w:r>
      <w:r w:rsidRPr="00F73614">
        <w:t>1,5 % korisne grijane površine)</w:t>
      </w:r>
      <w:bookmarkEnd w:id="108"/>
    </w:p>
    <w:tbl>
      <w:tblPr>
        <w:tblStyle w:val="57"/>
        <w:tblW w:w="9282" w:type="dxa"/>
        <w:tblLayout w:type="fixed"/>
        <w:tblLook w:val="04A0" w:firstRow="1" w:lastRow="0" w:firstColumn="1" w:lastColumn="0" w:noHBand="0" w:noVBand="1"/>
      </w:tblPr>
      <w:tblGrid>
        <w:gridCol w:w="4285"/>
        <w:gridCol w:w="925"/>
        <w:gridCol w:w="1500"/>
        <w:gridCol w:w="1383"/>
        <w:gridCol w:w="1189"/>
      </w:tblGrid>
      <w:tr w:rsidR="006F579C" w:rsidRPr="008924E0" w14:paraId="0F7CECD2" w14:textId="77777777" w:rsidTr="004D2CBA">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85" w:type="dxa"/>
          </w:tcPr>
          <w:p w14:paraId="00802D90" w14:textId="77777777" w:rsidR="006F579C" w:rsidRPr="008924E0" w:rsidRDefault="006F579C" w:rsidP="006F579C">
            <w:pPr>
              <w:jc w:val="left"/>
              <w:rPr>
                <w:rFonts w:eastAsia="Calibri"/>
                <w:lang w:val="bs-Latn-BA"/>
              </w:rPr>
            </w:pPr>
            <w:r w:rsidRPr="008924E0">
              <w:rPr>
                <w:rFonts w:eastAsia="Calibri"/>
                <w:lang w:val="bs-Latn-BA"/>
              </w:rPr>
              <w:t xml:space="preserve">Karakteristike zgrada individualnog stanovanja </w:t>
            </w:r>
          </w:p>
        </w:tc>
        <w:tc>
          <w:tcPr>
            <w:tcW w:w="925" w:type="dxa"/>
          </w:tcPr>
          <w:p w14:paraId="5060B039"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28555C6B"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500" w:type="dxa"/>
          </w:tcPr>
          <w:p w14:paraId="6DC72E6A"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0D4C8588"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383" w:type="dxa"/>
          </w:tcPr>
          <w:p w14:paraId="4BAB70F9"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0B19CDA3"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189" w:type="dxa"/>
          </w:tcPr>
          <w:p w14:paraId="77F29D22"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31832706"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0A1F18" w:rsidRPr="008924E0" w14:paraId="4F429B66" w14:textId="77777777" w:rsidTr="004D2CB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5" w:type="dxa"/>
          </w:tcPr>
          <w:p w14:paraId="4695ED62" w14:textId="77777777" w:rsidR="006F579C" w:rsidRPr="008924E0" w:rsidRDefault="006F579C" w:rsidP="006F579C">
            <w:pPr>
              <w:jc w:val="left"/>
              <w:rPr>
                <w:rFonts w:eastAsia="Calibri"/>
                <w:color w:val="000000"/>
                <w:lang w:val="bs-Latn-BA"/>
              </w:rPr>
            </w:pPr>
            <w:r w:rsidRPr="008924E0">
              <w:rPr>
                <w:rFonts w:eastAsia="Calibri"/>
                <w:color w:val="000000"/>
                <w:lang w:val="bs-Latn-BA"/>
              </w:rPr>
              <w:t xml:space="preserve">Broj zgrada </w:t>
            </w:r>
          </w:p>
        </w:tc>
        <w:tc>
          <w:tcPr>
            <w:tcW w:w="925" w:type="dxa"/>
          </w:tcPr>
          <w:p w14:paraId="00C0B22E"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671.145</w:t>
            </w:r>
          </w:p>
        </w:tc>
        <w:tc>
          <w:tcPr>
            <w:tcW w:w="1500" w:type="dxa"/>
          </w:tcPr>
          <w:p w14:paraId="7B803F9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766.366</w:t>
            </w:r>
          </w:p>
        </w:tc>
        <w:tc>
          <w:tcPr>
            <w:tcW w:w="1383" w:type="dxa"/>
          </w:tcPr>
          <w:p w14:paraId="021361A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852.360</w:t>
            </w:r>
          </w:p>
        </w:tc>
        <w:tc>
          <w:tcPr>
            <w:tcW w:w="1189" w:type="dxa"/>
          </w:tcPr>
          <w:p w14:paraId="3C95860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964.813</w:t>
            </w:r>
          </w:p>
        </w:tc>
      </w:tr>
      <w:tr w:rsidR="000A1F18" w:rsidRPr="008924E0" w14:paraId="2D2E37D6" w14:textId="77777777" w:rsidTr="004D2CBA">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5" w:type="dxa"/>
          </w:tcPr>
          <w:p w14:paraId="49506A07" w14:textId="1F30D859" w:rsidR="006F579C" w:rsidRPr="008924E0" w:rsidRDefault="006F579C" w:rsidP="006F579C">
            <w:pPr>
              <w:jc w:val="left"/>
              <w:rPr>
                <w:rFonts w:eastAsia="Calibri"/>
                <w:color w:val="000000"/>
                <w:lang w:val="bs-Latn-BA"/>
              </w:rPr>
            </w:pPr>
            <w:r w:rsidRPr="008924E0">
              <w:rPr>
                <w:rFonts w:eastAsia="Calibri"/>
                <w:color w:val="000000"/>
                <w:lang w:val="bs-Latn-BA"/>
              </w:rPr>
              <w:t xml:space="preserve">Broj zgrada obuhvaćenih </w:t>
            </w:r>
            <w:r w:rsidR="00712E17">
              <w:rPr>
                <w:rFonts w:eastAsia="Calibri"/>
                <w:color w:val="000000"/>
                <w:lang w:val="bs-Latn-BA"/>
              </w:rPr>
              <w:t>obnovom</w:t>
            </w:r>
          </w:p>
        </w:tc>
        <w:tc>
          <w:tcPr>
            <w:tcW w:w="925" w:type="dxa"/>
          </w:tcPr>
          <w:p w14:paraId="2D005D72"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0</w:t>
            </w:r>
          </w:p>
        </w:tc>
        <w:tc>
          <w:tcPr>
            <w:tcW w:w="1500" w:type="dxa"/>
          </w:tcPr>
          <w:p w14:paraId="020D9C29"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21.441</w:t>
            </w:r>
          </w:p>
        </w:tc>
        <w:tc>
          <w:tcPr>
            <w:tcW w:w="1383" w:type="dxa"/>
          </w:tcPr>
          <w:p w14:paraId="5F2C77C8"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87.724</w:t>
            </w:r>
          </w:p>
        </w:tc>
        <w:tc>
          <w:tcPr>
            <w:tcW w:w="1189" w:type="dxa"/>
          </w:tcPr>
          <w:p w14:paraId="47FC17EA" w14:textId="2FE87F1D"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154.01</w:t>
            </w:r>
            <w:r w:rsidR="001130F0">
              <w:rPr>
                <w:rFonts w:eastAsia="Calibri"/>
                <w:color w:val="000000"/>
                <w:lang w:val="bs-Latn-BA"/>
              </w:rPr>
              <w:t>6</w:t>
            </w:r>
          </w:p>
        </w:tc>
      </w:tr>
      <w:tr w:rsidR="000A1F18" w:rsidRPr="008924E0" w14:paraId="7BACCD8D" w14:textId="77777777" w:rsidTr="004D2CB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5" w:type="dxa"/>
          </w:tcPr>
          <w:p w14:paraId="6120DFB0" w14:textId="05613888" w:rsidR="006F579C" w:rsidRPr="008924E0" w:rsidRDefault="007C7BEC" w:rsidP="006F579C">
            <w:pPr>
              <w:jc w:val="left"/>
              <w:rPr>
                <w:rFonts w:eastAsia="Calibri"/>
                <w:color w:val="000000"/>
                <w:lang w:val="bs-Latn-BA"/>
              </w:rPr>
            </w:pPr>
            <w:r>
              <w:rPr>
                <w:rFonts w:eastAsia="Calibri"/>
                <w:color w:val="000000"/>
                <w:lang w:val="bs-Latn-BA"/>
              </w:rPr>
              <w:t>Obnovljena</w:t>
            </w:r>
            <w:r w:rsidRPr="008924E0">
              <w:rPr>
                <w:rFonts w:eastAsia="Calibri"/>
                <w:color w:val="000000"/>
                <w:lang w:val="bs-Latn-BA"/>
              </w:rPr>
              <w:t xml:space="preserve"> </w:t>
            </w:r>
            <w:r w:rsidR="006F579C" w:rsidRPr="008924E0">
              <w:rPr>
                <w:rFonts w:eastAsia="Calibri"/>
                <w:color w:val="000000"/>
                <w:lang w:val="bs-Latn-BA"/>
              </w:rPr>
              <w:t>korisna grijana površina, m</w:t>
            </w:r>
            <w:r w:rsidR="006F579C" w:rsidRPr="008924E0">
              <w:rPr>
                <w:rFonts w:eastAsia="Calibri"/>
                <w:color w:val="000000"/>
                <w:vertAlign w:val="superscript"/>
                <w:lang w:val="bs-Latn-BA"/>
              </w:rPr>
              <w:t>2</w:t>
            </w:r>
          </w:p>
        </w:tc>
        <w:tc>
          <w:tcPr>
            <w:tcW w:w="925" w:type="dxa"/>
          </w:tcPr>
          <w:p w14:paraId="45323FB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0</w:t>
            </w:r>
          </w:p>
        </w:tc>
        <w:tc>
          <w:tcPr>
            <w:tcW w:w="1500" w:type="dxa"/>
          </w:tcPr>
          <w:p w14:paraId="33C28AE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1.185.963</w:t>
            </w:r>
          </w:p>
        </w:tc>
        <w:tc>
          <w:tcPr>
            <w:tcW w:w="1383" w:type="dxa"/>
          </w:tcPr>
          <w:p w14:paraId="495851D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4.852.237</w:t>
            </w:r>
          </w:p>
        </w:tc>
        <w:tc>
          <w:tcPr>
            <w:tcW w:w="1189" w:type="dxa"/>
          </w:tcPr>
          <w:p w14:paraId="5C491B6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8.519.054</w:t>
            </w:r>
          </w:p>
        </w:tc>
      </w:tr>
      <w:tr w:rsidR="000A1F18" w:rsidRPr="008924E0" w14:paraId="448A8411" w14:textId="77777777" w:rsidTr="004D2CBA">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5" w:type="dxa"/>
          </w:tcPr>
          <w:p w14:paraId="2F568E96" w14:textId="7DC26755" w:rsidR="006F579C" w:rsidRPr="008924E0" w:rsidRDefault="007C7BEC" w:rsidP="006F579C">
            <w:pPr>
              <w:jc w:val="left"/>
              <w:rPr>
                <w:rFonts w:eastAsia="Calibri"/>
                <w:color w:val="000000"/>
                <w:lang w:val="bs-Latn-BA"/>
              </w:rPr>
            </w:pPr>
            <w:r>
              <w:rPr>
                <w:rFonts w:eastAsia="Calibri"/>
                <w:color w:val="000000"/>
                <w:lang w:val="bs-Latn-BA"/>
              </w:rPr>
              <w:t xml:space="preserve">Obnovljena </w:t>
            </w:r>
            <w:r w:rsidR="006F579C" w:rsidRPr="008924E0">
              <w:rPr>
                <w:rFonts w:eastAsia="Calibri"/>
                <w:color w:val="000000"/>
                <w:lang w:val="bs-Latn-BA"/>
              </w:rPr>
              <w:t>bruto površina, m</w:t>
            </w:r>
            <w:r w:rsidR="006F579C" w:rsidRPr="008924E0">
              <w:rPr>
                <w:rFonts w:eastAsia="Calibri"/>
                <w:color w:val="000000"/>
                <w:vertAlign w:val="superscript"/>
                <w:lang w:val="bs-Latn-BA"/>
              </w:rPr>
              <w:t>2</w:t>
            </w:r>
          </w:p>
        </w:tc>
        <w:tc>
          <w:tcPr>
            <w:tcW w:w="925" w:type="dxa"/>
          </w:tcPr>
          <w:p w14:paraId="26A8EDC8"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0</w:t>
            </w:r>
          </w:p>
        </w:tc>
        <w:tc>
          <w:tcPr>
            <w:tcW w:w="1500" w:type="dxa"/>
          </w:tcPr>
          <w:p w14:paraId="39B6CA9A"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2.036.996</w:t>
            </w:r>
          </w:p>
        </w:tc>
        <w:tc>
          <w:tcPr>
            <w:tcW w:w="1383" w:type="dxa"/>
          </w:tcPr>
          <w:p w14:paraId="34875195"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8.334.144</w:t>
            </w:r>
          </w:p>
        </w:tc>
        <w:tc>
          <w:tcPr>
            <w:tcW w:w="1189" w:type="dxa"/>
          </w:tcPr>
          <w:p w14:paraId="4651A09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14.632.226</w:t>
            </w:r>
          </w:p>
        </w:tc>
      </w:tr>
    </w:tbl>
    <w:p w14:paraId="10F95765" w14:textId="77777777" w:rsidR="006F579C" w:rsidRPr="008924E0" w:rsidRDefault="006F579C" w:rsidP="006F579C">
      <w:pPr>
        <w:spacing w:after="0" w:line="240" w:lineRule="auto"/>
        <w:jc w:val="right"/>
        <w:rPr>
          <w:rFonts w:eastAsia="Calibri"/>
          <w:color w:val="000000"/>
          <w:lang w:val="bs-Latn-BA"/>
        </w:rPr>
      </w:pPr>
    </w:p>
    <w:p w14:paraId="489A81A7" w14:textId="77777777" w:rsidR="006F579C" w:rsidRPr="008924E0" w:rsidRDefault="006F579C" w:rsidP="006F579C">
      <w:pPr>
        <w:spacing w:after="0" w:line="240" w:lineRule="auto"/>
        <w:jc w:val="right"/>
        <w:rPr>
          <w:rFonts w:eastAsia="Calibri"/>
          <w:color w:val="000000"/>
          <w:lang w:val="bs-Latn-BA"/>
        </w:rPr>
      </w:pPr>
    </w:p>
    <w:tbl>
      <w:tblPr>
        <w:tblStyle w:val="57"/>
        <w:tblW w:w="9256" w:type="dxa"/>
        <w:tblLayout w:type="fixed"/>
        <w:tblLook w:val="04A0" w:firstRow="1" w:lastRow="0" w:firstColumn="1" w:lastColumn="0" w:noHBand="0" w:noVBand="1"/>
      </w:tblPr>
      <w:tblGrid>
        <w:gridCol w:w="4286"/>
        <w:gridCol w:w="860"/>
        <w:gridCol w:w="1496"/>
        <w:gridCol w:w="1379"/>
        <w:gridCol w:w="1235"/>
      </w:tblGrid>
      <w:tr w:rsidR="006F579C" w:rsidRPr="008924E0" w14:paraId="6954926E" w14:textId="77777777" w:rsidTr="004D2CBA">
        <w:trPr>
          <w:cnfStyle w:val="100000000000" w:firstRow="1" w:lastRow="0" w:firstColumn="0" w:lastColumn="0" w:oddVBand="0" w:evenVBand="0" w:oddHBand="0" w:evenHBand="0" w:firstRowFirstColumn="0" w:firstRowLastColumn="0" w:lastRowFirstColumn="0" w:lastRowLastColumn="0"/>
          <w:trHeight w:val="571"/>
        </w:trPr>
        <w:tc>
          <w:tcPr>
            <w:cnfStyle w:val="001000000000" w:firstRow="0" w:lastRow="0" w:firstColumn="1" w:lastColumn="0" w:oddVBand="0" w:evenVBand="0" w:oddHBand="0" w:evenHBand="0" w:firstRowFirstColumn="0" w:firstRowLastColumn="0" w:lastRowFirstColumn="0" w:lastRowLastColumn="0"/>
            <w:tcW w:w="4286" w:type="dxa"/>
          </w:tcPr>
          <w:p w14:paraId="6A6CB3D7" w14:textId="77777777" w:rsidR="006F579C" w:rsidRPr="008924E0" w:rsidRDefault="006F579C" w:rsidP="006F579C">
            <w:pPr>
              <w:jc w:val="left"/>
              <w:rPr>
                <w:rFonts w:eastAsia="Calibri"/>
                <w:lang w:val="bs-Latn-BA"/>
              </w:rPr>
            </w:pPr>
            <w:r w:rsidRPr="008924E0">
              <w:rPr>
                <w:rFonts w:eastAsia="Calibri"/>
                <w:lang w:val="bs-Latn-BA"/>
              </w:rPr>
              <w:lastRenderedPageBreak/>
              <w:t xml:space="preserve">Karakteristike zgrada kolektivnog stanovanja </w:t>
            </w:r>
          </w:p>
        </w:tc>
        <w:tc>
          <w:tcPr>
            <w:tcW w:w="860" w:type="dxa"/>
          </w:tcPr>
          <w:p w14:paraId="673C2694"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09A0F60D"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496" w:type="dxa"/>
          </w:tcPr>
          <w:p w14:paraId="7F0C14FB"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0D8DCD3C"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379" w:type="dxa"/>
          </w:tcPr>
          <w:p w14:paraId="14072794"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718615C1"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235" w:type="dxa"/>
          </w:tcPr>
          <w:p w14:paraId="3FFD87C5"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7C4E77BD"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0A1F18" w:rsidRPr="008924E0" w14:paraId="52B3DCA7" w14:textId="77777777" w:rsidTr="004D2CB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6" w:type="dxa"/>
          </w:tcPr>
          <w:p w14:paraId="6C828111" w14:textId="77777777" w:rsidR="006F579C" w:rsidRPr="008924E0" w:rsidRDefault="006F579C" w:rsidP="006F579C">
            <w:pPr>
              <w:jc w:val="left"/>
              <w:rPr>
                <w:rFonts w:eastAsia="Calibri"/>
                <w:color w:val="000000"/>
                <w:lang w:val="bs-Latn-BA"/>
              </w:rPr>
            </w:pPr>
            <w:r w:rsidRPr="008924E0">
              <w:rPr>
                <w:rFonts w:eastAsia="Calibri"/>
                <w:color w:val="000000"/>
                <w:lang w:val="bs-Latn-BA"/>
              </w:rPr>
              <w:t xml:space="preserve">Broj zgrada </w:t>
            </w:r>
          </w:p>
        </w:tc>
        <w:tc>
          <w:tcPr>
            <w:tcW w:w="860" w:type="dxa"/>
          </w:tcPr>
          <w:p w14:paraId="659E53B9"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17.719</w:t>
            </w:r>
          </w:p>
        </w:tc>
        <w:tc>
          <w:tcPr>
            <w:tcW w:w="1496" w:type="dxa"/>
          </w:tcPr>
          <w:p w14:paraId="05FEC57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20.234</w:t>
            </w:r>
          </w:p>
        </w:tc>
        <w:tc>
          <w:tcPr>
            <w:tcW w:w="1379" w:type="dxa"/>
          </w:tcPr>
          <w:p w14:paraId="19E91C6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22.504</w:t>
            </w:r>
          </w:p>
        </w:tc>
        <w:tc>
          <w:tcPr>
            <w:tcW w:w="1235" w:type="dxa"/>
          </w:tcPr>
          <w:p w14:paraId="1EF25BAE"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25.473</w:t>
            </w:r>
          </w:p>
        </w:tc>
      </w:tr>
      <w:tr w:rsidR="000A1F18" w:rsidRPr="008924E0" w14:paraId="46421EB0" w14:textId="77777777" w:rsidTr="004D2CBA">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6" w:type="dxa"/>
          </w:tcPr>
          <w:p w14:paraId="5924E695" w14:textId="10234A08" w:rsidR="006F579C" w:rsidRPr="008924E0" w:rsidRDefault="006F579C" w:rsidP="006F579C">
            <w:pPr>
              <w:jc w:val="left"/>
              <w:rPr>
                <w:rFonts w:eastAsia="Calibri"/>
                <w:color w:val="000000"/>
                <w:lang w:val="bs-Latn-BA"/>
              </w:rPr>
            </w:pPr>
            <w:r w:rsidRPr="008924E0">
              <w:rPr>
                <w:rFonts w:eastAsia="Calibri"/>
                <w:color w:val="000000"/>
                <w:lang w:val="bs-Latn-BA"/>
              </w:rPr>
              <w:t xml:space="preserve">Broj zgrada obuhvaćenih </w:t>
            </w:r>
            <w:r w:rsidR="00712E17">
              <w:rPr>
                <w:rFonts w:eastAsia="Calibri"/>
                <w:color w:val="000000"/>
                <w:lang w:val="bs-Latn-BA"/>
              </w:rPr>
              <w:t>obnovom</w:t>
            </w:r>
          </w:p>
        </w:tc>
        <w:tc>
          <w:tcPr>
            <w:tcW w:w="860" w:type="dxa"/>
          </w:tcPr>
          <w:p w14:paraId="77AEBBE4"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0</w:t>
            </w:r>
          </w:p>
        </w:tc>
        <w:tc>
          <w:tcPr>
            <w:tcW w:w="1496" w:type="dxa"/>
          </w:tcPr>
          <w:p w14:paraId="056B0AE6"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11.281</w:t>
            </w:r>
          </w:p>
        </w:tc>
        <w:tc>
          <w:tcPr>
            <w:tcW w:w="1379" w:type="dxa"/>
          </w:tcPr>
          <w:p w14:paraId="768DD0C6"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17.454</w:t>
            </w:r>
          </w:p>
        </w:tc>
        <w:tc>
          <w:tcPr>
            <w:tcW w:w="1235" w:type="dxa"/>
          </w:tcPr>
          <w:p w14:paraId="398F371D"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23.616</w:t>
            </w:r>
          </w:p>
        </w:tc>
      </w:tr>
      <w:tr w:rsidR="000A1F18" w:rsidRPr="008924E0" w14:paraId="2770A88D" w14:textId="77777777" w:rsidTr="004D2CBA">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6" w:type="dxa"/>
          </w:tcPr>
          <w:p w14:paraId="71A026E4" w14:textId="34DBE036" w:rsidR="006F579C" w:rsidRPr="008924E0" w:rsidRDefault="007C7BEC" w:rsidP="006F579C">
            <w:pPr>
              <w:jc w:val="left"/>
              <w:rPr>
                <w:rFonts w:eastAsia="Calibri"/>
                <w:color w:val="000000"/>
                <w:lang w:val="bs-Latn-BA"/>
              </w:rPr>
            </w:pPr>
            <w:r>
              <w:rPr>
                <w:rFonts w:eastAsia="Calibri"/>
                <w:color w:val="000000"/>
                <w:lang w:val="bs-Latn-BA"/>
              </w:rPr>
              <w:t>Obnovljena</w:t>
            </w:r>
            <w:r w:rsidRPr="008924E0">
              <w:rPr>
                <w:rFonts w:eastAsia="Calibri"/>
                <w:color w:val="000000"/>
                <w:lang w:val="bs-Latn-BA"/>
              </w:rPr>
              <w:t xml:space="preserve"> </w:t>
            </w:r>
            <w:r w:rsidR="006F579C" w:rsidRPr="008924E0">
              <w:rPr>
                <w:rFonts w:eastAsia="Calibri"/>
                <w:color w:val="000000"/>
                <w:lang w:val="bs-Latn-BA"/>
              </w:rPr>
              <w:t>korisna grijana površina, m</w:t>
            </w:r>
            <w:r w:rsidR="006F579C" w:rsidRPr="008924E0">
              <w:rPr>
                <w:rFonts w:eastAsia="Calibri"/>
                <w:color w:val="000000"/>
                <w:vertAlign w:val="superscript"/>
                <w:lang w:val="bs-Latn-BA"/>
              </w:rPr>
              <w:t>2</w:t>
            </w:r>
          </w:p>
        </w:tc>
        <w:tc>
          <w:tcPr>
            <w:tcW w:w="860" w:type="dxa"/>
          </w:tcPr>
          <w:p w14:paraId="2800FAAE" w14:textId="77777777" w:rsidR="006F579C" w:rsidRPr="003727C4"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3727C4">
              <w:rPr>
                <w:rFonts w:eastAsia="Calibri"/>
                <w:color w:val="000000"/>
                <w:lang w:val="bs-Latn-BA"/>
              </w:rPr>
              <w:t>0</w:t>
            </w:r>
          </w:p>
        </w:tc>
        <w:tc>
          <w:tcPr>
            <w:tcW w:w="1496" w:type="dxa"/>
          </w:tcPr>
          <w:p w14:paraId="489DB6CF" w14:textId="77777777" w:rsidR="006F579C" w:rsidRPr="003727C4"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3727C4">
              <w:rPr>
                <w:rFonts w:eastAsia="Calibri"/>
                <w:color w:val="000000"/>
                <w:lang w:val="bs-Latn-BA"/>
              </w:rPr>
              <w:t>7.158.125</w:t>
            </w:r>
          </w:p>
        </w:tc>
        <w:tc>
          <w:tcPr>
            <w:tcW w:w="1379" w:type="dxa"/>
          </w:tcPr>
          <w:p w14:paraId="657AF59E" w14:textId="77777777" w:rsidR="006F579C" w:rsidRPr="003727C4"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3727C4">
              <w:rPr>
                <w:rFonts w:eastAsia="Calibri"/>
                <w:color w:val="000000"/>
                <w:lang w:val="bs-Latn-BA"/>
              </w:rPr>
              <w:t>11.070.061</w:t>
            </w:r>
          </w:p>
        </w:tc>
        <w:tc>
          <w:tcPr>
            <w:tcW w:w="1235" w:type="dxa"/>
          </w:tcPr>
          <w:p w14:paraId="392DA71C" w14:textId="77777777" w:rsidR="006F579C" w:rsidRPr="003727C4"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3727C4">
              <w:rPr>
                <w:rFonts w:eastAsia="Calibri"/>
                <w:color w:val="000000"/>
                <w:lang w:val="bs-Latn-BA"/>
              </w:rPr>
              <w:t>14.964.603</w:t>
            </w:r>
          </w:p>
        </w:tc>
      </w:tr>
      <w:tr w:rsidR="000A1F18" w:rsidRPr="008924E0" w14:paraId="36B7E39F" w14:textId="77777777" w:rsidTr="004D2CBA">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4286" w:type="dxa"/>
          </w:tcPr>
          <w:p w14:paraId="27FEF8B9" w14:textId="72354025" w:rsidR="006F579C" w:rsidRPr="008924E0" w:rsidRDefault="007C7BEC" w:rsidP="006F579C">
            <w:pPr>
              <w:jc w:val="left"/>
              <w:rPr>
                <w:rFonts w:eastAsia="Calibri"/>
                <w:color w:val="000000"/>
                <w:lang w:val="bs-Latn-BA"/>
              </w:rPr>
            </w:pPr>
            <w:r>
              <w:rPr>
                <w:rFonts w:eastAsia="Calibri"/>
                <w:color w:val="000000"/>
                <w:lang w:val="bs-Latn-BA"/>
              </w:rPr>
              <w:t>Obnovljena</w:t>
            </w:r>
            <w:r w:rsidRPr="008924E0">
              <w:rPr>
                <w:rFonts w:eastAsia="Calibri"/>
                <w:color w:val="000000"/>
                <w:lang w:val="bs-Latn-BA"/>
              </w:rPr>
              <w:t xml:space="preserve"> </w:t>
            </w:r>
            <w:r w:rsidR="006F579C" w:rsidRPr="008924E0">
              <w:rPr>
                <w:rFonts w:eastAsia="Calibri"/>
                <w:color w:val="000000"/>
                <w:lang w:val="bs-Latn-BA"/>
              </w:rPr>
              <w:t>bruto površina, m</w:t>
            </w:r>
            <w:r w:rsidR="006F579C" w:rsidRPr="008924E0">
              <w:rPr>
                <w:rFonts w:eastAsia="Calibri"/>
                <w:color w:val="000000"/>
                <w:vertAlign w:val="superscript"/>
                <w:lang w:val="bs-Latn-BA"/>
              </w:rPr>
              <w:t>2</w:t>
            </w:r>
          </w:p>
        </w:tc>
        <w:tc>
          <w:tcPr>
            <w:tcW w:w="860" w:type="dxa"/>
          </w:tcPr>
          <w:p w14:paraId="7B98A05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0</w:t>
            </w:r>
          </w:p>
        </w:tc>
        <w:tc>
          <w:tcPr>
            <w:tcW w:w="1496" w:type="dxa"/>
          </w:tcPr>
          <w:p w14:paraId="294BAF8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10.771.116</w:t>
            </w:r>
          </w:p>
        </w:tc>
        <w:tc>
          <w:tcPr>
            <w:tcW w:w="1379" w:type="dxa"/>
          </w:tcPr>
          <w:p w14:paraId="57998F01"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16.657.541</w:t>
            </w:r>
          </w:p>
        </w:tc>
        <w:tc>
          <w:tcPr>
            <w:tcW w:w="1235" w:type="dxa"/>
          </w:tcPr>
          <w:p w14:paraId="391005B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22.517.745</w:t>
            </w:r>
          </w:p>
        </w:tc>
      </w:tr>
    </w:tbl>
    <w:p w14:paraId="6F077C10" w14:textId="270AA34A" w:rsidR="00FE1B58" w:rsidRDefault="00FE1B58" w:rsidP="006F579C">
      <w:pPr>
        <w:rPr>
          <w:rFonts w:eastAsia="Calibri"/>
          <w:b/>
          <w:color w:val="005837"/>
          <w:lang w:val="bs-Latn-BA"/>
        </w:rPr>
      </w:pPr>
    </w:p>
    <w:p w14:paraId="5E270B79" w14:textId="07C42663" w:rsidR="00BB6587" w:rsidRDefault="008352D9" w:rsidP="006F579C">
      <w:pPr>
        <w:rPr>
          <w:rFonts w:eastAsia="Calibri"/>
          <w:b/>
          <w:color w:val="005837"/>
          <w:lang w:val="bs-Latn-BA"/>
        </w:rPr>
      </w:pPr>
      <w:r>
        <w:rPr>
          <w:rFonts w:eastAsia="Calibri"/>
          <w:b/>
          <w:color w:val="005837"/>
          <w:lang w:val="bs-Latn-BA"/>
        </w:rPr>
        <w:t>Angažirana</w:t>
      </w:r>
      <w:r w:rsidR="00BB6587">
        <w:rPr>
          <w:rFonts w:eastAsia="Calibri"/>
          <w:b/>
          <w:color w:val="005837"/>
          <w:lang w:val="bs-Latn-BA"/>
        </w:rPr>
        <w:t xml:space="preserve"> radna snaga za provođenje energijske </w:t>
      </w:r>
      <w:r w:rsidR="003E7E69">
        <w:rPr>
          <w:rFonts w:eastAsia="Calibri"/>
          <w:b/>
          <w:color w:val="005837"/>
          <w:lang w:val="bs-Latn-BA"/>
        </w:rPr>
        <w:t xml:space="preserve">obnove </w:t>
      </w:r>
      <w:r w:rsidR="00BB6587">
        <w:rPr>
          <w:rFonts w:eastAsia="Calibri"/>
          <w:b/>
          <w:color w:val="005837"/>
          <w:lang w:val="bs-Latn-BA"/>
        </w:rPr>
        <w:t xml:space="preserve">stambenog fonda </w:t>
      </w:r>
    </w:p>
    <w:p w14:paraId="629135EB" w14:textId="50363CAF" w:rsidR="00FE1B58" w:rsidRPr="00FE1B58" w:rsidRDefault="00FE1B58" w:rsidP="00FE1B58">
      <w:pPr>
        <w:rPr>
          <w:lang w:val="bs-Latn-BA"/>
        </w:rPr>
      </w:pPr>
      <w:r w:rsidRPr="00FE1B58">
        <w:rPr>
          <w:lang w:val="bs-Latn-BA"/>
        </w:rPr>
        <w:t xml:space="preserve">Za </w:t>
      </w:r>
      <w:r w:rsidR="00F47D75">
        <w:rPr>
          <w:lang w:val="bs-Latn-BA"/>
        </w:rPr>
        <w:t xml:space="preserve">provođenje energijske </w:t>
      </w:r>
      <w:r w:rsidR="003E7E69">
        <w:rPr>
          <w:lang w:val="bs-Latn-BA"/>
        </w:rPr>
        <w:t xml:space="preserve">obnove </w:t>
      </w:r>
      <w:r w:rsidR="00F47D75">
        <w:rPr>
          <w:lang w:val="bs-Latn-BA"/>
        </w:rPr>
        <w:t xml:space="preserve">stambenog fonda, angažman radne snage se može izraziti kroz </w:t>
      </w:r>
      <w:r w:rsidRPr="00FE1B58">
        <w:rPr>
          <w:lang w:val="bs-Latn-BA"/>
        </w:rPr>
        <w:t xml:space="preserve">ukupan broj radnih dana odnosno broj čovjek dana </w:t>
      </w:r>
      <w:r>
        <w:rPr>
          <w:lang w:val="bs-Latn-BA"/>
        </w:rPr>
        <w:t>radnika</w:t>
      </w:r>
      <w:r w:rsidRPr="00FE1B58">
        <w:rPr>
          <w:lang w:val="bs-Latn-BA"/>
        </w:rPr>
        <w:t xml:space="preserve"> </w:t>
      </w:r>
      <w:r w:rsidR="008352D9">
        <w:rPr>
          <w:lang w:val="bs-Latn-BA"/>
        </w:rPr>
        <w:t>angažiranih</w:t>
      </w:r>
      <w:r w:rsidRPr="00FE1B58">
        <w:rPr>
          <w:lang w:val="bs-Latn-BA"/>
        </w:rPr>
        <w:t xml:space="preserve"> na implementaciji mjera i scenarija </w:t>
      </w:r>
      <w:r w:rsidR="003E7E69">
        <w:rPr>
          <w:lang w:val="bs-Latn-BA"/>
        </w:rPr>
        <w:t>obnove</w:t>
      </w:r>
      <w:r w:rsidR="003250E4">
        <w:rPr>
          <w:lang w:val="bs-Latn-BA"/>
        </w:rPr>
        <w:t xml:space="preserve"> i ekvivalent punog radnog vremena (FTE). </w:t>
      </w:r>
    </w:p>
    <w:p w14:paraId="6F1F01D1" w14:textId="7F6D5B58" w:rsidR="00FE1B58" w:rsidRDefault="003E7E69" w:rsidP="003E7E69">
      <w:pPr>
        <w:pBdr>
          <w:top w:val="nil"/>
          <w:left w:val="nil"/>
          <w:bottom w:val="nil"/>
          <w:right w:val="nil"/>
          <w:between w:val="nil"/>
        </w:pBdr>
        <w:spacing w:after="0" w:line="240" w:lineRule="auto"/>
        <w:rPr>
          <w:lang w:val="bs-Latn-BA"/>
        </w:rPr>
      </w:pPr>
      <w:r>
        <w:rPr>
          <w:lang w:val="bs-Latn-BA"/>
        </w:rPr>
        <w:t>P</w:t>
      </w:r>
      <w:r w:rsidR="00FE1B58" w:rsidRPr="00FE1B58">
        <w:rPr>
          <w:lang w:val="bs-Latn-BA"/>
        </w:rPr>
        <w:t xml:space="preserve">roračun broja </w:t>
      </w:r>
      <w:r>
        <w:rPr>
          <w:lang w:val="bs-Latn-BA"/>
        </w:rPr>
        <w:t>čovjek dana za implementaciju</w:t>
      </w:r>
      <w:r w:rsidR="00FE1B58" w:rsidRPr="00FE1B58">
        <w:rPr>
          <w:lang w:val="bs-Latn-BA"/>
        </w:rPr>
        <w:t xml:space="preserve"> </w:t>
      </w:r>
      <w:r>
        <w:rPr>
          <w:lang w:val="bs-Latn-BA"/>
        </w:rPr>
        <w:t xml:space="preserve">pojedinačnih mjera za razmatrane kategorije zgrada, izvršen je prema metodologiji razvijenoj u okviru projekta </w:t>
      </w:r>
      <w:r w:rsidRPr="008924E0">
        <w:rPr>
          <w:rFonts w:eastAsia="Calibri"/>
          <w:color w:val="000000"/>
          <w:lang w:val="bs-Latn-BA"/>
        </w:rPr>
        <w:t>„Analiza kapaciteta privatnog sektora za provođenje strategije obnove zgrada u Bosni i Hercegovini„</w:t>
      </w:r>
      <w:r w:rsidRPr="008924E0">
        <w:rPr>
          <w:rFonts w:eastAsia="Calibri"/>
          <w:color w:val="000000"/>
          <w:vertAlign w:val="superscript"/>
          <w:lang w:val="bs-Latn-BA"/>
        </w:rPr>
        <w:footnoteReference w:id="31"/>
      </w:r>
      <w:r w:rsidRPr="008924E0">
        <w:rPr>
          <w:rFonts w:eastAsia="Calibri"/>
          <w:color w:val="000000"/>
          <w:lang w:val="bs-Latn-BA"/>
        </w:rPr>
        <w:t>.</w:t>
      </w:r>
      <w:r>
        <w:rPr>
          <w:lang w:val="bs-Latn-BA"/>
        </w:rPr>
        <w:t xml:space="preserve"> </w:t>
      </w:r>
      <w:r w:rsidR="00FE1B58" w:rsidRPr="00FE1B58">
        <w:rPr>
          <w:lang w:val="bs-Latn-BA"/>
        </w:rPr>
        <w:t xml:space="preserve">Iz podataka o </w:t>
      </w:r>
      <w:r>
        <w:rPr>
          <w:lang w:val="bs-Latn-BA"/>
        </w:rPr>
        <w:t>mjerama koje se provode za određene nivoe obnove (</w:t>
      </w:r>
      <w:r w:rsidR="003111CD">
        <w:rPr>
          <w:lang w:val="bs-Latn-BA"/>
        </w:rPr>
        <w:t>Tabele 6.1.</w:t>
      </w:r>
      <w:r w:rsidR="00F34E11">
        <w:rPr>
          <w:lang w:val="bs-Latn-BA"/>
        </w:rPr>
        <w:t>-</w:t>
      </w:r>
      <w:r w:rsidR="003111CD">
        <w:rPr>
          <w:lang w:val="bs-Latn-BA"/>
        </w:rPr>
        <w:t>6.3.</w:t>
      </w:r>
      <w:r>
        <w:rPr>
          <w:lang w:val="bs-Latn-BA"/>
        </w:rPr>
        <w:t xml:space="preserve">) </w:t>
      </w:r>
      <w:r w:rsidR="00FE1B58" w:rsidRPr="00FE1B58">
        <w:rPr>
          <w:lang w:val="bs-Latn-BA"/>
        </w:rPr>
        <w:t xml:space="preserve"> </w:t>
      </w:r>
      <w:r>
        <w:rPr>
          <w:lang w:val="bs-Latn-BA"/>
        </w:rPr>
        <w:t xml:space="preserve">i broj čovjek dana za pojedinu mjeru, izračunat je ukupan broj </w:t>
      </w:r>
      <w:r w:rsidR="00FE1B58" w:rsidRPr="00FE1B58">
        <w:rPr>
          <w:lang w:val="bs-Latn-BA"/>
        </w:rPr>
        <w:t xml:space="preserve">čovjek dana. </w:t>
      </w:r>
      <w:r>
        <w:rPr>
          <w:lang w:val="bs-Latn-BA"/>
        </w:rPr>
        <w:t>P</w:t>
      </w:r>
      <w:r w:rsidR="00FE1B58" w:rsidRPr="00FE1B58">
        <w:rPr>
          <w:lang w:val="bs-Latn-BA"/>
        </w:rPr>
        <w:t xml:space="preserve">odaci o ukupnom broju čovjek dana za pojedine </w:t>
      </w:r>
      <w:r w:rsidR="00400466">
        <w:rPr>
          <w:lang w:val="bs-Latn-BA"/>
        </w:rPr>
        <w:t>nivoe</w:t>
      </w:r>
      <w:r w:rsidR="00400466" w:rsidRPr="00FE1B58">
        <w:rPr>
          <w:lang w:val="bs-Latn-BA"/>
        </w:rPr>
        <w:t xml:space="preserve"> </w:t>
      </w:r>
      <w:r>
        <w:rPr>
          <w:lang w:val="bs-Latn-BA"/>
        </w:rPr>
        <w:t>obnove</w:t>
      </w:r>
      <w:r w:rsidRPr="00FE1B58">
        <w:rPr>
          <w:lang w:val="bs-Latn-BA"/>
        </w:rPr>
        <w:t xml:space="preserve"> </w:t>
      </w:r>
      <w:r w:rsidR="00FE1B58" w:rsidRPr="00FE1B58">
        <w:rPr>
          <w:lang w:val="bs-Latn-BA"/>
        </w:rPr>
        <w:t xml:space="preserve">i kategorije objekata su prikazani </w:t>
      </w:r>
      <w:r>
        <w:rPr>
          <w:lang w:val="bs-Latn-BA"/>
        </w:rPr>
        <w:t xml:space="preserve">u </w:t>
      </w:r>
      <w:r w:rsidR="003111CD">
        <w:rPr>
          <w:lang w:val="bs-Latn-BA"/>
        </w:rPr>
        <w:t>Tabeli 6.9.</w:t>
      </w:r>
      <w:r w:rsidR="00FE1B58" w:rsidRPr="00FE1B58">
        <w:rPr>
          <w:lang w:val="bs-Latn-BA"/>
        </w:rPr>
        <w:t xml:space="preserve"> </w:t>
      </w:r>
    </w:p>
    <w:p w14:paraId="53A3B207" w14:textId="77777777" w:rsidR="003E7E69" w:rsidRDefault="003E7E69" w:rsidP="00491F28">
      <w:pPr>
        <w:pBdr>
          <w:top w:val="nil"/>
          <w:left w:val="nil"/>
          <w:bottom w:val="nil"/>
          <w:right w:val="nil"/>
          <w:between w:val="nil"/>
        </w:pBdr>
        <w:spacing w:after="0" w:line="240" w:lineRule="auto"/>
        <w:rPr>
          <w:lang w:val="bs-Latn-BA"/>
        </w:rPr>
      </w:pPr>
    </w:p>
    <w:p w14:paraId="348576C3" w14:textId="2B2992A9" w:rsidR="00FE1B58" w:rsidRPr="008924E0" w:rsidRDefault="00FE1B58" w:rsidP="00FE1B58">
      <w:pPr>
        <w:pStyle w:val="Caption"/>
        <w:keepNext/>
      </w:pPr>
      <w:bookmarkStart w:id="109" w:name="_Ref130736062"/>
      <w:bookmarkStart w:id="110" w:name="_Toc133499554"/>
      <w:r w:rsidRPr="008924E0">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9</w:t>
      </w:r>
      <w:r w:rsidR="00000000">
        <w:rPr>
          <w:noProof/>
        </w:rPr>
        <w:fldChar w:fldCharType="end"/>
      </w:r>
      <w:bookmarkEnd w:id="109"/>
      <w:r w:rsidRPr="008924E0">
        <w:t xml:space="preserve"> </w:t>
      </w:r>
      <w:r>
        <w:t>Broj čovjek dana za pojedine nivoe ene</w:t>
      </w:r>
      <w:r w:rsidR="00810A6A">
        <w:t>rg</w:t>
      </w:r>
      <w:r w:rsidR="003E7E69">
        <w:t>ij</w:t>
      </w:r>
      <w:r>
        <w:t xml:space="preserve">ske obnove </w:t>
      </w:r>
      <w:r w:rsidRPr="008924E0">
        <w:rPr>
          <w:rFonts w:eastAsia="Calibri"/>
          <w:color w:val="000000"/>
          <w:szCs w:val="22"/>
        </w:rPr>
        <w:t>stambenih zgrada u FBiH</w:t>
      </w:r>
      <w:bookmarkEnd w:id="110"/>
    </w:p>
    <w:tbl>
      <w:tblPr>
        <w:tblStyle w:val="12"/>
        <w:tblW w:w="0" w:type="auto"/>
        <w:tblLook w:val="04A0" w:firstRow="1" w:lastRow="0" w:firstColumn="1" w:lastColumn="0" w:noHBand="0" w:noVBand="1"/>
      </w:tblPr>
      <w:tblGrid>
        <w:gridCol w:w="4374"/>
        <w:gridCol w:w="699"/>
        <w:gridCol w:w="861"/>
        <w:gridCol w:w="873"/>
        <w:gridCol w:w="1124"/>
      </w:tblGrid>
      <w:tr w:rsidR="00FE1B58" w:rsidRPr="008924E0" w14:paraId="643B8DC2" w14:textId="77777777" w:rsidTr="00F73614">
        <w:trPr>
          <w:cnfStyle w:val="100000000000" w:firstRow="1" w:lastRow="0" w:firstColumn="0" w:lastColumn="0" w:oddVBand="0" w:evenVBand="0" w:oddHBand="0"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005837"/>
            <w:vAlign w:val="center"/>
          </w:tcPr>
          <w:p w14:paraId="720DC5BE" w14:textId="62585032" w:rsidR="00FE1B58" w:rsidRPr="008924E0" w:rsidRDefault="003E7E69" w:rsidP="00B56A06">
            <w:pPr>
              <w:widowControl w:val="0"/>
              <w:pBdr>
                <w:top w:val="nil"/>
                <w:left w:val="nil"/>
                <w:bottom w:val="nil"/>
                <w:right w:val="nil"/>
                <w:between w:val="nil"/>
              </w:pBdr>
              <w:spacing w:line="276" w:lineRule="auto"/>
              <w:jc w:val="center"/>
              <w:rPr>
                <w:rFonts w:eastAsia="Calibri"/>
                <w:lang w:val="bs-Latn-BA"/>
              </w:rPr>
            </w:pPr>
            <w:r>
              <w:rPr>
                <w:rFonts w:eastAsia="Calibri"/>
                <w:lang w:val="bs-Latn-BA"/>
              </w:rPr>
              <w:t>Tip zgrade</w:t>
            </w:r>
          </w:p>
        </w:tc>
        <w:tc>
          <w:tcPr>
            <w:tcW w:w="0" w:type="auto"/>
            <w:shd w:val="clear" w:color="auto" w:fill="005837"/>
            <w:vAlign w:val="center"/>
          </w:tcPr>
          <w:p w14:paraId="156801C3" w14:textId="77777777" w:rsidR="00FE1B58" w:rsidRPr="008924E0" w:rsidRDefault="00FE1B58" w:rsidP="00F7361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val="bs-Latn-BA"/>
              </w:rPr>
            </w:pPr>
            <w:r w:rsidRPr="008924E0">
              <w:rPr>
                <w:rFonts w:ascii="Calibri" w:eastAsia="Calibri" w:hAnsi="Calibri" w:cs="Calibri"/>
                <w:lang w:val="bs-Latn-BA"/>
              </w:rPr>
              <w:t>Plitka</w:t>
            </w:r>
          </w:p>
        </w:tc>
        <w:tc>
          <w:tcPr>
            <w:tcW w:w="0" w:type="auto"/>
            <w:shd w:val="clear" w:color="auto" w:fill="005837"/>
            <w:vAlign w:val="center"/>
          </w:tcPr>
          <w:p w14:paraId="52185381" w14:textId="77777777" w:rsidR="00FE1B58" w:rsidRPr="008924E0" w:rsidRDefault="00FE1B58" w:rsidP="00F7361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val="bs-Latn-BA"/>
              </w:rPr>
            </w:pPr>
            <w:r w:rsidRPr="008924E0">
              <w:rPr>
                <w:rFonts w:ascii="Calibri" w:eastAsia="Calibri" w:hAnsi="Calibri" w:cs="Calibri"/>
                <w:lang w:val="bs-Latn-BA"/>
              </w:rPr>
              <w:t>Srednja</w:t>
            </w:r>
          </w:p>
        </w:tc>
        <w:tc>
          <w:tcPr>
            <w:tcW w:w="0" w:type="auto"/>
            <w:shd w:val="clear" w:color="auto" w:fill="005837"/>
            <w:vAlign w:val="center"/>
          </w:tcPr>
          <w:p w14:paraId="0A486883" w14:textId="77777777" w:rsidR="00FE1B58" w:rsidRPr="008924E0" w:rsidRDefault="00FE1B58" w:rsidP="00F7361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val="bs-Latn-BA"/>
              </w:rPr>
            </w:pPr>
            <w:r w:rsidRPr="008924E0">
              <w:rPr>
                <w:rFonts w:ascii="Calibri" w:eastAsia="Calibri" w:hAnsi="Calibri" w:cs="Calibri"/>
                <w:lang w:val="bs-Latn-BA"/>
              </w:rPr>
              <w:t>Duboka</w:t>
            </w:r>
          </w:p>
        </w:tc>
        <w:tc>
          <w:tcPr>
            <w:tcW w:w="0" w:type="auto"/>
            <w:shd w:val="clear" w:color="auto" w:fill="005837"/>
            <w:vAlign w:val="center"/>
          </w:tcPr>
          <w:p w14:paraId="16DE2B9B" w14:textId="77777777" w:rsidR="00FE1B58" w:rsidRPr="008924E0" w:rsidRDefault="00FE1B58" w:rsidP="00F73614">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b w:val="0"/>
                <w:lang w:val="bs-Latn-BA"/>
              </w:rPr>
            </w:pPr>
            <w:r w:rsidRPr="008924E0">
              <w:rPr>
                <w:rFonts w:ascii="Calibri" w:eastAsia="Calibri" w:hAnsi="Calibri" w:cs="Calibri"/>
                <w:lang w:val="bs-Latn-BA"/>
              </w:rPr>
              <w:t>Duboka TP</w:t>
            </w:r>
          </w:p>
        </w:tc>
      </w:tr>
      <w:tr w:rsidR="00F73614" w:rsidRPr="008924E0" w14:paraId="16620D98" w14:textId="77777777" w:rsidTr="00237ED0">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0" w:type="auto"/>
            <w:vMerge/>
            <w:vAlign w:val="center"/>
          </w:tcPr>
          <w:p w14:paraId="5BBA2B02" w14:textId="77777777" w:rsidR="00F73614" w:rsidRPr="008924E0" w:rsidRDefault="00F73614" w:rsidP="00B56A06">
            <w:pPr>
              <w:widowControl w:val="0"/>
              <w:pBdr>
                <w:top w:val="nil"/>
                <w:left w:val="nil"/>
                <w:bottom w:val="nil"/>
                <w:right w:val="nil"/>
                <w:between w:val="nil"/>
              </w:pBdr>
              <w:spacing w:line="276" w:lineRule="auto"/>
              <w:jc w:val="center"/>
              <w:rPr>
                <w:rFonts w:eastAsia="Calibri"/>
                <w:b w:val="0"/>
                <w:color w:val="FFFFFF"/>
                <w:lang w:val="bs-Latn-BA"/>
              </w:rPr>
            </w:pPr>
          </w:p>
        </w:tc>
        <w:tc>
          <w:tcPr>
            <w:tcW w:w="0" w:type="auto"/>
            <w:gridSpan w:val="4"/>
            <w:shd w:val="clear" w:color="auto" w:fill="005837"/>
            <w:vAlign w:val="center"/>
          </w:tcPr>
          <w:p w14:paraId="71DF1629" w14:textId="4904681E" w:rsidR="00F73614" w:rsidRPr="008924E0" w:rsidRDefault="00F73614" w:rsidP="00B56A0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color w:val="FFFFFF"/>
                <w:lang w:val="bs-Latn-BA"/>
              </w:rPr>
            </w:pPr>
            <w:r>
              <w:rPr>
                <w:rFonts w:ascii="Calibri" w:eastAsia="Calibri" w:hAnsi="Calibri" w:cs="Calibri"/>
                <w:b/>
                <w:color w:val="FFFFFF"/>
                <w:lang w:val="bs-Latn-BA"/>
              </w:rPr>
              <w:t xml:space="preserve">Broj čovjek dana </w:t>
            </w:r>
          </w:p>
        </w:tc>
      </w:tr>
      <w:tr w:rsidR="00FE1B58" w:rsidRPr="008924E0" w14:paraId="43A6595C" w14:textId="77777777" w:rsidTr="00B5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AB04CDF" w14:textId="77777777" w:rsidR="00FE1B58" w:rsidRPr="008924E0" w:rsidRDefault="00FE1B58" w:rsidP="00B56A06">
            <w:pPr>
              <w:rPr>
                <w:rFonts w:eastAsia="Calibri"/>
                <w:lang w:val="bs-Latn-BA"/>
              </w:rPr>
            </w:pPr>
            <w:r w:rsidRPr="008924E0">
              <w:rPr>
                <w:rFonts w:eastAsia="Calibri"/>
                <w:b w:val="0"/>
                <w:lang w:val="bs-Latn-BA"/>
              </w:rPr>
              <w:t>Slobodnostojeće kuće (SFH i TH)</w:t>
            </w:r>
          </w:p>
        </w:tc>
        <w:tc>
          <w:tcPr>
            <w:tcW w:w="0" w:type="auto"/>
          </w:tcPr>
          <w:p w14:paraId="6881D9E1" w14:textId="08DF7ED9"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Cs/>
                <w:color w:val="auto"/>
                <w:lang w:val="bs-Latn-BA"/>
              </w:rPr>
            </w:pPr>
            <w:r w:rsidRPr="00491F28">
              <w:rPr>
                <w:rFonts w:asciiTheme="minorHAnsi" w:eastAsia="Calibri" w:hAnsiTheme="minorHAnsi" w:cstheme="minorHAnsi"/>
                <w:bCs/>
                <w:color w:val="auto"/>
                <w:lang w:val="bs-Latn-BA"/>
              </w:rPr>
              <w:t>118,9</w:t>
            </w:r>
          </w:p>
        </w:tc>
        <w:tc>
          <w:tcPr>
            <w:tcW w:w="0" w:type="auto"/>
          </w:tcPr>
          <w:p w14:paraId="589088E5" w14:textId="7BA43DE2"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Cs/>
                <w:color w:val="auto"/>
                <w:lang w:val="bs-Latn-BA"/>
              </w:rPr>
            </w:pPr>
            <w:r w:rsidRPr="00491F28">
              <w:rPr>
                <w:rFonts w:asciiTheme="minorHAnsi" w:eastAsia="Calibri" w:hAnsiTheme="minorHAnsi" w:cstheme="minorHAnsi"/>
                <w:bCs/>
                <w:color w:val="auto"/>
                <w:lang w:val="bs-Latn-BA"/>
              </w:rPr>
              <w:t>119,1</w:t>
            </w:r>
          </w:p>
        </w:tc>
        <w:tc>
          <w:tcPr>
            <w:tcW w:w="0" w:type="auto"/>
          </w:tcPr>
          <w:p w14:paraId="3BE09235" w14:textId="08A10A69"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Cs/>
                <w:color w:val="auto"/>
                <w:lang w:val="bs-Latn-BA"/>
              </w:rPr>
            </w:pPr>
            <w:r w:rsidRPr="00491F28">
              <w:rPr>
                <w:rFonts w:asciiTheme="minorHAnsi" w:eastAsia="Calibri" w:hAnsiTheme="minorHAnsi" w:cstheme="minorHAnsi"/>
                <w:bCs/>
                <w:color w:val="auto"/>
                <w:lang w:val="bs-Latn-BA"/>
              </w:rPr>
              <w:t>143,9</w:t>
            </w:r>
          </w:p>
        </w:tc>
        <w:tc>
          <w:tcPr>
            <w:tcW w:w="0" w:type="auto"/>
          </w:tcPr>
          <w:p w14:paraId="3155CD00" w14:textId="20AAEF8D"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lang w:val="bs-Latn-BA"/>
              </w:rPr>
            </w:pPr>
            <w:r w:rsidRPr="00491F28">
              <w:rPr>
                <w:rFonts w:asciiTheme="minorHAnsi" w:hAnsiTheme="minorHAnsi" w:cstheme="minorHAnsi"/>
                <w:lang w:val="bs-Latn-BA"/>
              </w:rPr>
              <w:t>-</w:t>
            </w:r>
          </w:p>
        </w:tc>
      </w:tr>
      <w:tr w:rsidR="00FE1B58" w:rsidRPr="008924E0" w14:paraId="1C201CC2" w14:textId="77777777" w:rsidTr="00B5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BEE886" w14:textId="77777777" w:rsidR="00FE1B58" w:rsidRPr="008924E0" w:rsidRDefault="00FE1B58" w:rsidP="00FE1B58">
            <w:pPr>
              <w:rPr>
                <w:rFonts w:eastAsia="Calibri"/>
                <w:i/>
                <w:lang w:val="bs-Latn-BA"/>
              </w:rPr>
            </w:pPr>
            <w:r w:rsidRPr="008924E0">
              <w:rPr>
                <w:rFonts w:eastAsia="Calibri"/>
                <w:b w:val="0"/>
                <w:lang w:val="bs-Latn-BA"/>
              </w:rPr>
              <w:t>Slobodnostojeće kolektivne stambene zgrade (MH)</w:t>
            </w:r>
          </w:p>
        </w:tc>
        <w:tc>
          <w:tcPr>
            <w:tcW w:w="0" w:type="auto"/>
          </w:tcPr>
          <w:p w14:paraId="39EB4F2C" w14:textId="5220D4DD" w:rsidR="00FE1B58" w:rsidRPr="00491F28" w:rsidRDefault="00FE1B58" w:rsidP="00FE1B58">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auto"/>
                <w:lang w:val="bs-Latn-BA"/>
              </w:rPr>
            </w:pPr>
            <w:r w:rsidRPr="00491F28">
              <w:rPr>
                <w:rFonts w:asciiTheme="minorHAnsi" w:eastAsia="Calibri" w:hAnsiTheme="minorHAnsi" w:cstheme="minorHAnsi"/>
                <w:bCs/>
                <w:lang w:val="bs-Latn-BA"/>
              </w:rPr>
              <w:t>-</w:t>
            </w:r>
          </w:p>
        </w:tc>
        <w:tc>
          <w:tcPr>
            <w:tcW w:w="0" w:type="auto"/>
          </w:tcPr>
          <w:p w14:paraId="13491371" w14:textId="2E598A5A" w:rsidR="00FE1B58" w:rsidRPr="00491F28" w:rsidRDefault="00FE1B58" w:rsidP="00FE1B58">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auto"/>
                <w:lang w:val="bs-Latn-BA"/>
              </w:rPr>
            </w:pPr>
            <w:r w:rsidRPr="00491F28">
              <w:rPr>
                <w:rFonts w:asciiTheme="minorHAnsi" w:eastAsia="Calibri" w:hAnsiTheme="minorHAnsi" w:cstheme="minorHAnsi"/>
                <w:bCs/>
                <w:lang w:val="bs-Latn-BA"/>
              </w:rPr>
              <w:t>435,9</w:t>
            </w:r>
          </w:p>
        </w:tc>
        <w:tc>
          <w:tcPr>
            <w:tcW w:w="0" w:type="auto"/>
          </w:tcPr>
          <w:p w14:paraId="757BA253" w14:textId="3C1D60DC" w:rsidR="00FE1B58" w:rsidRPr="00491F28" w:rsidRDefault="00FE1B58" w:rsidP="00FE1B58">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auto"/>
                <w:lang w:val="bs-Latn-BA"/>
              </w:rPr>
            </w:pPr>
            <w:r w:rsidRPr="00491F28">
              <w:rPr>
                <w:rFonts w:asciiTheme="minorHAnsi" w:eastAsia="Calibri" w:hAnsiTheme="minorHAnsi" w:cstheme="minorHAnsi"/>
                <w:bCs/>
                <w:lang w:val="bs-Latn-BA"/>
              </w:rPr>
              <w:t>533,7</w:t>
            </w:r>
          </w:p>
        </w:tc>
        <w:tc>
          <w:tcPr>
            <w:tcW w:w="0" w:type="auto"/>
          </w:tcPr>
          <w:p w14:paraId="230F46E9" w14:textId="4E199A4F" w:rsidR="00FE1B58" w:rsidRPr="00491F28" w:rsidRDefault="00FE1B58" w:rsidP="00FE1B58">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lang w:val="bs-Latn-BA"/>
              </w:rPr>
            </w:pPr>
            <w:r w:rsidRPr="00491F28">
              <w:rPr>
                <w:rFonts w:asciiTheme="minorHAnsi" w:eastAsia="Calibri" w:hAnsiTheme="minorHAnsi" w:cstheme="minorHAnsi"/>
                <w:bCs/>
                <w:lang w:val="bs-Latn-BA"/>
              </w:rPr>
              <w:t>527,9</w:t>
            </w:r>
          </w:p>
        </w:tc>
      </w:tr>
      <w:tr w:rsidR="00FE1B58" w:rsidRPr="008924E0" w14:paraId="30E70990" w14:textId="77777777" w:rsidTr="00B56A0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FBF63A" w14:textId="77777777" w:rsidR="00FE1B58" w:rsidRPr="008924E0" w:rsidRDefault="00FE1B58" w:rsidP="00B56A06">
            <w:pPr>
              <w:rPr>
                <w:rFonts w:eastAsia="Calibri"/>
                <w:i/>
                <w:lang w:val="bs-Latn-BA"/>
              </w:rPr>
            </w:pPr>
            <w:r w:rsidRPr="008924E0">
              <w:rPr>
                <w:rFonts w:eastAsia="Calibri"/>
                <w:b w:val="0"/>
                <w:lang w:val="bs-Latn-BA"/>
              </w:rPr>
              <w:t>Stambene zgrade u nizu (AB)</w:t>
            </w:r>
          </w:p>
        </w:tc>
        <w:tc>
          <w:tcPr>
            <w:tcW w:w="0" w:type="auto"/>
          </w:tcPr>
          <w:p w14:paraId="5B21C7F1" w14:textId="1309F41E"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color w:val="auto"/>
                <w:lang w:val="bs-Latn-BA"/>
              </w:rPr>
            </w:pPr>
            <w:r w:rsidRPr="00491F28">
              <w:rPr>
                <w:rFonts w:asciiTheme="minorHAnsi" w:eastAsia="Calibri" w:hAnsiTheme="minorHAnsi" w:cstheme="minorHAnsi"/>
                <w:lang w:val="bs-Latn-BA"/>
              </w:rPr>
              <w:t>-</w:t>
            </w:r>
          </w:p>
        </w:tc>
        <w:tc>
          <w:tcPr>
            <w:tcW w:w="0" w:type="auto"/>
          </w:tcPr>
          <w:p w14:paraId="3A003D38" w14:textId="55345582"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color w:val="auto"/>
                <w:lang w:val="bs-Latn-BA"/>
              </w:rPr>
            </w:pPr>
            <w:r w:rsidRPr="00491F28">
              <w:rPr>
                <w:rFonts w:asciiTheme="minorHAnsi" w:eastAsia="Calibri" w:hAnsiTheme="minorHAnsi" w:cstheme="minorHAnsi"/>
                <w:lang w:val="bs-Latn-BA"/>
              </w:rPr>
              <w:t>791,7</w:t>
            </w:r>
          </w:p>
        </w:tc>
        <w:tc>
          <w:tcPr>
            <w:tcW w:w="0" w:type="auto"/>
          </w:tcPr>
          <w:p w14:paraId="363970ED" w14:textId="64E6B414"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color w:val="auto"/>
                <w:lang w:val="bs-Latn-BA"/>
              </w:rPr>
            </w:pPr>
            <w:r w:rsidRPr="00491F28">
              <w:rPr>
                <w:rFonts w:asciiTheme="minorHAnsi" w:eastAsia="Calibri" w:hAnsiTheme="minorHAnsi" w:cstheme="minorHAnsi"/>
                <w:lang w:val="bs-Latn-BA"/>
              </w:rPr>
              <w:t>884,8</w:t>
            </w:r>
          </w:p>
        </w:tc>
        <w:tc>
          <w:tcPr>
            <w:tcW w:w="0" w:type="auto"/>
          </w:tcPr>
          <w:p w14:paraId="54ADF6EF" w14:textId="3FE81A2C" w:rsidR="00FE1B58" w:rsidRPr="00491F28" w:rsidRDefault="00FE1B58" w:rsidP="00B56A0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auto"/>
                <w:lang w:val="bs-Latn-BA"/>
              </w:rPr>
            </w:pPr>
            <w:r w:rsidRPr="00491F28">
              <w:rPr>
                <w:rFonts w:asciiTheme="minorHAnsi" w:hAnsiTheme="minorHAnsi" w:cstheme="minorHAnsi"/>
                <w:lang w:val="bs-Latn-BA"/>
              </w:rPr>
              <w:t>-</w:t>
            </w:r>
          </w:p>
        </w:tc>
      </w:tr>
      <w:tr w:rsidR="00FE1B58" w:rsidRPr="008924E0" w14:paraId="66B802B3" w14:textId="77777777" w:rsidTr="00B56A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66B1E1" w14:textId="77777777" w:rsidR="00FE1B58" w:rsidRPr="008924E0" w:rsidRDefault="00FE1B58" w:rsidP="00B56A06">
            <w:pPr>
              <w:rPr>
                <w:rFonts w:eastAsia="Calibri"/>
                <w:lang w:val="bs-Latn-BA"/>
              </w:rPr>
            </w:pPr>
            <w:r w:rsidRPr="008924E0">
              <w:rPr>
                <w:rFonts w:eastAsia="Calibri"/>
                <w:b w:val="0"/>
                <w:lang w:val="bs-Latn-BA"/>
              </w:rPr>
              <w:t xml:space="preserve">Neboderi (H) </w:t>
            </w:r>
          </w:p>
        </w:tc>
        <w:tc>
          <w:tcPr>
            <w:tcW w:w="0" w:type="auto"/>
          </w:tcPr>
          <w:p w14:paraId="40C2D30A" w14:textId="074C9A19" w:rsidR="00FE1B58" w:rsidRPr="00491F28" w:rsidRDefault="00FE1B58" w:rsidP="00B56A0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lang w:val="bs-Latn-BA"/>
              </w:rPr>
            </w:pPr>
            <w:r w:rsidRPr="00491F28">
              <w:rPr>
                <w:rFonts w:asciiTheme="minorHAnsi" w:eastAsia="Calibri" w:hAnsiTheme="minorHAnsi" w:cstheme="minorHAnsi"/>
                <w:lang w:val="bs-Latn-BA"/>
              </w:rPr>
              <w:t>-</w:t>
            </w:r>
          </w:p>
        </w:tc>
        <w:tc>
          <w:tcPr>
            <w:tcW w:w="0" w:type="auto"/>
          </w:tcPr>
          <w:p w14:paraId="0D26F95B" w14:textId="0E6D3595" w:rsidR="00FE1B58" w:rsidRPr="00491F28" w:rsidRDefault="00FE1B58" w:rsidP="00B56A0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lang w:val="bs-Latn-BA"/>
              </w:rPr>
            </w:pPr>
            <w:r w:rsidRPr="00491F28">
              <w:rPr>
                <w:rFonts w:asciiTheme="minorHAnsi" w:eastAsia="Calibri" w:hAnsiTheme="minorHAnsi" w:cstheme="minorHAnsi"/>
                <w:lang w:val="bs-Latn-BA"/>
              </w:rPr>
              <w:t>1.817,7</w:t>
            </w:r>
          </w:p>
        </w:tc>
        <w:tc>
          <w:tcPr>
            <w:tcW w:w="0" w:type="auto"/>
          </w:tcPr>
          <w:p w14:paraId="2B38DFEB" w14:textId="1A24CC4A" w:rsidR="00FE1B58" w:rsidRPr="00491F28" w:rsidRDefault="00FE1B58" w:rsidP="00B56A0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color w:val="auto"/>
                <w:lang w:val="bs-Latn-BA"/>
              </w:rPr>
            </w:pPr>
            <w:r w:rsidRPr="00491F28">
              <w:rPr>
                <w:rFonts w:asciiTheme="minorHAnsi" w:eastAsia="Calibri" w:hAnsiTheme="minorHAnsi" w:cstheme="minorHAnsi"/>
                <w:lang w:val="bs-Latn-BA"/>
              </w:rPr>
              <w:t>2.102,8</w:t>
            </w:r>
          </w:p>
        </w:tc>
        <w:tc>
          <w:tcPr>
            <w:tcW w:w="0" w:type="auto"/>
          </w:tcPr>
          <w:p w14:paraId="3FF2F544" w14:textId="1ECFC464" w:rsidR="00FE1B58" w:rsidRPr="00491F28" w:rsidRDefault="00FE1B58" w:rsidP="00B56A0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bs-Latn-BA"/>
              </w:rPr>
            </w:pPr>
            <w:r w:rsidRPr="00491F28">
              <w:rPr>
                <w:rFonts w:asciiTheme="minorHAnsi" w:hAnsiTheme="minorHAnsi" w:cstheme="minorHAnsi"/>
                <w:lang w:val="bs-Latn-BA"/>
              </w:rPr>
              <w:t>-</w:t>
            </w:r>
          </w:p>
        </w:tc>
      </w:tr>
    </w:tbl>
    <w:p w14:paraId="732B6051" w14:textId="30B97B8D" w:rsidR="00FE1B58" w:rsidRDefault="00FE1B58" w:rsidP="00FE1B58">
      <w:pPr>
        <w:rPr>
          <w:lang w:val="bs-Latn-BA"/>
        </w:rPr>
      </w:pPr>
    </w:p>
    <w:p w14:paraId="19857DF3" w14:textId="7068E750" w:rsidR="002E75CB" w:rsidRDefault="00A94E2A" w:rsidP="00A94E2A">
      <w:pPr>
        <w:pBdr>
          <w:top w:val="nil"/>
          <w:left w:val="nil"/>
          <w:bottom w:val="nil"/>
          <w:right w:val="nil"/>
          <w:between w:val="nil"/>
        </w:pBdr>
        <w:spacing w:after="0" w:line="240" w:lineRule="auto"/>
        <w:rPr>
          <w:lang w:val="bs-Latn-BA"/>
        </w:rPr>
      </w:pPr>
      <w:r>
        <w:rPr>
          <w:rFonts w:eastAsia="Calibri"/>
          <w:color w:val="000000"/>
          <w:lang w:val="bs-Latn-BA"/>
        </w:rPr>
        <w:t>Korištenjem podataka o ukupnom broju zgrada koje se obnavljaju različitim nivoima obnove i podatke o broju čovjek dana za pojedine kategorije zgrada i nivoe obnove (</w:t>
      </w:r>
      <w:r w:rsidR="00905AB3">
        <w:rPr>
          <w:lang w:val="bs-Latn-BA"/>
        </w:rPr>
        <w:t>Tabela 6.9.</w:t>
      </w:r>
      <w:r>
        <w:rPr>
          <w:lang w:val="bs-Latn-BA"/>
        </w:rPr>
        <w:t xml:space="preserve">), izračunat je ukupan broj čovjek dana za provođenje obnove stambenog sektora, kako je prikazano </w:t>
      </w:r>
      <w:r w:rsidR="00905AB3">
        <w:rPr>
          <w:lang w:val="bs-Latn-BA"/>
        </w:rPr>
        <w:t>u Tabeli 6.10</w:t>
      </w:r>
      <w:r>
        <w:rPr>
          <w:lang w:val="bs-Latn-BA"/>
        </w:rPr>
        <w:t xml:space="preserve">. </w:t>
      </w:r>
    </w:p>
    <w:p w14:paraId="1A572A1C" w14:textId="085CD043" w:rsidR="003250E4" w:rsidRPr="008924E0" w:rsidRDefault="003250E4" w:rsidP="00A94E2A">
      <w:pPr>
        <w:pBdr>
          <w:top w:val="nil"/>
          <w:left w:val="nil"/>
          <w:bottom w:val="nil"/>
          <w:right w:val="nil"/>
          <w:between w:val="nil"/>
        </w:pBdr>
        <w:spacing w:after="0" w:line="240" w:lineRule="auto"/>
        <w:rPr>
          <w:rFonts w:eastAsia="Calibri"/>
          <w:color w:val="000000"/>
          <w:lang w:val="bs-Latn-BA"/>
        </w:rPr>
      </w:pPr>
      <w:r w:rsidRPr="003250E4">
        <w:rPr>
          <w:rFonts w:eastAsia="Calibri"/>
          <w:color w:val="000000"/>
          <w:lang w:val="bs-Latn-BA"/>
        </w:rPr>
        <w:t xml:space="preserve">Ekvivalent punog radnog vremena (Full Time Employment FTE) predstavlja podatak o kreiranom broju radnih mjesta odnosno broju radnih mjesta sa punim radnim vremenom na period od godinu dana.  FTE </w:t>
      </w:r>
      <w:r w:rsidR="000D3CFF">
        <w:rPr>
          <w:rFonts w:eastAsia="Calibri"/>
          <w:color w:val="000000"/>
          <w:lang w:val="bs-Latn-BA"/>
        </w:rPr>
        <w:t>se računa</w:t>
      </w:r>
      <w:r w:rsidRPr="003250E4">
        <w:rPr>
          <w:rFonts w:eastAsia="Calibri"/>
          <w:color w:val="000000"/>
          <w:lang w:val="bs-Latn-BA"/>
        </w:rPr>
        <w:t xml:space="preserve"> </w:t>
      </w:r>
      <w:r>
        <w:rPr>
          <w:rFonts w:eastAsia="Calibri"/>
          <w:color w:val="000000"/>
          <w:lang w:val="bs-Latn-BA"/>
        </w:rPr>
        <w:t xml:space="preserve">kao omjer </w:t>
      </w:r>
      <w:r w:rsidRPr="003250E4">
        <w:rPr>
          <w:rFonts w:eastAsia="Calibri"/>
          <w:color w:val="000000"/>
          <w:lang w:val="bs-Latn-BA"/>
        </w:rPr>
        <w:t>vrijednost</w:t>
      </w:r>
      <w:r>
        <w:rPr>
          <w:rFonts w:eastAsia="Calibri"/>
          <w:color w:val="000000"/>
          <w:lang w:val="bs-Latn-BA"/>
        </w:rPr>
        <w:t>i</w:t>
      </w:r>
      <w:r w:rsidRPr="003250E4">
        <w:rPr>
          <w:rFonts w:eastAsia="Calibri"/>
          <w:color w:val="000000"/>
          <w:lang w:val="bs-Latn-BA"/>
        </w:rPr>
        <w:t xml:space="preserve"> broja čovjek dana i broja radnih dana</w:t>
      </w:r>
      <w:r>
        <w:rPr>
          <w:rFonts w:eastAsia="Calibri"/>
          <w:color w:val="000000"/>
          <w:lang w:val="bs-Latn-BA"/>
        </w:rPr>
        <w:t>,</w:t>
      </w:r>
      <w:r w:rsidRPr="003250E4">
        <w:rPr>
          <w:rFonts w:eastAsia="Calibri"/>
          <w:color w:val="000000"/>
          <w:lang w:val="bs-Latn-BA"/>
        </w:rPr>
        <w:t xml:space="preserve"> koji iznosi 260 radnih dana u godini za građevinski sektor</w:t>
      </w:r>
      <w:r w:rsidR="000D3CFF">
        <w:rPr>
          <w:rFonts w:eastAsia="Calibri"/>
          <w:color w:val="000000"/>
          <w:lang w:val="bs-Latn-BA"/>
        </w:rPr>
        <w:t>. I</w:t>
      </w:r>
      <w:r>
        <w:rPr>
          <w:rFonts w:eastAsia="Calibri"/>
          <w:color w:val="000000"/>
          <w:lang w:val="bs-Latn-BA"/>
        </w:rPr>
        <w:t>zračunate vrijednosti</w:t>
      </w:r>
      <w:r w:rsidR="000D3CFF">
        <w:rPr>
          <w:rFonts w:eastAsia="Calibri"/>
          <w:color w:val="000000"/>
          <w:lang w:val="bs-Latn-BA"/>
        </w:rPr>
        <w:t xml:space="preserve"> FTE</w:t>
      </w:r>
      <w:r>
        <w:rPr>
          <w:rFonts w:eastAsia="Calibri"/>
          <w:color w:val="000000"/>
          <w:lang w:val="bs-Latn-BA"/>
        </w:rPr>
        <w:t xml:space="preserve"> su prikazane u </w:t>
      </w:r>
      <w:r w:rsidR="00905AB3">
        <w:rPr>
          <w:lang w:val="bs-Latn-BA"/>
        </w:rPr>
        <w:t>Tabeli 6.10.</w:t>
      </w:r>
    </w:p>
    <w:p w14:paraId="313D83C2" w14:textId="77777777" w:rsidR="002E75CB" w:rsidRPr="008924E0" w:rsidRDefault="002E75CB" w:rsidP="002E75CB">
      <w:pPr>
        <w:pBdr>
          <w:top w:val="nil"/>
          <w:left w:val="nil"/>
          <w:bottom w:val="nil"/>
          <w:right w:val="nil"/>
          <w:between w:val="nil"/>
        </w:pBdr>
        <w:spacing w:after="0" w:line="240" w:lineRule="auto"/>
        <w:jc w:val="left"/>
        <w:rPr>
          <w:rFonts w:eastAsia="Calibri"/>
          <w:color w:val="000000"/>
          <w:lang w:val="bs-Latn-BA"/>
        </w:rPr>
      </w:pPr>
    </w:p>
    <w:p w14:paraId="1FF470F6" w14:textId="4BC2E75B" w:rsidR="002E75CB" w:rsidRPr="008924E0" w:rsidRDefault="002E75CB" w:rsidP="002E75CB">
      <w:pPr>
        <w:pStyle w:val="Caption"/>
        <w:keepNext/>
      </w:pPr>
      <w:bookmarkStart w:id="111" w:name="_Ref130736520"/>
      <w:bookmarkStart w:id="112" w:name="_Toc133499555"/>
      <w:r w:rsidRPr="008924E0">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10</w:t>
      </w:r>
      <w:r w:rsidR="00000000">
        <w:rPr>
          <w:noProof/>
        </w:rPr>
        <w:fldChar w:fldCharType="end"/>
      </w:r>
      <w:bookmarkEnd w:id="111"/>
      <w:r w:rsidR="003250E4">
        <w:t xml:space="preserve"> </w:t>
      </w:r>
      <w:r w:rsidR="008352D9">
        <w:t>Angažirana</w:t>
      </w:r>
      <w:r w:rsidR="003250E4">
        <w:t xml:space="preserve"> radna snaga za </w:t>
      </w:r>
      <w:r>
        <w:rPr>
          <w:rFonts w:eastAsia="Calibri"/>
          <w:color w:val="000000"/>
        </w:rPr>
        <w:t>obnov</w:t>
      </w:r>
      <w:r w:rsidR="00A94E2A">
        <w:rPr>
          <w:rFonts w:eastAsia="Calibri"/>
          <w:color w:val="000000"/>
        </w:rPr>
        <w:t>u</w:t>
      </w:r>
      <w:r w:rsidRPr="008924E0">
        <w:rPr>
          <w:rFonts w:eastAsia="Calibri"/>
          <w:color w:val="000000"/>
        </w:rPr>
        <w:t xml:space="preserve"> stambenog fonda zgrada FBiH</w:t>
      </w:r>
      <w:bookmarkEnd w:id="112"/>
    </w:p>
    <w:tbl>
      <w:tblPr>
        <w:tblW w:w="958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653"/>
        <w:gridCol w:w="1256"/>
        <w:gridCol w:w="1474"/>
        <w:gridCol w:w="1584"/>
        <w:gridCol w:w="1619"/>
      </w:tblGrid>
      <w:tr w:rsidR="003250E4" w:rsidRPr="008924E0" w14:paraId="45A3D81F" w14:textId="77777777" w:rsidTr="003250E4">
        <w:trPr>
          <w:jc w:val="center"/>
        </w:trPr>
        <w:tc>
          <w:tcPr>
            <w:tcW w:w="3654" w:type="dxa"/>
            <w:shd w:val="clear" w:color="auto" w:fill="006432"/>
          </w:tcPr>
          <w:p w14:paraId="5C455281" w14:textId="6BBB9628" w:rsidR="002E75CB" w:rsidRPr="008924E0" w:rsidRDefault="003250E4" w:rsidP="00B56A06">
            <w:pPr>
              <w:spacing w:after="0" w:line="240" w:lineRule="auto"/>
              <w:jc w:val="left"/>
              <w:rPr>
                <w:rFonts w:eastAsia="Calibri"/>
                <w:b/>
                <w:color w:val="FFFFFF"/>
                <w:sz w:val="20"/>
                <w:szCs w:val="20"/>
                <w:lang w:val="bs-Latn-BA"/>
              </w:rPr>
            </w:pPr>
            <w:r>
              <w:rPr>
                <w:rFonts w:eastAsia="Calibri"/>
                <w:b/>
                <w:color w:val="FFFFFF"/>
                <w:sz w:val="20"/>
                <w:szCs w:val="20"/>
                <w:lang w:val="bs-Latn-BA"/>
              </w:rPr>
              <w:t xml:space="preserve">Parametar </w:t>
            </w:r>
          </w:p>
        </w:tc>
        <w:tc>
          <w:tcPr>
            <w:tcW w:w="0" w:type="auto"/>
            <w:shd w:val="clear" w:color="auto" w:fill="006432"/>
          </w:tcPr>
          <w:p w14:paraId="6A7AFD7F"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2020. </w:t>
            </w:r>
          </w:p>
          <w:p w14:paraId="0B5BDACA"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0" w:type="auto"/>
            <w:shd w:val="clear" w:color="auto" w:fill="006432"/>
          </w:tcPr>
          <w:p w14:paraId="5DE52F34"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2030. </w:t>
            </w:r>
          </w:p>
          <w:p w14:paraId="3C50C418"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1584" w:type="dxa"/>
            <w:shd w:val="clear" w:color="auto" w:fill="006432"/>
          </w:tcPr>
          <w:p w14:paraId="017F9D45"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2040. </w:t>
            </w:r>
          </w:p>
          <w:p w14:paraId="17C11DA9"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0" w:type="auto"/>
            <w:shd w:val="clear" w:color="auto" w:fill="006432"/>
          </w:tcPr>
          <w:p w14:paraId="669B9BB5"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2050. </w:t>
            </w:r>
          </w:p>
          <w:p w14:paraId="7AB166C0" w14:textId="77777777" w:rsidR="002E75CB" w:rsidRPr="008924E0" w:rsidRDefault="002E75CB" w:rsidP="00B56A0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godina </w:t>
            </w:r>
          </w:p>
        </w:tc>
      </w:tr>
      <w:tr w:rsidR="002E75CB" w:rsidRPr="008924E0" w14:paraId="4FCDBF8F" w14:textId="77777777" w:rsidTr="00491F28">
        <w:trPr>
          <w:jc w:val="center"/>
        </w:trPr>
        <w:tc>
          <w:tcPr>
            <w:tcW w:w="3654" w:type="dxa"/>
          </w:tcPr>
          <w:p w14:paraId="10BAD16D" w14:textId="41318563" w:rsidR="002E75CB" w:rsidRPr="008924E0" w:rsidRDefault="003250E4" w:rsidP="00B56A06">
            <w:pPr>
              <w:spacing w:after="0" w:line="240" w:lineRule="auto"/>
              <w:jc w:val="left"/>
              <w:rPr>
                <w:rFonts w:eastAsia="Calibri"/>
                <w:b/>
                <w:color w:val="000000"/>
                <w:sz w:val="20"/>
                <w:szCs w:val="20"/>
                <w:lang w:val="bs-Latn-BA"/>
              </w:rPr>
            </w:pPr>
            <w:r>
              <w:rPr>
                <w:rFonts w:eastAsia="Calibri"/>
                <w:b/>
                <w:sz w:val="20"/>
                <w:szCs w:val="20"/>
                <w:lang w:val="bs-Latn-BA"/>
              </w:rPr>
              <w:t>Broj čovjek dana</w:t>
            </w:r>
          </w:p>
        </w:tc>
        <w:tc>
          <w:tcPr>
            <w:tcW w:w="0" w:type="auto"/>
            <w:vAlign w:val="center"/>
          </w:tcPr>
          <w:p w14:paraId="6A010AFA" w14:textId="23D70C6B" w:rsidR="002E75CB" w:rsidRPr="001130F0" w:rsidRDefault="00A94E2A" w:rsidP="00B56A06">
            <w:pPr>
              <w:spacing w:after="0" w:line="240" w:lineRule="auto"/>
              <w:jc w:val="right"/>
              <w:rPr>
                <w:rFonts w:ascii="Corbel" w:hAnsi="Corbel" w:cs="Corbel"/>
                <w:color w:val="000000"/>
                <w:sz w:val="20"/>
                <w:szCs w:val="20"/>
                <w:lang w:val="bs-Latn-BA"/>
              </w:rPr>
            </w:pPr>
            <w:r>
              <w:rPr>
                <w:rFonts w:eastAsia="Calibri"/>
                <w:color w:val="000000"/>
                <w:sz w:val="20"/>
                <w:szCs w:val="20"/>
                <w:lang w:val="bs-Latn-BA"/>
              </w:rPr>
              <w:t>805.887</w:t>
            </w:r>
          </w:p>
        </w:tc>
        <w:tc>
          <w:tcPr>
            <w:tcW w:w="0" w:type="auto"/>
            <w:vAlign w:val="center"/>
          </w:tcPr>
          <w:p w14:paraId="450F1B7F" w14:textId="0C043C77" w:rsidR="002E75CB" w:rsidRPr="001130F0" w:rsidRDefault="00A94E2A" w:rsidP="00B56A06">
            <w:pPr>
              <w:spacing w:after="0" w:line="240" w:lineRule="auto"/>
              <w:jc w:val="right"/>
              <w:rPr>
                <w:rFonts w:ascii="Corbel" w:hAnsi="Corbel" w:cs="Corbel"/>
                <w:color w:val="000000"/>
                <w:sz w:val="20"/>
                <w:szCs w:val="20"/>
                <w:lang w:val="bs-Latn-BA"/>
              </w:rPr>
            </w:pPr>
            <w:r>
              <w:rPr>
                <w:rFonts w:eastAsia="Calibri"/>
                <w:color w:val="000000"/>
                <w:sz w:val="20"/>
                <w:szCs w:val="20"/>
                <w:lang w:val="bs-Latn-BA"/>
              </w:rPr>
              <w:t>9.081.072</w:t>
            </w:r>
          </w:p>
        </w:tc>
        <w:tc>
          <w:tcPr>
            <w:tcW w:w="1584" w:type="dxa"/>
            <w:vAlign w:val="center"/>
          </w:tcPr>
          <w:p w14:paraId="6F9EA895" w14:textId="199061AC" w:rsidR="002E75CB" w:rsidRPr="001130F0" w:rsidRDefault="00A94E2A" w:rsidP="00B56A06">
            <w:pPr>
              <w:spacing w:after="0" w:line="240" w:lineRule="auto"/>
              <w:jc w:val="right"/>
              <w:rPr>
                <w:rFonts w:ascii="Corbel" w:hAnsi="Corbel" w:cs="Corbel"/>
                <w:color w:val="000000"/>
                <w:sz w:val="20"/>
                <w:szCs w:val="20"/>
                <w:lang w:val="bs-Latn-BA"/>
              </w:rPr>
            </w:pPr>
            <w:r>
              <w:rPr>
                <w:rFonts w:eastAsia="Calibri"/>
                <w:color w:val="000000"/>
                <w:sz w:val="20"/>
                <w:szCs w:val="20"/>
                <w:lang w:val="bs-Latn-BA"/>
              </w:rPr>
              <w:t>21.340.971</w:t>
            </w:r>
          </w:p>
        </w:tc>
        <w:tc>
          <w:tcPr>
            <w:tcW w:w="0" w:type="auto"/>
            <w:vAlign w:val="center"/>
          </w:tcPr>
          <w:p w14:paraId="34B646FA" w14:textId="52FFBF0D" w:rsidR="002E75CB" w:rsidRPr="001130F0" w:rsidRDefault="00A94E2A" w:rsidP="00B56A06">
            <w:pPr>
              <w:spacing w:after="0" w:line="240" w:lineRule="auto"/>
              <w:jc w:val="right"/>
              <w:rPr>
                <w:rFonts w:ascii="Corbel" w:hAnsi="Corbel" w:cs="Corbel"/>
                <w:color w:val="000000"/>
                <w:sz w:val="20"/>
                <w:szCs w:val="20"/>
                <w:lang w:val="bs-Latn-BA"/>
              </w:rPr>
            </w:pPr>
            <w:r>
              <w:rPr>
                <w:rFonts w:eastAsia="Calibri"/>
                <w:color w:val="000000"/>
                <w:sz w:val="20"/>
                <w:szCs w:val="20"/>
                <w:lang w:val="bs-Latn-BA"/>
              </w:rPr>
              <w:t>34.105.143</w:t>
            </w:r>
          </w:p>
        </w:tc>
      </w:tr>
      <w:tr w:rsidR="003250E4" w:rsidRPr="003250E4" w14:paraId="37CC4A36" w14:textId="77777777" w:rsidTr="00491F28">
        <w:trPr>
          <w:jc w:val="center"/>
        </w:trPr>
        <w:tc>
          <w:tcPr>
            <w:tcW w:w="3654" w:type="dxa"/>
          </w:tcPr>
          <w:p w14:paraId="0186DDC5" w14:textId="6D19CE58" w:rsidR="003250E4" w:rsidRPr="003250E4" w:rsidRDefault="003250E4" w:rsidP="003250E4">
            <w:pPr>
              <w:spacing w:after="0" w:line="240" w:lineRule="auto"/>
              <w:jc w:val="left"/>
              <w:rPr>
                <w:rFonts w:eastAsia="Calibri"/>
                <w:b/>
                <w:sz w:val="20"/>
                <w:szCs w:val="20"/>
                <w:lang w:val="bs-Latn-BA"/>
              </w:rPr>
            </w:pPr>
            <w:r w:rsidRPr="00491F28">
              <w:rPr>
                <w:rFonts w:eastAsia="Calibri"/>
                <w:b/>
                <w:sz w:val="20"/>
                <w:szCs w:val="20"/>
                <w:lang w:val="bs-Latn-BA"/>
              </w:rPr>
              <w:t>Ekvivalent punog radnog vremena (FTE)</w:t>
            </w:r>
          </w:p>
        </w:tc>
        <w:tc>
          <w:tcPr>
            <w:tcW w:w="0" w:type="auto"/>
            <w:vAlign w:val="bottom"/>
          </w:tcPr>
          <w:p w14:paraId="2DF68078" w14:textId="6BA8CC39" w:rsidR="003250E4" w:rsidRDefault="003250E4" w:rsidP="003250E4">
            <w:pPr>
              <w:spacing w:after="0" w:line="240" w:lineRule="auto"/>
              <w:jc w:val="right"/>
              <w:rPr>
                <w:rFonts w:eastAsia="Calibri"/>
                <w:color w:val="000000"/>
                <w:sz w:val="20"/>
                <w:szCs w:val="20"/>
                <w:lang w:val="bs-Latn-BA"/>
              </w:rPr>
            </w:pPr>
            <w:r w:rsidRPr="00491F28">
              <w:rPr>
                <w:rFonts w:eastAsia="Calibri"/>
                <w:color w:val="000000"/>
                <w:sz w:val="20"/>
                <w:szCs w:val="20"/>
                <w:lang w:val="bs-Latn-BA"/>
              </w:rPr>
              <w:t>3.100</w:t>
            </w:r>
          </w:p>
        </w:tc>
        <w:tc>
          <w:tcPr>
            <w:tcW w:w="0" w:type="auto"/>
            <w:vAlign w:val="bottom"/>
          </w:tcPr>
          <w:p w14:paraId="64AB5462" w14:textId="45AF9274" w:rsidR="003250E4" w:rsidRDefault="003250E4" w:rsidP="003250E4">
            <w:pPr>
              <w:spacing w:after="0" w:line="240" w:lineRule="auto"/>
              <w:jc w:val="right"/>
              <w:rPr>
                <w:rFonts w:eastAsia="Calibri"/>
                <w:color w:val="000000"/>
                <w:sz w:val="20"/>
                <w:szCs w:val="20"/>
                <w:lang w:val="bs-Latn-BA"/>
              </w:rPr>
            </w:pPr>
            <w:r w:rsidRPr="00491F28">
              <w:rPr>
                <w:rFonts w:eastAsia="Calibri"/>
                <w:color w:val="000000"/>
                <w:sz w:val="20"/>
                <w:szCs w:val="20"/>
                <w:lang w:val="bs-Latn-BA"/>
              </w:rPr>
              <w:t>34.927</w:t>
            </w:r>
          </w:p>
        </w:tc>
        <w:tc>
          <w:tcPr>
            <w:tcW w:w="1584" w:type="dxa"/>
            <w:vAlign w:val="bottom"/>
          </w:tcPr>
          <w:p w14:paraId="1BD12250" w14:textId="7B924DC5" w:rsidR="003250E4" w:rsidRDefault="003250E4" w:rsidP="003250E4">
            <w:pPr>
              <w:spacing w:after="0" w:line="240" w:lineRule="auto"/>
              <w:jc w:val="right"/>
              <w:rPr>
                <w:rFonts w:eastAsia="Calibri"/>
                <w:color w:val="000000"/>
                <w:sz w:val="20"/>
                <w:szCs w:val="20"/>
                <w:lang w:val="bs-Latn-BA"/>
              </w:rPr>
            </w:pPr>
            <w:r w:rsidRPr="00491F28">
              <w:rPr>
                <w:rFonts w:eastAsia="Calibri"/>
                <w:color w:val="000000"/>
                <w:sz w:val="20"/>
                <w:szCs w:val="20"/>
                <w:lang w:val="bs-Latn-BA"/>
              </w:rPr>
              <w:t>82.081</w:t>
            </w:r>
          </w:p>
        </w:tc>
        <w:tc>
          <w:tcPr>
            <w:tcW w:w="0" w:type="auto"/>
            <w:vAlign w:val="bottom"/>
          </w:tcPr>
          <w:p w14:paraId="411E05AB" w14:textId="36BE7268" w:rsidR="003250E4" w:rsidRDefault="003250E4" w:rsidP="003250E4">
            <w:pPr>
              <w:spacing w:after="0" w:line="240" w:lineRule="auto"/>
              <w:jc w:val="right"/>
              <w:rPr>
                <w:rFonts w:eastAsia="Calibri"/>
                <w:color w:val="000000"/>
                <w:sz w:val="20"/>
                <w:szCs w:val="20"/>
                <w:lang w:val="bs-Latn-BA"/>
              </w:rPr>
            </w:pPr>
            <w:r w:rsidRPr="00491F28">
              <w:rPr>
                <w:rFonts w:eastAsia="Calibri"/>
                <w:color w:val="000000"/>
                <w:sz w:val="20"/>
                <w:szCs w:val="20"/>
                <w:lang w:val="bs-Latn-BA"/>
              </w:rPr>
              <w:t>131.174</w:t>
            </w:r>
          </w:p>
        </w:tc>
      </w:tr>
    </w:tbl>
    <w:p w14:paraId="687484C1" w14:textId="77777777" w:rsidR="00FE1B58" w:rsidRPr="00BD138C" w:rsidRDefault="00FE1B58" w:rsidP="00BD138C">
      <w:pPr>
        <w:spacing w:after="0" w:line="240" w:lineRule="auto"/>
        <w:jc w:val="right"/>
        <w:rPr>
          <w:rFonts w:eastAsia="Calibri"/>
          <w:color w:val="000000"/>
          <w:sz w:val="20"/>
          <w:szCs w:val="20"/>
          <w:lang w:val="bs-Latn-BA"/>
        </w:rPr>
      </w:pPr>
    </w:p>
    <w:p w14:paraId="7BFAFDB2" w14:textId="77777777" w:rsidR="006F579C" w:rsidRPr="008924E0" w:rsidRDefault="006F579C" w:rsidP="006F579C">
      <w:pPr>
        <w:keepNext/>
        <w:keepLines/>
        <w:spacing w:before="40"/>
        <w:outlineLvl w:val="4"/>
        <w:rPr>
          <w:rFonts w:asciiTheme="majorHAnsi" w:eastAsiaTheme="majorEastAsia" w:hAnsiTheme="majorHAnsi" w:cstheme="majorBidi"/>
          <w:b/>
          <w:color w:val="005837"/>
          <w:lang w:val="bs-Latn-BA"/>
        </w:rPr>
      </w:pPr>
      <w:r w:rsidRPr="008924E0">
        <w:rPr>
          <w:rFonts w:asciiTheme="majorHAnsi" w:eastAsiaTheme="majorEastAsia" w:hAnsiTheme="majorHAnsi" w:cstheme="majorBidi"/>
          <w:b/>
          <w:color w:val="005837"/>
          <w:lang w:val="bs-Latn-BA"/>
        </w:rPr>
        <w:t>Energijska obnova stambenih zgrada u Kantonima FBiH</w:t>
      </w:r>
    </w:p>
    <w:p w14:paraId="66E3944A" w14:textId="0C6F7C86" w:rsidR="006F579C" w:rsidRPr="008924E0" w:rsidRDefault="006F579C" w:rsidP="006F579C">
      <w:pPr>
        <w:rPr>
          <w:lang w:val="bs-Latn-BA"/>
        </w:rPr>
      </w:pPr>
      <w:r w:rsidRPr="008924E0">
        <w:rPr>
          <w:lang w:val="bs-Latn-BA"/>
        </w:rPr>
        <w:t>Za procjenu broja zgrada koje će se</w:t>
      </w:r>
      <w:r w:rsidR="007C7BEC">
        <w:rPr>
          <w:lang w:val="bs-Latn-BA"/>
        </w:rPr>
        <w:t xml:space="preserve"> obnoviti</w:t>
      </w:r>
      <w:r w:rsidRPr="008924E0">
        <w:rPr>
          <w:lang w:val="bs-Latn-BA"/>
        </w:rPr>
        <w:t xml:space="preserve"> u pojedinim </w:t>
      </w:r>
      <w:r w:rsidR="007C7BEC">
        <w:rPr>
          <w:lang w:val="bs-Latn-BA"/>
        </w:rPr>
        <w:t>k</w:t>
      </w:r>
      <w:r w:rsidRPr="008924E0">
        <w:rPr>
          <w:lang w:val="bs-Latn-BA"/>
        </w:rPr>
        <w:t xml:space="preserve">antonima, korišteni su podaci o procentualnim udjelima zgrada u kantonima u ukupnom fondu zgrada. Za svaki </w:t>
      </w:r>
      <w:r w:rsidR="007C7BEC">
        <w:rPr>
          <w:lang w:val="bs-Latn-BA"/>
        </w:rPr>
        <w:t>k</w:t>
      </w:r>
      <w:r w:rsidRPr="008924E0">
        <w:rPr>
          <w:lang w:val="bs-Latn-BA"/>
        </w:rPr>
        <w:t xml:space="preserve">anton je napravljena projekcija </w:t>
      </w:r>
      <w:r w:rsidR="007C7BEC">
        <w:rPr>
          <w:lang w:val="bs-Latn-BA"/>
        </w:rPr>
        <w:t>obnovljenih</w:t>
      </w:r>
      <w:r w:rsidR="007C7BEC" w:rsidRPr="008924E0">
        <w:rPr>
          <w:lang w:val="bs-Latn-BA"/>
        </w:rPr>
        <w:t xml:space="preserve"> </w:t>
      </w:r>
      <w:r w:rsidRPr="008924E0">
        <w:rPr>
          <w:lang w:val="bs-Latn-BA"/>
        </w:rPr>
        <w:t xml:space="preserve">broja zgrada i korisne površine zgrada, individualnih zgrada i zgrada kolektivnog stanovanja, za karakteristične periode od po 10 godina i godišnju </w:t>
      </w:r>
      <w:r w:rsidR="007C7BEC">
        <w:rPr>
          <w:lang w:val="bs-Latn-BA"/>
        </w:rPr>
        <w:t>obnovu</w:t>
      </w:r>
      <w:r w:rsidR="007C7BEC" w:rsidRPr="008924E0">
        <w:rPr>
          <w:lang w:val="bs-Latn-BA"/>
        </w:rPr>
        <w:t xml:space="preserve"> </w:t>
      </w:r>
      <w:r w:rsidRPr="008924E0">
        <w:rPr>
          <w:lang w:val="bs-Latn-BA"/>
        </w:rPr>
        <w:t xml:space="preserve">1,5 % korisne površine zgrada. </w:t>
      </w:r>
      <w:r w:rsidR="00905AB3" w:rsidRPr="008924E0">
        <w:rPr>
          <w:lang w:val="bs-Latn-BA"/>
        </w:rPr>
        <w:t>Dobiveni rezultati su predstavljeni u Tabel</w:t>
      </w:r>
      <w:r w:rsidR="00CE6588">
        <w:rPr>
          <w:lang w:val="bs-Latn-BA"/>
        </w:rPr>
        <w:t>ama</w:t>
      </w:r>
      <w:r w:rsidR="00905AB3" w:rsidRPr="008924E0">
        <w:rPr>
          <w:lang w:val="bs-Latn-BA"/>
        </w:rPr>
        <w:t xml:space="preserve"> 6.1</w:t>
      </w:r>
      <w:r w:rsidR="00905AB3">
        <w:rPr>
          <w:lang w:val="bs-Latn-BA"/>
        </w:rPr>
        <w:t>1</w:t>
      </w:r>
      <w:r w:rsidR="00905AB3" w:rsidRPr="008924E0">
        <w:rPr>
          <w:lang w:val="bs-Latn-BA"/>
        </w:rPr>
        <w:t>-6.1</w:t>
      </w:r>
      <w:r w:rsidR="00905AB3">
        <w:rPr>
          <w:lang w:val="bs-Latn-BA"/>
        </w:rPr>
        <w:t>6</w:t>
      </w:r>
      <w:r w:rsidR="00905AB3" w:rsidRPr="008924E0">
        <w:rPr>
          <w:lang w:val="bs-Latn-BA"/>
        </w:rPr>
        <w:t>.</w:t>
      </w:r>
    </w:p>
    <w:p w14:paraId="703769D8" w14:textId="2DC1484C" w:rsidR="00703386" w:rsidRPr="008924E0" w:rsidRDefault="00703386" w:rsidP="00703386">
      <w:pPr>
        <w:pStyle w:val="Caption"/>
        <w:keepNext/>
      </w:pPr>
      <w:bookmarkStart w:id="113" w:name="_Toc133499556"/>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11</w:t>
        </w:r>
      </w:fldSimple>
      <w:r w:rsidRPr="008924E0">
        <w:rPr>
          <w:rFonts w:eastAsia="Calibri"/>
          <w:color w:val="000000"/>
        </w:rPr>
        <w:t xml:space="preserve"> Procjena broja individualnih zgrada </w:t>
      </w:r>
      <w:r w:rsidR="007C7BEC">
        <w:rPr>
          <w:rFonts w:eastAsia="Calibri"/>
          <w:color w:val="000000"/>
        </w:rPr>
        <w:t>obnovljenih</w:t>
      </w:r>
      <w:r w:rsidR="007C7BEC" w:rsidRPr="008924E0">
        <w:rPr>
          <w:rFonts w:eastAsia="Calibri"/>
          <w:color w:val="000000"/>
        </w:rPr>
        <w:t xml:space="preserve"> </w:t>
      </w:r>
      <w:r w:rsidRPr="008924E0">
        <w:rPr>
          <w:rFonts w:eastAsia="Calibri"/>
          <w:color w:val="000000"/>
        </w:rPr>
        <w:t xml:space="preserve">po </w:t>
      </w:r>
      <w:r w:rsidR="007C7BEC">
        <w:rPr>
          <w:rFonts w:eastAsia="Calibri"/>
          <w:color w:val="000000"/>
        </w:rPr>
        <w:t>k</w:t>
      </w:r>
      <w:r w:rsidRPr="008924E0">
        <w:rPr>
          <w:rFonts w:eastAsia="Calibri"/>
          <w:color w:val="000000"/>
        </w:rPr>
        <w:t>antonima za period do 2050. godine</w:t>
      </w:r>
      <w:bookmarkEnd w:id="113"/>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6F579C" w:rsidRPr="008924E0" w14:paraId="2794F099" w14:textId="77777777" w:rsidTr="000A1F1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3F0B2E37" w14:textId="77777777" w:rsidR="006F579C" w:rsidRPr="008924E0" w:rsidRDefault="006F579C" w:rsidP="006F579C">
            <w:pPr>
              <w:jc w:val="left"/>
              <w:rPr>
                <w:lang w:val="bs-Latn-BA"/>
              </w:rPr>
            </w:pPr>
            <w:r w:rsidRPr="008924E0">
              <w:rPr>
                <w:lang w:val="bs-Latn-BA"/>
              </w:rPr>
              <w:t>Kanton</w:t>
            </w:r>
          </w:p>
        </w:tc>
        <w:tc>
          <w:tcPr>
            <w:tcW w:w="6130" w:type="dxa"/>
            <w:gridSpan w:val="4"/>
          </w:tcPr>
          <w:p w14:paraId="2AF8D876" w14:textId="77777777" w:rsidR="006F579C" w:rsidRPr="008924E0" w:rsidRDefault="006F579C" w:rsidP="006F579C">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sidRPr="008924E0">
              <w:rPr>
                <w:rFonts w:ascii="Corbel" w:hAnsi="Corbel" w:cs="Corbel"/>
                <w:lang w:val="bs-Latn-BA"/>
              </w:rPr>
              <w:t>Broj zgrada</w:t>
            </w:r>
          </w:p>
        </w:tc>
      </w:tr>
      <w:tr w:rsidR="006F579C" w:rsidRPr="008924E0" w14:paraId="6AC4A3C1"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17DEED3C" w14:textId="77777777" w:rsidR="006F579C" w:rsidRPr="008924E0" w:rsidRDefault="006F579C" w:rsidP="006F579C">
            <w:pPr>
              <w:widowControl w:val="0"/>
              <w:pBdr>
                <w:top w:val="nil"/>
                <w:left w:val="nil"/>
                <w:bottom w:val="nil"/>
                <w:right w:val="nil"/>
                <w:between w:val="nil"/>
              </w:pBdr>
              <w:spacing w:line="276" w:lineRule="auto"/>
              <w:jc w:val="left"/>
              <w:rPr>
                <w:color w:val="000000"/>
                <w:lang w:val="bs-Latn-BA"/>
              </w:rPr>
            </w:pPr>
          </w:p>
        </w:tc>
        <w:tc>
          <w:tcPr>
            <w:tcW w:w="1204" w:type="dxa"/>
          </w:tcPr>
          <w:p w14:paraId="5E3FCD7E"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50BB4B8A"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3C4DD522"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10F657B1"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558EC8B6"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61B6DCC9"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3F40EFB9"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39396AD8"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6F579C" w:rsidRPr="008924E0" w14:paraId="7EB232C8"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4CB014D" w14:textId="77777777" w:rsidR="006F579C" w:rsidRPr="008924E0" w:rsidRDefault="006F579C" w:rsidP="006F579C">
            <w:pPr>
              <w:jc w:val="left"/>
              <w:rPr>
                <w:color w:val="000000"/>
                <w:lang w:val="bs-Latn-BA"/>
              </w:rPr>
            </w:pPr>
            <w:r w:rsidRPr="008924E0">
              <w:rPr>
                <w:color w:val="000000"/>
                <w:lang w:val="bs-Latn-BA"/>
              </w:rPr>
              <w:t>Unsko-sanski kanton</w:t>
            </w:r>
          </w:p>
        </w:tc>
        <w:tc>
          <w:tcPr>
            <w:tcW w:w="1204" w:type="dxa"/>
          </w:tcPr>
          <w:p w14:paraId="4AFDA6E3"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FF829FA"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2.999</w:t>
            </w:r>
          </w:p>
        </w:tc>
        <w:tc>
          <w:tcPr>
            <w:tcW w:w="1642" w:type="dxa"/>
          </w:tcPr>
          <w:p w14:paraId="6E6F620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12.268</w:t>
            </w:r>
          </w:p>
        </w:tc>
        <w:tc>
          <w:tcPr>
            <w:tcW w:w="1642" w:type="dxa"/>
          </w:tcPr>
          <w:p w14:paraId="42101995"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21.539</w:t>
            </w:r>
          </w:p>
        </w:tc>
      </w:tr>
      <w:tr w:rsidR="006F579C" w:rsidRPr="008924E0" w14:paraId="003C9FD8"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55311B4" w14:textId="77777777" w:rsidR="006F579C" w:rsidRPr="008924E0" w:rsidRDefault="006F579C" w:rsidP="006F579C">
            <w:pPr>
              <w:jc w:val="left"/>
              <w:rPr>
                <w:color w:val="000000"/>
                <w:lang w:val="bs-Latn-BA"/>
              </w:rPr>
            </w:pPr>
            <w:r w:rsidRPr="008924E0">
              <w:rPr>
                <w:color w:val="000000"/>
                <w:lang w:val="bs-Latn-BA"/>
              </w:rPr>
              <w:t>Posavski kanton</w:t>
            </w:r>
          </w:p>
        </w:tc>
        <w:tc>
          <w:tcPr>
            <w:tcW w:w="1204" w:type="dxa"/>
          </w:tcPr>
          <w:p w14:paraId="2EDAE15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1E045E6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567</w:t>
            </w:r>
          </w:p>
        </w:tc>
        <w:tc>
          <w:tcPr>
            <w:tcW w:w="1642" w:type="dxa"/>
          </w:tcPr>
          <w:p w14:paraId="28A5DF3F"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2.318</w:t>
            </w:r>
          </w:p>
        </w:tc>
        <w:tc>
          <w:tcPr>
            <w:tcW w:w="1642" w:type="dxa"/>
          </w:tcPr>
          <w:p w14:paraId="7E72413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4.069</w:t>
            </w:r>
          </w:p>
        </w:tc>
      </w:tr>
      <w:tr w:rsidR="006F579C" w:rsidRPr="008924E0" w14:paraId="70B58F57"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0CCD240" w14:textId="77777777" w:rsidR="006F579C" w:rsidRPr="008924E0" w:rsidRDefault="006F579C" w:rsidP="006F579C">
            <w:pPr>
              <w:jc w:val="left"/>
              <w:rPr>
                <w:color w:val="000000"/>
                <w:lang w:val="bs-Latn-BA"/>
              </w:rPr>
            </w:pPr>
            <w:r w:rsidRPr="008924E0">
              <w:rPr>
                <w:color w:val="000000"/>
                <w:lang w:val="bs-Latn-BA"/>
              </w:rPr>
              <w:t>Tuzlanski kanton</w:t>
            </w:r>
          </w:p>
        </w:tc>
        <w:tc>
          <w:tcPr>
            <w:tcW w:w="1204" w:type="dxa"/>
          </w:tcPr>
          <w:p w14:paraId="3CAA9E3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8859333"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4.956</w:t>
            </w:r>
          </w:p>
        </w:tc>
        <w:tc>
          <w:tcPr>
            <w:tcW w:w="1642" w:type="dxa"/>
          </w:tcPr>
          <w:p w14:paraId="376D1433"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20.278</w:t>
            </w:r>
          </w:p>
        </w:tc>
        <w:tc>
          <w:tcPr>
            <w:tcW w:w="1642" w:type="dxa"/>
          </w:tcPr>
          <w:p w14:paraId="6EACA7FD"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35.602</w:t>
            </w:r>
          </w:p>
        </w:tc>
      </w:tr>
      <w:tr w:rsidR="006F579C" w:rsidRPr="008924E0" w14:paraId="03FD5727"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048F552" w14:textId="77777777" w:rsidR="006F579C" w:rsidRPr="008924E0" w:rsidRDefault="006F579C" w:rsidP="006F579C">
            <w:pPr>
              <w:jc w:val="left"/>
              <w:rPr>
                <w:color w:val="000000"/>
                <w:lang w:val="bs-Latn-BA"/>
              </w:rPr>
            </w:pPr>
            <w:r w:rsidRPr="008924E0">
              <w:rPr>
                <w:color w:val="000000"/>
                <w:lang w:val="bs-Latn-BA"/>
              </w:rPr>
              <w:t>Zeničko-dobojski kanton</w:t>
            </w:r>
          </w:p>
        </w:tc>
        <w:tc>
          <w:tcPr>
            <w:tcW w:w="1204" w:type="dxa"/>
          </w:tcPr>
          <w:p w14:paraId="09F7EFE2"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07BA613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3.581</w:t>
            </w:r>
          </w:p>
        </w:tc>
        <w:tc>
          <w:tcPr>
            <w:tcW w:w="1642" w:type="dxa"/>
          </w:tcPr>
          <w:p w14:paraId="143007A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14.651</w:t>
            </w:r>
          </w:p>
        </w:tc>
        <w:tc>
          <w:tcPr>
            <w:tcW w:w="1642" w:type="dxa"/>
          </w:tcPr>
          <w:p w14:paraId="11A1B73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25.722</w:t>
            </w:r>
          </w:p>
        </w:tc>
      </w:tr>
      <w:tr w:rsidR="006F579C" w:rsidRPr="008924E0" w14:paraId="7995B406"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90514D0" w14:textId="77777777" w:rsidR="006F579C" w:rsidRPr="008924E0" w:rsidRDefault="006F579C" w:rsidP="006F579C">
            <w:pPr>
              <w:jc w:val="left"/>
              <w:rPr>
                <w:color w:val="000000"/>
                <w:lang w:val="bs-Latn-BA"/>
              </w:rPr>
            </w:pPr>
            <w:r w:rsidRPr="008924E0">
              <w:rPr>
                <w:color w:val="000000"/>
                <w:lang w:val="bs-Latn-BA"/>
              </w:rPr>
              <w:t>Bosansko-podrinjski kanton</w:t>
            </w:r>
          </w:p>
        </w:tc>
        <w:tc>
          <w:tcPr>
            <w:tcW w:w="1204" w:type="dxa"/>
          </w:tcPr>
          <w:p w14:paraId="42FC3865"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610C437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297</w:t>
            </w:r>
          </w:p>
        </w:tc>
        <w:tc>
          <w:tcPr>
            <w:tcW w:w="1642" w:type="dxa"/>
          </w:tcPr>
          <w:p w14:paraId="2E845491"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1.214</w:t>
            </w:r>
          </w:p>
        </w:tc>
        <w:tc>
          <w:tcPr>
            <w:tcW w:w="1642" w:type="dxa"/>
          </w:tcPr>
          <w:p w14:paraId="25AD049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2.132</w:t>
            </w:r>
          </w:p>
        </w:tc>
      </w:tr>
      <w:tr w:rsidR="006F579C" w:rsidRPr="008924E0" w14:paraId="4D576642"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F283998" w14:textId="77777777" w:rsidR="006F579C" w:rsidRPr="008924E0" w:rsidRDefault="006F579C" w:rsidP="006F579C">
            <w:pPr>
              <w:jc w:val="left"/>
              <w:rPr>
                <w:color w:val="000000"/>
                <w:lang w:val="bs-Latn-BA"/>
              </w:rPr>
            </w:pPr>
            <w:r w:rsidRPr="008924E0">
              <w:rPr>
                <w:color w:val="000000"/>
                <w:lang w:val="bs-Latn-BA"/>
              </w:rPr>
              <w:t>Srednjobosanski kanton</w:t>
            </w:r>
          </w:p>
        </w:tc>
        <w:tc>
          <w:tcPr>
            <w:tcW w:w="1204" w:type="dxa"/>
          </w:tcPr>
          <w:p w14:paraId="4536805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56E5864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2.665</w:t>
            </w:r>
          </w:p>
        </w:tc>
        <w:tc>
          <w:tcPr>
            <w:tcW w:w="1642" w:type="dxa"/>
          </w:tcPr>
          <w:p w14:paraId="3E5C5BD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10.905</w:t>
            </w:r>
          </w:p>
        </w:tc>
        <w:tc>
          <w:tcPr>
            <w:tcW w:w="1642" w:type="dxa"/>
          </w:tcPr>
          <w:p w14:paraId="783CBE2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19.146</w:t>
            </w:r>
          </w:p>
        </w:tc>
      </w:tr>
      <w:tr w:rsidR="006F579C" w:rsidRPr="008924E0" w14:paraId="2680B7EF"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CFAE37F" w14:textId="77777777" w:rsidR="006F579C" w:rsidRPr="008924E0" w:rsidRDefault="006F579C" w:rsidP="006F579C">
            <w:pPr>
              <w:jc w:val="left"/>
              <w:rPr>
                <w:color w:val="000000"/>
                <w:lang w:val="bs-Latn-BA"/>
              </w:rPr>
            </w:pPr>
            <w:r w:rsidRPr="008924E0">
              <w:rPr>
                <w:color w:val="000000"/>
                <w:lang w:val="bs-Latn-BA"/>
              </w:rPr>
              <w:t>Hercegovačko-neretvanski kanton</w:t>
            </w:r>
          </w:p>
        </w:tc>
        <w:tc>
          <w:tcPr>
            <w:tcW w:w="1204" w:type="dxa"/>
          </w:tcPr>
          <w:p w14:paraId="2FF639BB"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1411966D"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2.014</w:t>
            </w:r>
          </w:p>
        </w:tc>
        <w:tc>
          <w:tcPr>
            <w:tcW w:w="1642" w:type="dxa"/>
          </w:tcPr>
          <w:p w14:paraId="01C47EC3"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8.239</w:t>
            </w:r>
          </w:p>
        </w:tc>
        <w:tc>
          <w:tcPr>
            <w:tcW w:w="1642" w:type="dxa"/>
          </w:tcPr>
          <w:p w14:paraId="6A3FA3ED"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14.465</w:t>
            </w:r>
          </w:p>
        </w:tc>
      </w:tr>
      <w:tr w:rsidR="006F579C" w:rsidRPr="008924E0" w14:paraId="3E1E2C06"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31D0778" w14:textId="77777777" w:rsidR="006F579C" w:rsidRPr="008924E0" w:rsidRDefault="006F579C" w:rsidP="006F579C">
            <w:pPr>
              <w:jc w:val="left"/>
              <w:rPr>
                <w:color w:val="000000"/>
                <w:lang w:val="bs-Latn-BA"/>
              </w:rPr>
            </w:pPr>
            <w:r w:rsidRPr="008924E0">
              <w:rPr>
                <w:color w:val="000000"/>
                <w:lang w:val="bs-Latn-BA"/>
              </w:rPr>
              <w:t>Zapadnohercegovački kanton</w:t>
            </w:r>
          </w:p>
        </w:tc>
        <w:tc>
          <w:tcPr>
            <w:tcW w:w="1204" w:type="dxa"/>
          </w:tcPr>
          <w:p w14:paraId="7BB4508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4F82EF6A"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891</w:t>
            </w:r>
          </w:p>
        </w:tc>
        <w:tc>
          <w:tcPr>
            <w:tcW w:w="1642" w:type="dxa"/>
          </w:tcPr>
          <w:p w14:paraId="6D27865A"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3.645</w:t>
            </w:r>
          </w:p>
        </w:tc>
        <w:tc>
          <w:tcPr>
            <w:tcW w:w="1642" w:type="dxa"/>
          </w:tcPr>
          <w:p w14:paraId="205A2A8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6.399</w:t>
            </w:r>
          </w:p>
        </w:tc>
      </w:tr>
      <w:tr w:rsidR="006F579C" w:rsidRPr="008924E0" w14:paraId="1C6DCBF8"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68BB7C0" w14:textId="77777777" w:rsidR="006F579C" w:rsidRPr="008924E0" w:rsidRDefault="006F579C" w:rsidP="006F579C">
            <w:pPr>
              <w:jc w:val="left"/>
              <w:rPr>
                <w:color w:val="000000"/>
                <w:lang w:val="bs-Latn-BA"/>
              </w:rPr>
            </w:pPr>
            <w:r w:rsidRPr="008924E0">
              <w:rPr>
                <w:color w:val="000000"/>
                <w:lang w:val="bs-Latn-BA"/>
              </w:rPr>
              <w:t>Kanton Sarajevo</w:t>
            </w:r>
          </w:p>
        </w:tc>
        <w:tc>
          <w:tcPr>
            <w:tcW w:w="1204" w:type="dxa"/>
          </w:tcPr>
          <w:p w14:paraId="591504DC"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16684A09"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2.644</w:t>
            </w:r>
          </w:p>
        </w:tc>
        <w:tc>
          <w:tcPr>
            <w:tcW w:w="1642" w:type="dxa"/>
          </w:tcPr>
          <w:p w14:paraId="39ECF42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10.817</w:t>
            </w:r>
          </w:p>
        </w:tc>
        <w:tc>
          <w:tcPr>
            <w:tcW w:w="1642" w:type="dxa"/>
          </w:tcPr>
          <w:p w14:paraId="525EDDBF"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18.991</w:t>
            </w:r>
          </w:p>
        </w:tc>
      </w:tr>
      <w:tr w:rsidR="006F579C" w:rsidRPr="008924E0" w14:paraId="4105B3FD"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B36ABEE" w14:textId="77777777" w:rsidR="006F579C" w:rsidRPr="008924E0" w:rsidRDefault="006F579C" w:rsidP="006F579C">
            <w:pPr>
              <w:jc w:val="left"/>
              <w:rPr>
                <w:color w:val="000000"/>
                <w:lang w:val="bs-Latn-BA"/>
              </w:rPr>
            </w:pPr>
            <w:r w:rsidRPr="008924E0">
              <w:rPr>
                <w:color w:val="000000"/>
                <w:lang w:val="bs-Latn-BA"/>
              </w:rPr>
              <w:t>Kanton 10</w:t>
            </w:r>
          </w:p>
        </w:tc>
        <w:tc>
          <w:tcPr>
            <w:tcW w:w="1204" w:type="dxa"/>
          </w:tcPr>
          <w:p w14:paraId="3B6EA43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1E9E1118"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828</w:t>
            </w:r>
          </w:p>
        </w:tc>
        <w:tc>
          <w:tcPr>
            <w:tcW w:w="1642" w:type="dxa"/>
          </w:tcPr>
          <w:p w14:paraId="3102940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3.389</w:t>
            </w:r>
          </w:p>
        </w:tc>
        <w:tc>
          <w:tcPr>
            <w:tcW w:w="1642" w:type="dxa"/>
          </w:tcPr>
          <w:p w14:paraId="4AF55689"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5.950</w:t>
            </w:r>
          </w:p>
        </w:tc>
      </w:tr>
      <w:tr w:rsidR="006F579C" w:rsidRPr="008924E0" w14:paraId="1926887F"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2D6D22C" w14:textId="77777777" w:rsidR="006F579C" w:rsidRPr="008924E0" w:rsidRDefault="006F579C" w:rsidP="006F579C">
            <w:pPr>
              <w:jc w:val="left"/>
              <w:rPr>
                <w:color w:val="000000"/>
                <w:lang w:val="bs-Latn-BA"/>
              </w:rPr>
            </w:pPr>
            <w:r w:rsidRPr="008924E0">
              <w:rPr>
                <w:color w:val="000000"/>
                <w:lang w:val="bs-Latn-BA"/>
              </w:rPr>
              <w:t>Ukupno</w:t>
            </w:r>
          </w:p>
        </w:tc>
        <w:tc>
          <w:tcPr>
            <w:tcW w:w="1204" w:type="dxa"/>
          </w:tcPr>
          <w:p w14:paraId="56498C9E" w14:textId="77777777" w:rsidR="006F579C" w:rsidRPr="00BD138C"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BD138C">
              <w:rPr>
                <w:rFonts w:eastAsia="Calibri"/>
                <w:b/>
                <w:bCs/>
                <w:color w:val="000000"/>
                <w:lang w:val="bs-Latn-BA"/>
              </w:rPr>
              <w:t>0</w:t>
            </w:r>
          </w:p>
        </w:tc>
        <w:tc>
          <w:tcPr>
            <w:tcW w:w="1642" w:type="dxa"/>
          </w:tcPr>
          <w:p w14:paraId="5EA470CC" w14:textId="77777777" w:rsidR="006F579C" w:rsidRPr="00BD138C"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BD138C">
              <w:rPr>
                <w:rFonts w:eastAsia="Calibri"/>
                <w:b/>
                <w:bCs/>
                <w:color w:val="000000"/>
                <w:lang w:val="bs-Latn-BA"/>
              </w:rPr>
              <w:t>21.441</w:t>
            </w:r>
          </w:p>
        </w:tc>
        <w:tc>
          <w:tcPr>
            <w:tcW w:w="1642" w:type="dxa"/>
          </w:tcPr>
          <w:p w14:paraId="6588356C" w14:textId="77777777" w:rsidR="006F579C" w:rsidRPr="00BD138C"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BD138C">
              <w:rPr>
                <w:rFonts w:eastAsia="Calibri"/>
                <w:b/>
                <w:bCs/>
                <w:color w:val="000000"/>
                <w:lang w:val="bs-Latn-BA"/>
              </w:rPr>
              <w:t>87.724</w:t>
            </w:r>
          </w:p>
        </w:tc>
        <w:tc>
          <w:tcPr>
            <w:tcW w:w="1642" w:type="dxa"/>
          </w:tcPr>
          <w:p w14:paraId="35765EFB" w14:textId="77777777" w:rsidR="006F579C" w:rsidRPr="00BD138C"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BD138C">
              <w:rPr>
                <w:rFonts w:eastAsia="Calibri"/>
                <w:b/>
                <w:bCs/>
                <w:color w:val="000000"/>
                <w:lang w:val="bs-Latn-BA"/>
              </w:rPr>
              <w:t>154.016</w:t>
            </w:r>
          </w:p>
        </w:tc>
      </w:tr>
    </w:tbl>
    <w:p w14:paraId="764F2449" w14:textId="77777777" w:rsidR="006F579C" w:rsidRPr="008924E0" w:rsidRDefault="006F579C" w:rsidP="006F579C">
      <w:pPr>
        <w:rPr>
          <w:lang w:val="bs-Latn-BA"/>
        </w:rPr>
      </w:pPr>
    </w:p>
    <w:p w14:paraId="7978821C" w14:textId="1576C93A" w:rsidR="00703386" w:rsidRPr="008924E0" w:rsidRDefault="00703386" w:rsidP="00703386">
      <w:pPr>
        <w:pStyle w:val="Caption"/>
        <w:keepNext/>
      </w:pPr>
      <w:bookmarkStart w:id="114" w:name="_Toc133499557"/>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12</w:t>
        </w:r>
      </w:fldSimple>
      <w:r w:rsidRPr="008924E0">
        <w:rPr>
          <w:rFonts w:eastAsia="Calibri"/>
          <w:color w:val="000000"/>
        </w:rPr>
        <w:t xml:space="preserve"> Procjena korisne grijane površine individualnih zgrada </w:t>
      </w:r>
      <w:r w:rsidR="007C7BEC">
        <w:rPr>
          <w:rFonts w:eastAsia="Calibri"/>
          <w:color w:val="000000"/>
        </w:rPr>
        <w:t>obnovljenih</w:t>
      </w:r>
      <w:r w:rsidR="007C7BEC" w:rsidRPr="008924E0">
        <w:rPr>
          <w:rFonts w:eastAsia="Calibri"/>
          <w:color w:val="000000"/>
        </w:rPr>
        <w:t xml:space="preserve"> </w:t>
      </w:r>
      <w:r w:rsidRPr="008924E0">
        <w:rPr>
          <w:rFonts w:eastAsia="Calibri"/>
          <w:color w:val="000000"/>
        </w:rPr>
        <w:t xml:space="preserve">po </w:t>
      </w:r>
      <w:r w:rsidR="007C7BEC">
        <w:rPr>
          <w:rFonts w:eastAsia="Calibri"/>
          <w:color w:val="000000"/>
        </w:rPr>
        <w:t>k</w:t>
      </w:r>
      <w:r w:rsidRPr="008924E0">
        <w:rPr>
          <w:rFonts w:eastAsia="Calibri"/>
          <w:color w:val="000000"/>
        </w:rPr>
        <w:t>antonima za period do 2050. godine</w:t>
      </w:r>
      <w:bookmarkEnd w:id="114"/>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6F579C" w:rsidRPr="001972F5" w14:paraId="32528916" w14:textId="77777777" w:rsidTr="000A1F1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2ADF253C" w14:textId="77777777" w:rsidR="006F579C" w:rsidRPr="008924E0" w:rsidRDefault="006F579C" w:rsidP="006F579C">
            <w:pPr>
              <w:jc w:val="left"/>
              <w:rPr>
                <w:lang w:val="bs-Latn-BA"/>
              </w:rPr>
            </w:pPr>
            <w:r w:rsidRPr="008924E0">
              <w:rPr>
                <w:lang w:val="bs-Latn-BA"/>
              </w:rPr>
              <w:t>Kanton</w:t>
            </w:r>
          </w:p>
        </w:tc>
        <w:tc>
          <w:tcPr>
            <w:tcW w:w="6130" w:type="dxa"/>
            <w:gridSpan w:val="4"/>
          </w:tcPr>
          <w:p w14:paraId="4DA4475D" w14:textId="37E01CCA" w:rsidR="006F579C" w:rsidRPr="008924E0" w:rsidRDefault="007C7BEC" w:rsidP="006F579C">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Pr>
                <w:rFonts w:eastAsia="Calibri"/>
                <w:lang w:val="bs-Latn-BA"/>
              </w:rPr>
              <w:t>Obnovljena</w:t>
            </w:r>
            <w:r w:rsidRPr="008924E0">
              <w:rPr>
                <w:rFonts w:eastAsia="Calibri"/>
                <w:lang w:val="bs-Latn-BA"/>
              </w:rPr>
              <w:t xml:space="preserve"> </w:t>
            </w:r>
            <w:r w:rsidR="006F579C" w:rsidRPr="008924E0">
              <w:rPr>
                <w:rFonts w:eastAsia="Calibri"/>
                <w:lang w:val="bs-Latn-BA"/>
              </w:rPr>
              <w:t>korisna grijana površina, m</w:t>
            </w:r>
            <w:r w:rsidR="006F579C" w:rsidRPr="008924E0">
              <w:rPr>
                <w:rFonts w:eastAsia="Calibri"/>
                <w:vertAlign w:val="superscript"/>
                <w:lang w:val="bs-Latn-BA"/>
              </w:rPr>
              <w:t>2</w:t>
            </w:r>
          </w:p>
        </w:tc>
      </w:tr>
      <w:tr w:rsidR="006F579C" w:rsidRPr="008924E0" w14:paraId="63DC15D3"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2361E3B7" w14:textId="77777777" w:rsidR="006F579C" w:rsidRPr="008924E0" w:rsidRDefault="006F579C" w:rsidP="006F579C">
            <w:pPr>
              <w:widowControl w:val="0"/>
              <w:pBdr>
                <w:top w:val="nil"/>
                <w:left w:val="nil"/>
                <w:bottom w:val="nil"/>
                <w:right w:val="nil"/>
                <w:between w:val="nil"/>
              </w:pBdr>
              <w:spacing w:line="276" w:lineRule="auto"/>
              <w:jc w:val="left"/>
              <w:rPr>
                <w:color w:val="000000"/>
                <w:lang w:val="bs-Latn-BA"/>
              </w:rPr>
            </w:pPr>
          </w:p>
        </w:tc>
        <w:tc>
          <w:tcPr>
            <w:tcW w:w="1204" w:type="dxa"/>
          </w:tcPr>
          <w:p w14:paraId="7D69AB55"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59DEE37F"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56CA76A5"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30368D48"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37D6C7DE"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45BE58C7"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3260AEEC"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42236B67"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6F579C" w:rsidRPr="008924E0" w14:paraId="0961F0B3"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D3E1D77" w14:textId="77777777" w:rsidR="006F579C" w:rsidRPr="008924E0" w:rsidRDefault="006F579C" w:rsidP="006F579C">
            <w:pPr>
              <w:jc w:val="left"/>
              <w:rPr>
                <w:color w:val="000000"/>
                <w:lang w:val="bs-Latn-BA"/>
              </w:rPr>
            </w:pPr>
            <w:r w:rsidRPr="008924E0">
              <w:rPr>
                <w:color w:val="000000"/>
                <w:lang w:val="bs-Latn-BA"/>
              </w:rPr>
              <w:t>Unsko-sanski kanton</w:t>
            </w:r>
          </w:p>
        </w:tc>
        <w:tc>
          <w:tcPr>
            <w:tcW w:w="1204" w:type="dxa"/>
          </w:tcPr>
          <w:p w14:paraId="22FD2198"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63FE830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165.857</w:t>
            </w:r>
          </w:p>
        </w:tc>
        <w:tc>
          <w:tcPr>
            <w:tcW w:w="1642" w:type="dxa"/>
          </w:tcPr>
          <w:p w14:paraId="35F4C5CF"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678.586</w:t>
            </w:r>
          </w:p>
        </w:tc>
        <w:tc>
          <w:tcPr>
            <w:tcW w:w="1642" w:type="dxa"/>
          </w:tcPr>
          <w:p w14:paraId="0A556720"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1.191.390</w:t>
            </w:r>
          </w:p>
        </w:tc>
      </w:tr>
      <w:tr w:rsidR="006F579C" w:rsidRPr="008924E0" w14:paraId="4B3C1260"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D5BADBD" w14:textId="77777777" w:rsidR="006F579C" w:rsidRPr="008924E0" w:rsidRDefault="006F579C" w:rsidP="006F579C">
            <w:pPr>
              <w:jc w:val="left"/>
              <w:rPr>
                <w:color w:val="000000"/>
                <w:lang w:val="bs-Latn-BA"/>
              </w:rPr>
            </w:pPr>
            <w:r w:rsidRPr="008924E0">
              <w:rPr>
                <w:color w:val="000000"/>
                <w:lang w:val="bs-Latn-BA"/>
              </w:rPr>
              <w:t>Posavski kanton</w:t>
            </w:r>
          </w:p>
        </w:tc>
        <w:tc>
          <w:tcPr>
            <w:tcW w:w="1204" w:type="dxa"/>
          </w:tcPr>
          <w:p w14:paraId="1124F3A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51A4AFF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31.335</w:t>
            </w:r>
          </w:p>
        </w:tc>
        <w:tc>
          <w:tcPr>
            <w:tcW w:w="1642" w:type="dxa"/>
          </w:tcPr>
          <w:p w14:paraId="35FEEC6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128.203</w:t>
            </w:r>
          </w:p>
        </w:tc>
        <w:tc>
          <w:tcPr>
            <w:tcW w:w="1642" w:type="dxa"/>
          </w:tcPr>
          <w:p w14:paraId="0FBFC6D8"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225.086</w:t>
            </w:r>
          </w:p>
        </w:tc>
      </w:tr>
      <w:tr w:rsidR="006F579C" w:rsidRPr="008924E0" w14:paraId="5B4E4CE0"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A99D8C5" w14:textId="77777777" w:rsidR="006F579C" w:rsidRPr="008924E0" w:rsidRDefault="006F579C" w:rsidP="006F579C">
            <w:pPr>
              <w:jc w:val="left"/>
              <w:rPr>
                <w:color w:val="000000"/>
                <w:lang w:val="bs-Latn-BA"/>
              </w:rPr>
            </w:pPr>
            <w:r w:rsidRPr="008924E0">
              <w:rPr>
                <w:color w:val="000000"/>
                <w:lang w:val="bs-Latn-BA"/>
              </w:rPr>
              <w:t>Tuzlanski kanton</w:t>
            </w:r>
          </w:p>
        </w:tc>
        <w:tc>
          <w:tcPr>
            <w:tcW w:w="1204" w:type="dxa"/>
          </w:tcPr>
          <w:p w14:paraId="5B1DECFC"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26195D3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274.145</w:t>
            </w:r>
          </w:p>
        </w:tc>
        <w:tc>
          <w:tcPr>
            <w:tcW w:w="1642" w:type="dxa"/>
          </w:tcPr>
          <w:p w14:paraId="3619960B"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1.121.634</w:t>
            </w:r>
          </w:p>
        </w:tc>
        <w:tc>
          <w:tcPr>
            <w:tcW w:w="1642" w:type="dxa"/>
          </w:tcPr>
          <w:p w14:paraId="0E9DEB08"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1.969.248</w:t>
            </w:r>
          </w:p>
        </w:tc>
      </w:tr>
      <w:tr w:rsidR="006F579C" w:rsidRPr="008924E0" w14:paraId="66DC7E42"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5E80557" w14:textId="77777777" w:rsidR="006F579C" w:rsidRPr="008924E0" w:rsidRDefault="006F579C" w:rsidP="006F579C">
            <w:pPr>
              <w:jc w:val="left"/>
              <w:rPr>
                <w:color w:val="000000"/>
                <w:lang w:val="bs-Latn-BA"/>
              </w:rPr>
            </w:pPr>
            <w:r w:rsidRPr="008924E0">
              <w:rPr>
                <w:color w:val="000000"/>
                <w:lang w:val="bs-Latn-BA"/>
              </w:rPr>
              <w:t>Zeničko-dobojski kanton</w:t>
            </w:r>
          </w:p>
        </w:tc>
        <w:tc>
          <w:tcPr>
            <w:tcW w:w="1204" w:type="dxa"/>
          </w:tcPr>
          <w:p w14:paraId="1121BDE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567E7ACA"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198.065</w:t>
            </w:r>
          </w:p>
        </w:tc>
        <w:tc>
          <w:tcPr>
            <w:tcW w:w="1642" w:type="dxa"/>
          </w:tcPr>
          <w:p w14:paraId="4D39829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810.360</w:t>
            </w:r>
          </w:p>
        </w:tc>
        <w:tc>
          <w:tcPr>
            <w:tcW w:w="1642" w:type="dxa"/>
          </w:tcPr>
          <w:p w14:paraId="32544B6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1.422.746</w:t>
            </w:r>
          </w:p>
        </w:tc>
      </w:tr>
      <w:tr w:rsidR="006F579C" w:rsidRPr="008924E0" w14:paraId="4EB4525E"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3E4A8C2" w14:textId="77777777" w:rsidR="006F579C" w:rsidRPr="008924E0" w:rsidRDefault="006F579C" w:rsidP="006F579C">
            <w:pPr>
              <w:jc w:val="left"/>
              <w:rPr>
                <w:color w:val="000000"/>
                <w:lang w:val="bs-Latn-BA"/>
              </w:rPr>
            </w:pPr>
            <w:r w:rsidRPr="008924E0">
              <w:rPr>
                <w:color w:val="000000"/>
                <w:lang w:val="bs-Latn-BA"/>
              </w:rPr>
              <w:t>Bosansko-podrinjski kanton</w:t>
            </w:r>
          </w:p>
        </w:tc>
        <w:tc>
          <w:tcPr>
            <w:tcW w:w="1204" w:type="dxa"/>
          </w:tcPr>
          <w:p w14:paraId="662ADAD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151A451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16.419</w:t>
            </w:r>
          </w:p>
        </w:tc>
        <w:tc>
          <w:tcPr>
            <w:tcW w:w="1642" w:type="dxa"/>
          </w:tcPr>
          <w:p w14:paraId="2BD88AA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67.175</w:t>
            </w:r>
          </w:p>
        </w:tc>
        <w:tc>
          <w:tcPr>
            <w:tcW w:w="1642" w:type="dxa"/>
          </w:tcPr>
          <w:p w14:paraId="2D4BC43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117.938</w:t>
            </w:r>
          </w:p>
        </w:tc>
      </w:tr>
      <w:tr w:rsidR="006F579C" w:rsidRPr="008924E0" w14:paraId="745C7D2C"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6C8C3CD" w14:textId="77777777" w:rsidR="006F579C" w:rsidRPr="008924E0" w:rsidRDefault="006F579C" w:rsidP="006F579C">
            <w:pPr>
              <w:jc w:val="left"/>
              <w:rPr>
                <w:color w:val="000000"/>
                <w:lang w:val="bs-Latn-BA"/>
              </w:rPr>
            </w:pPr>
            <w:r w:rsidRPr="008924E0">
              <w:rPr>
                <w:color w:val="000000"/>
                <w:lang w:val="bs-Latn-BA"/>
              </w:rPr>
              <w:t>Srednjobosanski kanton</w:t>
            </w:r>
          </w:p>
        </w:tc>
        <w:tc>
          <w:tcPr>
            <w:tcW w:w="1204" w:type="dxa"/>
          </w:tcPr>
          <w:p w14:paraId="0F0C7FA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6D898D4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147.432</w:t>
            </w:r>
          </w:p>
        </w:tc>
        <w:tc>
          <w:tcPr>
            <w:tcW w:w="1642" w:type="dxa"/>
          </w:tcPr>
          <w:p w14:paraId="50FD6FF9"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603.201</w:t>
            </w:r>
          </w:p>
        </w:tc>
        <w:tc>
          <w:tcPr>
            <w:tcW w:w="1642" w:type="dxa"/>
          </w:tcPr>
          <w:p w14:paraId="25BD907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1.059.037</w:t>
            </w:r>
          </w:p>
        </w:tc>
      </w:tr>
      <w:tr w:rsidR="006F579C" w:rsidRPr="008924E0" w14:paraId="5473AC53"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B3AED8F" w14:textId="77777777" w:rsidR="006F579C" w:rsidRPr="008924E0" w:rsidRDefault="006F579C" w:rsidP="006F579C">
            <w:pPr>
              <w:jc w:val="left"/>
              <w:rPr>
                <w:color w:val="000000"/>
                <w:lang w:val="bs-Latn-BA"/>
              </w:rPr>
            </w:pPr>
            <w:r w:rsidRPr="008924E0">
              <w:rPr>
                <w:color w:val="000000"/>
                <w:lang w:val="bs-Latn-BA"/>
              </w:rPr>
              <w:t>Hercegovačko-neretvanski kanton</w:t>
            </w:r>
          </w:p>
        </w:tc>
        <w:tc>
          <w:tcPr>
            <w:tcW w:w="1204" w:type="dxa"/>
          </w:tcPr>
          <w:p w14:paraId="3EB84211"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3DCB6C1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111.384</w:t>
            </w:r>
          </w:p>
        </w:tc>
        <w:tc>
          <w:tcPr>
            <w:tcW w:w="1642" w:type="dxa"/>
          </w:tcPr>
          <w:p w14:paraId="3FFE164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455.715</w:t>
            </w:r>
          </w:p>
        </w:tc>
        <w:tc>
          <w:tcPr>
            <w:tcW w:w="1642" w:type="dxa"/>
          </w:tcPr>
          <w:p w14:paraId="11AA7C6A"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800.096</w:t>
            </w:r>
          </w:p>
        </w:tc>
      </w:tr>
      <w:tr w:rsidR="006F579C" w:rsidRPr="008924E0" w14:paraId="33283F1E"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4A6C05E" w14:textId="77777777" w:rsidR="006F579C" w:rsidRPr="008924E0" w:rsidRDefault="006F579C" w:rsidP="006F579C">
            <w:pPr>
              <w:jc w:val="left"/>
              <w:rPr>
                <w:color w:val="000000"/>
                <w:lang w:val="bs-Latn-BA"/>
              </w:rPr>
            </w:pPr>
            <w:r w:rsidRPr="008924E0">
              <w:rPr>
                <w:color w:val="000000"/>
                <w:lang w:val="bs-Latn-BA"/>
              </w:rPr>
              <w:t>Zapadnohercegovački kanton</w:t>
            </w:r>
          </w:p>
        </w:tc>
        <w:tc>
          <w:tcPr>
            <w:tcW w:w="1204" w:type="dxa"/>
          </w:tcPr>
          <w:p w14:paraId="3C2EDCA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6CD3819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49.273</w:t>
            </w:r>
          </w:p>
        </w:tc>
        <w:tc>
          <w:tcPr>
            <w:tcW w:w="1642" w:type="dxa"/>
          </w:tcPr>
          <w:p w14:paraId="091EEA3A"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201.596</w:t>
            </w:r>
          </w:p>
        </w:tc>
        <w:tc>
          <w:tcPr>
            <w:tcW w:w="1642" w:type="dxa"/>
          </w:tcPr>
          <w:p w14:paraId="020C766F"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353.941</w:t>
            </w:r>
          </w:p>
        </w:tc>
      </w:tr>
      <w:tr w:rsidR="006F579C" w:rsidRPr="008924E0" w14:paraId="26775BE0"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A0A1D9F" w14:textId="77777777" w:rsidR="006F579C" w:rsidRPr="008924E0" w:rsidRDefault="006F579C" w:rsidP="006F579C">
            <w:pPr>
              <w:jc w:val="left"/>
              <w:rPr>
                <w:color w:val="000000"/>
                <w:lang w:val="bs-Latn-BA"/>
              </w:rPr>
            </w:pPr>
            <w:r w:rsidRPr="008924E0">
              <w:rPr>
                <w:color w:val="000000"/>
                <w:lang w:val="bs-Latn-BA"/>
              </w:rPr>
              <w:t>Kanton Sarajevo</w:t>
            </w:r>
          </w:p>
        </w:tc>
        <w:tc>
          <w:tcPr>
            <w:tcW w:w="1204" w:type="dxa"/>
          </w:tcPr>
          <w:p w14:paraId="611F1E53"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01DB2D8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146.235</w:t>
            </w:r>
          </w:p>
        </w:tc>
        <w:tc>
          <w:tcPr>
            <w:tcW w:w="1642" w:type="dxa"/>
          </w:tcPr>
          <w:p w14:paraId="506E193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598.306</w:t>
            </w:r>
          </w:p>
        </w:tc>
        <w:tc>
          <w:tcPr>
            <w:tcW w:w="1642" w:type="dxa"/>
          </w:tcPr>
          <w:p w14:paraId="2ACA1AEA"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1.050.444</w:t>
            </w:r>
          </w:p>
        </w:tc>
      </w:tr>
      <w:tr w:rsidR="006F579C" w:rsidRPr="008924E0" w14:paraId="519AA76E"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C0C642F" w14:textId="77777777" w:rsidR="006F579C" w:rsidRPr="008924E0" w:rsidRDefault="006F579C" w:rsidP="006F579C">
            <w:pPr>
              <w:jc w:val="left"/>
              <w:rPr>
                <w:color w:val="000000"/>
                <w:lang w:val="bs-Latn-BA"/>
              </w:rPr>
            </w:pPr>
            <w:r w:rsidRPr="008924E0">
              <w:rPr>
                <w:color w:val="000000"/>
                <w:lang w:val="bs-Latn-BA"/>
              </w:rPr>
              <w:t>Kanton 10</w:t>
            </w:r>
          </w:p>
        </w:tc>
        <w:tc>
          <w:tcPr>
            <w:tcW w:w="1204" w:type="dxa"/>
          </w:tcPr>
          <w:p w14:paraId="126C47AD"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5F06813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45.819</w:t>
            </w:r>
          </w:p>
        </w:tc>
        <w:tc>
          <w:tcPr>
            <w:tcW w:w="1642" w:type="dxa"/>
          </w:tcPr>
          <w:p w14:paraId="17977B1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187.462</w:t>
            </w:r>
          </w:p>
        </w:tc>
        <w:tc>
          <w:tcPr>
            <w:tcW w:w="1642" w:type="dxa"/>
          </w:tcPr>
          <w:p w14:paraId="2958E01E"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329.127</w:t>
            </w:r>
          </w:p>
        </w:tc>
      </w:tr>
      <w:tr w:rsidR="006F579C" w:rsidRPr="008924E0" w14:paraId="60803F05"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515FA35" w14:textId="77777777" w:rsidR="006F579C" w:rsidRPr="008924E0" w:rsidRDefault="006F579C" w:rsidP="006F579C">
            <w:pPr>
              <w:jc w:val="left"/>
              <w:rPr>
                <w:color w:val="000000"/>
                <w:lang w:val="bs-Latn-BA"/>
              </w:rPr>
            </w:pPr>
            <w:r w:rsidRPr="008924E0">
              <w:rPr>
                <w:color w:val="000000"/>
                <w:lang w:val="bs-Latn-BA"/>
              </w:rPr>
              <w:t>Ukupno</w:t>
            </w:r>
          </w:p>
        </w:tc>
        <w:tc>
          <w:tcPr>
            <w:tcW w:w="1204" w:type="dxa"/>
          </w:tcPr>
          <w:p w14:paraId="272C958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4712073" w14:textId="77777777" w:rsidR="006F579C" w:rsidRPr="00BD138C"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BD138C">
              <w:rPr>
                <w:rFonts w:eastAsia="Calibri"/>
                <w:b/>
                <w:bCs/>
                <w:color w:val="000000"/>
                <w:lang w:val="bs-Latn-BA"/>
              </w:rPr>
              <w:t>1.185.963</w:t>
            </w:r>
          </w:p>
        </w:tc>
        <w:tc>
          <w:tcPr>
            <w:tcW w:w="1642" w:type="dxa"/>
          </w:tcPr>
          <w:p w14:paraId="32F6D5C3" w14:textId="77777777" w:rsidR="006F579C" w:rsidRPr="00BD138C"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BD138C">
              <w:rPr>
                <w:rFonts w:eastAsia="Calibri"/>
                <w:b/>
                <w:bCs/>
                <w:color w:val="000000"/>
                <w:lang w:val="bs-Latn-BA"/>
              </w:rPr>
              <w:t>4.852.237</w:t>
            </w:r>
          </w:p>
        </w:tc>
        <w:tc>
          <w:tcPr>
            <w:tcW w:w="1642" w:type="dxa"/>
          </w:tcPr>
          <w:p w14:paraId="42736897" w14:textId="77777777" w:rsidR="006F579C" w:rsidRPr="00BD138C"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BD138C">
              <w:rPr>
                <w:rFonts w:eastAsia="Calibri"/>
                <w:b/>
                <w:bCs/>
                <w:color w:val="000000"/>
                <w:lang w:val="bs-Latn-BA"/>
              </w:rPr>
              <w:t>8.519.054</w:t>
            </w:r>
          </w:p>
        </w:tc>
      </w:tr>
    </w:tbl>
    <w:p w14:paraId="6D1A0FFD" w14:textId="782A0A64" w:rsidR="006F579C" w:rsidRDefault="006F579C" w:rsidP="006F579C">
      <w:pPr>
        <w:keepNext/>
        <w:pBdr>
          <w:top w:val="nil"/>
          <w:left w:val="nil"/>
          <w:bottom w:val="nil"/>
          <w:right w:val="nil"/>
          <w:between w:val="nil"/>
        </w:pBdr>
        <w:spacing w:after="200" w:line="240" w:lineRule="auto"/>
        <w:jc w:val="left"/>
        <w:rPr>
          <w:rFonts w:eastAsia="Calibri"/>
          <w:i/>
          <w:color w:val="000000"/>
          <w:lang w:val="bs-Latn-BA"/>
        </w:rPr>
      </w:pPr>
      <w:r w:rsidRPr="008924E0">
        <w:rPr>
          <w:rFonts w:eastAsia="Calibri"/>
          <w:i/>
          <w:color w:val="000000"/>
          <w:lang w:val="bs-Latn-BA"/>
        </w:rPr>
        <w:lastRenderedPageBreak/>
        <w:t xml:space="preserve"> </w:t>
      </w:r>
    </w:p>
    <w:p w14:paraId="653D909B" w14:textId="34E09F92" w:rsidR="003912B3" w:rsidRPr="008924E0" w:rsidRDefault="003912B3" w:rsidP="003912B3">
      <w:pPr>
        <w:pStyle w:val="Caption"/>
        <w:keepNext/>
      </w:pPr>
      <w:bookmarkStart w:id="115" w:name="_Toc133499558"/>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13</w:t>
        </w:r>
      </w:fldSimple>
      <w:r w:rsidRPr="008924E0">
        <w:rPr>
          <w:rFonts w:eastAsia="Calibri"/>
          <w:color w:val="000000"/>
        </w:rPr>
        <w:t xml:space="preserve"> Troškovi energ</w:t>
      </w:r>
      <w:r>
        <w:rPr>
          <w:rFonts w:eastAsia="Calibri"/>
          <w:color w:val="000000"/>
        </w:rPr>
        <w:t>ij</w:t>
      </w:r>
      <w:r w:rsidRPr="008924E0">
        <w:rPr>
          <w:rFonts w:eastAsia="Calibri"/>
          <w:color w:val="000000"/>
        </w:rPr>
        <w:t xml:space="preserve">ske </w:t>
      </w:r>
      <w:r w:rsidR="007C7BEC">
        <w:rPr>
          <w:rFonts w:eastAsia="Calibri"/>
          <w:color w:val="000000"/>
        </w:rPr>
        <w:t>obnove</w:t>
      </w:r>
      <w:r w:rsidR="007C7BEC" w:rsidRPr="008924E0">
        <w:rPr>
          <w:rFonts w:eastAsia="Calibri"/>
          <w:color w:val="000000"/>
        </w:rPr>
        <w:t xml:space="preserve"> </w:t>
      </w:r>
      <w:r w:rsidRPr="008924E0">
        <w:rPr>
          <w:rFonts w:eastAsia="Calibri"/>
          <w:color w:val="000000"/>
        </w:rPr>
        <w:t xml:space="preserve">individualnih zgrada po </w:t>
      </w:r>
      <w:r w:rsidR="007C7BEC">
        <w:rPr>
          <w:rFonts w:eastAsia="Calibri"/>
          <w:color w:val="000000"/>
        </w:rPr>
        <w:t>k</w:t>
      </w:r>
      <w:r w:rsidRPr="008924E0">
        <w:rPr>
          <w:rFonts w:eastAsia="Calibri"/>
          <w:color w:val="000000"/>
        </w:rPr>
        <w:t>antonima za period do 2050. godine</w:t>
      </w:r>
      <w:bookmarkEnd w:id="115"/>
      <w:r>
        <w:rPr>
          <w:rFonts w:eastAsia="Calibri"/>
          <w:color w:val="000000"/>
        </w:rPr>
        <w:t xml:space="preserve"> </w:t>
      </w:r>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3912B3" w:rsidRPr="008924E0" w14:paraId="1EFC93DF" w14:textId="77777777" w:rsidTr="000B085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05E186FE" w14:textId="77777777" w:rsidR="003912B3" w:rsidRPr="008924E0" w:rsidRDefault="003912B3" w:rsidP="000B085B">
            <w:pPr>
              <w:jc w:val="left"/>
              <w:rPr>
                <w:lang w:val="bs-Latn-BA"/>
              </w:rPr>
            </w:pPr>
            <w:r w:rsidRPr="008924E0">
              <w:rPr>
                <w:lang w:val="bs-Latn-BA"/>
              </w:rPr>
              <w:t>Kanton</w:t>
            </w:r>
          </w:p>
        </w:tc>
        <w:tc>
          <w:tcPr>
            <w:tcW w:w="6130" w:type="dxa"/>
            <w:gridSpan w:val="4"/>
          </w:tcPr>
          <w:p w14:paraId="38047B57" w14:textId="219BC813" w:rsidR="003912B3" w:rsidRPr="008924E0" w:rsidRDefault="003912B3" w:rsidP="000B085B">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sidRPr="008924E0">
              <w:rPr>
                <w:rFonts w:eastAsia="Calibri"/>
                <w:lang w:val="bs-Latn-BA"/>
              </w:rPr>
              <w:t xml:space="preserve">Trošak energijske </w:t>
            </w:r>
            <w:r w:rsidR="007C7BEC">
              <w:rPr>
                <w:rFonts w:eastAsia="Calibri"/>
                <w:lang w:val="bs-Latn-BA"/>
              </w:rPr>
              <w:t>obnove</w:t>
            </w:r>
            <w:r w:rsidRPr="008924E0">
              <w:rPr>
                <w:rFonts w:eastAsia="Calibri"/>
                <w:lang w:val="bs-Latn-BA"/>
              </w:rPr>
              <w:t>, 10</w:t>
            </w:r>
            <w:r w:rsidRPr="008924E0">
              <w:rPr>
                <w:rFonts w:eastAsia="Calibri"/>
                <w:vertAlign w:val="superscript"/>
                <w:lang w:val="bs-Latn-BA"/>
              </w:rPr>
              <w:t>6</w:t>
            </w:r>
            <w:r w:rsidRPr="008924E0">
              <w:rPr>
                <w:rFonts w:eastAsia="Calibri"/>
                <w:lang w:val="bs-Latn-BA"/>
              </w:rPr>
              <w:t xml:space="preserve"> BAM</w:t>
            </w:r>
          </w:p>
        </w:tc>
      </w:tr>
      <w:tr w:rsidR="003912B3" w:rsidRPr="008924E0" w14:paraId="1A03969B"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5AC18EA1" w14:textId="77777777" w:rsidR="003912B3" w:rsidRPr="008924E0" w:rsidRDefault="003912B3" w:rsidP="000B085B">
            <w:pPr>
              <w:widowControl w:val="0"/>
              <w:pBdr>
                <w:top w:val="nil"/>
                <w:left w:val="nil"/>
                <w:bottom w:val="nil"/>
                <w:right w:val="nil"/>
                <w:between w:val="nil"/>
              </w:pBdr>
              <w:spacing w:line="276" w:lineRule="auto"/>
              <w:jc w:val="left"/>
              <w:rPr>
                <w:color w:val="000000"/>
                <w:lang w:val="bs-Latn-BA"/>
              </w:rPr>
            </w:pPr>
          </w:p>
        </w:tc>
        <w:tc>
          <w:tcPr>
            <w:tcW w:w="1204" w:type="dxa"/>
          </w:tcPr>
          <w:p w14:paraId="4E898E4E"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0E251BAF"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40A3B7C8"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63CE37C4"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793E384F"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6303344B"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0CFA1C5B"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721E933E"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3912B3" w:rsidRPr="008924E0" w14:paraId="01470E69"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6B56D23" w14:textId="77777777" w:rsidR="003912B3" w:rsidRPr="008924E0" w:rsidRDefault="003912B3" w:rsidP="000B085B">
            <w:pPr>
              <w:jc w:val="left"/>
              <w:rPr>
                <w:color w:val="000000"/>
                <w:lang w:val="bs-Latn-BA"/>
              </w:rPr>
            </w:pPr>
            <w:r w:rsidRPr="008924E0">
              <w:rPr>
                <w:color w:val="000000"/>
                <w:lang w:val="bs-Latn-BA"/>
              </w:rPr>
              <w:t>Unsko-sanski kanton</w:t>
            </w:r>
          </w:p>
        </w:tc>
        <w:tc>
          <w:tcPr>
            <w:tcW w:w="1204" w:type="dxa"/>
            <w:vAlign w:val="bottom"/>
          </w:tcPr>
          <w:p w14:paraId="49288D5D"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11,8</w:t>
            </w:r>
          </w:p>
        </w:tc>
        <w:tc>
          <w:tcPr>
            <w:tcW w:w="1642" w:type="dxa"/>
            <w:vAlign w:val="bottom"/>
          </w:tcPr>
          <w:p w14:paraId="33C404B9"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132,8</w:t>
            </w:r>
          </w:p>
        </w:tc>
        <w:tc>
          <w:tcPr>
            <w:tcW w:w="1642" w:type="dxa"/>
            <w:vAlign w:val="bottom"/>
          </w:tcPr>
          <w:p w14:paraId="01F6022E"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560,3</w:t>
            </w:r>
          </w:p>
        </w:tc>
        <w:tc>
          <w:tcPr>
            <w:tcW w:w="1642" w:type="dxa"/>
            <w:vAlign w:val="bottom"/>
          </w:tcPr>
          <w:p w14:paraId="55BE5170"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1.003,8</w:t>
            </w:r>
          </w:p>
        </w:tc>
      </w:tr>
      <w:tr w:rsidR="003912B3" w:rsidRPr="008924E0" w14:paraId="04314D85"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E0078A9" w14:textId="77777777" w:rsidR="003912B3" w:rsidRPr="008924E0" w:rsidRDefault="003912B3" w:rsidP="000B085B">
            <w:pPr>
              <w:jc w:val="left"/>
              <w:rPr>
                <w:color w:val="000000"/>
                <w:lang w:val="bs-Latn-BA"/>
              </w:rPr>
            </w:pPr>
            <w:r w:rsidRPr="008924E0">
              <w:rPr>
                <w:color w:val="000000"/>
                <w:lang w:val="bs-Latn-BA"/>
              </w:rPr>
              <w:t>Posavski kanton</w:t>
            </w:r>
          </w:p>
        </w:tc>
        <w:tc>
          <w:tcPr>
            <w:tcW w:w="1204" w:type="dxa"/>
            <w:vAlign w:val="bottom"/>
          </w:tcPr>
          <w:p w14:paraId="1321ACD0"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2,2</w:t>
            </w:r>
          </w:p>
        </w:tc>
        <w:tc>
          <w:tcPr>
            <w:tcW w:w="1642" w:type="dxa"/>
            <w:vAlign w:val="bottom"/>
          </w:tcPr>
          <w:p w14:paraId="0DEF5622"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25,1</w:t>
            </w:r>
          </w:p>
        </w:tc>
        <w:tc>
          <w:tcPr>
            <w:tcW w:w="1642" w:type="dxa"/>
            <w:vAlign w:val="bottom"/>
          </w:tcPr>
          <w:p w14:paraId="31C818C7"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105,9</w:t>
            </w:r>
          </w:p>
        </w:tc>
        <w:tc>
          <w:tcPr>
            <w:tcW w:w="1642" w:type="dxa"/>
            <w:vAlign w:val="bottom"/>
          </w:tcPr>
          <w:p w14:paraId="646B51E3"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189,7</w:t>
            </w:r>
          </w:p>
        </w:tc>
      </w:tr>
      <w:tr w:rsidR="003912B3" w:rsidRPr="008924E0" w14:paraId="2E05A2D7"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2778D3A" w14:textId="77777777" w:rsidR="003912B3" w:rsidRPr="008924E0" w:rsidRDefault="003912B3" w:rsidP="000B085B">
            <w:pPr>
              <w:jc w:val="left"/>
              <w:rPr>
                <w:color w:val="000000"/>
                <w:lang w:val="bs-Latn-BA"/>
              </w:rPr>
            </w:pPr>
            <w:r w:rsidRPr="008924E0">
              <w:rPr>
                <w:color w:val="000000"/>
                <w:lang w:val="bs-Latn-BA"/>
              </w:rPr>
              <w:t>Tuzlanski kanton</w:t>
            </w:r>
          </w:p>
        </w:tc>
        <w:tc>
          <w:tcPr>
            <w:tcW w:w="1204" w:type="dxa"/>
            <w:vAlign w:val="bottom"/>
          </w:tcPr>
          <w:p w14:paraId="6F71E6D3"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19,6</w:t>
            </w:r>
          </w:p>
        </w:tc>
        <w:tc>
          <w:tcPr>
            <w:tcW w:w="1642" w:type="dxa"/>
            <w:vAlign w:val="bottom"/>
          </w:tcPr>
          <w:p w14:paraId="7FB1171F"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219,6</w:t>
            </w:r>
          </w:p>
        </w:tc>
        <w:tc>
          <w:tcPr>
            <w:tcW w:w="1642" w:type="dxa"/>
            <w:vAlign w:val="bottom"/>
          </w:tcPr>
          <w:p w14:paraId="47D104CF"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926,1</w:t>
            </w:r>
          </w:p>
        </w:tc>
        <w:tc>
          <w:tcPr>
            <w:tcW w:w="1642" w:type="dxa"/>
            <w:vAlign w:val="bottom"/>
          </w:tcPr>
          <w:p w14:paraId="38B25F7A"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1.659,3</w:t>
            </w:r>
          </w:p>
        </w:tc>
      </w:tr>
      <w:tr w:rsidR="003912B3" w:rsidRPr="008924E0" w14:paraId="535B3476"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944CB94" w14:textId="77777777" w:rsidR="003912B3" w:rsidRPr="008924E0" w:rsidRDefault="003912B3" w:rsidP="000B085B">
            <w:pPr>
              <w:jc w:val="left"/>
              <w:rPr>
                <w:color w:val="000000"/>
                <w:lang w:val="bs-Latn-BA"/>
              </w:rPr>
            </w:pPr>
            <w:r w:rsidRPr="008924E0">
              <w:rPr>
                <w:color w:val="000000"/>
                <w:lang w:val="bs-Latn-BA"/>
              </w:rPr>
              <w:t>Zeničko-dobojski kanton</w:t>
            </w:r>
          </w:p>
        </w:tc>
        <w:tc>
          <w:tcPr>
            <w:tcW w:w="1204" w:type="dxa"/>
            <w:vAlign w:val="bottom"/>
          </w:tcPr>
          <w:p w14:paraId="4F42AC74"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14,1</w:t>
            </w:r>
          </w:p>
        </w:tc>
        <w:tc>
          <w:tcPr>
            <w:tcW w:w="1642" w:type="dxa"/>
            <w:vAlign w:val="bottom"/>
          </w:tcPr>
          <w:p w14:paraId="4BDEC71D"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158,6</w:t>
            </w:r>
          </w:p>
        </w:tc>
        <w:tc>
          <w:tcPr>
            <w:tcW w:w="1642" w:type="dxa"/>
            <w:vAlign w:val="bottom"/>
          </w:tcPr>
          <w:p w14:paraId="3C898FBB"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669,1</w:t>
            </w:r>
          </w:p>
        </w:tc>
        <w:tc>
          <w:tcPr>
            <w:tcW w:w="1642" w:type="dxa"/>
            <w:vAlign w:val="bottom"/>
          </w:tcPr>
          <w:p w14:paraId="045BDDDE"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1.198,8</w:t>
            </w:r>
          </w:p>
        </w:tc>
      </w:tr>
      <w:tr w:rsidR="003912B3" w:rsidRPr="008924E0" w14:paraId="09938A45"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CF87027" w14:textId="77777777" w:rsidR="003912B3" w:rsidRPr="008924E0" w:rsidRDefault="003912B3" w:rsidP="000B085B">
            <w:pPr>
              <w:jc w:val="left"/>
              <w:rPr>
                <w:color w:val="000000"/>
                <w:lang w:val="bs-Latn-BA"/>
              </w:rPr>
            </w:pPr>
            <w:r w:rsidRPr="008924E0">
              <w:rPr>
                <w:color w:val="000000"/>
                <w:lang w:val="bs-Latn-BA"/>
              </w:rPr>
              <w:t>Bosansko-podrinjski kanton</w:t>
            </w:r>
          </w:p>
        </w:tc>
        <w:tc>
          <w:tcPr>
            <w:tcW w:w="1204" w:type="dxa"/>
            <w:vAlign w:val="bottom"/>
          </w:tcPr>
          <w:p w14:paraId="11F3677B"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1,2</w:t>
            </w:r>
          </w:p>
        </w:tc>
        <w:tc>
          <w:tcPr>
            <w:tcW w:w="1642" w:type="dxa"/>
            <w:vAlign w:val="bottom"/>
          </w:tcPr>
          <w:p w14:paraId="41D58EF5"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13,2</w:t>
            </w:r>
          </w:p>
        </w:tc>
        <w:tc>
          <w:tcPr>
            <w:tcW w:w="1642" w:type="dxa"/>
            <w:vAlign w:val="bottom"/>
          </w:tcPr>
          <w:p w14:paraId="38DA2C77"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55,5</w:t>
            </w:r>
          </w:p>
        </w:tc>
        <w:tc>
          <w:tcPr>
            <w:tcW w:w="1642" w:type="dxa"/>
            <w:vAlign w:val="bottom"/>
          </w:tcPr>
          <w:p w14:paraId="24E89471"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99,4</w:t>
            </w:r>
          </w:p>
        </w:tc>
      </w:tr>
      <w:tr w:rsidR="003912B3" w:rsidRPr="008924E0" w14:paraId="12EB6584"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C2C3D06" w14:textId="77777777" w:rsidR="003912B3" w:rsidRPr="008924E0" w:rsidRDefault="003912B3" w:rsidP="000B085B">
            <w:pPr>
              <w:jc w:val="left"/>
              <w:rPr>
                <w:color w:val="000000"/>
                <w:lang w:val="bs-Latn-BA"/>
              </w:rPr>
            </w:pPr>
            <w:r w:rsidRPr="008924E0">
              <w:rPr>
                <w:color w:val="000000"/>
                <w:lang w:val="bs-Latn-BA"/>
              </w:rPr>
              <w:t>Srednjobosanski kanton</w:t>
            </w:r>
          </w:p>
        </w:tc>
        <w:tc>
          <w:tcPr>
            <w:tcW w:w="1204" w:type="dxa"/>
            <w:vAlign w:val="bottom"/>
          </w:tcPr>
          <w:p w14:paraId="482E05B7"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10,5</w:t>
            </w:r>
          </w:p>
        </w:tc>
        <w:tc>
          <w:tcPr>
            <w:tcW w:w="1642" w:type="dxa"/>
            <w:vAlign w:val="bottom"/>
          </w:tcPr>
          <w:p w14:paraId="289E251C"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118,1</w:t>
            </w:r>
          </w:p>
        </w:tc>
        <w:tc>
          <w:tcPr>
            <w:tcW w:w="1642" w:type="dxa"/>
            <w:vAlign w:val="bottom"/>
          </w:tcPr>
          <w:p w14:paraId="56025EAA"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498,1</w:t>
            </w:r>
          </w:p>
        </w:tc>
        <w:tc>
          <w:tcPr>
            <w:tcW w:w="1642" w:type="dxa"/>
            <w:vAlign w:val="bottom"/>
          </w:tcPr>
          <w:p w14:paraId="33F68224"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892,3</w:t>
            </w:r>
          </w:p>
        </w:tc>
      </w:tr>
      <w:tr w:rsidR="003912B3" w:rsidRPr="008924E0" w14:paraId="6DC21699"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BA22289" w14:textId="77777777" w:rsidR="003912B3" w:rsidRPr="008924E0" w:rsidRDefault="003912B3" w:rsidP="000B085B">
            <w:pPr>
              <w:jc w:val="left"/>
              <w:rPr>
                <w:color w:val="000000"/>
                <w:lang w:val="bs-Latn-BA"/>
              </w:rPr>
            </w:pPr>
            <w:r w:rsidRPr="008924E0">
              <w:rPr>
                <w:color w:val="000000"/>
                <w:lang w:val="bs-Latn-BA"/>
              </w:rPr>
              <w:t>Hercegovačko-neretvanski kanton</w:t>
            </w:r>
          </w:p>
        </w:tc>
        <w:tc>
          <w:tcPr>
            <w:tcW w:w="1204" w:type="dxa"/>
            <w:vAlign w:val="bottom"/>
          </w:tcPr>
          <w:p w14:paraId="4613DAB4"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8,0</w:t>
            </w:r>
          </w:p>
        </w:tc>
        <w:tc>
          <w:tcPr>
            <w:tcW w:w="1642" w:type="dxa"/>
            <w:vAlign w:val="bottom"/>
          </w:tcPr>
          <w:p w14:paraId="02BA0BD4"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89,2</w:t>
            </w:r>
          </w:p>
        </w:tc>
        <w:tc>
          <w:tcPr>
            <w:tcW w:w="1642" w:type="dxa"/>
            <w:vAlign w:val="bottom"/>
          </w:tcPr>
          <w:p w14:paraId="36646EBA"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376,3</w:t>
            </w:r>
          </w:p>
        </w:tc>
        <w:tc>
          <w:tcPr>
            <w:tcW w:w="1642" w:type="dxa"/>
            <w:vAlign w:val="bottom"/>
          </w:tcPr>
          <w:p w14:paraId="45F89D94"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674,1</w:t>
            </w:r>
          </w:p>
        </w:tc>
      </w:tr>
      <w:tr w:rsidR="003912B3" w:rsidRPr="008924E0" w14:paraId="3989527A"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9E9D1A2" w14:textId="77777777" w:rsidR="003912B3" w:rsidRPr="008924E0" w:rsidRDefault="003912B3" w:rsidP="000B085B">
            <w:pPr>
              <w:jc w:val="left"/>
              <w:rPr>
                <w:color w:val="000000"/>
                <w:lang w:val="bs-Latn-BA"/>
              </w:rPr>
            </w:pPr>
            <w:r w:rsidRPr="008924E0">
              <w:rPr>
                <w:color w:val="000000"/>
                <w:lang w:val="bs-Latn-BA"/>
              </w:rPr>
              <w:t>Zapadnohercegovački kanton</w:t>
            </w:r>
          </w:p>
        </w:tc>
        <w:tc>
          <w:tcPr>
            <w:tcW w:w="1204" w:type="dxa"/>
            <w:vAlign w:val="bottom"/>
          </w:tcPr>
          <w:p w14:paraId="2A1C1CFA"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3,5</w:t>
            </w:r>
          </w:p>
        </w:tc>
        <w:tc>
          <w:tcPr>
            <w:tcW w:w="1642" w:type="dxa"/>
            <w:vAlign w:val="bottom"/>
          </w:tcPr>
          <w:p w14:paraId="13907698"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39,5</w:t>
            </w:r>
          </w:p>
        </w:tc>
        <w:tc>
          <w:tcPr>
            <w:tcW w:w="1642" w:type="dxa"/>
            <w:vAlign w:val="bottom"/>
          </w:tcPr>
          <w:p w14:paraId="28225B8B"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166,5</w:t>
            </w:r>
          </w:p>
        </w:tc>
        <w:tc>
          <w:tcPr>
            <w:tcW w:w="1642" w:type="dxa"/>
            <w:vAlign w:val="bottom"/>
          </w:tcPr>
          <w:p w14:paraId="491EB16C"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298,2</w:t>
            </w:r>
          </w:p>
        </w:tc>
      </w:tr>
      <w:tr w:rsidR="003912B3" w:rsidRPr="008924E0" w14:paraId="2829B88F"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42DEEC8" w14:textId="77777777" w:rsidR="003912B3" w:rsidRPr="008924E0" w:rsidRDefault="003912B3" w:rsidP="000B085B">
            <w:pPr>
              <w:jc w:val="left"/>
              <w:rPr>
                <w:color w:val="000000"/>
                <w:lang w:val="bs-Latn-BA"/>
              </w:rPr>
            </w:pPr>
            <w:r w:rsidRPr="008924E0">
              <w:rPr>
                <w:color w:val="000000"/>
                <w:lang w:val="bs-Latn-BA"/>
              </w:rPr>
              <w:t>Kanton Sarajevo</w:t>
            </w:r>
          </w:p>
        </w:tc>
        <w:tc>
          <w:tcPr>
            <w:tcW w:w="1204" w:type="dxa"/>
            <w:vAlign w:val="bottom"/>
          </w:tcPr>
          <w:p w14:paraId="512E4E0A"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10,4</w:t>
            </w:r>
          </w:p>
        </w:tc>
        <w:tc>
          <w:tcPr>
            <w:tcW w:w="1642" w:type="dxa"/>
            <w:vAlign w:val="bottom"/>
          </w:tcPr>
          <w:p w14:paraId="7874B83C"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117,1</w:t>
            </w:r>
          </w:p>
        </w:tc>
        <w:tc>
          <w:tcPr>
            <w:tcW w:w="1642" w:type="dxa"/>
            <w:vAlign w:val="bottom"/>
          </w:tcPr>
          <w:p w14:paraId="30CCD780"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494,0</w:t>
            </w:r>
          </w:p>
        </w:tc>
        <w:tc>
          <w:tcPr>
            <w:tcW w:w="1642" w:type="dxa"/>
            <w:vAlign w:val="bottom"/>
          </w:tcPr>
          <w:p w14:paraId="3D740D29"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885,1</w:t>
            </w:r>
          </w:p>
        </w:tc>
      </w:tr>
      <w:tr w:rsidR="003912B3" w:rsidRPr="008924E0" w14:paraId="0BBEFB62"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39A178B" w14:textId="77777777" w:rsidR="003912B3" w:rsidRPr="008924E0" w:rsidRDefault="003912B3" w:rsidP="000B085B">
            <w:pPr>
              <w:jc w:val="left"/>
              <w:rPr>
                <w:color w:val="000000"/>
                <w:lang w:val="bs-Latn-BA"/>
              </w:rPr>
            </w:pPr>
            <w:r w:rsidRPr="008924E0">
              <w:rPr>
                <w:color w:val="000000"/>
                <w:lang w:val="bs-Latn-BA"/>
              </w:rPr>
              <w:t>Kanton 10</w:t>
            </w:r>
          </w:p>
        </w:tc>
        <w:tc>
          <w:tcPr>
            <w:tcW w:w="1204" w:type="dxa"/>
            <w:vAlign w:val="bottom"/>
          </w:tcPr>
          <w:p w14:paraId="29862848"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3,3</w:t>
            </w:r>
          </w:p>
        </w:tc>
        <w:tc>
          <w:tcPr>
            <w:tcW w:w="1642" w:type="dxa"/>
            <w:vAlign w:val="bottom"/>
          </w:tcPr>
          <w:p w14:paraId="1AC42481"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36,7</w:t>
            </w:r>
          </w:p>
        </w:tc>
        <w:tc>
          <w:tcPr>
            <w:tcW w:w="1642" w:type="dxa"/>
            <w:vAlign w:val="bottom"/>
          </w:tcPr>
          <w:p w14:paraId="71B9343D"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154,8</w:t>
            </w:r>
          </w:p>
        </w:tc>
        <w:tc>
          <w:tcPr>
            <w:tcW w:w="1642" w:type="dxa"/>
            <w:vAlign w:val="bottom"/>
          </w:tcPr>
          <w:p w14:paraId="6915FE05"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277,3</w:t>
            </w:r>
          </w:p>
        </w:tc>
      </w:tr>
      <w:tr w:rsidR="003912B3" w:rsidRPr="00C640A4" w14:paraId="60E79119"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8BE91DA" w14:textId="77777777" w:rsidR="003912B3" w:rsidRPr="00C640A4" w:rsidRDefault="003912B3" w:rsidP="000B085B">
            <w:pPr>
              <w:jc w:val="left"/>
              <w:rPr>
                <w:color w:val="000000"/>
                <w:lang w:val="bs-Latn-BA"/>
              </w:rPr>
            </w:pPr>
            <w:r w:rsidRPr="00C640A4">
              <w:rPr>
                <w:color w:val="000000"/>
                <w:lang w:val="bs-Latn-BA"/>
              </w:rPr>
              <w:t>Ukupno</w:t>
            </w:r>
          </w:p>
        </w:tc>
        <w:tc>
          <w:tcPr>
            <w:tcW w:w="1204" w:type="dxa"/>
            <w:vAlign w:val="bottom"/>
          </w:tcPr>
          <w:p w14:paraId="01EE3B54"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84,7</w:t>
            </w:r>
          </w:p>
        </w:tc>
        <w:tc>
          <w:tcPr>
            <w:tcW w:w="1642" w:type="dxa"/>
            <w:vAlign w:val="bottom"/>
          </w:tcPr>
          <w:p w14:paraId="2B66C4E8"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949,9</w:t>
            </w:r>
          </w:p>
        </w:tc>
        <w:tc>
          <w:tcPr>
            <w:tcW w:w="1642" w:type="dxa"/>
            <w:vAlign w:val="bottom"/>
          </w:tcPr>
          <w:p w14:paraId="209CC563"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4.006,6</w:t>
            </w:r>
          </w:p>
        </w:tc>
        <w:tc>
          <w:tcPr>
            <w:tcW w:w="1642" w:type="dxa"/>
            <w:vAlign w:val="bottom"/>
          </w:tcPr>
          <w:p w14:paraId="394D2DEC"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7.178,0</w:t>
            </w:r>
          </w:p>
        </w:tc>
      </w:tr>
    </w:tbl>
    <w:p w14:paraId="1669402B" w14:textId="77777777" w:rsidR="003912B3" w:rsidRPr="008924E0" w:rsidRDefault="003912B3" w:rsidP="006F579C">
      <w:pPr>
        <w:keepNext/>
        <w:pBdr>
          <w:top w:val="nil"/>
          <w:left w:val="nil"/>
          <w:bottom w:val="nil"/>
          <w:right w:val="nil"/>
          <w:between w:val="nil"/>
        </w:pBdr>
        <w:spacing w:after="200" w:line="240" w:lineRule="auto"/>
        <w:jc w:val="left"/>
        <w:rPr>
          <w:rFonts w:eastAsia="Calibri"/>
          <w:i/>
          <w:color w:val="000000"/>
          <w:lang w:val="bs-Latn-BA"/>
        </w:rPr>
      </w:pPr>
    </w:p>
    <w:p w14:paraId="2D9DCA55" w14:textId="0AAA68F9" w:rsidR="00381684" w:rsidRPr="008924E0" w:rsidRDefault="00381684" w:rsidP="00381684">
      <w:pPr>
        <w:pStyle w:val="Caption"/>
        <w:keepNext/>
      </w:pPr>
      <w:bookmarkStart w:id="116" w:name="_Toc133499559"/>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14</w:t>
        </w:r>
      </w:fldSimple>
      <w:r w:rsidRPr="008924E0">
        <w:rPr>
          <w:rFonts w:eastAsia="Calibri"/>
          <w:color w:val="000000"/>
        </w:rPr>
        <w:t xml:space="preserve"> Procjena broja </w:t>
      </w:r>
      <w:r w:rsidR="003912B3" w:rsidRPr="008924E0">
        <w:rPr>
          <w:rFonts w:eastAsia="Calibri"/>
          <w:color w:val="000000"/>
        </w:rPr>
        <w:t xml:space="preserve">zgrada </w:t>
      </w:r>
      <w:r w:rsidRPr="008924E0">
        <w:rPr>
          <w:rFonts w:eastAsia="Calibri"/>
          <w:color w:val="000000"/>
        </w:rPr>
        <w:t>kolektivn</w:t>
      </w:r>
      <w:r w:rsidR="003912B3">
        <w:rPr>
          <w:rFonts w:eastAsia="Calibri"/>
          <w:color w:val="000000"/>
        </w:rPr>
        <w:t>og stanovanja</w:t>
      </w:r>
      <w:r w:rsidRPr="008924E0">
        <w:rPr>
          <w:rFonts w:eastAsia="Calibri"/>
          <w:color w:val="000000"/>
        </w:rPr>
        <w:t xml:space="preserve"> </w:t>
      </w:r>
      <w:r w:rsidR="007C7BEC">
        <w:rPr>
          <w:rFonts w:eastAsia="Calibri"/>
          <w:color w:val="000000"/>
        </w:rPr>
        <w:t>obnovljenih</w:t>
      </w:r>
      <w:r w:rsidR="007C7BEC" w:rsidRPr="008924E0">
        <w:rPr>
          <w:rFonts w:eastAsia="Calibri"/>
          <w:color w:val="000000"/>
        </w:rPr>
        <w:t xml:space="preserve"> </w:t>
      </w:r>
      <w:r w:rsidRPr="008924E0">
        <w:rPr>
          <w:rFonts w:eastAsia="Calibri"/>
          <w:color w:val="000000"/>
        </w:rPr>
        <w:t xml:space="preserve">po </w:t>
      </w:r>
      <w:r w:rsidR="007C7BEC">
        <w:rPr>
          <w:rFonts w:eastAsia="Calibri"/>
          <w:color w:val="000000"/>
        </w:rPr>
        <w:t>k</w:t>
      </w:r>
      <w:r w:rsidRPr="008924E0">
        <w:rPr>
          <w:rFonts w:eastAsia="Calibri"/>
          <w:color w:val="000000"/>
        </w:rPr>
        <w:t>antonima za period do 2050. godine</w:t>
      </w:r>
      <w:bookmarkEnd w:id="116"/>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6F579C" w:rsidRPr="008924E0" w14:paraId="10807D41" w14:textId="77777777" w:rsidTr="000A1F1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1BE43F25" w14:textId="77777777" w:rsidR="006F579C" w:rsidRPr="008924E0" w:rsidRDefault="006F579C" w:rsidP="006F579C">
            <w:pPr>
              <w:jc w:val="left"/>
              <w:rPr>
                <w:lang w:val="bs-Latn-BA"/>
              </w:rPr>
            </w:pPr>
            <w:r w:rsidRPr="008924E0">
              <w:rPr>
                <w:lang w:val="bs-Latn-BA"/>
              </w:rPr>
              <w:t>Kanton</w:t>
            </w:r>
          </w:p>
        </w:tc>
        <w:tc>
          <w:tcPr>
            <w:tcW w:w="6130" w:type="dxa"/>
            <w:gridSpan w:val="4"/>
          </w:tcPr>
          <w:p w14:paraId="1E572704" w14:textId="77777777" w:rsidR="006F579C" w:rsidRPr="008924E0" w:rsidRDefault="006F579C" w:rsidP="006F579C">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sidRPr="008924E0">
              <w:rPr>
                <w:rFonts w:ascii="Corbel" w:hAnsi="Corbel" w:cs="Corbel"/>
                <w:lang w:val="bs-Latn-BA"/>
              </w:rPr>
              <w:t>Broj zgrada</w:t>
            </w:r>
          </w:p>
        </w:tc>
      </w:tr>
      <w:tr w:rsidR="006F579C" w:rsidRPr="008924E0" w14:paraId="18F69724"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2C51CDF4" w14:textId="77777777" w:rsidR="006F579C" w:rsidRPr="008924E0" w:rsidRDefault="006F579C" w:rsidP="006F579C">
            <w:pPr>
              <w:widowControl w:val="0"/>
              <w:pBdr>
                <w:top w:val="nil"/>
                <w:left w:val="nil"/>
                <w:bottom w:val="nil"/>
                <w:right w:val="nil"/>
                <w:between w:val="nil"/>
              </w:pBdr>
              <w:spacing w:line="276" w:lineRule="auto"/>
              <w:jc w:val="left"/>
              <w:rPr>
                <w:color w:val="000000"/>
                <w:lang w:val="bs-Latn-BA"/>
              </w:rPr>
            </w:pPr>
          </w:p>
        </w:tc>
        <w:tc>
          <w:tcPr>
            <w:tcW w:w="1204" w:type="dxa"/>
          </w:tcPr>
          <w:p w14:paraId="5956CAFA"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71B5C1A4"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64D2B533"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027E52DA"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433D2932"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1C623F41"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0021742A"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1E7210AE"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6F579C" w:rsidRPr="008924E0" w14:paraId="0B82422E"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710FD38" w14:textId="77777777" w:rsidR="006F579C" w:rsidRPr="008924E0" w:rsidRDefault="006F579C" w:rsidP="006F579C">
            <w:pPr>
              <w:jc w:val="left"/>
              <w:rPr>
                <w:color w:val="000000"/>
                <w:lang w:val="bs-Latn-BA"/>
              </w:rPr>
            </w:pPr>
            <w:r w:rsidRPr="008924E0">
              <w:rPr>
                <w:color w:val="000000"/>
                <w:lang w:val="bs-Latn-BA"/>
              </w:rPr>
              <w:t>Unsko-sanski kanton</w:t>
            </w:r>
          </w:p>
        </w:tc>
        <w:tc>
          <w:tcPr>
            <w:tcW w:w="1204" w:type="dxa"/>
          </w:tcPr>
          <w:p w14:paraId="71CF2F9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3460F943"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559</w:t>
            </w:r>
          </w:p>
        </w:tc>
        <w:tc>
          <w:tcPr>
            <w:tcW w:w="1642" w:type="dxa"/>
          </w:tcPr>
          <w:p w14:paraId="074757AF"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864</w:t>
            </w:r>
          </w:p>
        </w:tc>
        <w:tc>
          <w:tcPr>
            <w:tcW w:w="1642" w:type="dxa"/>
          </w:tcPr>
          <w:p w14:paraId="56FB8DF8"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1.170</w:t>
            </w:r>
          </w:p>
        </w:tc>
      </w:tr>
      <w:tr w:rsidR="006F579C" w:rsidRPr="008924E0" w14:paraId="60E4B665"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F31A572" w14:textId="77777777" w:rsidR="006F579C" w:rsidRPr="008924E0" w:rsidRDefault="006F579C" w:rsidP="006F579C">
            <w:pPr>
              <w:jc w:val="left"/>
              <w:rPr>
                <w:color w:val="000000"/>
                <w:lang w:val="bs-Latn-BA"/>
              </w:rPr>
            </w:pPr>
            <w:r w:rsidRPr="008924E0">
              <w:rPr>
                <w:color w:val="000000"/>
                <w:lang w:val="bs-Latn-BA"/>
              </w:rPr>
              <w:t>Posavski kanton</w:t>
            </w:r>
          </w:p>
        </w:tc>
        <w:tc>
          <w:tcPr>
            <w:tcW w:w="1204" w:type="dxa"/>
          </w:tcPr>
          <w:p w14:paraId="4EA4CBDF"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232E1277"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59</w:t>
            </w:r>
          </w:p>
        </w:tc>
        <w:tc>
          <w:tcPr>
            <w:tcW w:w="1642" w:type="dxa"/>
          </w:tcPr>
          <w:p w14:paraId="39871AA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91</w:t>
            </w:r>
          </w:p>
        </w:tc>
        <w:tc>
          <w:tcPr>
            <w:tcW w:w="1642" w:type="dxa"/>
          </w:tcPr>
          <w:p w14:paraId="0F162DB8"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124</w:t>
            </w:r>
          </w:p>
        </w:tc>
      </w:tr>
      <w:tr w:rsidR="006F579C" w:rsidRPr="008924E0" w14:paraId="162D46C6"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13636A1" w14:textId="77777777" w:rsidR="006F579C" w:rsidRPr="008924E0" w:rsidRDefault="006F579C" w:rsidP="006F579C">
            <w:pPr>
              <w:jc w:val="left"/>
              <w:rPr>
                <w:color w:val="000000"/>
                <w:lang w:val="bs-Latn-BA"/>
              </w:rPr>
            </w:pPr>
            <w:r w:rsidRPr="008924E0">
              <w:rPr>
                <w:color w:val="000000"/>
                <w:lang w:val="bs-Latn-BA"/>
              </w:rPr>
              <w:t>Tuzlanski kanton</w:t>
            </w:r>
          </w:p>
        </w:tc>
        <w:tc>
          <w:tcPr>
            <w:tcW w:w="1204" w:type="dxa"/>
          </w:tcPr>
          <w:p w14:paraId="57DA949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782E6A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1.403</w:t>
            </w:r>
          </w:p>
        </w:tc>
        <w:tc>
          <w:tcPr>
            <w:tcW w:w="1642" w:type="dxa"/>
          </w:tcPr>
          <w:p w14:paraId="73D77C4A"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2.170</w:t>
            </w:r>
          </w:p>
        </w:tc>
        <w:tc>
          <w:tcPr>
            <w:tcW w:w="1642" w:type="dxa"/>
          </w:tcPr>
          <w:p w14:paraId="2CC82B2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2.936</w:t>
            </w:r>
          </w:p>
        </w:tc>
      </w:tr>
      <w:tr w:rsidR="006F579C" w:rsidRPr="008924E0" w14:paraId="7FE0A30F"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200E335" w14:textId="77777777" w:rsidR="006F579C" w:rsidRPr="008924E0" w:rsidRDefault="006F579C" w:rsidP="006F579C">
            <w:pPr>
              <w:jc w:val="left"/>
              <w:rPr>
                <w:color w:val="000000"/>
                <w:lang w:val="bs-Latn-BA"/>
              </w:rPr>
            </w:pPr>
            <w:r w:rsidRPr="008924E0">
              <w:rPr>
                <w:color w:val="000000"/>
                <w:lang w:val="bs-Latn-BA"/>
              </w:rPr>
              <w:t>Zeničko-dobojski kanton</w:t>
            </w:r>
          </w:p>
        </w:tc>
        <w:tc>
          <w:tcPr>
            <w:tcW w:w="1204" w:type="dxa"/>
          </w:tcPr>
          <w:p w14:paraId="57195AD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02BDF9B8"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1.452</w:t>
            </w:r>
          </w:p>
        </w:tc>
        <w:tc>
          <w:tcPr>
            <w:tcW w:w="1642" w:type="dxa"/>
          </w:tcPr>
          <w:p w14:paraId="4D21A9A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2.246</w:t>
            </w:r>
          </w:p>
        </w:tc>
        <w:tc>
          <w:tcPr>
            <w:tcW w:w="1642" w:type="dxa"/>
          </w:tcPr>
          <w:p w14:paraId="1F75A8FD"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3.039</w:t>
            </w:r>
          </w:p>
        </w:tc>
      </w:tr>
      <w:tr w:rsidR="006F579C" w:rsidRPr="008924E0" w14:paraId="1EB0317F"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7DC7CA5" w14:textId="77777777" w:rsidR="006F579C" w:rsidRPr="008924E0" w:rsidRDefault="006F579C" w:rsidP="006F579C">
            <w:pPr>
              <w:jc w:val="left"/>
              <w:rPr>
                <w:color w:val="000000"/>
                <w:lang w:val="bs-Latn-BA"/>
              </w:rPr>
            </w:pPr>
            <w:r w:rsidRPr="008924E0">
              <w:rPr>
                <w:color w:val="000000"/>
                <w:lang w:val="bs-Latn-BA"/>
              </w:rPr>
              <w:t>Bosansko-podrinjski kanton</w:t>
            </w:r>
          </w:p>
        </w:tc>
        <w:tc>
          <w:tcPr>
            <w:tcW w:w="1204" w:type="dxa"/>
          </w:tcPr>
          <w:p w14:paraId="10A6AC1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6523F81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162</w:t>
            </w:r>
          </w:p>
        </w:tc>
        <w:tc>
          <w:tcPr>
            <w:tcW w:w="1642" w:type="dxa"/>
          </w:tcPr>
          <w:p w14:paraId="2FF27EFA"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251</w:t>
            </w:r>
          </w:p>
        </w:tc>
        <w:tc>
          <w:tcPr>
            <w:tcW w:w="1642" w:type="dxa"/>
          </w:tcPr>
          <w:p w14:paraId="04FDFBC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340</w:t>
            </w:r>
          </w:p>
        </w:tc>
      </w:tr>
      <w:tr w:rsidR="006F579C" w:rsidRPr="008924E0" w14:paraId="4E4AB0E0"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8679DD1" w14:textId="77777777" w:rsidR="006F579C" w:rsidRPr="008924E0" w:rsidRDefault="006F579C" w:rsidP="006F579C">
            <w:pPr>
              <w:jc w:val="left"/>
              <w:rPr>
                <w:color w:val="000000"/>
                <w:lang w:val="bs-Latn-BA"/>
              </w:rPr>
            </w:pPr>
            <w:r w:rsidRPr="008924E0">
              <w:rPr>
                <w:color w:val="000000"/>
                <w:lang w:val="bs-Latn-BA"/>
              </w:rPr>
              <w:t>Srednjobosanski kanton</w:t>
            </w:r>
          </w:p>
        </w:tc>
        <w:tc>
          <w:tcPr>
            <w:tcW w:w="1204" w:type="dxa"/>
          </w:tcPr>
          <w:p w14:paraId="6A1E3C1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24F4C83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858</w:t>
            </w:r>
          </w:p>
        </w:tc>
        <w:tc>
          <w:tcPr>
            <w:tcW w:w="1642" w:type="dxa"/>
          </w:tcPr>
          <w:p w14:paraId="5DB1380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1.328</w:t>
            </w:r>
          </w:p>
        </w:tc>
        <w:tc>
          <w:tcPr>
            <w:tcW w:w="1642" w:type="dxa"/>
          </w:tcPr>
          <w:p w14:paraId="72C0174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1.796</w:t>
            </w:r>
          </w:p>
        </w:tc>
      </w:tr>
      <w:tr w:rsidR="006F579C" w:rsidRPr="008924E0" w14:paraId="498B50BC"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2705B5E" w14:textId="77777777" w:rsidR="006F579C" w:rsidRPr="008924E0" w:rsidRDefault="006F579C" w:rsidP="006F579C">
            <w:pPr>
              <w:jc w:val="left"/>
              <w:rPr>
                <w:color w:val="000000"/>
                <w:lang w:val="bs-Latn-BA"/>
              </w:rPr>
            </w:pPr>
            <w:r w:rsidRPr="008924E0">
              <w:rPr>
                <w:color w:val="000000"/>
                <w:lang w:val="bs-Latn-BA"/>
              </w:rPr>
              <w:t>Hercegovačko-neretvanski kanton</w:t>
            </w:r>
          </w:p>
        </w:tc>
        <w:tc>
          <w:tcPr>
            <w:tcW w:w="1204" w:type="dxa"/>
          </w:tcPr>
          <w:p w14:paraId="4B6DDE65"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50F999D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1.756</w:t>
            </w:r>
          </w:p>
        </w:tc>
        <w:tc>
          <w:tcPr>
            <w:tcW w:w="1642" w:type="dxa"/>
          </w:tcPr>
          <w:p w14:paraId="128F9C15"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2.717</w:t>
            </w:r>
          </w:p>
        </w:tc>
        <w:tc>
          <w:tcPr>
            <w:tcW w:w="1642" w:type="dxa"/>
          </w:tcPr>
          <w:p w14:paraId="2A63965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3.676</w:t>
            </w:r>
          </w:p>
        </w:tc>
      </w:tr>
      <w:tr w:rsidR="006F579C" w:rsidRPr="008924E0" w14:paraId="42DAF314"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0A520EE" w14:textId="77777777" w:rsidR="006F579C" w:rsidRPr="008924E0" w:rsidRDefault="006F579C" w:rsidP="006F579C">
            <w:pPr>
              <w:jc w:val="left"/>
              <w:rPr>
                <w:color w:val="000000"/>
                <w:lang w:val="bs-Latn-BA"/>
              </w:rPr>
            </w:pPr>
            <w:r w:rsidRPr="008924E0">
              <w:rPr>
                <w:color w:val="000000"/>
                <w:lang w:val="bs-Latn-BA"/>
              </w:rPr>
              <w:t>Zapadnohercegovački kanton</w:t>
            </w:r>
          </w:p>
        </w:tc>
        <w:tc>
          <w:tcPr>
            <w:tcW w:w="1204" w:type="dxa"/>
          </w:tcPr>
          <w:p w14:paraId="59ECFBC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383559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181</w:t>
            </w:r>
          </w:p>
        </w:tc>
        <w:tc>
          <w:tcPr>
            <w:tcW w:w="1642" w:type="dxa"/>
          </w:tcPr>
          <w:p w14:paraId="10782AF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279</w:t>
            </w:r>
          </w:p>
        </w:tc>
        <w:tc>
          <w:tcPr>
            <w:tcW w:w="1642" w:type="dxa"/>
          </w:tcPr>
          <w:p w14:paraId="6D1467B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378</w:t>
            </w:r>
          </w:p>
        </w:tc>
      </w:tr>
      <w:tr w:rsidR="006F579C" w:rsidRPr="008924E0" w14:paraId="74263115"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4AC10D1" w14:textId="77777777" w:rsidR="006F579C" w:rsidRPr="008924E0" w:rsidRDefault="006F579C" w:rsidP="006F579C">
            <w:pPr>
              <w:jc w:val="left"/>
              <w:rPr>
                <w:color w:val="000000"/>
                <w:lang w:val="bs-Latn-BA"/>
              </w:rPr>
            </w:pPr>
            <w:r w:rsidRPr="008924E0">
              <w:rPr>
                <w:color w:val="000000"/>
                <w:lang w:val="bs-Latn-BA"/>
              </w:rPr>
              <w:t>Kanton Sarajevo</w:t>
            </w:r>
          </w:p>
        </w:tc>
        <w:tc>
          <w:tcPr>
            <w:tcW w:w="1204" w:type="dxa"/>
          </w:tcPr>
          <w:p w14:paraId="380E17DD"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0FB64F6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4.559</w:t>
            </w:r>
          </w:p>
        </w:tc>
        <w:tc>
          <w:tcPr>
            <w:tcW w:w="1642" w:type="dxa"/>
          </w:tcPr>
          <w:p w14:paraId="60100AC3"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7.054</w:t>
            </w:r>
          </w:p>
        </w:tc>
        <w:tc>
          <w:tcPr>
            <w:tcW w:w="1642" w:type="dxa"/>
          </w:tcPr>
          <w:p w14:paraId="6279C27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9.545</w:t>
            </w:r>
          </w:p>
        </w:tc>
      </w:tr>
      <w:tr w:rsidR="006F579C" w:rsidRPr="008924E0" w14:paraId="2EDF231A"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835FB5F" w14:textId="77777777" w:rsidR="006F579C" w:rsidRPr="008924E0" w:rsidRDefault="006F579C" w:rsidP="006F579C">
            <w:pPr>
              <w:jc w:val="left"/>
              <w:rPr>
                <w:color w:val="000000"/>
                <w:lang w:val="bs-Latn-BA"/>
              </w:rPr>
            </w:pPr>
            <w:r w:rsidRPr="008924E0">
              <w:rPr>
                <w:color w:val="000000"/>
                <w:lang w:val="bs-Latn-BA"/>
              </w:rPr>
              <w:t>Kanton 10</w:t>
            </w:r>
          </w:p>
        </w:tc>
        <w:tc>
          <w:tcPr>
            <w:tcW w:w="1204" w:type="dxa"/>
          </w:tcPr>
          <w:p w14:paraId="49F95862"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DC07E97"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292</w:t>
            </w:r>
          </w:p>
        </w:tc>
        <w:tc>
          <w:tcPr>
            <w:tcW w:w="1642" w:type="dxa"/>
          </w:tcPr>
          <w:p w14:paraId="5CC562A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452</w:t>
            </w:r>
          </w:p>
        </w:tc>
        <w:tc>
          <w:tcPr>
            <w:tcW w:w="1642" w:type="dxa"/>
          </w:tcPr>
          <w:p w14:paraId="1B65E3C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612</w:t>
            </w:r>
          </w:p>
        </w:tc>
      </w:tr>
      <w:tr w:rsidR="006F579C" w:rsidRPr="008924E0" w14:paraId="5CF346C9"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1527AEE" w14:textId="77777777" w:rsidR="006F579C" w:rsidRPr="008924E0" w:rsidRDefault="006F579C" w:rsidP="006F579C">
            <w:pPr>
              <w:jc w:val="left"/>
              <w:rPr>
                <w:color w:val="000000"/>
                <w:lang w:val="bs-Latn-BA"/>
              </w:rPr>
            </w:pPr>
            <w:r w:rsidRPr="008924E0">
              <w:rPr>
                <w:color w:val="000000"/>
                <w:lang w:val="bs-Latn-BA"/>
              </w:rPr>
              <w:t>Ukupno</w:t>
            </w:r>
          </w:p>
        </w:tc>
        <w:tc>
          <w:tcPr>
            <w:tcW w:w="1204" w:type="dxa"/>
          </w:tcPr>
          <w:p w14:paraId="1442D82D"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0</w:t>
            </w:r>
          </w:p>
        </w:tc>
        <w:tc>
          <w:tcPr>
            <w:tcW w:w="1642" w:type="dxa"/>
          </w:tcPr>
          <w:p w14:paraId="636BF669"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11.281</w:t>
            </w:r>
          </w:p>
        </w:tc>
        <w:tc>
          <w:tcPr>
            <w:tcW w:w="1642" w:type="dxa"/>
          </w:tcPr>
          <w:p w14:paraId="3FD8FF99"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17.454</w:t>
            </w:r>
          </w:p>
        </w:tc>
        <w:tc>
          <w:tcPr>
            <w:tcW w:w="1642" w:type="dxa"/>
          </w:tcPr>
          <w:p w14:paraId="02D2682D"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23.616</w:t>
            </w:r>
          </w:p>
        </w:tc>
      </w:tr>
    </w:tbl>
    <w:p w14:paraId="06908548" w14:textId="77777777" w:rsidR="003912B3" w:rsidRPr="003912B3" w:rsidRDefault="003912B3" w:rsidP="003912B3">
      <w:pPr>
        <w:rPr>
          <w:lang w:val="bs-Latn-BA"/>
        </w:rPr>
      </w:pPr>
    </w:p>
    <w:p w14:paraId="34A469CF" w14:textId="4D8C535B" w:rsidR="00C35E4D" w:rsidRPr="008924E0" w:rsidRDefault="00C35E4D" w:rsidP="00C35E4D">
      <w:pPr>
        <w:pStyle w:val="Caption"/>
        <w:keepNext/>
      </w:pPr>
      <w:bookmarkStart w:id="117" w:name="_Toc133499560"/>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15</w:t>
        </w:r>
      </w:fldSimple>
      <w:r w:rsidRPr="008924E0">
        <w:rPr>
          <w:rFonts w:eastAsia="Calibri"/>
          <w:color w:val="000000"/>
        </w:rPr>
        <w:t xml:space="preserve"> Procjena korisne grijane površine </w:t>
      </w:r>
      <w:r w:rsidR="003912B3" w:rsidRPr="008924E0">
        <w:rPr>
          <w:rFonts w:eastAsia="Calibri"/>
          <w:color w:val="000000"/>
        </w:rPr>
        <w:t xml:space="preserve">zgrada </w:t>
      </w:r>
      <w:r w:rsidRPr="008924E0">
        <w:rPr>
          <w:rFonts w:eastAsia="Calibri"/>
          <w:color w:val="000000"/>
        </w:rPr>
        <w:t>kolektivn</w:t>
      </w:r>
      <w:r w:rsidR="003912B3">
        <w:rPr>
          <w:rFonts w:eastAsia="Calibri"/>
          <w:color w:val="000000"/>
        </w:rPr>
        <w:t>og stanovanja</w:t>
      </w:r>
      <w:r w:rsidRPr="008924E0">
        <w:rPr>
          <w:rFonts w:eastAsia="Calibri"/>
          <w:color w:val="000000"/>
        </w:rPr>
        <w:t xml:space="preserve"> </w:t>
      </w:r>
      <w:r w:rsidR="007C7BEC">
        <w:rPr>
          <w:rFonts w:eastAsia="Calibri"/>
          <w:color w:val="000000"/>
        </w:rPr>
        <w:t>obnovljenih</w:t>
      </w:r>
      <w:r w:rsidR="007C7BEC" w:rsidRPr="008924E0">
        <w:rPr>
          <w:rFonts w:eastAsia="Calibri"/>
          <w:color w:val="000000"/>
        </w:rPr>
        <w:t xml:space="preserve"> </w:t>
      </w:r>
      <w:r w:rsidRPr="008924E0">
        <w:rPr>
          <w:rFonts w:eastAsia="Calibri"/>
          <w:color w:val="000000"/>
        </w:rPr>
        <w:t xml:space="preserve">po </w:t>
      </w:r>
      <w:r w:rsidR="007C7BEC">
        <w:rPr>
          <w:rFonts w:eastAsia="Calibri"/>
          <w:color w:val="000000"/>
        </w:rPr>
        <w:t>k</w:t>
      </w:r>
      <w:r w:rsidRPr="008924E0">
        <w:rPr>
          <w:rFonts w:eastAsia="Calibri"/>
          <w:color w:val="000000"/>
        </w:rPr>
        <w:t>antonima za period do 2050. godine</w:t>
      </w:r>
      <w:bookmarkEnd w:id="117"/>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6F579C" w:rsidRPr="001972F5" w14:paraId="394F404D" w14:textId="77777777" w:rsidTr="000A1F1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7707E02B" w14:textId="77777777" w:rsidR="006F579C" w:rsidRPr="008924E0" w:rsidRDefault="006F579C" w:rsidP="006F579C">
            <w:pPr>
              <w:jc w:val="left"/>
              <w:rPr>
                <w:lang w:val="bs-Latn-BA"/>
              </w:rPr>
            </w:pPr>
            <w:r w:rsidRPr="008924E0">
              <w:rPr>
                <w:lang w:val="bs-Latn-BA"/>
              </w:rPr>
              <w:t>Kanton</w:t>
            </w:r>
          </w:p>
        </w:tc>
        <w:tc>
          <w:tcPr>
            <w:tcW w:w="6130" w:type="dxa"/>
            <w:gridSpan w:val="4"/>
          </w:tcPr>
          <w:p w14:paraId="042FD01B" w14:textId="5A3FA7A7" w:rsidR="006F579C" w:rsidRPr="008924E0" w:rsidRDefault="007C7BEC" w:rsidP="006F579C">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Pr>
                <w:rFonts w:eastAsia="Calibri"/>
                <w:lang w:val="bs-Latn-BA"/>
              </w:rPr>
              <w:t>Obnovljena</w:t>
            </w:r>
            <w:r w:rsidRPr="008924E0">
              <w:rPr>
                <w:rFonts w:eastAsia="Calibri"/>
                <w:lang w:val="bs-Latn-BA"/>
              </w:rPr>
              <w:t xml:space="preserve"> </w:t>
            </w:r>
            <w:r w:rsidR="006F579C" w:rsidRPr="008924E0">
              <w:rPr>
                <w:rFonts w:eastAsia="Calibri"/>
                <w:lang w:val="bs-Latn-BA"/>
              </w:rPr>
              <w:t>korisna grijana površina, m</w:t>
            </w:r>
            <w:r w:rsidR="006F579C" w:rsidRPr="008924E0">
              <w:rPr>
                <w:rFonts w:eastAsia="Calibri"/>
                <w:vertAlign w:val="superscript"/>
                <w:lang w:val="bs-Latn-BA"/>
              </w:rPr>
              <w:t>2</w:t>
            </w:r>
          </w:p>
        </w:tc>
      </w:tr>
      <w:tr w:rsidR="006F579C" w:rsidRPr="008924E0" w14:paraId="48A7918D"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30628F0F" w14:textId="77777777" w:rsidR="006F579C" w:rsidRPr="008924E0" w:rsidRDefault="006F579C" w:rsidP="006F579C">
            <w:pPr>
              <w:widowControl w:val="0"/>
              <w:pBdr>
                <w:top w:val="nil"/>
                <w:left w:val="nil"/>
                <w:bottom w:val="nil"/>
                <w:right w:val="nil"/>
                <w:between w:val="nil"/>
              </w:pBdr>
              <w:spacing w:line="276" w:lineRule="auto"/>
              <w:jc w:val="left"/>
              <w:rPr>
                <w:color w:val="000000"/>
                <w:lang w:val="bs-Latn-BA"/>
              </w:rPr>
            </w:pPr>
          </w:p>
        </w:tc>
        <w:tc>
          <w:tcPr>
            <w:tcW w:w="1204" w:type="dxa"/>
          </w:tcPr>
          <w:p w14:paraId="5016F80F"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1C37277A"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0AF22680"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06BBB24D"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69B3F77B"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382A1CC6"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429EB1C5"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5D16A43D"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6F579C" w:rsidRPr="008924E0" w14:paraId="3EE37D0C"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F879C72" w14:textId="77777777" w:rsidR="006F579C" w:rsidRPr="008924E0" w:rsidRDefault="006F579C" w:rsidP="006F579C">
            <w:pPr>
              <w:jc w:val="left"/>
              <w:rPr>
                <w:color w:val="000000"/>
                <w:lang w:val="bs-Latn-BA"/>
              </w:rPr>
            </w:pPr>
            <w:r w:rsidRPr="008924E0">
              <w:rPr>
                <w:color w:val="000000"/>
                <w:lang w:val="bs-Latn-BA"/>
              </w:rPr>
              <w:t>Unsko-sanski kanton</w:t>
            </w:r>
          </w:p>
        </w:tc>
        <w:tc>
          <w:tcPr>
            <w:tcW w:w="1204" w:type="dxa"/>
          </w:tcPr>
          <w:p w14:paraId="7089B38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6DB9346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354.495</w:t>
            </w:r>
          </w:p>
        </w:tc>
        <w:tc>
          <w:tcPr>
            <w:tcW w:w="1642" w:type="dxa"/>
          </w:tcPr>
          <w:p w14:paraId="751B74A1"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548.228</w:t>
            </w:r>
          </w:p>
        </w:tc>
        <w:tc>
          <w:tcPr>
            <w:tcW w:w="1642" w:type="dxa"/>
          </w:tcPr>
          <w:p w14:paraId="39564D6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741.099</w:t>
            </w:r>
          </w:p>
        </w:tc>
      </w:tr>
      <w:tr w:rsidR="006F579C" w:rsidRPr="008924E0" w14:paraId="5CE58A29"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8410409" w14:textId="77777777" w:rsidR="006F579C" w:rsidRPr="008924E0" w:rsidRDefault="006F579C" w:rsidP="006F579C">
            <w:pPr>
              <w:jc w:val="left"/>
              <w:rPr>
                <w:color w:val="000000"/>
                <w:lang w:val="bs-Latn-BA"/>
              </w:rPr>
            </w:pPr>
            <w:r w:rsidRPr="008924E0">
              <w:rPr>
                <w:color w:val="000000"/>
                <w:lang w:val="bs-Latn-BA"/>
              </w:rPr>
              <w:t>Posavski kanton</w:t>
            </w:r>
          </w:p>
        </w:tc>
        <w:tc>
          <w:tcPr>
            <w:tcW w:w="1204" w:type="dxa"/>
          </w:tcPr>
          <w:p w14:paraId="31449C78"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3033813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37.456</w:t>
            </w:r>
          </w:p>
        </w:tc>
        <w:tc>
          <w:tcPr>
            <w:tcW w:w="1642" w:type="dxa"/>
          </w:tcPr>
          <w:p w14:paraId="42F0B162"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57.926</w:t>
            </w:r>
          </w:p>
        </w:tc>
        <w:tc>
          <w:tcPr>
            <w:tcW w:w="1642" w:type="dxa"/>
          </w:tcPr>
          <w:p w14:paraId="26D1E25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78.305</w:t>
            </w:r>
          </w:p>
        </w:tc>
      </w:tr>
      <w:tr w:rsidR="006F579C" w:rsidRPr="008924E0" w14:paraId="3DE21A65"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CF21D36" w14:textId="77777777" w:rsidR="006F579C" w:rsidRPr="008924E0" w:rsidRDefault="006F579C" w:rsidP="006F579C">
            <w:pPr>
              <w:jc w:val="left"/>
              <w:rPr>
                <w:color w:val="000000"/>
                <w:lang w:val="bs-Latn-BA"/>
              </w:rPr>
            </w:pPr>
            <w:r w:rsidRPr="008924E0">
              <w:rPr>
                <w:color w:val="000000"/>
                <w:lang w:val="bs-Latn-BA"/>
              </w:rPr>
              <w:t>Tuzlanski kanton</w:t>
            </w:r>
          </w:p>
        </w:tc>
        <w:tc>
          <w:tcPr>
            <w:tcW w:w="1204" w:type="dxa"/>
          </w:tcPr>
          <w:p w14:paraId="1F57840D"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B719BB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890.028</w:t>
            </w:r>
          </w:p>
        </w:tc>
        <w:tc>
          <w:tcPr>
            <w:tcW w:w="1642" w:type="dxa"/>
          </w:tcPr>
          <w:p w14:paraId="506EE59D"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1.376.431</w:t>
            </w:r>
          </w:p>
        </w:tc>
        <w:tc>
          <w:tcPr>
            <w:tcW w:w="1642" w:type="dxa"/>
          </w:tcPr>
          <w:p w14:paraId="496B8BE1"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1.860.671</w:t>
            </w:r>
          </w:p>
        </w:tc>
      </w:tr>
      <w:tr w:rsidR="006F579C" w:rsidRPr="008924E0" w14:paraId="70569319"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61B5E7F" w14:textId="77777777" w:rsidR="006F579C" w:rsidRPr="008924E0" w:rsidRDefault="006F579C" w:rsidP="006F579C">
            <w:pPr>
              <w:jc w:val="left"/>
              <w:rPr>
                <w:color w:val="000000"/>
                <w:lang w:val="bs-Latn-BA"/>
              </w:rPr>
            </w:pPr>
            <w:r w:rsidRPr="008924E0">
              <w:rPr>
                <w:color w:val="000000"/>
                <w:lang w:val="bs-Latn-BA"/>
              </w:rPr>
              <w:lastRenderedPageBreak/>
              <w:t>Zeničko-dobojski kanton</w:t>
            </w:r>
          </w:p>
        </w:tc>
        <w:tc>
          <w:tcPr>
            <w:tcW w:w="1204" w:type="dxa"/>
          </w:tcPr>
          <w:p w14:paraId="030504C2"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7294390D"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921.241</w:t>
            </w:r>
          </w:p>
        </w:tc>
        <w:tc>
          <w:tcPr>
            <w:tcW w:w="1642" w:type="dxa"/>
          </w:tcPr>
          <w:p w14:paraId="3B5D98DE"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1.424.702</w:t>
            </w:r>
          </w:p>
        </w:tc>
        <w:tc>
          <w:tcPr>
            <w:tcW w:w="1642" w:type="dxa"/>
          </w:tcPr>
          <w:p w14:paraId="10BE51D8"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1.925.925</w:t>
            </w:r>
          </w:p>
        </w:tc>
      </w:tr>
      <w:tr w:rsidR="006F579C" w:rsidRPr="008924E0" w14:paraId="1292CECD"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45618CC" w14:textId="77777777" w:rsidR="006F579C" w:rsidRPr="008924E0" w:rsidRDefault="006F579C" w:rsidP="006F579C">
            <w:pPr>
              <w:jc w:val="left"/>
              <w:rPr>
                <w:color w:val="000000"/>
                <w:lang w:val="bs-Latn-BA"/>
              </w:rPr>
            </w:pPr>
            <w:r w:rsidRPr="008924E0">
              <w:rPr>
                <w:color w:val="000000"/>
                <w:lang w:val="bs-Latn-BA"/>
              </w:rPr>
              <w:t>Bosansko-podrinjski kanton</w:t>
            </w:r>
          </w:p>
        </w:tc>
        <w:tc>
          <w:tcPr>
            <w:tcW w:w="1204" w:type="dxa"/>
          </w:tcPr>
          <w:p w14:paraId="3602278C"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0BB3ECBF"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103.004</w:t>
            </w:r>
          </w:p>
        </w:tc>
        <w:tc>
          <w:tcPr>
            <w:tcW w:w="1642" w:type="dxa"/>
          </w:tcPr>
          <w:p w14:paraId="108E086C"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159.296</w:t>
            </w:r>
          </w:p>
        </w:tc>
        <w:tc>
          <w:tcPr>
            <w:tcW w:w="1642" w:type="dxa"/>
          </w:tcPr>
          <w:p w14:paraId="33E5D115"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215.338</w:t>
            </w:r>
          </w:p>
        </w:tc>
      </w:tr>
      <w:tr w:rsidR="006F579C" w:rsidRPr="008924E0" w14:paraId="728C62CC"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5143C7B" w14:textId="77777777" w:rsidR="006F579C" w:rsidRPr="008924E0" w:rsidRDefault="006F579C" w:rsidP="006F579C">
            <w:pPr>
              <w:jc w:val="left"/>
              <w:rPr>
                <w:color w:val="000000"/>
                <w:lang w:val="bs-Latn-BA"/>
              </w:rPr>
            </w:pPr>
            <w:r w:rsidRPr="008924E0">
              <w:rPr>
                <w:color w:val="000000"/>
                <w:lang w:val="bs-Latn-BA"/>
              </w:rPr>
              <w:t>Srednjobosanski kanton</w:t>
            </w:r>
          </w:p>
        </w:tc>
        <w:tc>
          <w:tcPr>
            <w:tcW w:w="1204" w:type="dxa"/>
          </w:tcPr>
          <w:p w14:paraId="1461026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68A589A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544.451</w:t>
            </w:r>
          </w:p>
        </w:tc>
        <w:tc>
          <w:tcPr>
            <w:tcW w:w="1642" w:type="dxa"/>
          </w:tcPr>
          <w:p w14:paraId="319E7E8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841.995</w:t>
            </w:r>
          </w:p>
        </w:tc>
        <w:tc>
          <w:tcPr>
            <w:tcW w:w="1642" w:type="dxa"/>
          </w:tcPr>
          <w:p w14:paraId="2869812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1.138.216</w:t>
            </w:r>
          </w:p>
        </w:tc>
      </w:tr>
      <w:tr w:rsidR="006F579C" w:rsidRPr="008924E0" w14:paraId="49F5C450"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EB71DB4" w14:textId="77777777" w:rsidR="006F579C" w:rsidRPr="008924E0" w:rsidRDefault="006F579C" w:rsidP="006F579C">
            <w:pPr>
              <w:jc w:val="left"/>
              <w:rPr>
                <w:color w:val="000000"/>
                <w:lang w:val="bs-Latn-BA"/>
              </w:rPr>
            </w:pPr>
            <w:r w:rsidRPr="008924E0">
              <w:rPr>
                <w:color w:val="000000"/>
                <w:lang w:val="bs-Latn-BA"/>
              </w:rPr>
              <w:t>Hercegovačko-neretvanski kanton</w:t>
            </w:r>
          </w:p>
        </w:tc>
        <w:tc>
          <w:tcPr>
            <w:tcW w:w="1204" w:type="dxa"/>
          </w:tcPr>
          <w:p w14:paraId="21FB43F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3F6ABF02"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1.114.318</w:t>
            </w:r>
          </w:p>
        </w:tc>
        <w:tc>
          <w:tcPr>
            <w:tcW w:w="1642" w:type="dxa"/>
          </w:tcPr>
          <w:p w14:paraId="7D2E819F"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1.723.297</w:t>
            </w:r>
          </w:p>
        </w:tc>
        <w:tc>
          <w:tcPr>
            <w:tcW w:w="1642" w:type="dxa"/>
          </w:tcPr>
          <w:p w14:paraId="7C2F9F0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2.329.567</w:t>
            </w:r>
          </w:p>
        </w:tc>
      </w:tr>
      <w:tr w:rsidR="006F579C" w:rsidRPr="008924E0" w14:paraId="07525D5D"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478FE03" w14:textId="77777777" w:rsidR="006F579C" w:rsidRPr="008924E0" w:rsidRDefault="006F579C" w:rsidP="006F579C">
            <w:pPr>
              <w:jc w:val="left"/>
              <w:rPr>
                <w:color w:val="000000"/>
                <w:lang w:val="bs-Latn-BA"/>
              </w:rPr>
            </w:pPr>
            <w:r w:rsidRPr="008924E0">
              <w:rPr>
                <w:color w:val="000000"/>
                <w:lang w:val="bs-Latn-BA"/>
              </w:rPr>
              <w:t>Zapadnohercegovački kanton</w:t>
            </w:r>
          </w:p>
        </w:tc>
        <w:tc>
          <w:tcPr>
            <w:tcW w:w="1204" w:type="dxa"/>
          </w:tcPr>
          <w:p w14:paraId="60B5A7D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33F4823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114.598</w:t>
            </w:r>
          </w:p>
        </w:tc>
        <w:tc>
          <w:tcPr>
            <w:tcW w:w="1642" w:type="dxa"/>
          </w:tcPr>
          <w:p w14:paraId="4633C6FA"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177.226</w:t>
            </w:r>
          </w:p>
        </w:tc>
        <w:tc>
          <w:tcPr>
            <w:tcW w:w="1642" w:type="dxa"/>
          </w:tcPr>
          <w:p w14:paraId="4B65469A"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239.575</w:t>
            </w:r>
          </w:p>
        </w:tc>
      </w:tr>
      <w:tr w:rsidR="006F579C" w:rsidRPr="008924E0" w14:paraId="482AB299"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DD45CF9" w14:textId="77777777" w:rsidR="006F579C" w:rsidRPr="008924E0" w:rsidRDefault="006F579C" w:rsidP="006F579C">
            <w:pPr>
              <w:jc w:val="left"/>
              <w:rPr>
                <w:color w:val="000000"/>
                <w:lang w:val="bs-Latn-BA"/>
              </w:rPr>
            </w:pPr>
            <w:r w:rsidRPr="008924E0">
              <w:rPr>
                <w:color w:val="000000"/>
                <w:lang w:val="bs-Latn-BA"/>
              </w:rPr>
              <w:t>Kanton Sarajevo</w:t>
            </w:r>
          </w:p>
        </w:tc>
        <w:tc>
          <w:tcPr>
            <w:tcW w:w="1204" w:type="dxa"/>
          </w:tcPr>
          <w:p w14:paraId="56FFB265"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2A6BA2EF"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2.893.037</w:t>
            </w:r>
          </w:p>
        </w:tc>
        <w:tc>
          <w:tcPr>
            <w:tcW w:w="1642" w:type="dxa"/>
          </w:tcPr>
          <w:p w14:paraId="7E568748"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4.474.089</w:t>
            </w:r>
          </w:p>
        </w:tc>
        <w:tc>
          <w:tcPr>
            <w:tcW w:w="1642" w:type="dxa"/>
          </w:tcPr>
          <w:p w14:paraId="5890DAE7"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6.048.112</w:t>
            </w:r>
          </w:p>
        </w:tc>
      </w:tr>
      <w:tr w:rsidR="006F579C" w:rsidRPr="008924E0" w14:paraId="6745CE6A"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91279E4" w14:textId="77777777" w:rsidR="006F579C" w:rsidRPr="008924E0" w:rsidRDefault="006F579C" w:rsidP="006F579C">
            <w:pPr>
              <w:jc w:val="left"/>
              <w:rPr>
                <w:color w:val="000000"/>
                <w:lang w:val="bs-Latn-BA"/>
              </w:rPr>
            </w:pPr>
            <w:r w:rsidRPr="008924E0">
              <w:rPr>
                <w:color w:val="000000"/>
                <w:lang w:val="bs-Latn-BA"/>
              </w:rPr>
              <w:t>Kanton 10</w:t>
            </w:r>
          </w:p>
        </w:tc>
        <w:tc>
          <w:tcPr>
            <w:tcW w:w="1204" w:type="dxa"/>
          </w:tcPr>
          <w:p w14:paraId="44DADF4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0</w:t>
            </w:r>
          </w:p>
        </w:tc>
        <w:tc>
          <w:tcPr>
            <w:tcW w:w="1642" w:type="dxa"/>
          </w:tcPr>
          <w:p w14:paraId="1BB5145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185.497</w:t>
            </w:r>
          </w:p>
        </w:tc>
        <w:tc>
          <w:tcPr>
            <w:tcW w:w="1642" w:type="dxa"/>
          </w:tcPr>
          <w:p w14:paraId="0CD939A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286.871</w:t>
            </w:r>
          </w:p>
        </w:tc>
        <w:tc>
          <w:tcPr>
            <w:tcW w:w="1642" w:type="dxa"/>
          </w:tcPr>
          <w:p w14:paraId="04846C92"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8924E0">
              <w:rPr>
                <w:rFonts w:eastAsia="Calibri"/>
                <w:color w:val="000000"/>
                <w:lang w:val="bs-Latn-BA"/>
              </w:rPr>
              <w:t>387.795</w:t>
            </w:r>
          </w:p>
        </w:tc>
      </w:tr>
      <w:tr w:rsidR="006F579C" w:rsidRPr="008924E0" w14:paraId="0CAAF105" w14:textId="77777777" w:rsidTr="000A1F18">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C0CAD3E" w14:textId="77777777" w:rsidR="006F579C" w:rsidRPr="008924E0" w:rsidRDefault="006F579C" w:rsidP="006F579C">
            <w:pPr>
              <w:jc w:val="left"/>
              <w:rPr>
                <w:color w:val="000000"/>
                <w:lang w:val="bs-Latn-BA"/>
              </w:rPr>
            </w:pPr>
            <w:r w:rsidRPr="008924E0">
              <w:rPr>
                <w:color w:val="000000"/>
                <w:lang w:val="bs-Latn-BA"/>
              </w:rPr>
              <w:t>Ukupno</w:t>
            </w:r>
          </w:p>
        </w:tc>
        <w:tc>
          <w:tcPr>
            <w:tcW w:w="1204" w:type="dxa"/>
          </w:tcPr>
          <w:p w14:paraId="0D5F2394"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0</w:t>
            </w:r>
          </w:p>
        </w:tc>
        <w:tc>
          <w:tcPr>
            <w:tcW w:w="1642" w:type="dxa"/>
          </w:tcPr>
          <w:p w14:paraId="15E4A894"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7.158.125</w:t>
            </w:r>
          </w:p>
        </w:tc>
        <w:tc>
          <w:tcPr>
            <w:tcW w:w="1642" w:type="dxa"/>
          </w:tcPr>
          <w:p w14:paraId="0023F802"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11.070.061</w:t>
            </w:r>
          </w:p>
        </w:tc>
        <w:tc>
          <w:tcPr>
            <w:tcW w:w="1642" w:type="dxa"/>
          </w:tcPr>
          <w:p w14:paraId="7EEE07B7" w14:textId="77777777" w:rsidR="006F579C" w:rsidRPr="0024516E"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24516E">
              <w:rPr>
                <w:rFonts w:eastAsia="Calibri"/>
                <w:b/>
                <w:bCs/>
                <w:color w:val="000000"/>
                <w:lang w:val="bs-Latn-BA"/>
              </w:rPr>
              <w:t>14.964.603</w:t>
            </w:r>
          </w:p>
        </w:tc>
      </w:tr>
    </w:tbl>
    <w:p w14:paraId="64F7656C" w14:textId="0D74252B" w:rsidR="000A1F18" w:rsidRDefault="000A1F18" w:rsidP="000A1F18">
      <w:pPr>
        <w:keepNext/>
        <w:keepLines/>
        <w:spacing w:after="240"/>
        <w:ind w:left="2592"/>
        <w:jc w:val="left"/>
        <w:outlineLvl w:val="3"/>
        <w:rPr>
          <w:rFonts w:eastAsiaTheme="majorEastAsia" w:cstheme="majorBidi"/>
          <w:b/>
          <w:i/>
          <w:iCs/>
          <w:caps/>
          <w:color w:val="00592E"/>
          <w:u w:val="single"/>
          <w:lang w:val="bs-Latn-BA"/>
        </w:rPr>
      </w:pPr>
    </w:p>
    <w:p w14:paraId="7AD11D04" w14:textId="35A62AF7" w:rsidR="003912B3" w:rsidRPr="008924E0" w:rsidRDefault="003912B3" w:rsidP="003912B3">
      <w:pPr>
        <w:pStyle w:val="Caption"/>
        <w:keepNext/>
      </w:pPr>
      <w:bookmarkStart w:id="118" w:name="_Toc133499561"/>
      <w:r w:rsidRPr="003912B3">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16</w:t>
        </w:r>
      </w:fldSimple>
      <w:r w:rsidRPr="008924E0">
        <w:rPr>
          <w:rFonts w:eastAsia="Calibri"/>
          <w:color w:val="000000"/>
        </w:rPr>
        <w:t xml:space="preserve"> Troškovi energ</w:t>
      </w:r>
      <w:r>
        <w:rPr>
          <w:rFonts w:eastAsia="Calibri"/>
          <w:color w:val="000000"/>
        </w:rPr>
        <w:t>ij</w:t>
      </w:r>
      <w:r w:rsidRPr="008924E0">
        <w:rPr>
          <w:rFonts w:eastAsia="Calibri"/>
          <w:color w:val="000000"/>
        </w:rPr>
        <w:t xml:space="preserve">ske </w:t>
      </w:r>
      <w:r w:rsidR="007C7BEC">
        <w:rPr>
          <w:rFonts w:eastAsia="Calibri"/>
          <w:color w:val="000000"/>
        </w:rPr>
        <w:t>obnove</w:t>
      </w:r>
      <w:r w:rsidR="007C7BEC" w:rsidRPr="008924E0">
        <w:rPr>
          <w:rFonts w:eastAsia="Calibri"/>
          <w:color w:val="000000"/>
        </w:rPr>
        <w:t xml:space="preserve"> </w:t>
      </w:r>
      <w:r w:rsidRPr="00993CD8">
        <w:rPr>
          <w:rFonts w:eastAsia="Calibri"/>
          <w:color w:val="000000"/>
        </w:rPr>
        <w:t>zgrada kolektivnog stanovanja po</w:t>
      </w:r>
      <w:r w:rsidRPr="008924E0">
        <w:rPr>
          <w:rFonts w:eastAsia="Calibri"/>
          <w:color w:val="000000"/>
        </w:rPr>
        <w:t xml:space="preserve"> Kantonima za period do 2050. godine</w:t>
      </w:r>
      <w:bookmarkEnd w:id="118"/>
      <w:r>
        <w:rPr>
          <w:rFonts w:eastAsia="Calibri"/>
          <w:color w:val="000000"/>
        </w:rPr>
        <w:t xml:space="preserve"> </w:t>
      </w:r>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3912B3" w:rsidRPr="008924E0" w14:paraId="7B659679" w14:textId="77777777" w:rsidTr="000B085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4353110C" w14:textId="77777777" w:rsidR="003912B3" w:rsidRPr="008924E0" w:rsidRDefault="003912B3" w:rsidP="000B085B">
            <w:pPr>
              <w:jc w:val="left"/>
              <w:rPr>
                <w:lang w:val="bs-Latn-BA"/>
              </w:rPr>
            </w:pPr>
            <w:r w:rsidRPr="008924E0">
              <w:rPr>
                <w:lang w:val="bs-Latn-BA"/>
              </w:rPr>
              <w:t>Kanton</w:t>
            </w:r>
          </w:p>
        </w:tc>
        <w:tc>
          <w:tcPr>
            <w:tcW w:w="6130" w:type="dxa"/>
            <w:gridSpan w:val="4"/>
          </w:tcPr>
          <w:p w14:paraId="64C1D718" w14:textId="727653E1" w:rsidR="003912B3" w:rsidRPr="008924E0" w:rsidRDefault="003912B3" w:rsidP="000B085B">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sidRPr="008924E0">
              <w:rPr>
                <w:rFonts w:eastAsia="Calibri"/>
                <w:lang w:val="bs-Latn-BA"/>
              </w:rPr>
              <w:t xml:space="preserve">Trošak energijske </w:t>
            </w:r>
            <w:r w:rsidR="007C7BEC">
              <w:rPr>
                <w:rFonts w:eastAsia="Calibri"/>
                <w:lang w:val="bs-Latn-BA"/>
              </w:rPr>
              <w:t>obnove</w:t>
            </w:r>
            <w:r w:rsidRPr="008924E0">
              <w:rPr>
                <w:rFonts w:eastAsia="Calibri"/>
                <w:lang w:val="bs-Latn-BA"/>
              </w:rPr>
              <w:t>, 10</w:t>
            </w:r>
            <w:r w:rsidRPr="008924E0">
              <w:rPr>
                <w:rFonts w:eastAsia="Calibri"/>
                <w:vertAlign w:val="superscript"/>
                <w:lang w:val="bs-Latn-BA"/>
              </w:rPr>
              <w:t>6</w:t>
            </w:r>
            <w:r w:rsidRPr="008924E0">
              <w:rPr>
                <w:rFonts w:eastAsia="Calibri"/>
                <w:lang w:val="bs-Latn-BA"/>
              </w:rPr>
              <w:t xml:space="preserve"> BAM</w:t>
            </w:r>
          </w:p>
        </w:tc>
      </w:tr>
      <w:tr w:rsidR="003912B3" w:rsidRPr="008924E0" w14:paraId="207B5240"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034A893C" w14:textId="77777777" w:rsidR="003912B3" w:rsidRPr="008924E0" w:rsidRDefault="003912B3" w:rsidP="000B085B">
            <w:pPr>
              <w:widowControl w:val="0"/>
              <w:pBdr>
                <w:top w:val="nil"/>
                <w:left w:val="nil"/>
                <w:bottom w:val="nil"/>
                <w:right w:val="nil"/>
                <w:between w:val="nil"/>
              </w:pBdr>
              <w:spacing w:line="276" w:lineRule="auto"/>
              <w:jc w:val="left"/>
              <w:rPr>
                <w:color w:val="000000"/>
                <w:lang w:val="bs-Latn-BA"/>
              </w:rPr>
            </w:pPr>
          </w:p>
        </w:tc>
        <w:tc>
          <w:tcPr>
            <w:tcW w:w="1204" w:type="dxa"/>
          </w:tcPr>
          <w:p w14:paraId="5D7F7E37"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7F19DF64"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1E9C0740"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62CEE8E8"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36C9F123"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7C3491EB"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07CEEC25"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28460004" w14:textId="77777777" w:rsidR="003912B3" w:rsidRPr="008924E0" w:rsidRDefault="003912B3"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3912B3" w:rsidRPr="008924E0" w14:paraId="370CA07F"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60F2EF4" w14:textId="77777777" w:rsidR="003912B3" w:rsidRPr="008924E0" w:rsidRDefault="003912B3" w:rsidP="000B085B">
            <w:pPr>
              <w:jc w:val="left"/>
              <w:rPr>
                <w:color w:val="000000"/>
                <w:lang w:val="bs-Latn-BA"/>
              </w:rPr>
            </w:pPr>
            <w:r w:rsidRPr="008924E0">
              <w:rPr>
                <w:color w:val="000000"/>
                <w:lang w:val="bs-Latn-BA"/>
              </w:rPr>
              <w:t>Unsko-sanski kanton</w:t>
            </w:r>
          </w:p>
        </w:tc>
        <w:tc>
          <w:tcPr>
            <w:tcW w:w="1204" w:type="dxa"/>
            <w:vAlign w:val="bottom"/>
          </w:tcPr>
          <w:p w14:paraId="7F8907F9"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11,9</w:t>
            </w:r>
          </w:p>
        </w:tc>
        <w:tc>
          <w:tcPr>
            <w:tcW w:w="1642" w:type="dxa"/>
            <w:vAlign w:val="bottom"/>
          </w:tcPr>
          <w:p w14:paraId="4703EAA5"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126,5</w:t>
            </w:r>
          </w:p>
        </w:tc>
        <w:tc>
          <w:tcPr>
            <w:tcW w:w="1642" w:type="dxa"/>
            <w:vAlign w:val="bottom"/>
          </w:tcPr>
          <w:p w14:paraId="7C4D9A46"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192,9</w:t>
            </w:r>
          </w:p>
        </w:tc>
        <w:tc>
          <w:tcPr>
            <w:tcW w:w="1642" w:type="dxa"/>
            <w:vAlign w:val="bottom"/>
          </w:tcPr>
          <w:p w14:paraId="48246392"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rFonts w:eastAsia="Calibri"/>
                <w:color w:val="000000"/>
                <w:lang w:val="bs-Latn-BA"/>
              </w:rPr>
              <w:t>256,4</w:t>
            </w:r>
          </w:p>
        </w:tc>
      </w:tr>
      <w:tr w:rsidR="003912B3" w:rsidRPr="008924E0" w14:paraId="0AFA63AA"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A75F469" w14:textId="77777777" w:rsidR="003912B3" w:rsidRPr="008924E0" w:rsidRDefault="003912B3" w:rsidP="000B085B">
            <w:pPr>
              <w:jc w:val="left"/>
              <w:rPr>
                <w:color w:val="000000"/>
                <w:lang w:val="bs-Latn-BA"/>
              </w:rPr>
            </w:pPr>
            <w:r w:rsidRPr="008924E0">
              <w:rPr>
                <w:color w:val="000000"/>
                <w:lang w:val="bs-Latn-BA"/>
              </w:rPr>
              <w:t>Posavski kanton</w:t>
            </w:r>
          </w:p>
        </w:tc>
        <w:tc>
          <w:tcPr>
            <w:tcW w:w="1204" w:type="dxa"/>
            <w:vAlign w:val="bottom"/>
          </w:tcPr>
          <w:p w14:paraId="1A2E5CE7"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1,3</w:t>
            </w:r>
          </w:p>
        </w:tc>
        <w:tc>
          <w:tcPr>
            <w:tcW w:w="1642" w:type="dxa"/>
            <w:vAlign w:val="bottom"/>
          </w:tcPr>
          <w:p w14:paraId="7FAECE06"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13,4</w:t>
            </w:r>
          </w:p>
        </w:tc>
        <w:tc>
          <w:tcPr>
            <w:tcW w:w="1642" w:type="dxa"/>
            <w:vAlign w:val="bottom"/>
          </w:tcPr>
          <w:p w14:paraId="7022C0A6"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20,4</w:t>
            </w:r>
          </w:p>
        </w:tc>
        <w:tc>
          <w:tcPr>
            <w:tcW w:w="1642" w:type="dxa"/>
            <w:vAlign w:val="bottom"/>
          </w:tcPr>
          <w:p w14:paraId="0045A5E8"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rFonts w:eastAsia="Calibri"/>
                <w:color w:val="000000"/>
                <w:lang w:val="bs-Latn-BA"/>
              </w:rPr>
              <w:t>27,1</w:t>
            </w:r>
          </w:p>
        </w:tc>
      </w:tr>
      <w:tr w:rsidR="003912B3" w:rsidRPr="008924E0" w14:paraId="2D3CA68A"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2CE34F2" w14:textId="77777777" w:rsidR="003912B3" w:rsidRPr="008924E0" w:rsidRDefault="003912B3" w:rsidP="000B085B">
            <w:pPr>
              <w:jc w:val="left"/>
              <w:rPr>
                <w:color w:val="000000"/>
                <w:lang w:val="bs-Latn-BA"/>
              </w:rPr>
            </w:pPr>
            <w:r w:rsidRPr="008924E0">
              <w:rPr>
                <w:color w:val="000000"/>
                <w:lang w:val="bs-Latn-BA"/>
              </w:rPr>
              <w:t>Tuzlanski kanton</w:t>
            </w:r>
          </w:p>
        </w:tc>
        <w:tc>
          <w:tcPr>
            <w:tcW w:w="1204" w:type="dxa"/>
            <w:vAlign w:val="bottom"/>
          </w:tcPr>
          <w:p w14:paraId="7BD1F501"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29,9</w:t>
            </w:r>
          </w:p>
        </w:tc>
        <w:tc>
          <w:tcPr>
            <w:tcW w:w="1642" w:type="dxa"/>
            <w:vAlign w:val="bottom"/>
          </w:tcPr>
          <w:p w14:paraId="40B114C2"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317,6</w:t>
            </w:r>
          </w:p>
        </w:tc>
        <w:tc>
          <w:tcPr>
            <w:tcW w:w="1642" w:type="dxa"/>
            <w:vAlign w:val="bottom"/>
          </w:tcPr>
          <w:p w14:paraId="647637CE"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484,2</w:t>
            </w:r>
          </w:p>
        </w:tc>
        <w:tc>
          <w:tcPr>
            <w:tcW w:w="1642" w:type="dxa"/>
            <w:vAlign w:val="bottom"/>
          </w:tcPr>
          <w:p w14:paraId="2647D82B"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643,7</w:t>
            </w:r>
          </w:p>
        </w:tc>
      </w:tr>
      <w:tr w:rsidR="003912B3" w:rsidRPr="008924E0" w14:paraId="74964325"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ACDC976" w14:textId="77777777" w:rsidR="003912B3" w:rsidRPr="008924E0" w:rsidRDefault="003912B3" w:rsidP="000B085B">
            <w:pPr>
              <w:jc w:val="left"/>
              <w:rPr>
                <w:color w:val="000000"/>
                <w:lang w:val="bs-Latn-BA"/>
              </w:rPr>
            </w:pPr>
            <w:r w:rsidRPr="008924E0">
              <w:rPr>
                <w:color w:val="000000"/>
                <w:lang w:val="bs-Latn-BA"/>
              </w:rPr>
              <w:t>Zeničko-dobojski kanton</w:t>
            </w:r>
          </w:p>
        </w:tc>
        <w:tc>
          <w:tcPr>
            <w:tcW w:w="1204" w:type="dxa"/>
            <w:vAlign w:val="bottom"/>
          </w:tcPr>
          <w:p w14:paraId="13B678BB"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31,0</w:t>
            </w:r>
          </w:p>
        </w:tc>
        <w:tc>
          <w:tcPr>
            <w:tcW w:w="1642" w:type="dxa"/>
            <w:vAlign w:val="bottom"/>
          </w:tcPr>
          <w:p w14:paraId="5A424EA3"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328,8</w:t>
            </w:r>
          </w:p>
        </w:tc>
        <w:tc>
          <w:tcPr>
            <w:tcW w:w="1642" w:type="dxa"/>
            <w:vAlign w:val="bottom"/>
          </w:tcPr>
          <w:p w14:paraId="3CCF9F9A"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501,2</w:t>
            </w:r>
          </w:p>
        </w:tc>
        <w:tc>
          <w:tcPr>
            <w:tcW w:w="1642" w:type="dxa"/>
            <w:vAlign w:val="bottom"/>
          </w:tcPr>
          <w:p w14:paraId="042AAF5D"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666,3</w:t>
            </w:r>
          </w:p>
        </w:tc>
      </w:tr>
      <w:tr w:rsidR="003912B3" w:rsidRPr="008924E0" w14:paraId="6E968E17"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39AE3C5" w14:textId="77777777" w:rsidR="003912B3" w:rsidRPr="008924E0" w:rsidRDefault="003912B3" w:rsidP="000B085B">
            <w:pPr>
              <w:jc w:val="left"/>
              <w:rPr>
                <w:color w:val="000000"/>
                <w:lang w:val="bs-Latn-BA"/>
              </w:rPr>
            </w:pPr>
            <w:r w:rsidRPr="008924E0">
              <w:rPr>
                <w:color w:val="000000"/>
                <w:lang w:val="bs-Latn-BA"/>
              </w:rPr>
              <w:t>Bosansko-podrinjski kanton</w:t>
            </w:r>
          </w:p>
        </w:tc>
        <w:tc>
          <w:tcPr>
            <w:tcW w:w="1204" w:type="dxa"/>
            <w:vAlign w:val="bottom"/>
          </w:tcPr>
          <w:p w14:paraId="2820C3D3"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3,5</w:t>
            </w:r>
          </w:p>
        </w:tc>
        <w:tc>
          <w:tcPr>
            <w:tcW w:w="1642" w:type="dxa"/>
            <w:vAlign w:val="bottom"/>
          </w:tcPr>
          <w:p w14:paraId="0C054588"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36,8</w:t>
            </w:r>
          </w:p>
        </w:tc>
        <w:tc>
          <w:tcPr>
            <w:tcW w:w="1642" w:type="dxa"/>
            <w:vAlign w:val="bottom"/>
          </w:tcPr>
          <w:p w14:paraId="414917A5"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56,0</w:t>
            </w:r>
          </w:p>
        </w:tc>
        <w:tc>
          <w:tcPr>
            <w:tcW w:w="1642" w:type="dxa"/>
            <w:vAlign w:val="bottom"/>
          </w:tcPr>
          <w:p w14:paraId="2C1CF959"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74,5</w:t>
            </w:r>
          </w:p>
        </w:tc>
      </w:tr>
      <w:tr w:rsidR="003912B3" w:rsidRPr="008924E0" w14:paraId="36E64894"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0D6027E" w14:textId="77777777" w:rsidR="003912B3" w:rsidRPr="008924E0" w:rsidRDefault="003912B3" w:rsidP="000B085B">
            <w:pPr>
              <w:jc w:val="left"/>
              <w:rPr>
                <w:color w:val="000000"/>
                <w:lang w:val="bs-Latn-BA"/>
              </w:rPr>
            </w:pPr>
            <w:r w:rsidRPr="008924E0">
              <w:rPr>
                <w:color w:val="000000"/>
                <w:lang w:val="bs-Latn-BA"/>
              </w:rPr>
              <w:t>Srednjobosanski kanton</w:t>
            </w:r>
          </w:p>
        </w:tc>
        <w:tc>
          <w:tcPr>
            <w:tcW w:w="1204" w:type="dxa"/>
            <w:vAlign w:val="bottom"/>
          </w:tcPr>
          <w:p w14:paraId="4D2A523F"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18,3</w:t>
            </w:r>
          </w:p>
        </w:tc>
        <w:tc>
          <w:tcPr>
            <w:tcW w:w="1642" w:type="dxa"/>
            <w:vAlign w:val="bottom"/>
          </w:tcPr>
          <w:p w14:paraId="6BA216BF"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194,3</w:t>
            </w:r>
          </w:p>
        </w:tc>
        <w:tc>
          <w:tcPr>
            <w:tcW w:w="1642" w:type="dxa"/>
            <w:vAlign w:val="bottom"/>
          </w:tcPr>
          <w:p w14:paraId="444F91C0"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296,2</w:t>
            </w:r>
          </w:p>
        </w:tc>
        <w:tc>
          <w:tcPr>
            <w:tcW w:w="1642" w:type="dxa"/>
            <w:vAlign w:val="bottom"/>
          </w:tcPr>
          <w:p w14:paraId="3B975009"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393,8</w:t>
            </w:r>
          </w:p>
        </w:tc>
      </w:tr>
      <w:tr w:rsidR="003912B3" w:rsidRPr="008924E0" w14:paraId="6775086C"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B7B3167" w14:textId="77777777" w:rsidR="003912B3" w:rsidRPr="008924E0" w:rsidRDefault="003912B3" w:rsidP="000B085B">
            <w:pPr>
              <w:jc w:val="left"/>
              <w:rPr>
                <w:color w:val="000000"/>
                <w:lang w:val="bs-Latn-BA"/>
              </w:rPr>
            </w:pPr>
            <w:r w:rsidRPr="008924E0">
              <w:rPr>
                <w:color w:val="000000"/>
                <w:lang w:val="bs-Latn-BA"/>
              </w:rPr>
              <w:t>Hercegovačko-neretvanski kanton</w:t>
            </w:r>
          </w:p>
        </w:tc>
        <w:tc>
          <w:tcPr>
            <w:tcW w:w="1204" w:type="dxa"/>
            <w:vAlign w:val="bottom"/>
          </w:tcPr>
          <w:p w14:paraId="00231BE1"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37,4</w:t>
            </w:r>
          </w:p>
        </w:tc>
        <w:tc>
          <w:tcPr>
            <w:tcW w:w="1642" w:type="dxa"/>
            <w:vAlign w:val="bottom"/>
          </w:tcPr>
          <w:p w14:paraId="5DF149F3"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397,7</w:t>
            </w:r>
          </w:p>
        </w:tc>
        <w:tc>
          <w:tcPr>
            <w:tcW w:w="1642" w:type="dxa"/>
            <w:vAlign w:val="bottom"/>
          </w:tcPr>
          <w:p w14:paraId="0CAEC680"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606,2</w:t>
            </w:r>
          </w:p>
        </w:tc>
        <w:tc>
          <w:tcPr>
            <w:tcW w:w="1642" w:type="dxa"/>
            <w:vAlign w:val="bottom"/>
          </w:tcPr>
          <w:p w14:paraId="2801C87C"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806,0</w:t>
            </w:r>
          </w:p>
        </w:tc>
      </w:tr>
      <w:tr w:rsidR="003912B3" w:rsidRPr="008924E0" w14:paraId="6624D69A"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FD10D1A" w14:textId="77777777" w:rsidR="003912B3" w:rsidRPr="008924E0" w:rsidRDefault="003912B3" w:rsidP="000B085B">
            <w:pPr>
              <w:jc w:val="left"/>
              <w:rPr>
                <w:color w:val="000000"/>
                <w:lang w:val="bs-Latn-BA"/>
              </w:rPr>
            </w:pPr>
            <w:r w:rsidRPr="008924E0">
              <w:rPr>
                <w:color w:val="000000"/>
                <w:lang w:val="bs-Latn-BA"/>
              </w:rPr>
              <w:t>Zapadnohercegovački kanton</w:t>
            </w:r>
          </w:p>
        </w:tc>
        <w:tc>
          <w:tcPr>
            <w:tcW w:w="1204" w:type="dxa"/>
            <w:vAlign w:val="bottom"/>
          </w:tcPr>
          <w:p w14:paraId="61F04734"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3,9</w:t>
            </w:r>
          </w:p>
        </w:tc>
        <w:tc>
          <w:tcPr>
            <w:tcW w:w="1642" w:type="dxa"/>
            <w:vAlign w:val="bottom"/>
          </w:tcPr>
          <w:p w14:paraId="59E88EE6"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40,9</w:t>
            </w:r>
          </w:p>
        </w:tc>
        <w:tc>
          <w:tcPr>
            <w:tcW w:w="1642" w:type="dxa"/>
            <w:vAlign w:val="bottom"/>
          </w:tcPr>
          <w:p w14:paraId="49BEF4CE"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62,3</w:t>
            </w:r>
          </w:p>
        </w:tc>
        <w:tc>
          <w:tcPr>
            <w:tcW w:w="1642" w:type="dxa"/>
            <w:vAlign w:val="bottom"/>
          </w:tcPr>
          <w:p w14:paraId="3DC26837"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82,9</w:t>
            </w:r>
          </w:p>
        </w:tc>
      </w:tr>
      <w:tr w:rsidR="003912B3" w:rsidRPr="008924E0" w14:paraId="186930C2"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E49BCDF" w14:textId="77777777" w:rsidR="003912B3" w:rsidRPr="008924E0" w:rsidRDefault="003912B3" w:rsidP="000B085B">
            <w:pPr>
              <w:jc w:val="left"/>
              <w:rPr>
                <w:color w:val="000000"/>
                <w:lang w:val="bs-Latn-BA"/>
              </w:rPr>
            </w:pPr>
            <w:r w:rsidRPr="008924E0">
              <w:rPr>
                <w:color w:val="000000"/>
                <w:lang w:val="bs-Latn-BA"/>
              </w:rPr>
              <w:t>Kanton Sarajevo</w:t>
            </w:r>
          </w:p>
        </w:tc>
        <w:tc>
          <w:tcPr>
            <w:tcW w:w="1204" w:type="dxa"/>
            <w:vAlign w:val="bottom"/>
          </w:tcPr>
          <w:p w14:paraId="5DDF7234"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97,2</w:t>
            </w:r>
          </w:p>
        </w:tc>
        <w:tc>
          <w:tcPr>
            <w:tcW w:w="1642" w:type="dxa"/>
            <w:vAlign w:val="bottom"/>
          </w:tcPr>
          <w:p w14:paraId="602D21C3"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1.032,4</w:t>
            </w:r>
          </w:p>
        </w:tc>
        <w:tc>
          <w:tcPr>
            <w:tcW w:w="1642" w:type="dxa"/>
            <w:vAlign w:val="bottom"/>
          </w:tcPr>
          <w:p w14:paraId="3E750CC2"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1.573,9</w:t>
            </w:r>
          </w:p>
        </w:tc>
        <w:tc>
          <w:tcPr>
            <w:tcW w:w="1642" w:type="dxa"/>
            <w:vAlign w:val="bottom"/>
          </w:tcPr>
          <w:p w14:paraId="2B773CEE"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130F0">
              <w:rPr>
                <w:color w:val="000000"/>
              </w:rPr>
              <w:t>2.092,5</w:t>
            </w:r>
          </w:p>
        </w:tc>
      </w:tr>
      <w:tr w:rsidR="003912B3" w:rsidRPr="008924E0" w14:paraId="4A412E8E"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6804218" w14:textId="77777777" w:rsidR="003912B3" w:rsidRPr="008924E0" w:rsidRDefault="003912B3" w:rsidP="000B085B">
            <w:pPr>
              <w:jc w:val="left"/>
              <w:rPr>
                <w:color w:val="000000"/>
                <w:lang w:val="bs-Latn-BA"/>
              </w:rPr>
            </w:pPr>
            <w:r w:rsidRPr="008924E0">
              <w:rPr>
                <w:color w:val="000000"/>
                <w:lang w:val="bs-Latn-BA"/>
              </w:rPr>
              <w:t>Kanton 10</w:t>
            </w:r>
          </w:p>
        </w:tc>
        <w:tc>
          <w:tcPr>
            <w:tcW w:w="1204" w:type="dxa"/>
            <w:vAlign w:val="bottom"/>
          </w:tcPr>
          <w:p w14:paraId="51744E5C"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6,2</w:t>
            </w:r>
          </w:p>
        </w:tc>
        <w:tc>
          <w:tcPr>
            <w:tcW w:w="1642" w:type="dxa"/>
            <w:vAlign w:val="bottom"/>
          </w:tcPr>
          <w:p w14:paraId="75EF0FBD"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66,2</w:t>
            </w:r>
          </w:p>
        </w:tc>
        <w:tc>
          <w:tcPr>
            <w:tcW w:w="1642" w:type="dxa"/>
            <w:vAlign w:val="bottom"/>
          </w:tcPr>
          <w:p w14:paraId="6F3BAA36"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100,9</w:t>
            </w:r>
          </w:p>
        </w:tc>
        <w:tc>
          <w:tcPr>
            <w:tcW w:w="1642" w:type="dxa"/>
            <w:vAlign w:val="bottom"/>
          </w:tcPr>
          <w:p w14:paraId="5EFDD0D4" w14:textId="77777777" w:rsidR="003912B3" w:rsidRPr="001130F0" w:rsidRDefault="003912B3" w:rsidP="000B085B">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130F0">
              <w:rPr>
                <w:color w:val="000000"/>
              </w:rPr>
              <w:t>134,2</w:t>
            </w:r>
          </w:p>
        </w:tc>
      </w:tr>
      <w:tr w:rsidR="003912B3" w:rsidRPr="00C640A4" w14:paraId="51B68B04" w14:textId="77777777" w:rsidTr="000B085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1A3D9BF" w14:textId="77777777" w:rsidR="003912B3" w:rsidRPr="00C640A4" w:rsidRDefault="003912B3" w:rsidP="000B085B">
            <w:pPr>
              <w:jc w:val="left"/>
              <w:rPr>
                <w:color w:val="000000"/>
                <w:lang w:val="bs-Latn-BA"/>
              </w:rPr>
            </w:pPr>
            <w:r w:rsidRPr="00C640A4">
              <w:rPr>
                <w:color w:val="000000"/>
                <w:lang w:val="bs-Latn-BA"/>
              </w:rPr>
              <w:t>Ukupno</w:t>
            </w:r>
          </w:p>
        </w:tc>
        <w:tc>
          <w:tcPr>
            <w:tcW w:w="1204" w:type="dxa"/>
            <w:vAlign w:val="bottom"/>
          </w:tcPr>
          <w:p w14:paraId="45E55E43"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240,6</w:t>
            </w:r>
          </w:p>
        </w:tc>
        <w:tc>
          <w:tcPr>
            <w:tcW w:w="1642" w:type="dxa"/>
            <w:vAlign w:val="bottom"/>
          </w:tcPr>
          <w:p w14:paraId="0B5DFD12"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2.554,5</w:t>
            </w:r>
          </w:p>
        </w:tc>
        <w:tc>
          <w:tcPr>
            <w:tcW w:w="1642" w:type="dxa"/>
            <w:vAlign w:val="bottom"/>
          </w:tcPr>
          <w:p w14:paraId="2FC24F04"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3.894,4</w:t>
            </w:r>
          </w:p>
        </w:tc>
        <w:tc>
          <w:tcPr>
            <w:tcW w:w="1642" w:type="dxa"/>
            <w:vAlign w:val="bottom"/>
          </w:tcPr>
          <w:p w14:paraId="4C5E1E20" w14:textId="77777777" w:rsidR="003912B3" w:rsidRPr="001130F0" w:rsidRDefault="003912B3" w:rsidP="000B085B">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130F0">
              <w:rPr>
                <w:b/>
                <w:bCs/>
                <w:color w:val="000000"/>
              </w:rPr>
              <w:t>5.177,3</w:t>
            </w:r>
          </w:p>
        </w:tc>
      </w:tr>
    </w:tbl>
    <w:p w14:paraId="0F8952FC" w14:textId="1FBE1F28" w:rsidR="006F579C" w:rsidRPr="008924E0" w:rsidRDefault="006F579C" w:rsidP="00C626DB">
      <w:pPr>
        <w:pStyle w:val="Heading2"/>
        <w:numPr>
          <w:ilvl w:val="1"/>
          <w:numId w:val="33"/>
        </w:numPr>
        <w:ind w:left="792"/>
        <w:rPr>
          <w:lang w:val="bs-Latn-BA"/>
        </w:rPr>
      </w:pPr>
      <w:bookmarkStart w:id="119" w:name="_Toc134011764"/>
      <w:r w:rsidRPr="008924E0">
        <w:rPr>
          <w:lang w:val="bs-Latn-BA"/>
        </w:rPr>
        <w:t>N</w:t>
      </w:r>
      <w:r w:rsidR="00FE3FE2">
        <w:rPr>
          <w:lang w:val="bs-Latn-BA"/>
        </w:rPr>
        <w:t>estambeni fond</w:t>
      </w:r>
      <w:bookmarkEnd w:id="119"/>
    </w:p>
    <w:p w14:paraId="224134A9" w14:textId="78080542" w:rsidR="006F579C" w:rsidRPr="008924E0" w:rsidRDefault="006F579C" w:rsidP="006F579C">
      <w:pPr>
        <w:pBdr>
          <w:top w:val="nil"/>
          <w:left w:val="nil"/>
          <w:bottom w:val="nil"/>
          <w:right w:val="nil"/>
          <w:between w:val="nil"/>
        </w:pBdr>
        <w:spacing w:after="0" w:line="240" w:lineRule="auto"/>
        <w:rPr>
          <w:rFonts w:eastAsia="Calibri"/>
          <w:color w:val="000000"/>
          <w:lang w:val="bs-Latn-BA"/>
        </w:rPr>
      </w:pPr>
      <w:r w:rsidRPr="008924E0">
        <w:rPr>
          <w:rFonts w:eastAsia="Calibri"/>
          <w:color w:val="000000"/>
          <w:lang w:val="bs-Latn-BA"/>
        </w:rPr>
        <w:t>Prema podacima o fondu nestambenih zgrada za 2020. godinu izvršena je analiza ušteda energije, emisije CO</w:t>
      </w:r>
      <w:r w:rsidRPr="008924E0">
        <w:rPr>
          <w:rFonts w:eastAsia="Calibri"/>
          <w:color w:val="000000"/>
          <w:vertAlign w:val="subscript"/>
          <w:lang w:val="bs-Latn-BA"/>
        </w:rPr>
        <w:t>2</w:t>
      </w:r>
      <w:r w:rsidRPr="008924E0">
        <w:rPr>
          <w:rFonts w:eastAsia="Calibri"/>
          <w:color w:val="000000"/>
          <w:lang w:val="bs-Latn-BA"/>
        </w:rPr>
        <w:t xml:space="preserve"> i troškova energijske </w:t>
      </w:r>
      <w:r w:rsidR="007C7BEC">
        <w:rPr>
          <w:rFonts w:eastAsia="Calibri"/>
          <w:color w:val="000000"/>
          <w:lang w:val="bs-Latn-BA"/>
        </w:rPr>
        <w:t>obnove</w:t>
      </w:r>
      <w:r w:rsidR="007C7BEC" w:rsidRPr="008924E0">
        <w:rPr>
          <w:rFonts w:eastAsia="Calibri"/>
          <w:color w:val="000000"/>
          <w:lang w:val="bs-Latn-BA"/>
        </w:rPr>
        <w:t xml:space="preserve"> </w:t>
      </w:r>
      <w:r w:rsidRPr="008924E0">
        <w:rPr>
          <w:rFonts w:eastAsia="Calibri"/>
          <w:color w:val="000000"/>
          <w:lang w:val="bs-Latn-BA"/>
        </w:rPr>
        <w:t>za period do 2050. godine. Posebno su razmatrane kategorije javnih zgrada pod nadležnošću Federacije Bosne i Hercegovine</w:t>
      </w:r>
      <w:r w:rsidR="00B23937">
        <w:rPr>
          <w:rFonts w:eastAsia="Calibri"/>
          <w:color w:val="000000"/>
          <w:lang w:val="bs-Latn-BA"/>
        </w:rPr>
        <w:t xml:space="preserve"> tretirane Operativnim planom poboljšanja energijske efikasnosti u institucijama FBiH</w:t>
      </w:r>
      <w:r w:rsidRPr="008924E0">
        <w:rPr>
          <w:rFonts w:eastAsia="Calibri"/>
          <w:color w:val="000000"/>
          <w:lang w:val="bs-Latn-BA"/>
        </w:rPr>
        <w:t xml:space="preserve">, javnih zgrada i </w:t>
      </w:r>
      <w:r w:rsidR="0039672D" w:rsidRPr="008924E0">
        <w:rPr>
          <w:rFonts w:eastAsia="Calibri"/>
          <w:color w:val="000000"/>
          <w:lang w:val="bs-Latn-BA"/>
        </w:rPr>
        <w:t>komercijaln</w:t>
      </w:r>
      <w:r w:rsidR="0039672D">
        <w:rPr>
          <w:rFonts w:eastAsia="Calibri"/>
          <w:color w:val="000000"/>
          <w:lang w:val="bs-Latn-BA"/>
        </w:rPr>
        <w:t>ih</w:t>
      </w:r>
      <w:r w:rsidR="0039672D" w:rsidRPr="008924E0">
        <w:rPr>
          <w:rFonts w:eastAsia="Calibri"/>
          <w:color w:val="000000"/>
          <w:lang w:val="bs-Latn-BA"/>
        </w:rPr>
        <w:t xml:space="preserve"> zgrad</w:t>
      </w:r>
      <w:r w:rsidR="0039672D">
        <w:rPr>
          <w:rFonts w:eastAsia="Calibri"/>
          <w:color w:val="000000"/>
          <w:lang w:val="bs-Latn-BA"/>
        </w:rPr>
        <w:t>a</w:t>
      </w:r>
      <w:r w:rsidRPr="008924E0">
        <w:rPr>
          <w:rFonts w:eastAsia="Calibri"/>
          <w:color w:val="000000"/>
          <w:lang w:val="bs-Latn-BA"/>
        </w:rPr>
        <w:t xml:space="preserve">. </w:t>
      </w:r>
    </w:p>
    <w:p w14:paraId="3A8E0A31" w14:textId="77777777" w:rsidR="006F579C" w:rsidRPr="008924E0" w:rsidRDefault="006F579C" w:rsidP="006F579C">
      <w:pPr>
        <w:pBdr>
          <w:top w:val="nil"/>
          <w:left w:val="nil"/>
          <w:bottom w:val="nil"/>
          <w:right w:val="nil"/>
          <w:between w:val="nil"/>
        </w:pBdr>
        <w:spacing w:after="0" w:line="240" w:lineRule="auto"/>
        <w:rPr>
          <w:rFonts w:eastAsia="Calibri"/>
          <w:color w:val="000000"/>
          <w:lang w:val="bs-Latn-BA"/>
        </w:rPr>
      </w:pPr>
    </w:p>
    <w:p w14:paraId="14ED340B" w14:textId="77777777" w:rsidR="004A48C8" w:rsidRPr="00416224" w:rsidRDefault="004A48C8" w:rsidP="00416224">
      <w:pPr>
        <w:pStyle w:val="Heading3"/>
        <w:numPr>
          <w:ilvl w:val="2"/>
          <w:numId w:val="33"/>
        </w:numPr>
      </w:pPr>
      <w:bookmarkStart w:id="120" w:name="_Toc134011765"/>
      <w:r w:rsidRPr="004A48C8">
        <w:t>Fond javnih zgrada</w:t>
      </w:r>
      <w:bookmarkEnd w:id="120"/>
    </w:p>
    <w:p w14:paraId="3C027F43" w14:textId="09CE0AF7" w:rsidR="006F579C" w:rsidRPr="008924E0" w:rsidRDefault="006F579C" w:rsidP="00206D52">
      <w:pPr>
        <w:pStyle w:val="Heading3"/>
        <w:numPr>
          <w:ilvl w:val="3"/>
          <w:numId w:val="33"/>
        </w:numPr>
        <w:ind w:left="2070" w:hanging="990"/>
      </w:pPr>
      <w:bookmarkStart w:id="121" w:name="_Toc134011766"/>
      <w:r w:rsidRPr="008924E0">
        <w:t xml:space="preserve">Energijska obnova zgrada </w:t>
      </w:r>
      <w:r w:rsidR="00F155B9" w:rsidRPr="00F155B9">
        <w:t>obuhvaćenih Operativnim planom poboljšanja energijske efikasnosti u institucijama FBiH</w:t>
      </w:r>
      <w:bookmarkEnd w:id="121"/>
    </w:p>
    <w:p w14:paraId="0DB34FDF" w14:textId="67310688" w:rsidR="006F579C" w:rsidRPr="001972F5" w:rsidRDefault="00F155B9" w:rsidP="006F579C">
      <w:pPr>
        <w:spacing w:after="120" w:line="276" w:lineRule="auto"/>
        <w:rPr>
          <w:lang w:val="bs-Latn-BA"/>
        </w:rPr>
      </w:pPr>
      <w:r w:rsidRPr="001972F5">
        <w:rPr>
          <w:lang w:val="bs-Latn-BA"/>
        </w:rPr>
        <w:t>Operativnim planom navedenom poboljšanja energijske efikasnosti u institucijama FBiH koji je usvojen 2021. godine</w:t>
      </w:r>
      <w:r>
        <w:rPr>
          <w:rStyle w:val="FootnoteReference"/>
        </w:rPr>
        <w:footnoteReference w:id="32"/>
      </w:r>
      <w:r w:rsidRPr="001972F5" w:rsidDel="00F155B9">
        <w:rPr>
          <w:lang w:val="bs-Latn-BA"/>
        </w:rPr>
        <w:t xml:space="preserve"> </w:t>
      </w:r>
      <w:r w:rsidRPr="001972F5">
        <w:rPr>
          <w:lang w:val="bs-Latn-BA"/>
        </w:rPr>
        <w:t>obuhvaćeno je</w:t>
      </w:r>
      <w:r w:rsidR="006F579C" w:rsidRPr="001972F5">
        <w:rPr>
          <w:lang w:val="bs-Latn-BA"/>
        </w:rPr>
        <w:t xml:space="preserve"> 36 javnih zgrada. Finalna energija za grijanje ov</w:t>
      </w:r>
      <w:r w:rsidRPr="001972F5">
        <w:rPr>
          <w:lang w:val="bs-Latn-BA"/>
        </w:rPr>
        <w:t xml:space="preserve">ih </w:t>
      </w:r>
      <w:r w:rsidR="006F579C" w:rsidRPr="001972F5">
        <w:rPr>
          <w:lang w:val="bs-Latn-BA"/>
        </w:rPr>
        <w:t xml:space="preserve">zgrada iznosi 6.549.033 kWh/godišnje. Energijska </w:t>
      </w:r>
      <w:r w:rsidR="00E233A8" w:rsidRPr="001972F5">
        <w:rPr>
          <w:lang w:val="bs-Latn-BA"/>
        </w:rPr>
        <w:t xml:space="preserve">obnova </w:t>
      </w:r>
      <w:r w:rsidR="006F579C" w:rsidRPr="001972F5">
        <w:rPr>
          <w:lang w:val="bs-Latn-BA"/>
        </w:rPr>
        <w:t>ove kategorije će se realizirati  prema Operativn</w:t>
      </w:r>
      <w:r w:rsidRPr="001972F5">
        <w:rPr>
          <w:lang w:val="bs-Latn-BA"/>
        </w:rPr>
        <w:t>om</w:t>
      </w:r>
      <w:r w:rsidR="006F579C" w:rsidRPr="001972F5">
        <w:rPr>
          <w:lang w:val="bs-Latn-BA"/>
        </w:rPr>
        <w:t xml:space="preserve"> plan</w:t>
      </w:r>
      <w:r w:rsidRPr="001972F5">
        <w:rPr>
          <w:lang w:val="bs-Latn-BA"/>
        </w:rPr>
        <w:t>u</w:t>
      </w:r>
      <w:r w:rsidR="006F579C" w:rsidRPr="001972F5">
        <w:rPr>
          <w:lang w:val="bs-Latn-BA"/>
        </w:rPr>
        <w:t xml:space="preserve"> poboljšanja energijske efikasnosti</w:t>
      </w:r>
      <w:r w:rsidR="00BC3F7A" w:rsidRPr="001972F5">
        <w:rPr>
          <w:lang w:val="bs-Latn-BA"/>
        </w:rPr>
        <w:t xml:space="preserve"> u</w:t>
      </w:r>
      <w:r w:rsidR="006F579C" w:rsidRPr="001972F5">
        <w:rPr>
          <w:lang w:val="bs-Latn-BA"/>
        </w:rPr>
        <w:t xml:space="preserve"> institucija</w:t>
      </w:r>
      <w:r w:rsidR="00BC3F7A" w:rsidRPr="001972F5">
        <w:rPr>
          <w:lang w:val="bs-Latn-BA"/>
        </w:rPr>
        <w:t>ma</w:t>
      </w:r>
      <w:r w:rsidR="006F579C" w:rsidRPr="001972F5">
        <w:rPr>
          <w:lang w:val="bs-Latn-BA"/>
        </w:rPr>
        <w:t xml:space="preserve"> FBiH koji je usvojen 2021. godine.  Kvantifikovani cilj ovog plana je smanjenje potrošnje energije za 4.671.680 kWh godišnje i godišnje smanjenja emisija CO</w:t>
      </w:r>
      <w:r w:rsidR="006F579C" w:rsidRPr="001972F5">
        <w:rPr>
          <w:vertAlign w:val="subscript"/>
          <w:lang w:val="bs-Latn-BA"/>
        </w:rPr>
        <w:t>2</w:t>
      </w:r>
      <w:r w:rsidR="006F579C" w:rsidRPr="001972F5">
        <w:rPr>
          <w:lang w:val="bs-Latn-BA"/>
        </w:rPr>
        <w:t xml:space="preserve"> od 2.299 tona </w:t>
      </w:r>
      <w:r w:rsidR="006F579C" w:rsidRPr="001972F5">
        <w:rPr>
          <w:lang w:val="bs-Latn-BA"/>
        </w:rPr>
        <w:lastRenderedPageBreak/>
        <w:t xml:space="preserve">godišnje. Planirana je implementacija mjera energijske efikasnosti koje podrazumijevaju postavljanje termoizolacije na vanjske zidove, termoizolacije na stropove i krovove zgrada, zamjenu fasadne stolarije, mašinske mjere i mjere na rasvjeti. Navedeni ciljevi se trebaju realizirati kroz provođenje mjera na svih 36 zgrada, uz ukupnu vrijednost investicija od 6.129.133 KM, </w:t>
      </w:r>
      <w:r w:rsidR="007B690C" w:rsidRPr="001972F5">
        <w:rPr>
          <w:lang w:val="bs-Latn-BA"/>
        </w:rPr>
        <w:t>financ</w:t>
      </w:r>
      <w:r w:rsidR="006F579C" w:rsidRPr="001972F5">
        <w:rPr>
          <w:lang w:val="bs-Latn-BA"/>
        </w:rPr>
        <w:t xml:space="preserve">ijske uštede od 685.831 KM godišnje, i uz veoma povoljne </w:t>
      </w:r>
      <w:r w:rsidR="007B690C" w:rsidRPr="001972F5">
        <w:rPr>
          <w:lang w:val="bs-Latn-BA"/>
        </w:rPr>
        <w:t>financ</w:t>
      </w:r>
      <w:r w:rsidR="006F579C" w:rsidRPr="001972F5">
        <w:rPr>
          <w:lang w:val="bs-Latn-BA"/>
        </w:rPr>
        <w:t xml:space="preserve">ijske pokazatelje operativnog plana. </w:t>
      </w:r>
    </w:p>
    <w:p w14:paraId="1A0C5710" w14:textId="77777777" w:rsidR="00063F0F" w:rsidRPr="001972F5" w:rsidRDefault="00063F0F" w:rsidP="006F579C">
      <w:pPr>
        <w:spacing w:after="120" w:line="276" w:lineRule="auto"/>
        <w:rPr>
          <w:lang w:val="bs-Latn-BA"/>
        </w:rPr>
      </w:pPr>
    </w:p>
    <w:p w14:paraId="330BD23D" w14:textId="77777777" w:rsidR="006F579C" w:rsidRPr="008924E0" w:rsidRDefault="006F579C" w:rsidP="00206D52">
      <w:pPr>
        <w:pStyle w:val="Heading3"/>
        <w:numPr>
          <w:ilvl w:val="3"/>
          <w:numId w:val="33"/>
        </w:numPr>
        <w:ind w:left="1980" w:hanging="900"/>
      </w:pPr>
      <w:bookmarkStart w:id="122" w:name="_Toc134011767"/>
      <w:r w:rsidRPr="008924E0">
        <w:t>Energijska obnova javnih zgrada</w:t>
      </w:r>
      <w:bookmarkEnd w:id="122"/>
      <w:r w:rsidRPr="008924E0">
        <w:t xml:space="preserve"> </w:t>
      </w:r>
    </w:p>
    <w:p w14:paraId="678D38C9" w14:textId="3447B86F" w:rsidR="006F579C" w:rsidRPr="008924E0" w:rsidRDefault="006F579C" w:rsidP="006F579C">
      <w:pPr>
        <w:spacing w:after="120" w:line="276" w:lineRule="auto"/>
        <w:rPr>
          <w:color w:val="000000"/>
          <w:lang w:val="bs-Latn-BA"/>
        </w:rPr>
      </w:pPr>
      <w:r w:rsidRPr="008924E0">
        <w:rPr>
          <w:lang w:val="bs-Latn-BA"/>
        </w:rPr>
        <w:t>Fond javnih zgrada u FBiH je, prema podacima iz Tipologije javnih zgrada BiH, 2016. godine obuhvatao korisnu površinu 5.161.287 m</w:t>
      </w:r>
      <w:r w:rsidRPr="008924E0">
        <w:rPr>
          <w:vertAlign w:val="superscript"/>
          <w:lang w:val="bs-Latn-BA"/>
        </w:rPr>
        <w:t>2</w:t>
      </w:r>
      <w:r w:rsidRPr="008924E0">
        <w:rPr>
          <w:lang w:val="bs-Latn-BA"/>
        </w:rPr>
        <w:t xml:space="preserve">. Prema linearnom modelu rasta broja zgrada i korisne, grijane površine, </w:t>
      </w:r>
      <w:r w:rsidRPr="008924E0">
        <w:rPr>
          <w:color w:val="000000"/>
          <w:lang w:val="bs-Latn-BA"/>
        </w:rPr>
        <w:t>ukupan broj javnih zgrada u 2020. godini iznosio je 4.608, a korisna grijana površina 5.384.408 m</w:t>
      </w:r>
      <w:r w:rsidRPr="008924E0">
        <w:rPr>
          <w:color w:val="000000"/>
          <w:vertAlign w:val="superscript"/>
          <w:lang w:val="bs-Latn-BA"/>
        </w:rPr>
        <w:t>2</w:t>
      </w:r>
      <w:r w:rsidRPr="008924E0">
        <w:rPr>
          <w:color w:val="000000"/>
          <w:lang w:val="bs-Latn-BA"/>
        </w:rPr>
        <w:t>. Potrošnja energije za grijanje korištena za ovu analizu je preuzeta iz LEAP modela, za 2020. godinu</w:t>
      </w:r>
      <w:r w:rsidR="00884261">
        <w:rPr>
          <w:color w:val="000000"/>
          <w:lang w:val="bs-Latn-BA"/>
        </w:rPr>
        <w:t>.</w:t>
      </w:r>
      <w:r w:rsidRPr="008924E0">
        <w:rPr>
          <w:color w:val="000000"/>
          <w:lang w:val="bs-Latn-BA"/>
        </w:rPr>
        <w:t xml:space="preserve"> </w:t>
      </w:r>
    </w:p>
    <w:p w14:paraId="2FC873ED" w14:textId="27790A9F" w:rsidR="006F579C" w:rsidRPr="008924E0" w:rsidRDefault="006F579C" w:rsidP="006F579C">
      <w:pPr>
        <w:pBdr>
          <w:top w:val="nil"/>
          <w:left w:val="nil"/>
          <w:bottom w:val="nil"/>
          <w:right w:val="nil"/>
          <w:between w:val="nil"/>
        </w:pBdr>
        <w:spacing w:after="120" w:line="276" w:lineRule="auto"/>
        <w:rPr>
          <w:lang w:val="bs-Latn-BA"/>
        </w:rPr>
      </w:pPr>
      <w:r w:rsidRPr="008924E0">
        <w:rPr>
          <w:lang w:val="bs-Latn-BA"/>
        </w:rPr>
        <w:t xml:space="preserve">Prema podacima iz </w:t>
      </w:r>
      <w:r w:rsidRPr="008924E0">
        <w:rPr>
          <w:color w:val="000000"/>
          <w:lang w:val="bs-Latn-BA"/>
        </w:rPr>
        <w:t xml:space="preserve">Tipologije Javnih zgrada u BiH, faktor oblika pojedinih kategorija javnih zgrada varira od 0,85 za obdaništa pa do 0,35 za zgrade za cjelodnevni boravak, kako je navedeno u Tabeli </w:t>
      </w:r>
      <w:r w:rsidR="008551C6" w:rsidRPr="008924E0">
        <w:rPr>
          <w:color w:val="000000"/>
          <w:lang w:val="bs-Latn-BA"/>
        </w:rPr>
        <w:t>6</w:t>
      </w:r>
      <w:r w:rsidRPr="008924E0">
        <w:rPr>
          <w:color w:val="000000"/>
          <w:lang w:val="bs-Latn-BA"/>
        </w:rPr>
        <w:t>.</w:t>
      </w:r>
      <w:r w:rsidR="00D83414" w:rsidRPr="008924E0">
        <w:rPr>
          <w:color w:val="000000"/>
          <w:lang w:val="bs-Latn-BA"/>
        </w:rPr>
        <w:t>1</w:t>
      </w:r>
      <w:r w:rsidR="00D83414">
        <w:rPr>
          <w:color w:val="000000"/>
          <w:lang w:val="bs-Latn-BA"/>
        </w:rPr>
        <w:t>7</w:t>
      </w:r>
      <w:r w:rsidRPr="008924E0">
        <w:rPr>
          <w:color w:val="000000"/>
          <w:lang w:val="bs-Latn-BA"/>
        </w:rPr>
        <w:t>. Za navedene faktore oblika, klimatske podatke za klimatsku regiju Sjever, izračunate su dopuštene vrijednosti specifične potrebne energije za grijanje svake pojedine kategorije, a koja garan</w:t>
      </w:r>
      <w:r w:rsidR="004A48C8">
        <w:rPr>
          <w:color w:val="000000"/>
          <w:lang w:val="bs-Latn-BA"/>
        </w:rPr>
        <w:t>tira</w:t>
      </w:r>
      <w:r w:rsidRPr="008924E0">
        <w:rPr>
          <w:color w:val="000000"/>
          <w:lang w:val="bs-Latn-BA"/>
        </w:rPr>
        <w:t xml:space="preserve"> obezbjeđenje </w:t>
      </w:r>
      <w:r w:rsidR="00540A41">
        <w:rPr>
          <w:color w:val="000000"/>
          <w:lang w:val="bs-Latn-BA"/>
        </w:rPr>
        <w:t>uvjet</w:t>
      </w:r>
      <w:r w:rsidRPr="008924E0">
        <w:rPr>
          <w:color w:val="000000"/>
          <w:lang w:val="bs-Latn-BA"/>
        </w:rPr>
        <w:t xml:space="preserve">a propisanih </w:t>
      </w:r>
      <w:r w:rsidR="00563B99">
        <w:rPr>
          <w:color w:val="000000"/>
          <w:lang w:val="bs-Latn-BA"/>
        </w:rPr>
        <w:t>P</w:t>
      </w:r>
      <w:r w:rsidRPr="008924E0">
        <w:rPr>
          <w:color w:val="000000"/>
          <w:lang w:val="bs-Latn-BA"/>
        </w:rPr>
        <w:t>ravilnikom</w:t>
      </w:r>
      <w:r w:rsidR="007626FF" w:rsidRPr="008924E0">
        <w:rPr>
          <w:vertAlign w:val="superscript"/>
          <w:lang w:val="bs-Latn-BA"/>
        </w:rPr>
        <w:footnoteReference w:id="33"/>
      </w:r>
      <w:r w:rsidRPr="008924E0">
        <w:rPr>
          <w:color w:val="000000"/>
          <w:lang w:val="bs-Latn-BA"/>
        </w:rPr>
        <w:t xml:space="preserve">. Uz pretpostavku da su </w:t>
      </w:r>
      <w:r w:rsidR="00E233A8" w:rsidRPr="008924E0">
        <w:rPr>
          <w:color w:val="000000"/>
          <w:lang w:val="bs-Latn-BA"/>
        </w:rPr>
        <w:t>instali</w:t>
      </w:r>
      <w:r w:rsidR="00E233A8">
        <w:rPr>
          <w:color w:val="000000"/>
          <w:lang w:val="bs-Latn-BA"/>
        </w:rPr>
        <w:t xml:space="preserve">rani </w:t>
      </w:r>
      <w:r w:rsidRPr="008924E0">
        <w:rPr>
          <w:color w:val="000000"/>
          <w:lang w:val="bs-Latn-BA"/>
        </w:rPr>
        <w:t xml:space="preserve">visokoefikasni sistemi grijanja, izračunata je finalna energija za grijanje, kako je navedeno u Tabeli </w:t>
      </w:r>
      <w:r w:rsidR="008551C6" w:rsidRPr="008924E0">
        <w:rPr>
          <w:color w:val="000000"/>
          <w:lang w:val="bs-Latn-BA"/>
        </w:rPr>
        <w:t>6</w:t>
      </w:r>
      <w:r w:rsidRPr="008924E0">
        <w:rPr>
          <w:color w:val="000000"/>
          <w:lang w:val="bs-Latn-BA"/>
        </w:rPr>
        <w:t>.</w:t>
      </w:r>
      <w:r w:rsidR="00D83414" w:rsidRPr="008924E0">
        <w:rPr>
          <w:color w:val="000000"/>
          <w:lang w:val="bs-Latn-BA"/>
        </w:rPr>
        <w:t>1</w:t>
      </w:r>
      <w:r w:rsidR="00D83414">
        <w:rPr>
          <w:color w:val="000000"/>
          <w:lang w:val="bs-Latn-BA"/>
        </w:rPr>
        <w:t>7</w:t>
      </w:r>
      <w:r w:rsidRPr="008924E0">
        <w:rPr>
          <w:color w:val="000000"/>
          <w:lang w:val="bs-Latn-BA"/>
        </w:rPr>
        <w:t xml:space="preserve">. Ove vrijednosti su korištene za proračun najveće dopuštene vrijednosti finalne energije za grijanje nakon provedenih mjera energijske efikasnosti za period 2020.-2030. godine. Za zgrade </w:t>
      </w:r>
      <w:r w:rsidR="00E233A8">
        <w:rPr>
          <w:color w:val="000000"/>
          <w:lang w:val="bs-Latn-BA"/>
        </w:rPr>
        <w:t>obnovljene</w:t>
      </w:r>
      <w:r w:rsidR="00E233A8" w:rsidRPr="008924E0">
        <w:rPr>
          <w:color w:val="000000"/>
          <w:lang w:val="bs-Latn-BA"/>
        </w:rPr>
        <w:t xml:space="preserve"> </w:t>
      </w:r>
      <w:r w:rsidRPr="008924E0">
        <w:rPr>
          <w:color w:val="000000"/>
          <w:lang w:val="bs-Latn-BA"/>
        </w:rPr>
        <w:t xml:space="preserve">nakon tog perioda, uvedena je pretpostavka da </w:t>
      </w:r>
      <w:r w:rsidR="001A4CC4">
        <w:rPr>
          <w:color w:val="000000"/>
          <w:lang w:val="bs-Latn-BA"/>
        </w:rPr>
        <w:t xml:space="preserve">bi </w:t>
      </w:r>
      <w:r w:rsidRPr="008924E0">
        <w:rPr>
          <w:color w:val="000000"/>
          <w:lang w:val="bs-Latn-BA"/>
        </w:rPr>
        <w:t xml:space="preserve">zgrade </w:t>
      </w:r>
      <w:r w:rsidR="001A4CC4">
        <w:rPr>
          <w:color w:val="000000"/>
          <w:lang w:val="bs-Latn-BA"/>
        </w:rPr>
        <w:t xml:space="preserve">trebale biti </w:t>
      </w:r>
      <w:r w:rsidRPr="008924E0">
        <w:rPr>
          <w:color w:val="000000"/>
          <w:lang w:val="bs-Latn-BA"/>
        </w:rPr>
        <w:t xml:space="preserve">gotovo nulte energije, </w:t>
      </w:r>
      <w:r w:rsidR="001A4CC4">
        <w:rPr>
          <w:lang w:val="bs-Latn-BA"/>
        </w:rPr>
        <w:t>sa energijom potrebnom za funkcioniranje</w:t>
      </w:r>
      <w:r w:rsidRPr="008924E0">
        <w:rPr>
          <w:lang w:val="bs-Latn-BA"/>
        </w:rPr>
        <w:t xml:space="preserve"> </w:t>
      </w:r>
      <w:r w:rsidR="001A4CC4" w:rsidRPr="008924E0">
        <w:rPr>
          <w:lang w:val="bs-Latn-BA"/>
        </w:rPr>
        <w:t>dobijen</w:t>
      </w:r>
      <w:r w:rsidR="001A4CC4">
        <w:rPr>
          <w:lang w:val="bs-Latn-BA"/>
        </w:rPr>
        <w:t>om,</w:t>
      </w:r>
      <w:r w:rsidR="001A4CC4" w:rsidRPr="008924E0">
        <w:rPr>
          <w:lang w:val="bs-Latn-BA"/>
        </w:rPr>
        <w:t xml:space="preserve"> </w:t>
      </w:r>
      <w:r w:rsidRPr="008924E0">
        <w:rPr>
          <w:lang w:val="bs-Latn-BA"/>
        </w:rPr>
        <w:t xml:space="preserve">u velikoj mjeri iz obnovljivih izvora energije. Jednake pretpostavke su usvojene za novoizgrađene zgrade. Razmatrane mjere energijske </w:t>
      </w:r>
      <w:r w:rsidR="00E233A8">
        <w:rPr>
          <w:lang w:val="bs-Latn-BA"/>
        </w:rPr>
        <w:t>obnove</w:t>
      </w:r>
      <w:r w:rsidR="00E233A8" w:rsidRPr="008924E0">
        <w:rPr>
          <w:lang w:val="bs-Latn-BA"/>
        </w:rPr>
        <w:t xml:space="preserve"> </w:t>
      </w:r>
      <w:r w:rsidRPr="008924E0">
        <w:rPr>
          <w:lang w:val="bs-Latn-BA"/>
        </w:rPr>
        <w:t xml:space="preserve">obuhvataju setove mjera </w:t>
      </w:r>
      <w:r w:rsidR="006A5773">
        <w:rPr>
          <w:lang w:val="bs-Latn-BA"/>
        </w:rPr>
        <w:t>obnove</w:t>
      </w:r>
      <w:r w:rsidRPr="008924E0">
        <w:rPr>
          <w:lang w:val="bs-Latn-BA"/>
        </w:rPr>
        <w:t xml:space="preserve"> ovojnice zgrade i mjera kojima se značajno poboljšava efikasnost termotehničkog sistema.</w:t>
      </w:r>
    </w:p>
    <w:p w14:paraId="7F061E13" w14:textId="52C8A00A" w:rsidR="008551C6" w:rsidRPr="008924E0" w:rsidRDefault="006F579C" w:rsidP="008551C6">
      <w:pPr>
        <w:keepNext/>
        <w:spacing w:after="200" w:line="240" w:lineRule="auto"/>
        <w:jc w:val="left"/>
        <w:rPr>
          <w:lang w:val="bs-Latn-BA"/>
        </w:rPr>
      </w:pPr>
      <w:r w:rsidRPr="008924E0">
        <w:rPr>
          <w:i/>
          <w:lang w:val="bs-Latn-BA"/>
        </w:rPr>
        <w:t xml:space="preserve"> </w:t>
      </w:r>
      <w:bookmarkStart w:id="123" w:name="_Toc133499562"/>
      <w:r w:rsidR="008551C6" w:rsidRPr="008924E0">
        <w:rPr>
          <w:lang w:val="bs-Latn-BA"/>
        </w:rPr>
        <w:t xml:space="preserve">Tabela </w:t>
      </w:r>
      <w:r w:rsidR="004A246B">
        <w:rPr>
          <w:lang w:val="bs-Latn-BA"/>
        </w:rPr>
        <w:fldChar w:fldCharType="begin"/>
      </w:r>
      <w:r w:rsidR="004A246B">
        <w:rPr>
          <w:lang w:val="bs-Latn-BA"/>
        </w:rPr>
        <w:instrText xml:space="preserve"> STYLEREF 1 \s </w:instrText>
      </w:r>
      <w:r w:rsidR="004A246B">
        <w:rPr>
          <w:lang w:val="bs-Latn-BA"/>
        </w:rPr>
        <w:fldChar w:fldCharType="separate"/>
      </w:r>
      <w:r w:rsidR="004A246B">
        <w:rPr>
          <w:noProof/>
          <w:lang w:val="bs-Latn-BA"/>
        </w:rPr>
        <w:t>6</w:t>
      </w:r>
      <w:r w:rsidR="004A246B">
        <w:rPr>
          <w:lang w:val="bs-Latn-BA"/>
        </w:rPr>
        <w:fldChar w:fldCharType="end"/>
      </w:r>
      <w:r w:rsidR="004A246B">
        <w:rPr>
          <w:lang w:val="bs-Latn-BA"/>
        </w:rPr>
        <w:t>.</w:t>
      </w:r>
      <w:r w:rsidR="004A246B">
        <w:rPr>
          <w:lang w:val="bs-Latn-BA"/>
        </w:rPr>
        <w:fldChar w:fldCharType="begin"/>
      </w:r>
      <w:r w:rsidR="004A246B">
        <w:rPr>
          <w:lang w:val="bs-Latn-BA"/>
        </w:rPr>
        <w:instrText xml:space="preserve"> SEQ Tabela \* ARABIC \s 1 </w:instrText>
      </w:r>
      <w:r w:rsidR="004A246B">
        <w:rPr>
          <w:lang w:val="bs-Latn-BA"/>
        </w:rPr>
        <w:fldChar w:fldCharType="separate"/>
      </w:r>
      <w:r w:rsidR="004A246B">
        <w:rPr>
          <w:noProof/>
          <w:lang w:val="bs-Latn-BA"/>
        </w:rPr>
        <w:t>17</w:t>
      </w:r>
      <w:r w:rsidR="004A246B">
        <w:rPr>
          <w:lang w:val="bs-Latn-BA"/>
        </w:rPr>
        <w:fldChar w:fldCharType="end"/>
      </w:r>
      <w:r w:rsidR="008551C6" w:rsidRPr="008924E0">
        <w:rPr>
          <w:lang w:val="bs-Latn-BA"/>
        </w:rPr>
        <w:t xml:space="preserve"> </w:t>
      </w:r>
      <w:r w:rsidR="008551C6" w:rsidRPr="008924E0">
        <w:rPr>
          <w:i/>
          <w:lang w:val="bs-Latn-BA"/>
        </w:rPr>
        <w:t xml:space="preserve">Dozvoljena specifična  potrebna i finalna </w:t>
      </w:r>
      <w:r w:rsidR="00B17B41" w:rsidRPr="008924E0">
        <w:rPr>
          <w:i/>
          <w:lang w:val="bs-Latn-BA"/>
        </w:rPr>
        <w:t>energija</w:t>
      </w:r>
      <w:r w:rsidR="008551C6" w:rsidRPr="008924E0">
        <w:rPr>
          <w:i/>
          <w:lang w:val="bs-Latn-BA"/>
        </w:rPr>
        <w:t xml:space="preserve"> za grijanje tipičnih javnih zgrada u FBiH</w:t>
      </w:r>
      <w:r w:rsidR="00FD4D03">
        <w:rPr>
          <w:i/>
          <w:lang w:val="bs-Latn-BA"/>
        </w:rPr>
        <w:t xml:space="preserve"> pre</w:t>
      </w:r>
      <w:r w:rsidR="00E233A8">
        <w:rPr>
          <w:i/>
          <w:lang w:val="bs-Latn-BA"/>
        </w:rPr>
        <w:t>m</w:t>
      </w:r>
      <w:r w:rsidR="00FD4D03">
        <w:rPr>
          <w:i/>
          <w:lang w:val="bs-Latn-BA"/>
        </w:rPr>
        <w:t>a</w:t>
      </w:r>
      <w:r w:rsidR="00E233A8">
        <w:rPr>
          <w:i/>
          <w:lang w:val="bs-Latn-BA"/>
        </w:rPr>
        <w:t xml:space="preserve"> </w:t>
      </w:r>
      <w:r w:rsidR="00FD4D03">
        <w:rPr>
          <w:i/>
          <w:lang w:val="bs-Latn-BA"/>
        </w:rPr>
        <w:t>Pravilniku</w:t>
      </w:r>
      <w:r w:rsidR="009D6B1F" w:rsidRPr="008924E0">
        <w:rPr>
          <w:vertAlign w:val="superscript"/>
          <w:lang w:val="bs-Latn-BA"/>
        </w:rPr>
        <w:footnoteReference w:id="34"/>
      </w:r>
      <w:bookmarkEnd w:id="123"/>
    </w:p>
    <w:tbl>
      <w:tblPr>
        <w:tblW w:w="8956" w:type="dxa"/>
        <w:jc w:val="center"/>
        <w:tblBorders>
          <w:top w:val="nil"/>
          <w:left w:val="nil"/>
          <w:bottom w:val="nil"/>
          <w:right w:val="nil"/>
          <w:insideH w:val="nil"/>
          <w:insideV w:val="nil"/>
        </w:tblBorders>
        <w:tblLayout w:type="fixed"/>
        <w:tblLook w:val="0600" w:firstRow="0" w:lastRow="0" w:firstColumn="0" w:lastColumn="0" w:noHBand="1" w:noVBand="1"/>
      </w:tblPr>
      <w:tblGrid>
        <w:gridCol w:w="1985"/>
        <w:gridCol w:w="993"/>
        <w:gridCol w:w="1134"/>
        <w:gridCol w:w="735"/>
        <w:gridCol w:w="257"/>
        <w:gridCol w:w="850"/>
        <w:gridCol w:w="709"/>
        <w:gridCol w:w="1276"/>
        <w:gridCol w:w="1017"/>
      </w:tblGrid>
      <w:tr w:rsidR="006F579C" w:rsidRPr="008924E0" w14:paraId="4ADBC001" w14:textId="77777777" w:rsidTr="002350E2">
        <w:trPr>
          <w:trHeight w:val="482"/>
          <w:jc w:val="center"/>
        </w:trPr>
        <w:tc>
          <w:tcPr>
            <w:tcW w:w="1985" w:type="dxa"/>
            <w:tcBorders>
              <w:top w:val="single" w:sz="12" w:space="0" w:color="FFFFFF"/>
              <w:left w:val="single" w:sz="12" w:space="0" w:color="FFFFFF"/>
              <w:bottom w:val="single" w:sz="12" w:space="0" w:color="FFFFFF"/>
              <w:right w:val="single" w:sz="12" w:space="0" w:color="FFFFFF"/>
            </w:tcBorders>
            <w:shd w:val="clear" w:color="auto" w:fill="006432"/>
            <w:tcMar>
              <w:top w:w="100" w:type="dxa"/>
              <w:left w:w="100" w:type="dxa"/>
              <w:bottom w:w="100" w:type="dxa"/>
              <w:right w:w="100" w:type="dxa"/>
            </w:tcMar>
            <w:vAlign w:val="center"/>
          </w:tcPr>
          <w:p w14:paraId="41194ECB" w14:textId="77777777" w:rsidR="006F579C" w:rsidRPr="008924E0" w:rsidRDefault="006F579C" w:rsidP="006F579C">
            <w:pPr>
              <w:keepNext/>
              <w:jc w:val="center"/>
              <w:rPr>
                <w:b/>
                <w:color w:val="FFFFFF"/>
                <w:sz w:val="20"/>
                <w:szCs w:val="20"/>
                <w:lang w:val="bs-Latn-BA"/>
              </w:rPr>
            </w:pPr>
            <w:r w:rsidRPr="008924E0">
              <w:rPr>
                <w:b/>
                <w:color w:val="FFFFFF"/>
                <w:sz w:val="20"/>
                <w:szCs w:val="20"/>
                <w:lang w:val="bs-Latn-BA"/>
              </w:rPr>
              <w:t xml:space="preserve">Namjena </w:t>
            </w:r>
          </w:p>
        </w:tc>
        <w:tc>
          <w:tcPr>
            <w:tcW w:w="993"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02F08F00" w14:textId="77777777" w:rsidR="006F579C" w:rsidRPr="008924E0" w:rsidRDefault="006F579C" w:rsidP="006F579C">
            <w:pPr>
              <w:keepNext/>
              <w:jc w:val="center"/>
              <w:rPr>
                <w:b/>
                <w:color w:val="FFFFFF"/>
                <w:sz w:val="16"/>
                <w:szCs w:val="16"/>
                <w:lang w:val="bs-Latn-BA"/>
              </w:rPr>
            </w:pPr>
            <w:r w:rsidRPr="008924E0">
              <w:rPr>
                <w:b/>
                <w:color w:val="FFFFFF"/>
                <w:sz w:val="16"/>
                <w:szCs w:val="16"/>
                <w:lang w:val="bs-Latn-BA"/>
              </w:rPr>
              <w:t>Obdanište</w:t>
            </w:r>
          </w:p>
        </w:tc>
        <w:tc>
          <w:tcPr>
            <w:tcW w:w="1134"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61AAB0E4" w14:textId="77777777" w:rsidR="006F579C" w:rsidRPr="008924E0" w:rsidRDefault="006F579C" w:rsidP="006F579C">
            <w:pPr>
              <w:keepNext/>
              <w:jc w:val="center"/>
              <w:rPr>
                <w:b/>
                <w:color w:val="FFFFFF"/>
                <w:sz w:val="16"/>
                <w:szCs w:val="16"/>
                <w:lang w:val="bs-Latn-BA"/>
              </w:rPr>
            </w:pPr>
            <w:r w:rsidRPr="008924E0">
              <w:rPr>
                <w:b/>
                <w:color w:val="FFFFFF"/>
                <w:sz w:val="16"/>
                <w:szCs w:val="16"/>
                <w:lang w:val="bs-Latn-BA"/>
              </w:rPr>
              <w:t>Obrazovanje</w:t>
            </w:r>
          </w:p>
        </w:tc>
        <w:tc>
          <w:tcPr>
            <w:tcW w:w="992" w:type="dxa"/>
            <w:gridSpan w:val="2"/>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6C50F604" w14:textId="77777777" w:rsidR="006F579C" w:rsidRPr="008924E0" w:rsidRDefault="006F579C" w:rsidP="006F579C">
            <w:pPr>
              <w:keepNext/>
              <w:jc w:val="center"/>
              <w:rPr>
                <w:b/>
                <w:color w:val="FFFFFF"/>
                <w:sz w:val="16"/>
                <w:szCs w:val="16"/>
                <w:lang w:val="bs-Latn-BA"/>
              </w:rPr>
            </w:pPr>
            <w:r w:rsidRPr="008924E0">
              <w:rPr>
                <w:b/>
                <w:color w:val="FFFFFF"/>
                <w:sz w:val="16"/>
                <w:szCs w:val="16"/>
                <w:lang w:val="bs-Latn-BA"/>
              </w:rPr>
              <w:t>Zdravstvo</w:t>
            </w:r>
          </w:p>
        </w:tc>
        <w:tc>
          <w:tcPr>
            <w:tcW w:w="850"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78FAEA77" w14:textId="77777777" w:rsidR="006F579C" w:rsidRPr="008924E0" w:rsidRDefault="006F579C" w:rsidP="006F579C">
            <w:pPr>
              <w:keepNext/>
              <w:jc w:val="center"/>
              <w:rPr>
                <w:b/>
                <w:color w:val="FFFFFF"/>
                <w:sz w:val="16"/>
                <w:szCs w:val="16"/>
                <w:lang w:val="bs-Latn-BA"/>
              </w:rPr>
            </w:pPr>
            <w:r w:rsidRPr="008924E0">
              <w:rPr>
                <w:b/>
                <w:color w:val="FFFFFF"/>
                <w:sz w:val="16"/>
                <w:szCs w:val="16"/>
                <w:lang w:val="bs-Latn-BA"/>
              </w:rPr>
              <w:t>Sport</w:t>
            </w:r>
          </w:p>
        </w:tc>
        <w:tc>
          <w:tcPr>
            <w:tcW w:w="709"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4D01D08A" w14:textId="77777777" w:rsidR="006F579C" w:rsidRPr="008924E0" w:rsidRDefault="006F579C" w:rsidP="006F579C">
            <w:pPr>
              <w:keepNext/>
              <w:jc w:val="center"/>
              <w:rPr>
                <w:b/>
                <w:color w:val="FFFFFF"/>
                <w:sz w:val="16"/>
                <w:szCs w:val="16"/>
                <w:lang w:val="bs-Latn-BA"/>
              </w:rPr>
            </w:pPr>
            <w:r w:rsidRPr="008924E0">
              <w:rPr>
                <w:b/>
                <w:color w:val="FFFFFF"/>
                <w:sz w:val="16"/>
                <w:szCs w:val="16"/>
                <w:lang w:val="bs-Latn-BA"/>
              </w:rPr>
              <w:t>Kultura</w:t>
            </w:r>
          </w:p>
        </w:tc>
        <w:tc>
          <w:tcPr>
            <w:tcW w:w="1276"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59AA1AF8" w14:textId="77777777" w:rsidR="006F579C" w:rsidRPr="008924E0" w:rsidRDefault="006F579C" w:rsidP="006F579C">
            <w:pPr>
              <w:keepNext/>
              <w:jc w:val="center"/>
              <w:rPr>
                <w:b/>
                <w:color w:val="FFFFFF"/>
                <w:sz w:val="16"/>
                <w:szCs w:val="16"/>
                <w:lang w:val="bs-Latn-BA"/>
              </w:rPr>
            </w:pPr>
            <w:r w:rsidRPr="008924E0">
              <w:rPr>
                <w:b/>
                <w:color w:val="FFFFFF"/>
                <w:sz w:val="16"/>
                <w:szCs w:val="16"/>
                <w:lang w:val="bs-Latn-BA"/>
              </w:rPr>
              <w:t>Administrativni</w:t>
            </w:r>
          </w:p>
        </w:tc>
        <w:tc>
          <w:tcPr>
            <w:tcW w:w="1017"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6DD977F4" w14:textId="77777777" w:rsidR="006F579C" w:rsidRPr="008924E0" w:rsidRDefault="006F579C" w:rsidP="006F579C">
            <w:pPr>
              <w:keepNext/>
              <w:jc w:val="center"/>
              <w:rPr>
                <w:b/>
                <w:color w:val="FFFFFF"/>
                <w:sz w:val="16"/>
                <w:szCs w:val="16"/>
                <w:lang w:val="bs-Latn-BA"/>
              </w:rPr>
            </w:pPr>
            <w:r w:rsidRPr="008924E0">
              <w:rPr>
                <w:b/>
                <w:color w:val="FFFFFF"/>
                <w:sz w:val="16"/>
                <w:szCs w:val="16"/>
                <w:lang w:val="bs-Latn-BA"/>
              </w:rPr>
              <w:t>Cjelodnevni bor.</w:t>
            </w:r>
          </w:p>
        </w:tc>
      </w:tr>
      <w:tr w:rsidR="006F579C" w:rsidRPr="008924E0" w14:paraId="6F75CFFA" w14:textId="77777777" w:rsidTr="000B085B">
        <w:trPr>
          <w:trHeight w:val="175"/>
          <w:jc w:val="center"/>
        </w:trPr>
        <w:tc>
          <w:tcPr>
            <w:tcW w:w="1985"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6B61C3A6" w14:textId="77777777" w:rsidR="006F579C" w:rsidRPr="008924E0" w:rsidRDefault="006F579C" w:rsidP="006F579C">
            <w:pPr>
              <w:keepNext/>
              <w:spacing w:after="0" w:line="240" w:lineRule="auto"/>
              <w:jc w:val="right"/>
              <w:rPr>
                <w:rFonts w:eastAsia="Calibri"/>
                <w:b/>
                <w:sz w:val="20"/>
                <w:szCs w:val="20"/>
                <w:lang w:val="bs-Latn-BA"/>
              </w:rPr>
            </w:pPr>
            <w:r w:rsidRPr="008924E0">
              <w:rPr>
                <w:rFonts w:eastAsia="Calibri"/>
                <w:b/>
                <w:sz w:val="20"/>
                <w:szCs w:val="20"/>
                <w:lang w:val="bs-Latn-BA"/>
              </w:rPr>
              <w:t xml:space="preserve">Faktor oblika </w:t>
            </w:r>
          </w:p>
        </w:tc>
        <w:tc>
          <w:tcPr>
            <w:tcW w:w="993"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209B969E" w14:textId="77777777" w:rsidR="006F579C" w:rsidRPr="008924E0" w:rsidRDefault="006F579C" w:rsidP="006F579C">
            <w:pPr>
              <w:keepNext/>
              <w:spacing w:after="0" w:line="240" w:lineRule="auto"/>
              <w:jc w:val="right"/>
              <w:rPr>
                <w:sz w:val="20"/>
                <w:szCs w:val="20"/>
                <w:lang w:val="bs-Latn-BA"/>
              </w:rPr>
            </w:pPr>
            <w:r w:rsidRPr="008924E0">
              <w:rPr>
                <w:color w:val="000000"/>
                <w:sz w:val="20"/>
                <w:szCs w:val="20"/>
                <w:lang w:val="bs-Latn-BA"/>
              </w:rPr>
              <w:t>0,85</w:t>
            </w:r>
          </w:p>
        </w:tc>
        <w:tc>
          <w:tcPr>
            <w:tcW w:w="1134"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0BEDE0AD" w14:textId="77777777" w:rsidR="006F579C" w:rsidRPr="008924E0" w:rsidRDefault="006F579C" w:rsidP="006F579C">
            <w:pPr>
              <w:keepNext/>
              <w:spacing w:after="0" w:line="240" w:lineRule="auto"/>
              <w:jc w:val="right"/>
              <w:rPr>
                <w:sz w:val="20"/>
                <w:szCs w:val="20"/>
                <w:lang w:val="bs-Latn-BA"/>
              </w:rPr>
            </w:pPr>
            <w:r w:rsidRPr="008924E0">
              <w:rPr>
                <w:color w:val="000000"/>
                <w:sz w:val="20"/>
                <w:szCs w:val="20"/>
                <w:lang w:val="bs-Latn-BA"/>
              </w:rPr>
              <w:t>0,55</w:t>
            </w:r>
          </w:p>
        </w:tc>
        <w:tc>
          <w:tcPr>
            <w:tcW w:w="735"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3FD105F1" w14:textId="77777777" w:rsidR="006F579C" w:rsidRPr="008924E0" w:rsidRDefault="006F579C" w:rsidP="006F579C">
            <w:pPr>
              <w:keepNext/>
              <w:spacing w:after="0" w:line="240" w:lineRule="auto"/>
              <w:jc w:val="right"/>
              <w:rPr>
                <w:sz w:val="20"/>
                <w:szCs w:val="20"/>
                <w:lang w:val="bs-Latn-BA"/>
              </w:rPr>
            </w:pPr>
            <w:r w:rsidRPr="008924E0">
              <w:rPr>
                <w:color w:val="000000"/>
                <w:sz w:val="20"/>
                <w:szCs w:val="20"/>
                <w:lang w:val="bs-Latn-BA"/>
              </w:rPr>
              <w:t>0,55</w:t>
            </w:r>
          </w:p>
        </w:tc>
        <w:tc>
          <w:tcPr>
            <w:tcW w:w="1107" w:type="dxa"/>
            <w:gridSpan w:val="2"/>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50DDD820" w14:textId="77777777" w:rsidR="006F579C" w:rsidRPr="008924E0" w:rsidRDefault="006F579C" w:rsidP="006F579C">
            <w:pPr>
              <w:keepNext/>
              <w:spacing w:after="0" w:line="240" w:lineRule="auto"/>
              <w:jc w:val="right"/>
              <w:rPr>
                <w:sz w:val="20"/>
                <w:szCs w:val="20"/>
                <w:lang w:val="bs-Latn-BA"/>
              </w:rPr>
            </w:pPr>
            <w:r w:rsidRPr="008924E0">
              <w:rPr>
                <w:color w:val="000000"/>
                <w:sz w:val="20"/>
                <w:szCs w:val="20"/>
                <w:lang w:val="bs-Latn-BA"/>
              </w:rPr>
              <w:t>0,45</w:t>
            </w:r>
          </w:p>
        </w:tc>
        <w:tc>
          <w:tcPr>
            <w:tcW w:w="709"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69B91AD7" w14:textId="77777777" w:rsidR="006F579C" w:rsidRPr="008924E0" w:rsidRDefault="006F579C" w:rsidP="006F579C">
            <w:pPr>
              <w:keepNext/>
              <w:spacing w:after="0" w:line="240" w:lineRule="auto"/>
              <w:jc w:val="right"/>
              <w:rPr>
                <w:sz w:val="20"/>
                <w:szCs w:val="20"/>
                <w:lang w:val="bs-Latn-BA"/>
              </w:rPr>
            </w:pPr>
            <w:r w:rsidRPr="008924E0">
              <w:rPr>
                <w:color w:val="000000"/>
                <w:sz w:val="20"/>
                <w:szCs w:val="20"/>
                <w:lang w:val="bs-Latn-BA"/>
              </w:rPr>
              <w:t>0,48</w:t>
            </w:r>
          </w:p>
        </w:tc>
        <w:tc>
          <w:tcPr>
            <w:tcW w:w="1276"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7D47946D" w14:textId="77777777" w:rsidR="006F579C" w:rsidRPr="008924E0" w:rsidRDefault="006F579C" w:rsidP="006F579C">
            <w:pPr>
              <w:keepNext/>
              <w:spacing w:after="0" w:line="240" w:lineRule="auto"/>
              <w:jc w:val="right"/>
              <w:rPr>
                <w:sz w:val="20"/>
                <w:szCs w:val="20"/>
                <w:lang w:val="bs-Latn-BA"/>
              </w:rPr>
            </w:pPr>
            <w:r w:rsidRPr="008924E0">
              <w:rPr>
                <w:color w:val="000000"/>
                <w:sz w:val="20"/>
                <w:szCs w:val="20"/>
                <w:lang w:val="bs-Latn-BA"/>
              </w:rPr>
              <w:t>0,56</w:t>
            </w:r>
          </w:p>
        </w:tc>
        <w:tc>
          <w:tcPr>
            <w:tcW w:w="1017"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3E161022" w14:textId="77777777" w:rsidR="006F579C" w:rsidRPr="008924E0" w:rsidRDefault="006F579C" w:rsidP="006F579C">
            <w:pPr>
              <w:keepNext/>
              <w:spacing w:after="0" w:line="240" w:lineRule="auto"/>
              <w:jc w:val="right"/>
              <w:rPr>
                <w:sz w:val="20"/>
                <w:szCs w:val="20"/>
                <w:lang w:val="bs-Latn-BA"/>
              </w:rPr>
            </w:pPr>
            <w:r w:rsidRPr="008924E0">
              <w:rPr>
                <w:color w:val="000000"/>
                <w:sz w:val="20"/>
                <w:szCs w:val="20"/>
                <w:lang w:val="bs-Latn-BA"/>
              </w:rPr>
              <w:t>0,35</w:t>
            </w:r>
          </w:p>
        </w:tc>
      </w:tr>
      <w:tr w:rsidR="006F579C" w:rsidRPr="008924E0" w14:paraId="47E08FEC" w14:textId="77777777" w:rsidTr="000B085B">
        <w:trPr>
          <w:trHeight w:val="138"/>
          <w:jc w:val="center"/>
        </w:trPr>
        <w:tc>
          <w:tcPr>
            <w:tcW w:w="1985"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15B88BAE" w14:textId="77777777" w:rsidR="006F579C" w:rsidRPr="008924E0" w:rsidRDefault="006F579C" w:rsidP="006F579C">
            <w:pPr>
              <w:keepNext/>
              <w:spacing w:after="0" w:line="240" w:lineRule="auto"/>
              <w:jc w:val="right"/>
              <w:rPr>
                <w:rFonts w:eastAsia="Calibri"/>
                <w:b/>
                <w:sz w:val="20"/>
                <w:szCs w:val="20"/>
                <w:lang w:val="bs-Latn-BA"/>
              </w:rPr>
            </w:pPr>
            <w:r w:rsidRPr="008924E0">
              <w:rPr>
                <w:rFonts w:eastAsia="Calibri"/>
                <w:b/>
                <w:sz w:val="20"/>
                <w:szCs w:val="20"/>
                <w:lang w:val="bs-Latn-BA"/>
              </w:rPr>
              <w:t>Potrebna  energija za grijanje, kWh/m</w:t>
            </w:r>
            <w:r w:rsidRPr="008924E0">
              <w:rPr>
                <w:rFonts w:eastAsia="Calibri"/>
                <w:b/>
                <w:sz w:val="20"/>
                <w:szCs w:val="20"/>
                <w:vertAlign w:val="superscript"/>
                <w:lang w:val="bs-Latn-BA"/>
              </w:rPr>
              <w:t>2</w:t>
            </w:r>
            <w:r w:rsidRPr="008924E0">
              <w:rPr>
                <w:rFonts w:eastAsia="Calibri"/>
                <w:b/>
                <w:sz w:val="20"/>
                <w:szCs w:val="20"/>
                <w:lang w:val="bs-Latn-BA"/>
              </w:rPr>
              <w:t xml:space="preserve">god </w:t>
            </w:r>
          </w:p>
        </w:tc>
        <w:tc>
          <w:tcPr>
            <w:tcW w:w="993"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63D34E60"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80,0</w:t>
            </w:r>
          </w:p>
        </w:tc>
        <w:tc>
          <w:tcPr>
            <w:tcW w:w="1134"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3C72B39C"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39,9</w:t>
            </w:r>
          </w:p>
        </w:tc>
        <w:tc>
          <w:tcPr>
            <w:tcW w:w="735"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17612F62"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59,4</w:t>
            </w:r>
          </w:p>
        </w:tc>
        <w:tc>
          <w:tcPr>
            <w:tcW w:w="1107" w:type="dxa"/>
            <w:gridSpan w:val="2"/>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06636F90"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140,9</w:t>
            </w:r>
          </w:p>
        </w:tc>
        <w:tc>
          <w:tcPr>
            <w:tcW w:w="709"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2FBB9A31"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62,5</w:t>
            </w:r>
          </w:p>
        </w:tc>
        <w:tc>
          <w:tcPr>
            <w:tcW w:w="1276"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4B170A17"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48,7</w:t>
            </w:r>
          </w:p>
        </w:tc>
        <w:tc>
          <w:tcPr>
            <w:tcW w:w="1017"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4DEAE859"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54,3</w:t>
            </w:r>
          </w:p>
        </w:tc>
      </w:tr>
      <w:tr w:rsidR="006F579C" w:rsidRPr="008924E0" w14:paraId="0C2634BD" w14:textId="77777777" w:rsidTr="000B085B">
        <w:trPr>
          <w:trHeight w:val="237"/>
          <w:jc w:val="center"/>
        </w:trPr>
        <w:tc>
          <w:tcPr>
            <w:tcW w:w="1985"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0CFE38AA" w14:textId="77777777" w:rsidR="006F579C" w:rsidRPr="008924E0" w:rsidRDefault="006F579C" w:rsidP="006F579C">
            <w:pPr>
              <w:keepNext/>
              <w:spacing w:after="0" w:line="240" w:lineRule="auto"/>
              <w:jc w:val="right"/>
              <w:rPr>
                <w:rFonts w:eastAsia="Calibri"/>
                <w:b/>
                <w:sz w:val="20"/>
                <w:szCs w:val="20"/>
                <w:lang w:val="bs-Latn-BA"/>
              </w:rPr>
            </w:pPr>
            <w:r w:rsidRPr="008924E0">
              <w:rPr>
                <w:rFonts w:eastAsia="Calibri"/>
                <w:b/>
                <w:sz w:val="20"/>
                <w:szCs w:val="20"/>
                <w:lang w:val="bs-Latn-BA"/>
              </w:rPr>
              <w:t>Finalna energija za grijanje, kWh/m</w:t>
            </w:r>
            <w:r w:rsidRPr="008924E0">
              <w:rPr>
                <w:rFonts w:eastAsia="Calibri"/>
                <w:b/>
                <w:sz w:val="20"/>
                <w:szCs w:val="20"/>
                <w:vertAlign w:val="superscript"/>
                <w:lang w:val="bs-Latn-BA"/>
              </w:rPr>
              <w:t>2</w:t>
            </w:r>
            <w:r w:rsidRPr="008924E0">
              <w:rPr>
                <w:rFonts w:eastAsia="Calibri"/>
                <w:b/>
                <w:sz w:val="20"/>
                <w:szCs w:val="20"/>
                <w:lang w:val="bs-Latn-BA"/>
              </w:rPr>
              <w:t>god.</w:t>
            </w:r>
          </w:p>
        </w:tc>
        <w:tc>
          <w:tcPr>
            <w:tcW w:w="993"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0FD082C4"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88,9</w:t>
            </w:r>
          </w:p>
        </w:tc>
        <w:tc>
          <w:tcPr>
            <w:tcW w:w="1134"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4D3544BC"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44,3</w:t>
            </w:r>
          </w:p>
        </w:tc>
        <w:tc>
          <w:tcPr>
            <w:tcW w:w="735"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0F9ACE98"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66,0</w:t>
            </w:r>
          </w:p>
        </w:tc>
        <w:tc>
          <w:tcPr>
            <w:tcW w:w="1107" w:type="dxa"/>
            <w:gridSpan w:val="2"/>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40F45F15"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156,6</w:t>
            </w:r>
          </w:p>
        </w:tc>
        <w:tc>
          <w:tcPr>
            <w:tcW w:w="709"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79F07581"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69,5</w:t>
            </w:r>
          </w:p>
        </w:tc>
        <w:tc>
          <w:tcPr>
            <w:tcW w:w="1276"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18D8BDA4"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54,2</w:t>
            </w:r>
          </w:p>
        </w:tc>
        <w:tc>
          <w:tcPr>
            <w:tcW w:w="1017" w:type="dxa"/>
            <w:tcBorders>
              <w:top w:val="nil"/>
              <w:left w:val="nil"/>
              <w:bottom w:val="single" w:sz="12" w:space="0" w:color="FFFFFF"/>
              <w:right w:val="single" w:sz="12" w:space="0" w:color="FFFFFF"/>
            </w:tcBorders>
            <w:shd w:val="clear" w:color="auto" w:fill="F2F2F2"/>
            <w:tcMar>
              <w:top w:w="100" w:type="dxa"/>
              <w:left w:w="100" w:type="dxa"/>
              <w:bottom w:w="100" w:type="dxa"/>
              <w:right w:w="100" w:type="dxa"/>
            </w:tcMar>
            <w:vAlign w:val="center"/>
          </w:tcPr>
          <w:p w14:paraId="4DF00615" w14:textId="77777777" w:rsidR="006F579C" w:rsidRPr="008924E0" w:rsidRDefault="006F579C" w:rsidP="006F579C">
            <w:pPr>
              <w:keepNext/>
              <w:spacing w:after="0" w:line="240" w:lineRule="auto"/>
              <w:jc w:val="right"/>
              <w:rPr>
                <w:color w:val="000000"/>
                <w:sz w:val="20"/>
                <w:szCs w:val="20"/>
                <w:lang w:val="bs-Latn-BA"/>
              </w:rPr>
            </w:pPr>
            <w:r w:rsidRPr="008924E0">
              <w:rPr>
                <w:color w:val="000000"/>
                <w:sz w:val="20"/>
                <w:szCs w:val="20"/>
                <w:lang w:val="bs-Latn-BA"/>
              </w:rPr>
              <w:t>60,3</w:t>
            </w:r>
          </w:p>
        </w:tc>
      </w:tr>
    </w:tbl>
    <w:p w14:paraId="30C1F9B9" w14:textId="77777777" w:rsidR="006F579C" w:rsidRPr="008924E0" w:rsidRDefault="006F579C" w:rsidP="006F579C">
      <w:pPr>
        <w:rPr>
          <w:color w:val="000000"/>
          <w:lang w:val="bs-Latn-BA"/>
        </w:rPr>
      </w:pPr>
    </w:p>
    <w:p w14:paraId="41784454" w14:textId="77777777" w:rsidR="00F73614" w:rsidRDefault="00067DAD" w:rsidP="00067DAD">
      <w:pPr>
        <w:shd w:val="clear" w:color="auto" w:fill="FFFFFF"/>
        <w:spacing w:after="120" w:line="276" w:lineRule="auto"/>
        <w:rPr>
          <w:lang w:val="bs-Latn-BA"/>
        </w:rPr>
      </w:pPr>
      <w:r w:rsidRPr="008924E0">
        <w:rPr>
          <w:lang w:val="bs-Latn-BA"/>
        </w:rPr>
        <w:lastRenderedPageBreak/>
        <w:t>Razmatran</w:t>
      </w:r>
      <w:r>
        <w:rPr>
          <w:lang w:val="bs-Latn-BA"/>
        </w:rPr>
        <w:t>i</w:t>
      </w:r>
      <w:r w:rsidRPr="008924E0">
        <w:rPr>
          <w:lang w:val="bs-Latn-BA"/>
        </w:rPr>
        <w:t xml:space="preserve"> scenarij </w:t>
      </w:r>
      <w:r>
        <w:rPr>
          <w:lang w:val="bs-Latn-BA"/>
        </w:rPr>
        <w:t>obnove</w:t>
      </w:r>
      <w:r w:rsidRPr="008924E0">
        <w:rPr>
          <w:lang w:val="bs-Latn-BA"/>
        </w:rPr>
        <w:t xml:space="preserve"> </w:t>
      </w:r>
      <w:r>
        <w:rPr>
          <w:lang w:val="bs-Latn-BA"/>
        </w:rPr>
        <w:t>se odnosi na planiranu godišnju obnovu 2</w:t>
      </w:r>
      <w:r w:rsidRPr="008924E0">
        <w:rPr>
          <w:lang w:val="bs-Latn-BA"/>
        </w:rPr>
        <w:t xml:space="preserve">,5 % korisne grijane površine </w:t>
      </w:r>
      <w:r>
        <w:rPr>
          <w:lang w:val="bs-Latn-BA"/>
        </w:rPr>
        <w:t>javnih zgrada</w:t>
      </w:r>
      <w:r w:rsidRPr="008924E0">
        <w:rPr>
          <w:lang w:val="bs-Latn-BA"/>
        </w:rPr>
        <w:t xml:space="preserve">. </w:t>
      </w:r>
      <w:r w:rsidR="006F579C" w:rsidRPr="008924E0">
        <w:rPr>
          <w:lang w:val="bs-Latn-BA"/>
        </w:rPr>
        <w:t xml:space="preserve">Izračunate uštede energije su prikazane na Slici </w:t>
      </w:r>
      <w:r w:rsidR="008551C6" w:rsidRPr="008924E0">
        <w:rPr>
          <w:lang w:val="bs-Latn-BA"/>
        </w:rPr>
        <w:t>6</w:t>
      </w:r>
      <w:r w:rsidR="006F579C" w:rsidRPr="008924E0">
        <w:rPr>
          <w:lang w:val="bs-Latn-BA"/>
        </w:rPr>
        <w:t>.5</w:t>
      </w:r>
      <w:r w:rsidR="00791F8F">
        <w:rPr>
          <w:lang w:val="bs-Latn-BA"/>
        </w:rPr>
        <w:t xml:space="preserve">. </w:t>
      </w:r>
    </w:p>
    <w:p w14:paraId="1C95F77D" w14:textId="1333B375" w:rsidR="006F579C" w:rsidRPr="008924E0" w:rsidRDefault="00F73614" w:rsidP="00067DAD">
      <w:pPr>
        <w:shd w:val="clear" w:color="auto" w:fill="FFFFFF"/>
        <w:spacing w:after="120" w:line="276" w:lineRule="auto"/>
        <w:rPr>
          <w:lang w:val="bs-Latn-BA"/>
        </w:rPr>
      </w:pPr>
      <w:r>
        <w:rPr>
          <w:noProof/>
        </w:rPr>
        <w:drawing>
          <wp:inline distT="0" distB="0" distL="0" distR="0" wp14:anchorId="7021BB91" wp14:editId="6536D39A">
            <wp:extent cx="5943600" cy="2242185"/>
            <wp:effectExtent l="0" t="0" r="0" b="5715"/>
            <wp:docPr id="1164" name="Chart 1164">
              <a:extLst xmlns:a="http://schemas.openxmlformats.org/drawingml/2006/main">
                <a:ext uri="{FF2B5EF4-FFF2-40B4-BE49-F238E27FC236}">
                  <a16:creationId xmlns:a16="http://schemas.microsoft.com/office/drawing/2014/main" id="{66BE1A9E-E29D-4D6A-ACA4-B826A97503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26A1BC17" w14:textId="775BB88C" w:rsidR="008551C6" w:rsidRPr="008924E0" w:rsidRDefault="008551C6" w:rsidP="008551C6">
      <w:pPr>
        <w:pBdr>
          <w:top w:val="nil"/>
          <w:left w:val="nil"/>
          <w:bottom w:val="nil"/>
          <w:right w:val="nil"/>
          <w:between w:val="nil"/>
        </w:pBdr>
        <w:spacing w:after="200" w:line="240" w:lineRule="auto"/>
        <w:jc w:val="center"/>
        <w:rPr>
          <w:rFonts w:eastAsia="Calibri"/>
          <w:i/>
          <w:color w:val="000000"/>
          <w:lang w:val="bs-Latn-BA"/>
        </w:rPr>
      </w:pPr>
      <w:bookmarkStart w:id="124" w:name="_Toc133499372"/>
      <w:r w:rsidRPr="00331355">
        <w:rPr>
          <w:i/>
          <w:iCs/>
          <w:szCs w:val="18"/>
          <w:lang w:val="bs-Latn-BA"/>
        </w:rPr>
        <w:t xml:space="preserve">Slika </w:t>
      </w:r>
      <w:r w:rsidR="00B82F4B" w:rsidRPr="00331355">
        <w:rPr>
          <w:i/>
          <w:iCs/>
          <w:szCs w:val="18"/>
          <w:lang w:val="bs-Latn-BA"/>
        </w:rPr>
        <w:fldChar w:fldCharType="begin"/>
      </w:r>
      <w:r w:rsidR="00B82F4B" w:rsidRPr="00331355">
        <w:rPr>
          <w:i/>
          <w:iCs/>
          <w:szCs w:val="18"/>
          <w:lang w:val="bs-Latn-BA"/>
        </w:rPr>
        <w:instrText xml:space="preserve"> STYLEREF 1 \s </w:instrText>
      </w:r>
      <w:r w:rsidR="00B82F4B" w:rsidRPr="00331355">
        <w:rPr>
          <w:i/>
          <w:iCs/>
          <w:szCs w:val="18"/>
          <w:lang w:val="bs-Latn-BA"/>
        </w:rPr>
        <w:fldChar w:fldCharType="separate"/>
      </w:r>
      <w:r w:rsidR="00695AEF">
        <w:rPr>
          <w:i/>
          <w:iCs/>
          <w:noProof/>
          <w:szCs w:val="18"/>
          <w:lang w:val="bs-Latn-BA"/>
        </w:rPr>
        <w:t>6</w:t>
      </w:r>
      <w:r w:rsidR="00B82F4B" w:rsidRPr="00331355">
        <w:rPr>
          <w:i/>
          <w:iCs/>
          <w:szCs w:val="18"/>
          <w:lang w:val="bs-Latn-BA"/>
        </w:rPr>
        <w:fldChar w:fldCharType="end"/>
      </w:r>
      <w:r w:rsidR="00B82F4B" w:rsidRPr="00331355">
        <w:rPr>
          <w:i/>
          <w:iCs/>
          <w:szCs w:val="18"/>
          <w:lang w:val="bs-Latn-BA"/>
        </w:rPr>
        <w:t>.</w:t>
      </w:r>
      <w:r w:rsidR="00B82F4B" w:rsidRPr="00331355">
        <w:rPr>
          <w:i/>
          <w:iCs/>
          <w:szCs w:val="18"/>
          <w:lang w:val="bs-Latn-BA"/>
        </w:rPr>
        <w:fldChar w:fldCharType="begin"/>
      </w:r>
      <w:r w:rsidR="00B82F4B" w:rsidRPr="00331355">
        <w:rPr>
          <w:i/>
          <w:iCs/>
          <w:szCs w:val="18"/>
          <w:lang w:val="bs-Latn-BA"/>
        </w:rPr>
        <w:instrText xml:space="preserve"> SEQ Slika \* ARABIC \s 1 </w:instrText>
      </w:r>
      <w:r w:rsidR="00B82F4B" w:rsidRPr="00331355">
        <w:rPr>
          <w:i/>
          <w:iCs/>
          <w:szCs w:val="18"/>
          <w:lang w:val="bs-Latn-BA"/>
        </w:rPr>
        <w:fldChar w:fldCharType="separate"/>
      </w:r>
      <w:r w:rsidR="00695AEF">
        <w:rPr>
          <w:i/>
          <w:iCs/>
          <w:noProof/>
          <w:szCs w:val="18"/>
          <w:lang w:val="bs-Latn-BA"/>
        </w:rPr>
        <w:t>5</w:t>
      </w:r>
      <w:r w:rsidR="00B82F4B" w:rsidRPr="00331355">
        <w:rPr>
          <w:i/>
          <w:iCs/>
          <w:szCs w:val="18"/>
          <w:lang w:val="bs-Latn-BA"/>
        </w:rPr>
        <w:fldChar w:fldCharType="end"/>
      </w:r>
      <w:r w:rsidRPr="00331355">
        <w:rPr>
          <w:i/>
          <w:iCs/>
          <w:szCs w:val="18"/>
          <w:lang w:val="bs-Latn-BA"/>
        </w:rPr>
        <w:t xml:space="preserve"> Predviđanje potrošnje energije javnih zgrada </w:t>
      </w:r>
      <w:r w:rsidR="00791F8F" w:rsidRPr="00331355">
        <w:rPr>
          <w:i/>
          <w:iCs/>
          <w:szCs w:val="18"/>
          <w:lang w:val="bs-Latn-BA"/>
        </w:rPr>
        <w:t xml:space="preserve">za razmatrani scenarij obnove </w:t>
      </w:r>
      <w:r w:rsidRPr="00331355">
        <w:rPr>
          <w:i/>
          <w:iCs/>
          <w:szCs w:val="18"/>
          <w:lang w:val="bs-Latn-BA"/>
        </w:rPr>
        <w:t>u FBiH do 2050. godine</w:t>
      </w:r>
      <w:bookmarkEnd w:id="124"/>
    </w:p>
    <w:p w14:paraId="15BC5076" w14:textId="4A7509CE" w:rsidR="006F579C" w:rsidRPr="008924E0" w:rsidRDefault="006F579C" w:rsidP="006F579C">
      <w:pPr>
        <w:rPr>
          <w:lang w:val="bs-Latn-BA"/>
        </w:rPr>
      </w:pPr>
      <w:r w:rsidRPr="008924E0">
        <w:rPr>
          <w:lang w:val="bs-Latn-BA"/>
        </w:rPr>
        <w:t xml:space="preserve">Prema modelima rasta broja i površine zgrada, broj javnih zgrada u periodu 2020.-2050. će se povećati za 1.024 (linearni model). Za procjenu potrošnje energije novoizgrađenih zgrada usvojena je pretpostavka da će njihove </w:t>
      </w:r>
      <w:r w:rsidR="00010793">
        <w:rPr>
          <w:lang w:val="bs-Latn-BA"/>
        </w:rPr>
        <w:t>energij</w:t>
      </w:r>
      <w:r w:rsidRPr="008924E0">
        <w:rPr>
          <w:lang w:val="bs-Latn-BA"/>
        </w:rPr>
        <w:t xml:space="preserve">ske karakteristike biti visokoefikasne, a nakon 2030. godine zgrade </w:t>
      </w:r>
      <w:r w:rsidR="001A4CC4">
        <w:rPr>
          <w:lang w:val="bs-Latn-BA"/>
        </w:rPr>
        <w:t xml:space="preserve">bi trebale biti </w:t>
      </w:r>
      <w:r w:rsidRPr="008924E0">
        <w:rPr>
          <w:lang w:val="bs-Latn-BA"/>
        </w:rPr>
        <w:t xml:space="preserve">gotovo nulte energije. Za svaki scenarij </w:t>
      </w:r>
      <w:r w:rsidR="00E233A8">
        <w:rPr>
          <w:lang w:val="bs-Latn-BA"/>
        </w:rPr>
        <w:t>obnove</w:t>
      </w:r>
      <w:r w:rsidR="00E233A8" w:rsidRPr="008924E0">
        <w:rPr>
          <w:lang w:val="bs-Latn-BA"/>
        </w:rPr>
        <w:t xml:space="preserve"> </w:t>
      </w:r>
      <w:r w:rsidRPr="008924E0">
        <w:rPr>
          <w:lang w:val="bs-Latn-BA"/>
        </w:rPr>
        <w:t>je izračunata potrošnja energije stambenog fonda koja uobziruje potrošnju energije novoizgrađenih zgrada za period 2020.-2050. godina. Takođe</w:t>
      </w:r>
      <w:r w:rsidR="00B17B41">
        <w:rPr>
          <w:lang w:val="bs-Latn-BA"/>
        </w:rPr>
        <w:t>r</w:t>
      </w:r>
      <w:r w:rsidRPr="008924E0">
        <w:rPr>
          <w:lang w:val="bs-Latn-BA"/>
        </w:rPr>
        <w:t>, usvojena je pretpostavka da će se energijske karakteristike postojećeg fonda javnih zgrada postepeno pogoršavati, kao rezultat promjene svojstava ugrađenih materijala, te će potrošnja postojećeg stambenog fonda rasti za po 0,1</w:t>
      </w:r>
      <w:r w:rsidR="00A522F2">
        <w:rPr>
          <w:lang w:val="bs-Latn-BA"/>
        </w:rPr>
        <w:t>0</w:t>
      </w:r>
      <w:r w:rsidRPr="008924E0">
        <w:rPr>
          <w:lang w:val="bs-Latn-BA"/>
        </w:rPr>
        <w:t xml:space="preserve"> % svake godine. </w:t>
      </w:r>
    </w:p>
    <w:p w14:paraId="74678705" w14:textId="78EF5DCB" w:rsidR="006F579C" w:rsidRDefault="006F579C" w:rsidP="006F579C">
      <w:pPr>
        <w:rPr>
          <w:color w:val="000000"/>
          <w:lang w:val="bs-Latn-BA"/>
        </w:rPr>
      </w:pPr>
      <w:r w:rsidRPr="008924E0">
        <w:rPr>
          <w:lang w:val="bs-Latn-BA"/>
        </w:rPr>
        <w:t xml:space="preserve">Na Slici </w:t>
      </w:r>
      <w:r w:rsidR="00B82F4B" w:rsidRPr="008924E0">
        <w:rPr>
          <w:lang w:val="bs-Latn-BA"/>
        </w:rPr>
        <w:t>6</w:t>
      </w:r>
      <w:r w:rsidRPr="008924E0">
        <w:rPr>
          <w:lang w:val="bs-Latn-BA"/>
        </w:rPr>
        <w:t xml:space="preserve">.6. je predstavljena procjena potrošnje fonda javnih zgrada za godišnju </w:t>
      </w:r>
      <w:r w:rsidR="0076511D">
        <w:rPr>
          <w:lang w:val="bs-Latn-BA"/>
        </w:rPr>
        <w:t>obnovu</w:t>
      </w:r>
      <w:r w:rsidR="0076511D" w:rsidRPr="008924E0">
        <w:rPr>
          <w:lang w:val="bs-Latn-BA"/>
        </w:rPr>
        <w:t xml:space="preserve"> </w:t>
      </w:r>
      <w:r w:rsidRPr="008924E0">
        <w:rPr>
          <w:lang w:val="bs-Latn-BA"/>
        </w:rPr>
        <w:t>2,5 % korisne grijane površine postojećeg stambenog fonda (označeno zelenom linijom), potrošnjom postojećeg fonda zgrada i novoizgrađenih zgrada (označeno plavom linijom) te rezultujućom potrošnjom fonda javnih zgrada (crvena linija). Vidi se da ukupna potrošnja bilježi trend smanjenja u poređenju sa baznom potrošnjom</w:t>
      </w:r>
      <w:r w:rsidR="00791F8F">
        <w:rPr>
          <w:lang w:val="bs-Latn-BA"/>
        </w:rPr>
        <w:t>.</w:t>
      </w:r>
      <w:r w:rsidRPr="008924E0">
        <w:rPr>
          <w:color w:val="000000"/>
          <w:lang w:val="bs-Latn-BA"/>
        </w:rPr>
        <w:t xml:space="preserve"> </w:t>
      </w:r>
    </w:p>
    <w:p w14:paraId="23584E8E" w14:textId="77777777" w:rsidR="004A246B" w:rsidRDefault="004A246B" w:rsidP="006F579C">
      <w:pPr>
        <w:rPr>
          <w:color w:val="000000"/>
          <w:lang w:val="bs-Latn-BA"/>
        </w:rPr>
      </w:pPr>
    </w:p>
    <w:p w14:paraId="115ADFC9" w14:textId="7B1D64E8" w:rsidR="004A246B" w:rsidRDefault="004A246B" w:rsidP="006F579C">
      <w:pPr>
        <w:rPr>
          <w:color w:val="000000"/>
          <w:lang w:val="bs-Latn-BA"/>
        </w:rPr>
      </w:pPr>
      <w:r>
        <w:rPr>
          <w:noProof/>
        </w:rPr>
        <w:lastRenderedPageBreak/>
        <w:drawing>
          <wp:inline distT="0" distB="0" distL="0" distR="0" wp14:anchorId="31B503A8" wp14:editId="39C07F86">
            <wp:extent cx="5943600" cy="2222500"/>
            <wp:effectExtent l="0" t="0" r="0" b="6350"/>
            <wp:docPr id="1165" name="Chart 1165">
              <a:extLst xmlns:a="http://schemas.openxmlformats.org/drawingml/2006/main">
                <a:ext uri="{FF2B5EF4-FFF2-40B4-BE49-F238E27FC236}">
                  <a16:creationId xmlns:a16="http://schemas.microsoft.com/office/drawing/2014/main" id="{0BF32368-31D7-4F1E-8E99-203A7DA46EE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2B3C7F2" w14:textId="711BD8BA" w:rsidR="006F579C" w:rsidRPr="008924E0" w:rsidRDefault="00B82F4B" w:rsidP="00B82F4B">
      <w:pPr>
        <w:pStyle w:val="Caption"/>
        <w:jc w:val="center"/>
        <w:rPr>
          <w:rFonts w:eastAsia="Calibri"/>
          <w:color w:val="000000"/>
        </w:rPr>
      </w:pPr>
      <w:bookmarkStart w:id="125" w:name="_Toc133499373"/>
      <w:r w:rsidRPr="008924E0">
        <w:t xml:space="preserve">Slika </w:t>
      </w:r>
      <w:r w:rsidR="00000000">
        <w:fldChar w:fldCharType="begin"/>
      </w:r>
      <w:r w:rsidR="00000000">
        <w:instrText xml:space="preserve"> STYLEREF 1 \s </w:instrText>
      </w:r>
      <w:r w:rsidR="00000000">
        <w:fldChar w:fldCharType="separate"/>
      </w:r>
      <w:r w:rsidR="00695AEF">
        <w:rPr>
          <w:noProof/>
        </w:rPr>
        <w:t>6</w:t>
      </w:r>
      <w:r w:rsidR="00000000">
        <w:rPr>
          <w:noProof/>
        </w:rPr>
        <w:fldChar w:fldCharType="end"/>
      </w:r>
      <w:r w:rsidRPr="008924E0">
        <w:t>.</w:t>
      </w:r>
      <w:fldSimple w:instr=" SEQ Slika \* ARABIC \s 1 ">
        <w:r w:rsidR="00695AEF">
          <w:rPr>
            <w:noProof/>
          </w:rPr>
          <w:t>6</w:t>
        </w:r>
      </w:fldSimple>
      <w:r w:rsidRPr="008924E0">
        <w:t xml:space="preserve"> </w:t>
      </w:r>
      <w:r w:rsidRPr="00331355">
        <w:t>Predviđanje rasta potrošnje energije javnih zgrada u FBiH do 2050. godine (</w:t>
      </w:r>
      <w:r w:rsidR="0076511D" w:rsidRPr="00331355">
        <w:t xml:space="preserve">obnova </w:t>
      </w:r>
      <w:r w:rsidRPr="00331355">
        <w:t>2,5 % korisne grijane površine)</w:t>
      </w:r>
      <w:bookmarkEnd w:id="125"/>
    </w:p>
    <w:p w14:paraId="060A75F2" w14:textId="143EF9CF" w:rsidR="006F579C" w:rsidRPr="008924E0" w:rsidRDefault="006F579C" w:rsidP="006F579C">
      <w:pPr>
        <w:shd w:val="clear" w:color="auto" w:fill="FFFFFF"/>
        <w:spacing w:after="120" w:line="276" w:lineRule="auto"/>
        <w:rPr>
          <w:lang w:val="bs-Latn-BA"/>
        </w:rPr>
      </w:pPr>
      <w:r w:rsidRPr="008924E0">
        <w:rPr>
          <w:lang w:val="bs-Latn-BA"/>
        </w:rPr>
        <w:t>U Tabel</w:t>
      </w:r>
      <w:r w:rsidR="00084C97">
        <w:rPr>
          <w:lang w:val="bs-Latn-BA"/>
        </w:rPr>
        <w:t>i</w:t>
      </w:r>
      <w:r w:rsidRPr="008924E0">
        <w:rPr>
          <w:lang w:val="bs-Latn-BA"/>
        </w:rPr>
        <w:t xml:space="preserve"> </w:t>
      </w:r>
      <w:r w:rsidR="00B82F4B" w:rsidRPr="008924E0">
        <w:rPr>
          <w:lang w:val="bs-Latn-BA"/>
        </w:rPr>
        <w:t>6</w:t>
      </w:r>
      <w:r w:rsidRPr="008924E0">
        <w:rPr>
          <w:lang w:val="bs-Latn-BA"/>
        </w:rPr>
        <w:t>.</w:t>
      </w:r>
      <w:r w:rsidR="00084C97" w:rsidRPr="008924E0">
        <w:rPr>
          <w:lang w:val="bs-Latn-BA"/>
        </w:rPr>
        <w:t>1</w:t>
      </w:r>
      <w:r w:rsidR="00084C97">
        <w:rPr>
          <w:lang w:val="bs-Latn-BA"/>
        </w:rPr>
        <w:t>8</w:t>
      </w:r>
      <w:r w:rsidRPr="008924E0">
        <w:rPr>
          <w:lang w:val="bs-Latn-BA"/>
        </w:rPr>
        <w:t xml:space="preserve">. je dat pregled osnovnih karakteristika javnih zgrada za početnu i ciljnu godinu (2050. godina). Vidi se da je planirani porast broja novoizgrađenih zgrada uz </w:t>
      </w:r>
      <w:r w:rsidR="003D6A20">
        <w:rPr>
          <w:lang w:val="bs-Latn-BA"/>
        </w:rPr>
        <w:t>smanjenje</w:t>
      </w:r>
      <w:r w:rsidR="003D6A20" w:rsidRPr="008924E0">
        <w:rPr>
          <w:lang w:val="bs-Latn-BA"/>
        </w:rPr>
        <w:t xml:space="preserve"> </w:t>
      </w:r>
      <w:r w:rsidRPr="008924E0">
        <w:rPr>
          <w:lang w:val="bs-Latn-BA"/>
        </w:rPr>
        <w:t xml:space="preserve">ukupne potrošnje javnog fonda zgrada, što je rezultat primjene mjera energijske </w:t>
      </w:r>
      <w:r w:rsidR="0076511D">
        <w:rPr>
          <w:lang w:val="bs-Latn-BA"/>
        </w:rPr>
        <w:t>obnove</w:t>
      </w:r>
      <w:r w:rsidRPr="008924E0">
        <w:rPr>
          <w:lang w:val="bs-Latn-BA"/>
        </w:rPr>
        <w:t xml:space="preserve">. </w:t>
      </w:r>
    </w:p>
    <w:p w14:paraId="5A5B6F06" w14:textId="592A647B" w:rsidR="006F579C" w:rsidRPr="008924E0" w:rsidRDefault="006F579C" w:rsidP="006F579C">
      <w:pPr>
        <w:shd w:val="clear" w:color="auto" w:fill="FFFFFF"/>
        <w:spacing w:after="120" w:line="276" w:lineRule="auto"/>
        <w:rPr>
          <w:lang w:val="bs-Latn-BA"/>
        </w:rPr>
      </w:pPr>
      <w:bookmarkStart w:id="126" w:name="_Hlk130761650"/>
      <w:r w:rsidRPr="008924E0">
        <w:rPr>
          <w:lang w:val="bs-Latn-BA"/>
        </w:rPr>
        <w:t>Ukupan broj</w:t>
      </w:r>
      <w:r w:rsidR="0009469A">
        <w:rPr>
          <w:lang w:val="bs-Latn-BA"/>
        </w:rPr>
        <w:t xml:space="preserve"> </w:t>
      </w:r>
      <w:r w:rsidRPr="008924E0">
        <w:rPr>
          <w:lang w:val="bs-Latn-BA"/>
        </w:rPr>
        <w:t xml:space="preserve">zgrada obuhvaćenih programom </w:t>
      </w:r>
      <w:r w:rsidR="0076511D">
        <w:rPr>
          <w:lang w:val="bs-Latn-BA"/>
        </w:rPr>
        <w:t>obnove</w:t>
      </w:r>
      <w:r w:rsidR="0076511D" w:rsidRPr="008924E0">
        <w:rPr>
          <w:lang w:val="bs-Latn-BA"/>
        </w:rPr>
        <w:t xml:space="preserve"> </w:t>
      </w:r>
      <w:r w:rsidRPr="008924E0">
        <w:rPr>
          <w:lang w:val="bs-Latn-BA"/>
        </w:rPr>
        <w:t>iznosi 3.</w:t>
      </w:r>
      <w:r w:rsidR="003148F5" w:rsidRPr="008924E0">
        <w:rPr>
          <w:lang w:val="bs-Latn-BA"/>
        </w:rPr>
        <w:t>6</w:t>
      </w:r>
      <w:r w:rsidR="00557D37">
        <w:rPr>
          <w:lang w:val="bs-Latn-BA"/>
        </w:rPr>
        <w:t>89</w:t>
      </w:r>
      <w:r w:rsidRPr="008924E0">
        <w:rPr>
          <w:lang w:val="bs-Latn-BA"/>
        </w:rPr>
        <w:t xml:space="preserve">.  Ukupno </w:t>
      </w:r>
      <w:r w:rsidR="00C7045C">
        <w:rPr>
          <w:lang w:val="bs-Latn-BA"/>
        </w:rPr>
        <w:t>obnovljena</w:t>
      </w:r>
      <w:r w:rsidR="00C7045C" w:rsidRPr="008924E0">
        <w:rPr>
          <w:lang w:val="bs-Latn-BA"/>
        </w:rPr>
        <w:t xml:space="preserve"> </w:t>
      </w:r>
      <w:r w:rsidRPr="008924E0">
        <w:rPr>
          <w:lang w:val="bs-Latn-BA"/>
        </w:rPr>
        <w:t>korisna grijana površina zgrada iznosi 4.</w:t>
      </w:r>
      <w:r w:rsidR="003148F5">
        <w:rPr>
          <w:lang w:val="bs-Latn-BA"/>
        </w:rPr>
        <w:t>3</w:t>
      </w:r>
      <w:r w:rsidR="00557D37">
        <w:rPr>
          <w:lang w:val="bs-Latn-BA"/>
        </w:rPr>
        <w:t>64</w:t>
      </w:r>
      <w:r w:rsidRPr="008924E0">
        <w:rPr>
          <w:lang w:val="bs-Latn-BA"/>
        </w:rPr>
        <w:t>.</w:t>
      </w:r>
      <w:r w:rsidR="003148F5">
        <w:rPr>
          <w:lang w:val="bs-Latn-BA"/>
        </w:rPr>
        <w:t>0</w:t>
      </w:r>
      <w:r w:rsidR="00557D37">
        <w:rPr>
          <w:lang w:val="bs-Latn-BA"/>
        </w:rPr>
        <w:t>85</w:t>
      </w:r>
      <w:r w:rsidR="003148F5" w:rsidRPr="008924E0">
        <w:rPr>
          <w:lang w:val="bs-Latn-BA"/>
        </w:rPr>
        <w:t xml:space="preserve"> </w:t>
      </w:r>
      <w:r w:rsidRPr="008924E0">
        <w:rPr>
          <w:lang w:val="bs-Latn-BA"/>
        </w:rPr>
        <w:t>m</w:t>
      </w:r>
      <w:r w:rsidRPr="008924E0">
        <w:rPr>
          <w:vertAlign w:val="superscript"/>
          <w:lang w:val="bs-Latn-BA"/>
        </w:rPr>
        <w:t>2</w:t>
      </w:r>
      <w:r w:rsidRPr="008924E0">
        <w:rPr>
          <w:lang w:val="bs-Latn-BA"/>
        </w:rPr>
        <w:t xml:space="preserve">. Kao rezultat primjene mjera </w:t>
      </w:r>
      <w:r w:rsidR="00C7045C">
        <w:rPr>
          <w:lang w:val="bs-Latn-BA"/>
        </w:rPr>
        <w:t>obnove</w:t>
      </w:r>
      <w:r w:rsidRPr="008924E0">
        <w:rPr>
          <w:lang w:val="bs-Latn-BA"/>
        </w:rPr>
        <w:t xml:space="preserve"> očekuje se ušteda u potrošnji energije od </w:t>
      </w:r>
      <w:r w:rsidR="003148F5">
        <w:rPr>
          <w:lang w:val="bs-Latn-BA"/>
        </w:rPr>
        <w:t>8</w:t>
      </w:r>
      <w:r w:rsidR="00557D37">
        <w:rPr>
          <w:lang w:val="bs-Latn-BA"/>
        </w:rPr>
        <w:t>41</w:t>
      </w:r>
      <w:r w:rsidR="003148F5" w:rsidRPr="008924E0">
        <w:rPr>
          <w:lang w:val="bs-Latn-BA"/>
        </w:rPr>
        <w:t xml:space="preserve"> </w:t>
      </w:r>
      <w:r w:rsidRPr="008924E0">
        <w:rPr>
          <w:lang w:val="bs-Latn-BA"/>
        </w:rPr>
        <w:t>GWh. Kumulativna ušteda emisije CO</w:t>
      </w:r>
      <w:r w:rsidRPr="008924E0">
        <w:rPr>
          <w:vertAlign w:val="subscript"/>
          <w:lang w:val="bs-Latn-BA"/>
        </w:rPr>
        <w:t>2</w:t>
      </w:r>
      <w:r w:rsidRPr="008924E0">
        <w:rPr>
          <w:lang w:val="bs-Latn-BA"/>
        </w:rPr>
        <w:t xml:space="preserve"> iznosi </w:t>
      </w:r>
      <w:r w:rsidR="003148F5" w:rsidRPr="008924E0">
        <w:rPr>
          <w:lang w:val="bs-Latn-BA"/>
        </w:rPr>
        <w:t>40</w:t>
      </w:r>
      <w:r w:rsidR="00557D37">
        <w:rPr>
          <w:lang w:val="bs-Latn-BA"/>
        </w:rPr>
        <w:t>6</w:t>
      </w:r>
      <w:r w:rsidRPr="008924E0">
        <w:rPr>
          <w:lang w:val="bs-Latn-BA"/>
        </w:rPr>
        <w:t>·10</w:t>
      </w:r>
      <w:r w:rsidR="00066C30">
        <w:rPr>
          <w:vertAlign w:val="superscript"/>
          <w:lang w:val="bs-Latn-BA"/>
        </w:rPr>
        <w:t>3</w:t>
      </w:r>
      <w:r w:rsidRPr="008924E0">
        <w:rPr>
          <w:lang w:val="bs-Latn-BA"/>
        </w:rPr>
        <w:t xml:space="preserve"> t. Smanjenje emisije CO</w:t>
      </w:r>
      <w:r w:rsidRPr="008924E0">
        <w:rPr>
          <w:vertAlign w:val="subscript"/>
          <w:lang w:val="bs-Latn-BA"/>
        </w:rPr>
        <w:t>2</w:t>
      </w:r>
      <w:r w:rsidRPr="008924E0">
        <w:rPr>
          <w:lang w:val="bs-Latn-BA"/>
        </w:rPr>
        <w:t xml:space="preserve"> je rezultat smanjenja potrošnje energije i promjene u </w:t>
      </w:r>
      <w:r w:rsidR="00010793">
        <w:rPr>
          <w:lang w:val="bs-Latn-BA"/>
        </w:rPr>
        <w:t>energij</w:t>
      </w:r>
      <w:r w:rsidRPr="008924E0">
        <w:rPr>
          <w:lang w:val="bs-Latn-BA"/>
        </w:rPr>
        <w:t xml:space="preserve">skom miksu koji se u potpunosti bazira na obnovljivim izvorima energije u posljednjim fazama </w:t>
      </w:r>
      <w:r w:rsidR="00C7045C">
        <w:rPr>
          <w:lang w:val="bs-Latn-BA"/>
        </w:rPr>
        <w:t>obnove</w:t>
      </w:r>
      <w:r w:rsidRPr="008924E0">
        <w:rPr>
          <w:lang w:val="bs-Latn-BA"/>
        </w:rPr>
        <w:t>, kao i procjena da će se koeficijenti emisije CO</w:t>
      </w:r>
      <w:r w:rsidRPr="008924E0">
        <w:rPr>
          <w:vertAlign w:val="subscript"/>
          <w:lang w:val="bs-Latn-BA"/>
        </w:rPr>
        <w:t>2</w:t>
      </w:r>
      <w:r w:rsidRPr="008924E0">
        <w:rPr>
          <w:vertAlign w:val="superscript"/>
          <w:lang w:val="bs-Latn-BA"/>
        </w:rPr>
        <w:t xml:space="preserve"> </w:t>
      </w:r>
      <w:r w:rsidRPr="008924E0">
        <w:rPr>
          <w:lang w:val="bs-Latn-BA"/>
        </w:rPr>
        <w:t>električne energije i sistema daljinskog grijanja značajno smanjivati u periodu 2021.-2030</w:t>
      </w:r>
      <w:r w:rsidR="0009469A">
        <w:rPr>
          <w:lang w:val="bs-Latn-BA"/>
        </w:rPr>
        <w:t>.</w:t>
      </w:r>
      <w:r w:rsidRPr="008924E0">
        <w:rPr>
          <w:vertAlign w:val="superscript"/>
          <w:lang w:val="bs-Latn-BA"/>
        </w:rPr>
        <w:footnoteReference w:id="35"/>
      </w:r>
      <w:r w:rsidRPr="008924E0">
        <w:rPr>
          <w:lang w:val="bs-Latn-BA"/>
        </w:rPr>
        <w:t xml:space="preserve">, sa trendom smanjenja do 2050. godine. </w:t>
      </w:r>
    </w:p>
    <w:p w14:paraId="5DBE6F9E" w14:textId="6F140577" w:rsidR="006D4E0E" w:rsidRPr="008924E0" w:rsidRDefault="006D4E0E" w:rsidP="006D4E0E">
      <w:pPr>
        <w:pStyle w:val="Caption"/>
        <w:keepNext/>
      </w:pPr>
      <w:bookmarkStart w:id="127" w:name="_Toc133499563"/>
      <w:r w:rsidRPr="008924E0">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18</w:t>
      </w:r>
      <w:r w:rsidR="00000000">
        <w:rPr>
          <w:noProof/>
        </w:rPr>
        <w:fldChar w:fldCharType="end"/>
      </w:r>
      <w:r w:rsidRPr="008924E0">
        <w:rPr>
          <w:rFonts w:eastAsia="Calibri"/>
          <w:color w:val="000000"/>
        </w:rPr>
        <w:t xml:space="preserve"> Postojeće i ciljne karakteristike fonda javnih zgrada FBiH (godišnja </w:t>
      </w:r>
      <w:r w:rsidR="00C7045C">
        <w:rPr>
          <w:rFonts w:eastAsia="Calibri"/>
          <w:color w:val="000000"/>
        </w:rPr>
        <w:t>obnova</w:t>
      </w:r>
      <w:r w:rsidR="00C7045C" w:rsidRPr="008924E0">
        <w:rPr>
          <w:rFonts w:eastAsia="Calibri"/>
          <w:color w:val="000000"/>
        </w:rPr>
        <w:t xml:space="preserve"> </w:t>
      </w:r>
      <w:r w:rsidRPr="008924E0">
        <w:rPr>
          <w:rFonts w:eastAsia="Calibri"/>
          <w:color w:val="000000"/>
        </w:rPr>
        <w:t>2,5 % korisne grijane površine)</w:t>
      </w:r>
      <w:bookmarkEnd w:id="127"/>
    </w:p>
    <w:tbl>
      <w:tblPr>
        <w:tblStyle w:val="57"/>
        <w:tblW w:w="9027" w:type="dxa"/>
        <w:tblLayout w:type="fixed"/>
        <w:tblLook w:val="04A0" w:firstRow="1" w:lastRow="0" w:firstColumn="1" w:lastColumn="0" w:noHBand="0" w:noVBand="1"/>
      </w:tblPr>
      <w:tblGrid>
        <w:gridCol w:w="4141"/>
        <w:gridCol w:w="1041"/>
        <w:gridCol w:w="1459"/>
        <w:gridCol w:w="1345"/>
        <w:gridCol w:w="1041"/>
      </w:tblGrid>
      <w:tr w:rsidR="006F579C" w:rsidRPr="008924E0" w14:paraId="32D88A1F" w14:textId="77777777" w:rsidTr="000A1F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3DC2330F" w14:textId="77777777" w:rsidR="006F579C" w:rsidRPr="008924E0" w:rsidRDefault="006F579C" w:rsidP="006F579C">
            <w:pPr>
              <w:jc w:val="left"/>
              <w:rPr>
                <w:rFonts w:eastAsia="Calibri"/>
                <w:lang w:val="bs-Latn-BA"/>
              </w:rPr>
            </w:pPr>
            <w:r w:rsidRPr="008924E0">
              <w:rPr>
                <w:rFonts w:eastAsia="Calibri"/>
                <w:lang w:val="bs-Latn-BA"/>
              </w:rPr>
              <w:t>Karakteristike fonda javnih zgrada</w:t>
            </w:r>
          </w:p>
        </w:tc>
        <w:tc>
          <w:tcPr>
            <w:tcW w:w="1041" w:type="dxa"/>
          </w:tcPr>
          <w:p w14:paraId="5E2D8C35"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1468B6AE"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459" w:type="dxa"/>
          </w:tcPr>
          <w:p w14:paraId="1034FA7E"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5B7A7FF9"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345" w:type="dxa"/>
          </w:tcPr>
          <w:p w14:paraId="058C6940"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76AE5E0A"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041" w:type="dxa"/>
          </w:tcPr>
          <w:p w14:paraId="1A5AA2C4"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2222F9DE"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557D37" w:rsidRPr="008924E0" w14:paraId="3D9E2C39" w14:textId="77777777" w:rsidTr="00557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3837A440" w14:textId="77777777" w:rsidR="00557D37" w:rsidRPr="008924E0" w:rsidRDefault="00557D37" w:rsidP="00557D37">
            <w:pPr>
              <w:jc w:val="left"/>
              <w:rPr>
                <w:rFonts w:eastAsia="Calibri"/>
                <w:color w:val="000000"/>
                <w:lang w:val="bs-Latn-BA"/>
              </w:rPr>
            </w:pPr>
            <w:r w:rsidRPr="008924E0">
              <w:rPr>
                <w:color w:val="000000"/>
                <w:lang w:val="bs-Latn-BA"/>
              </w:rPr>
              <w:t xml:space="preserve">Broj zgrada </w:t>
            </w:r>
          </w:p>
        </w:tc>
        <w:tc>
          <w:tcPr>
            <w:tcW w:w="1041" w:type="dxa"/>
            <w:vAlign w:val="bottom"/>
          </w:tcPr>
          <w:p w14:paraId="49A4EEAF" w14:textId="3307122D"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4.608</w:t>
            </w:r>
          </w:p>
        </w:tc>
        <w:tc>
          <w:tcPr>
            <w:tcW w:w="1459" w:type="dxa"/>
            <w:vAlign w:val="bottom"/>
          </w:tcPr>
          <w:p w14:paraId="57659BB2" w14:textId="3151086A"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4.949</w:t>
            </w:r>
          </w:p>
        </w:tc>
        <w:tc>
          <w:tcPr>
            <w:tcW w:w="1345" w:type="dxa"/>
            <w:vAlign w:val="bottom"/>
          </w:tcPr>
          <w:p w14:paraId="7012D99F" w14:textId="0CBC899A"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5.290</w:t>
            </w:r>
          </w:p>
        </w:tc>
        <w:tc>
          <w:tcPr>
            <w:tcW w:w="1041" w:type="dxa"/>
            <w:vAlign w:val="bottom"/>
          </w:tcPr>
          <w:p w14:paraId="1E33A06D" w14:textId="37F78A2D"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5.632</w:t>
            </w:r>
          </w:p>
        </w:tc>
      </w:tr>
      <w:tr w:rsidR="00557D37" w:rsidRPr="008924E0" w14:paraId="613751CA" w14:textId="77777777" w:rsidTr="00557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78134A24" w14:textId="77777777" w:rsidR="00557D37" w:rsidRPr="008924E0" w:rsidRDefault="00557D37" w:rsidP="00557D37">
            <w:pPr>
              <w:jc w:val="left"/>
              <w:rPr>
                <w:color w:val="000000"/>
                <w:lang w:val="bs-Latn-BA"/>
              </w:rPr>
            </w:pPr>
            <w:r w:rsidRPr="008924E0">
              <w:rPr>
                <w:color w:val="000000"/>
                <w:lang w:val="bs-Latn-BA"/>
              </w:rPr>
              <w:t>Korisna površina, m</w:t>
            </w:r>
            <w:r w:rsidRPr="008924E0">
              <w:rPr>
                <w:color w:val="000000"/>
                <w:vertAlign w:val="superscript"/>
                <w:lang w:val="bs-Latn-BA"/>
              </w:rPr>
              <w:t>2</w:t>
            </w:r>
          </w:p>
        </w:tc>
        <w:tc>
          <w:tcPr>
            <w:tcW w:w="1041" w:type="dxa"/>
            <w:vAlign w:val="bottom"/>
          </w:tcPr>
          <w:p w14:paraId="17103334" w14:textId="2E7CA0CA"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557D37">
              <w:rPr>
                <w:color w:val="000000"/>
              </w:rPr>
              <w:t>5.384.408</w:t>
            </w:r>
          </w:p>
        </w:tc>
        <w:tc>
          <w:tcPr>
            <w:tcW w:w="1459" w:type="dxa"/>
            <w:vAlign w:val="bottom"/>
          </w:tcPr>
          <w:p w14:paraId="6389098F" w14:textId="7E3120F3"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557D37">
              <w:rPr>
                <w:color w:val="000000"/>
              </w:rPr>
              <w:t>5.786.242</w:t>
            </w:r>
          </w:p>
        </w:tc>
        <w:tc>
          <w:tcPr>
            <w:tcW w:w="1345" w:type="dxa"/>
            <w:vAlign w:val="bottom"/>
          </w:tcPr>
          <w:p w14:paraId="1B40B195" w14:textId="3DC9F3A1"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557D37">
              <w:rPr>
                <w:color w:val="000000"/>
              </w:rPr>
              <w:t>6.189.671</w:t>
            </w:r>
          </w:p>
        </w:tc>
        <w:tc>
          <w:tcPr>
            <w:tcW w:w="1041" w:type="dxa"/>
            <w:vAlign w:val="bottom"/>
          </w:tcPr>
          <w:p w14:paraId="1BE9538F" w14:textId="079429F4"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557D37">
              <w:rPr>
                <w:color w:val="000000"/>
              </w:rPr>
              <w:t>6.589.014</w:t>
            </w:r>
          </w:p>
        </w:tc>
      </w:tr>
      <w:tr w:rsidR="00557D37" w:rsidRPr="008924E0" w14:paraId="191AE817" w14:textId="77777777" w:rsidTr="00557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22499F1B" w14:textId="77777777" w:rsidR="00557D37" w:rsidRPr="008924E0" w:rsidRDefault="00557D37" w:rsidP="00557D37">
            <w:pPr>
              <w:jc w:val="left"/>
              <w:rPr>
                <w:color w:val="000000"/>
                <w:lang w:val="bs-Latn-BA"/>
              </w:rPr>
            </w:pPr>
            <w:r w:rsidRPr="008924E0">
              <w:rPr>
                <w:color w:val="000000"/>
                <w:lang w:val="bs-Latn-BA"/>
              </w:rPr>
              <w:t>Bruto površina, m</w:t>
            </w:r>
            <w:r w:rsidRPr="008924E0">
              <w:rPr>
                <w:color w:val="000000"/>
                <w:vertAlign w:val="superscript"/>
                <w:lang w:val="bs-Latn-BA"/>
              </w:rPr>
              <w:t>2</w:t>
            </w:r>
          </w:p>
        </w:tc>
        <w:tc>
          <w:tcPr>
            <w:tcW w:w="1041" w:type="dxa"/>
            <w:vAlign w:val="bottom"/>
          </w:tcPr>
          <w:p w14:paraId="7D6997C9" w14:textId="5A1A2D89"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557D37">
              <w:rPr>
                <w:color w:val="000000"/>
              </w:rPr>
              <w:t>6.056.416</w:t>
            </w:r>
          </w:p>
        </w:tc>
        <w:tc>
          <w:tcPr>
            <w:tcW w:w="1459" w:type="dxa"/>
            <w:vAlign w:val="bottom"/>
          </w:tcPr>
          <w:p w14:paraId="56F0F713" w14:textId="3951CDF1"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557D37">
              <w:rPr>
                <w:color w:val="000000"/>
              </w:rPr>
              <w:t>6.508.402</w:t>
            </w:r>
          </w:p>
        </w:tc>
        <w:tc>
          <w:tcPr>
            <w:tcW w:w="1345" w:type="dxa"/>
            <w:vAlign w:val="bottom"/>
          </w:tcPr>
          <w:p w14:paraId="754373E2" w14:textId="125662FB"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557D37">
              <w:rPr>
                <w:color w:val="000000"/>
              </w:rPr>
              <w:t>6.962.181</w:t>
            </w:r>
          </w:p>
        </w:tc>
        <w:tc>
          <w:tcPr>
            <w:tcW w:w="1041" w:type="dxa"/>
            <w:vAlign w:val="bottom"/>
          </w:tcPr>
          <w:p w14:paraId="37C19917" w14:textId="171FF527"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557D37">
              <w:rPr>
                <w:color w:val="000000"/>
              </w:rPr>
              <w:t>7.411.365</w:t>
            </w:r>
          </w:p>
        </w:tc>
      </w:tr>
      <w:tr w:rsidR="00557D37" w:rsidRPr="008924E0" w14:paraId="08DD9436" w14:textId="77777777" w:rsidTr="00557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384680F0" w14:textId="77777777" w:rsidR="00557D37" w:rsidRPr="008924E0" w:rsidRDefault="00557D37" w:rsidP="00557D37">
            <w:pPr>
              <w:jc w:val="left"/>
              <w:rPr>
                <w:rFonts w:eastAsia="Calibri"/>
                <w:color w:val="000000"/>
                <w:lang w:val="bs-Latn-BA"/>
              </w:rPr>
            </w:pPr>
            <w:r w:rsidRPr="008924E0">
              <w:rPr>
                <w:color w:val="000000"/>
                <w:lang w:val="bs-Latn-BA"/>
              </w:rPr>
              <w:t>Potrošnja energije, GWh/god.</w:t>
            </w:r>
          </w:p>
        </w:tc>
        <w:tc>
          <w:tcPr>
            <w:tcW w:w="1041" w:type="dxa"/>
            <w:vAlign w:val="bottom"/>
          </w:tcPr>
          <w:p w14:paraId="03CD5514" w14:textId="6524559A" w:rsidR="00557D37" w:rsidRPr="0081319C" w:rsidRDefault="00F477A5"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81319C">
              <w:rPr>
                <w:color w:val="auto"/>
              </w:rPr>
              <w:t>1.353</w:t>
            </w:r>
          </w:p>
        </w:tc>
        <w:tc>
          <w:tcPr>
            <w:tcW w:w="1459" w:type="dxa"/>
            <w:vAlign w:val="bottom"/>
          </w:tcPr>
          <w:p w14:paraId="7745843A" w14:textId="3DBB7942" w:rsidR="00557D37" w:rsidRPr="0081319C"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81319C">
              <w:rPr>
                <w:color w:val="auto"/>
              </w:rPr>
              <w:t>1.114</w:t>
            </w:r>
          </w:p>
        </w:tc>
        <w:tc>
          <w:tcPr>
            <w:tcW w:w="1345" w:type="dxa"/>
            <w:vAlign w:val="bottom"/>
          </w:tcPr>
          <w:p w14:paraId="40EEAC77" w14:textId="5C27B549"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859</w:t>
            </w:r>
          </w:p>
        </w:tc>
        <w:tc>
          <w:tcPr>
            <w:tcW w:w="1041" w:type="dxa"/>
            <w:vAlign w:val="bottom"/>
          </w:tcPr>
          <w:p w14:paraId="1F5B33C3" w14:textId="7A62A954"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604</w:t>
            </w:r>
          </w:p>
        </w:tc>
      </w:tr>
      <w:tr w:rsidR="00557D37" w:rsidRPr="008924E0" w14:paraId="0041BB67" w14:textId="77777777" w:rsidTr="00557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378BA353" w14:textId="3606E65D" w:rsidR="00557D37" w:rsidRPr="008924E0" w:rsidRDefault="00557D37" w:rsidP="00557D37">
            <w:pPr>
              <w:rPr>
                <w:rFonts w:eastAsia="Calibri"/>
                <w:color w:val="000000"/>
                <w:lang w:val="bs-Latn-BA"/>
              </w:rPr>
            </w:pPr>
            <w:r w:rsidRPr="008924E0">
              <w:rPr>
                <w:color w:val="000000"/>
                <w:lang w:val="bs-Latn-BA"/>
              </w:rPr>
              <w:t xml:space="preserve">Broj zgrada obuhvaćenih </w:t>
            </w:r>
            <w:r>
              <w:rPr>
                <w:color w:val="000000"/>
                <w:lang w:val="bs-Latn-BA"/>
              </w:rPr>
              <w:t>obnovom</w:t>
            </w:r>
          </w:p>
        </w:tc>
        <w:tc>
          <w:tcPr>
            <w:tcW w:w="1041" w:type="dxa"/>
            <w:vAlign w:val="bottom"/>
          </w:tcPr>
          <w:p w14:paraId="03057A7A" w14:textId="41C05886"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0</w:t>
            </w:r>
          </w:p>
        </w:tc>
        <w:tc>
          <w:tcPr>
            <w:tcW w:w="1459" w:type="dxa"/>
            <w:vAlign w:val="bottom"/>
          </w:tcPr>
          <w:p w14:paraId="04384D33" w14:textId="0B10E540"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1.309</w:t>
            </w:r>
          </w:p>
        </w:tc>
        <w:tc>
          <w:tcPr>
            <w:tcW w:w="1345" w:type="dxa"/>
            <w:vAlign w:val="bottom"/>
          </w:tcPr>
          <w:p w14:paraId="7EF65DD1" w14:textId="22377030"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2.499</w:t>
            </w:r>
          </w:p>
        </w:tc>
        <w:tc>
          <w:tcPr>
            <w:tcW w:w="1041" w:type="dxa"/>
            <w:vAlign w:val="bottom"/>
          </w:tcPr>
          <w:p w14:paraId="4C7A05EA" w14:textId="43D7B429"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3.689</w:t>
            </w:r>
          </w:p>
        </w:tc>
      </w:tr>
      <w:tr w:rsidR="00557D37" w:rsidRPr="008924E0" w14:paraId="38A7A6A5" w14:textId="77777777" w:rsidTr="00557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74BF0647" w14:textId="452750C0" w:rsidR="00557D37" w:rsidRPr="008924E0" w:rsidRDefault="00557D37" w:rsidP="00557D37">
            <w:pPr>
              <w:jc w:val="left"/>
              <w:rPr>
                <w:rFonts w:eastAsia="Calibri"/>
                <w:color w:val="000000"/>
                <w:lang w:val="bs-Latn-BA"/>
              </w:rPr>
            </w:pPr>
            <w:r>
              <w:rPr>
                <w:color w:val="000000"/>
                <w:lang w:val="bs-Latn-BA"/>
              </w:rPr>
              <w:t>Obnovljena</w:t>
            </w:r>
            <w:r w:rsidRPr="008924E0">
              <w:rPr>
                <w:color w:val="000000"/>
                <w:lang w:val="bs-Latn-BA"/>
              </w:rPr>
              <w:t xml:space="preserve"> korisna površina, m</w:t>
            </w:r>
            <w:r w:rsidRPr="008924E0">
              <w:rPr>
                <w:color w:val="000000"/>
                <w:vertAlign w:val="superscript"/>
                <w:lang w:val="bs-Latn-BA"/>
              </w:rPr>
              <w:t>2</w:t>
            </w:r>
          </w:p>
        </w:tc>
        <w:tc>
          <w:tcPr>
            <w:tcW w:w="1041" w:type="dxa"/>
            <w:vAlign w:val="bottom"/>
          </w:tcPr>
          <w:p w14:paraId="5F60C3E9" w14:textId="1051B703"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0</w:t>
            </w:r>
          </w:p>
        </w:tc>
        <w:tc>
          <w:tcPr>
            <w:tcW w:w="1459" w:type="dxa"/>
            <w:vAlign w:val="bottom"/>
          </w:tcPr>
          <w:p w14:paraId="1E489C16" w14:textId="29E698BA"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1.548.546</w:t>
            </w:r>
          </w:p>
        </w:tc>
        <w:tc>
          <w:tcPr>
            <w:tcW w:w="1345" w:type="dxa"/>
            <w:vAlign w:val="bottom"/>
          </w:tcPr>
          <w:p w14:paraId="6298B4AF" w14:textId="0E7DD89D"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2.956.315</w:t>
            </w:r>
          </w:p>
        </w:tc>
        <w:tc>
          <w:tcPr>
            <w:tcW w:w="1041" w:type="dxa"/>
            <w:vAlign w:val="bottom"/>
          </w:tcPr>
          <w:p w14:paraId="17587C5C" w14:textId="0CEBA5A0"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4.364.085</w:t>
            </w:r>
          </w:p>
        </w:tc>
      </w:tr>
      <w:tr w:rsidR="00557D37" w:rsidRPr="008924E0" w14:paraId="1A164407" w14:textId="77777777" w:rsidTr="00557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12B0DDE3" w14:textId="473DB381" w:rsidR="00557D37" w:rsidRPr="008924E0" w:rsidRDefault="00557D37" w:rsidP="00557D37">
            <w:pPr>
              <w:jc w:val="left"/>
              <w:rPr>
                <w:rFonts w:eastAsia="Calibri"/>
                <w:color w:val="000000"/>
                <w:lang w:val="bs-Latn-BA"/>
              </w:rPr>
            </w:pPr>
            <w:r>
              <w:rPr>
                <w:color w:val="000000"/>
                <w:lang w:val="bs-Latn-BA"/>
              </w:rPr>
              <w:t>Obnovljena</w:t>
            </w:r>
            <w:r w:rsidRPr="008924E0">
              <w:rPr>
                <w:color w:val="000000"/>
                <w:lang w:val="bs-Latn-BA"/>
              </w:rPr>
              <w:t xml:space="preserve"> bruto površina, m</w:t>
            </w:r>
            <w:r w:rsidRPr="008924E0">
              <w:rPr>
                <w:color w:val="000000"/>
                <w:vertAlign w:val="superscript"/>
                <w:lang w:val="bs-Latn-BA"/>
              </w:rPr>
              <w:t>2</w:t>
            </w:r>
          </w:p>
        </w:tc>
        <w:tc>
          <w:tcPr>
            <w:tcW w:w="1041" w:type="dxa"/>
            <w:vAlign w:val="bottom"/>
          </w:tcPr>
          <w:p w14:paraId="263D0E0E" w14:textId="251C478A"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0</w:t>
            </w:r>
          </w:p>
        </w:tc>
        <w:tc>
          <w:tcPr>
            <w:tcW w:w="1459" w:type="dxa"/>
            <w:vAlign w:val="bottom"/>
          </w:tcPr>
          <w:p w14:paraId="0F50F898" w14:textId="48F12D48"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1.741.814</w:t>
            </w:r>
          </w:p>
        </w:tc>
        <w:tc>
          <w:tcPr>
            <w:tcW w:w="1345" w:type="dxa"/>
            <w:vAlign w:val="bottom"/>
          </w:tcPr>
          <w:p w14:paraId="305D99F7" w14:textId="67630D2D"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3.325.282</w:t>
            </w:r>
          </w:p>
        </w:tc>
        <w:tc>
          <w:tcPr>
            <w:tcW w:w="1041" w:type="dxa"/>
            <w:vAlign w:val="bottom"/>
          </w:tcPr>
          <w:p w14:paraId="11E85BCB" w14:textId="5DFD785F" w:rsidR="00557D37" w:rsidRPr="00557D37"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557D37">
              <w:rPr>
                <w:color w:val="000000"/>
              </w:rPr>
              <w:t>4.908.750</w:t>
            </w:r>
          </w:p>
        </w:tc>
      </w:tr>
      <w:tr w:rsidR="00557D37" w:rsidRPr="008924E0" w14:paraId="15BF48C3" w14:textId="77777777" w:rsidTr="00557D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633C8CBE" w14:textId="5FFFCC78" w:rsidR="00557D37" w:rsidRPr="008924E0" w:rsidRDefault="00557D37" w:rsidP="00557D37">
            <w:pPr>
              <w:jc w:val="left"/>
              <w:rPr>
                <w:rFonts w:eastAsia="Calibri"/>
                <w:color w:val="000000"/>
                <w:lang w:val="bs-Latn-BA"/>
              </w:rPr>
            </w:pPr>
            <w:r w:rsidRPr="008924E0">
              <w:rPr>
                <w:rFonts w:eastAsia="Calibri"/>
                <w:color w:val="000000"/>
                <w:lang w:val="bs-Latn-BA"/>
              </w:rPr>
              <w:t xml:space="preserve">Ušteda energije primjenom mjera energijske </w:t>
            </w:r>
            <w:r>
              <w:rPr>
                <w:rFonts w:eastAsia="Calibri"/>
                <w:color w:val="000000"/>
                <w:lang w:val="bs-Latn-BA"/>
              </w:rPr>
              <w:t>obnove</w:t>
            </w:r>
            <w:r w:rsidRPr="008924E0">
              <w:rPr>
                <w:rFonts w:eastAsia="Calibri"/>
                <w:color w:val="000000"/>
                <w:lang w:val="bs-Latn-BA"/>
              </w:rPr>
              <w:t>, GWh</w:t>
            </w:r>
          </w:p>
        </w:tc>
        <w:tc>
          <w:tcPr>
            <w:tcW w:w="1041" w:type="dxa"/>
            <w:vAlign w:val="bottom"/>
          </w:tcPr>
          <w:p w14:paraId="24F04AD0" w14:textId="73541060"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0</w:t>
            </w:r>
          </w:p>
        </w:tc>
        <w:tc>
          <w:tcPr>
            <w:tcW w:w="1459" w:type="dxa"/>
            <w:vAlign w:val="bottom"/>
          </w:tcPr>
          <w:p w14:paraId="3172D5B8" w14:textId="7B052B95"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276</w:t>
            </w:r>
          </w:p>
        </w:tc>
        <w:tc>
          <w:tcPr>
            <w:tcW w:w="1345" w:type="dxa"/>
            <w:vAlign w:val="bottom"/>
          </w:tcPr>
          <w:p w14:paraId="1D7DCA9D" w14:textId="1065E4F3"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559</w:t>
            </w:r>
          </w:p>
        </w:tc>
        <w:tc>
          <w:tcPr>
            <w:tcW w:w="1041" w:type="dxa"/>
            <w:vAlign w:val="bottom"/>
          </w:tcPr>
          <w:p w14:paraId="7DD2A98C" w14:textId="300CEE75" w:rsidR="00557D37" w:rsidRPr="00557D37" w:rsidRDefault="00557D37" w:rsidP="00557D37">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557D37">
              <w:rPr>
                <w:color w:val="000000"/>
              </w:rPr>
              <w:t>841</w:t>
            </w:r>
          </w:p>
        </w:tc>
      </w:tr>
      <w:tr w:rsidR="00557D37" w:rsidRPr="008924E0" w14:paraId="6BAAF9C5" w14:textId="77777777" w:rsidTr="00557D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66571FB4" w14:textId="1524FDAF" w:rsidR="00557D37" w:rsidRPr="008924E0" w:rsidRDefault="00557D37" w:rsidP="00557D37">
            <w:pPr>
              <w:jc w:val="left"/>
              <w:rPr>
                <w:rFonts w:eastAsia="Calibri"/>
                <w:color w:val="000000"/>
                <w:lang w:val="bs-Latn-BA"/>
              </w:rPr>
            </w:pPr>
            <w:r w:rsidRPr="008924E0">
              <w:rPr>
                <w:rFonts w:eastAsia="Calibri"/>
                <w:color w:val="000000"/>
                <w:lang w:val="bs-Latn-BA"/>
              </w:rPr>
              <w:t>Ušteda emisije CO</w:t>
            </w:r>
            <w:r w:rsidRPr="008924E0">
              <w:rPr>
                <w:rFonts w:eastAsia="Calibri"/>
                <w:color w:val="000000"/>
                <w:vertAlign w:val="subscript"/>
                <w:lang w:val="bs-Latn-BA"/>
              </w:rPr>
              <w:t>2</w:t>
            </w:r>
            <w:r w:rsidRPr="008924E0">
              <w:rPr>
                <w:rFonts w:eastAsia="Calibri"/>
                <w:color w:val="000000"/>
                <w:lang w:val="bs-Latn-BA"/>
              </w:rPr>
              <w:t>, 10</w:t>
            </w:r>
            <w:r>
              <w:rPr>
                <w:rFonts w:eastAsia="Calibri"/>
                <w:color w:val="000000"/>
                <w:vertAlign w:val="superscript"/>
                <w:lang w:val="bs-Latn-BA"/>
              </w:rPr>
              <w:t>3</w:t>
            </w:r>
            <w:r w:rsidRPr="008924E0">
              <w:rPr>
                <w:rFonts w:eastAsia="Calibri"/>
                <w:color w:val="000000"/>
                <w:lang w:val="bs-Latn-BA"/>
              </w:rPr>
              <w:t>t/god.</w:t>
            </w:r>
          </w:p>
        </w:tc>
        <w:tc>
          <w:tcPr>
            <w:tcW w:w="1041" w:type="dxa"/>
            <w:vAlign w:val="bottom"/>
          </w:tcPr>
          <w:p w14:paraId="37682571" w14:textId="7B24D079" w:rsidR="00557D37" w:rsidRPr="006021D3"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6021D3">
              <w:rPr>
                <w:color w:val="auto"/>
              </w:rPr>
              <w:t>0</w:t>
            </w:r>
          </w:p>
        </w:tc>
        <w:tc>
          <w:tcPr>
            <w:tcW w:w="1459" w:type="dxa"/>
            <w:vAlign w:val="bottom"/>
          </w:tcPr>
          <w:p w14:paraId="31712CDA" w14:textId="4E5EA738" w:rsidR="00557D37" w:rsidRPr="006021D3"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6021D3">
              <w:rPr>
                <w:color w:val="auto"/>
              </w:rPr>
              <w:t>304</w:t>
            </w:r>
          </w:p>
        </w:tc>
        <w:tc>
          <w:tcPr>
            <w:tcW w:w="1345" w:type="dxa"/>
            <w:vAlign w:val="bottom"/>
          </w:tcPr>
          <w:p w14:paraId="5DD28800" w14:textId="2041F386" w:rsidR="00557D37" w:rsidRPr="006021D3"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6021D3">
              <w:rPr>
                <w:color w:val="auto"/>
              </w:rPr>
              <w:t>404</w:t>
            </w:r>
          </w:p>
        </w:tc>
        <w:tc>
          <w:tcPr>
            <w:tcW w:w="1041" w:type="dxa"/>
            <w:vAlign w:val="bottom"/>
          </w:tcPr>
          <w:p w14:paraId="70B85BE9" w14:textId="1D282FE7" w:rsidR="00557D37" w:rsidRPr="006021D3" w:rsidRDefault="00557D37" w:rsidP="00557D37">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6021D3">
              <w:rPr>
                <w:color w:val="auto"/>
              </w:rPr>
              <w:t>406</w:t>
            </w:r>
          </w:p>
        </w:tc>
      </w:tr>
    </w:tbl>
    <w:p w14:paraId="193CEBC9" w14:textId="74B7D0EA" w:rsidR="006F579C" w:rsidRPr="008924E0" w:rsidRDefault="006F579C" w:rsidP="006F579C">
      <w:pPr>
        <w:pBdr>
          <w:top w:val="nil"/>
          <w:left w:val="nil"/>
          <w:bottom w:val="nil"/>
          <w:right w:val="nil"/>
          <w:between w:val="nil"/>
        </w:pBdr>
        <w:spacing w:after="200" w:line="240" w:lineRule="auto"/>
        <w:jc w:val="left"/>
        <w:rPr>
          <w:rFonts w:eastAsia="Calibri"/>
          <w:i/>
          <w:color w:val="000000"/>
          <w:lang w:val="bs-Latn-BA"/>
        </w:rPr>
      </w:pPr>
    </w:p>
    <w:bookmarkEnd w:id="126"/>
    <w:p w14:paraId="6A9B832D" w14:textId="07749899" w:rsidR="00D7724A" w:rsidRPr="008924E0" w:rsidRDefault="006F579C" w:rsidP="00D7724A">
      <w:pPr>
        <w:pBdr>
          <w:top w:val="nil"/>
          <w:left w:val="nil"/>
          <w:bottom w:val="nil"/>
          <w:right w:val="nil"/>
          <w:between w:val="nil"/>
        </w:pBdr>
        <w:spacing w:after="0" w:line="240" w:lineRule="auto"/>
        <w:rPr>
          <w:rFonts w:eastAsia="Calibri"/>
          <w:color w:val="000000"/>
          <w:lang w:val="bs-Latn-BA"/>
        </w:rPr>
      </w:pPr>
      <w:r w:rsidRPr="008924E0">
        <w:rPr>
          <w:rFonts w:eastAsia="Calibri"/>
          <w:color w:val="000000"/>
          <w:lang w:val="bs-Latn-BA"/>
        </w:rPr>
        <w:lastRenderedPageBreak/>
        <w:t xml:space="preserve">Troškovi </w:t>
      </w:r>
      <w:r w:rsidR="00CA3E85">
        <w:rPr>
          <w:rFonts w:eastAsia="Calibri"/>
          <w:color w:val="000000"/>
          <w:lang w:val="bs-Latn-BA"/>
        </w:rPr>
        <w:t>obnove</w:t>
      </w:r>
      <w:r w:rsidR="00CA3E85" w:rsidRPr="008924E0">
        <w:rPr>
          <w:rFonts w:eastAsia="Calibri"/>
          <w:color w:val="000000"/>
          <w:lang w:val="bs-Latn-BA"/>
        </w:rPr>
        <w:t xml:space="preserve"> </w:t>
      </w:r>
      <w:r w:rsidRPr="008924E0">
        <w:rPr>
          <w:rFonts w:eastAsia="Calibri"/>
          <w:color w:val="000000"/>
          <w:lang w:val="bs-Latn-BA"/>
        </w:rPr>
        <w:t>svake kategorije zgrada određeni su u skladu sa podacima iz BEEP</w:t>
      </w:r>
      <w:r w:rsidRPr="008924E0">
        <w:rPr>
          <w:rFonts w:eastAsia="Calibri"/>
          <w:color w:val="000000"/>
          <w:vertAlign w:val="superscript"/>
          <w:lang w:val="bs-Latn-BA"/>
        </w:rPr>
        <w:footnoteReference w:id="36"/>
      </w:r>
      <w:r w:rsidRPr="008924E0">
        <w:rPr>
          <w:rFonts w:eastAsia="Calibri"/>
          <w:color w:val="000000"/>
          <w:lang w:val="bs-Latn-BA"/>
        </w:rPr>
        <w:t xml:space="preserve"> programa koji je, do sada obuhvatio energijsku </w:t>
      </w:r>
      <w:r w:rsidR="00CA3E85">
        <w:rPr>
          <w:rFonts w:eastAsia="Calibri"/>
          <w:color w:val="000000"/>
          <w:lang w:val="bs-Latn-BA"/>
        </w:rPr>
        <w:t>obnovu</w:t>
      </w:r>
      <w:r w:rsidR="00CA3E85" w:rsidRPr="008924E0">
        <w:rPr>
          <w:rFonts w:eastAsia="Calibri"/>
          <w:color w:val="000000"/>
          <w:lang w:val="bs-Latn-BA"/>
        </w:rPr>
        <w:t xml:space="preserve"> </w:t>
      </w:r>
      <w:r w:rsidRPr="008924E0">
        <w:rPr>
          <w:rFonts w:eastAsia="Calibri"/>
          <w:color w:val="000000"/>
          <w:lang w:val="bs-Latn-BA"/>
        </w:rPr>
        <w:t xml:space="preserve">83 zgrade javne namjene. Ukupan trošak za sve zgrade iznosi 45.086.886 KM, od čega se 37.404.516 KM odnosi na arhitektonsko građevinske mjere </w:t>
      </w:r>
      <w:r w:rsidR="00CA3E85">
        <w:rPr>
          <w:rFonts w:eastAsia="Calibri"/>
          <w:color w:val="000000"/>
          <w:lang w:val="bs-Latn-BA"/>
        </w:rPr>
        <w:t>obnove</w:t>
      </w:r>
      <w:r w:rsidRPr="008924E0">
        <w:rPr>
          <w:rFonts w:eastAsia="Calibri"/>
          <w:color w:val="000000"/>
          <w:lang w:val="bs-Latn-BA"/>
        </w:rPr>
        <w:t xml:space="preserve">, a ostatak na mjere na poboljšanju termotehničkog sistema i sistema rasvjete. U prosjeku je trošak </w:t>
      </w:r>
      <w:r w:rsidR="00CA3E85">
        <w:rPr>
          <w:rFonts w:eastAsia="Calibri"/>
          <w:color w:val="000000"/>
          <w:lang w:val="bs-Latn-BA"/>
        </w:rPr>
        <w:t>obnove</w:t>
      </w:r>
      <w:r w:rsidR="00CA3E85" w:rsidRPr="008924E0">
        <w:rPr>
          <w:rFonts w:eastAsia="Calibri"/>
          <w:color w:val="000000"/>
          <w:lang w:val="bs-Latn-BA"/>
        </w:rPr>
        <w:t xml:space="preserve"> </w:t>
      </w:r>
      <w:r w:rsidRPr="008924E0">
        <w:rPr>
          <w:rFonts w:eastAsia="Calibri"/>
          <w:color w:val="000000"/>
          <w:lang w:val="bs-Latn-BA"/>
        </w:rPr>
        <w:t xml:space="preserve">iznosio 543.216 KM po jednoj zgradi, uz zabilježene najveće investicije za bolničke zgrade. U skladu sa ovim podacima, te podacima o fondu javnih zgrada koje obuhvataju i zgrade različite namjene, korisne površine i zatečenog stanja, napravljena je procjena troškova energijske </w:t>
      </w:r>
      <w:r w:rsidR="00CA3E85">
        <w:rPr>
          <w:rFonts w:eastAsia="Calibri"/>
          <w:color w:val="000000"/>
          <w:lang w:val="bs-Latn-BA"/>
        </w:rPr>
        <w:t>obnove</w:t>
      </w:r>
      <w:r w:rsidR="00CA3E85" w:rsidRPr="008924E0">
        <w:rPr>
          <w:rFonts w:eastAsia="Calibri"/>
          <w:color w:val="000000"/>
          <w:lang w:val="bs-Latn-BA"/>
        </w:rPr>
        <w:t xml:space="preserve"> </w:t>
      </w:r>
      <w:r w:rsidRPr="008924E0">
        <w:rPr>
          <w:rFonts w:eastAsia="Calibri"/>
          <w:color w:val="000000"/>
          <w:lang w:val="bs-Latn-BA"/>
        </w:rPr>
        <w:t xml:space="preserve">fonda javnih zgrada, kako je dato u Tabeli </w:t>
      </w:r>
      <w:r w:rsidR="00B003AC" w:rsidRPr="008924E0">
        <w:rPr>
          <w:rFonts w:eastAsia="Calibri"/>
          <w:color w:val="000000"/>
          <w:lang w:val="bs-Latn-BA"/>
        </w:rPr>
        <w:t>6</w:t>
      </w:r>
      <w:r w:rsidRPr="008924E0">
        <w:rPr>
          <w:rFonts w:eastAsia="Calibri"/>
          <w:color w:val="000000"/>
          <w:lang w:val="bs-Latn-BA"/>
        </w:rPr>
        <w:t>.</w:t>
      </w:r>
      <w:r w:rsidR="00084C97">
        <w:rPr>
          <w:rFonts w:eastAsia="Calibri"/>
          <w:color w:val="000000"/>
          <w:lang w:val="bs-Latn-BA"/>
        </w:rPr>
        <w:t>19</w:t>
      </w:r>
      <w:r w:rsidRPr="008924E0">
        <w:rPr>
          <w:rFonts w:eastAsia="Calibri"/>
          <w:color w:val="000000"/>
          <w:lang w:val="bs-Latn-BA"/>
        </w:rPr>
        <w:t xml:space="preserve">. </w:t>
      </w:r>
    </w:p>
    <w:p w14:paraId="40AED58B" w14:textId="4B28784A" w:rsidR="006F579C" w:rsidRPr="008924E0" w:rsidRDefault="00B003AC" w:rsidP="00D7724A">
      <w:pPr>
        <w:pBdr>
          <w:top w:val="nil"/>
          <w:left w:val="nil"/>
          <w:bottom w:val="nil"/>
          <w:right w:val="nil"/>
          <w:between w:val="nil"/>
        </w:pBdr>
        <w:spacing w:after="0" w:line="240" w:lineRule="auto"/>
        <w:rPr>
          <w:rFonts w:eastAsia="Calibri"/>
          <w:i/>
          <w:color w:val="000000"/>
          <w:lang w:val="bs-Latn-BA"/>
        </w:rPr>
      </w:pPr>
      <w:r w:rsidRPr="008924E0">
        <w:rPr>
          <w:rFonts w:eastAsia="Calibri"/>
          <w:i/>
          <w:color w:val="000000"/>
          <w:lang w:val="bs-Latn-BA"/>
        </w:rPr>
        <w:tab/>
      </w:r>
    </w:p>
    <w:p w14:paraId="4229FE03" w14:textId="2AF6100D" w:rsidR="00B003AC" w:rsidRPr="008924E0" w:rsidRDefault="00B003AC" w:rsidP="00B003AC">
      <w:pPr>
        <w:pStyle w:val="Caption"/>
        <w:keepNext/>
      </w:pPr>
      <w:bookmarkStart w:id="128" w:name="_Toc133499564"/>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19</w:t>
        </w:r>
      </w:fldSimple>
      <w:r w:rsidRPr="008924E0">
        <w:t xml:space="preserve"> </w:t>
      </w:r>
      <w:r w:rsidRPr="008924E0">
        <w:rPr>
          <w:rFonts w:eastAsia="Calibri"/>
          <w:color w:val="000000"/>
        </w:rPr>
        <w:t>Troškovi energ</w:t>
      </w:r>
      <w:r w:rsidR="0091757B">
        <w:rPr>
          <w:rFonts w:eastAsia="Calibri"/>
          <w:color w:val="000000"/>
        </w:rPr>
        <w:t>ij</w:t>
      </w:r>
      <w:r w:rsidRPr="008924E0">
        <w:rPr>
          <w:rFonts w:eastAsia="Calibri"/>
          <w:color w:val="000000"/>
        </w:rPr>
        <w:t xml:space="preserve">ske </w:t>
      </w:r>
      <w:r w:rsidR="00CA3E85">
        <w:rPr>
          <w:rFonts w:eastAsia="Calibri"/>
          <w:color w:val="000000"/>
        </w:rPr>
        <w:t>obnove</w:t>
      </w:r>
      <w:r w:rsidR="00CA3E85" w:rsidRPr="008924E0">
        <w:rPr>
          <w:rFonts w:eastAsia="Calibri"/>
          <w:color w:val="000000"/>
        </w:rPr>
        <w:t xml:space="preserve"> </w:t>
      </w:r>
      <w:r w:rsidRPr="008924E0">
        <w:rPr>
          <w:rFonts w:eastAsia="Calibri"/>
          <w:color w:val="000000"/>
        </w:rPr>
        <w:t>fonda javnih zgrada FBiH</w:t>
      </w:r>
      <w:bookmarkEnd w:id="128"/>
    </w:p>
    <w:tbl>
      <w:tblPr>
        <w:tblStyle w:val="57"/>
        <w:tblW w:w="7224" w:type="dxa"/>
        <w:tblLayout w:type="fixed"/>
        <w:tblLook w:val="04A0" w:firstRow="1" w:lastRow="0" w:firstColumn="1" w:lastColumn="0" w:noHBand="0" w:noVBand="1"/>
      </w:tblPr>
      <w:tblGrid>
        <w:gridCol w:w="3543"/>
        <w:gridCol w:w="896"/>
        <w:gridCol w:w="853"/>
        <w:gridCol w:w="993"/>
        <w:gridCol w:w="939"/>
      </w:tblGrid>
      <w:tr w:rsidR="006F579C" w:rsidRPr="008924E0" w14:paraId="3F4575AE" w14:textId="77777777" w:rsidTr="00B00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24" w:type="dxa"/>
            <w:gridSpan w:val="5"/>
          </w:tcPr>
          <w:p w14:paraId="0E4319E7" w14:textId="3C90D794" w:rsidR="006F579C" w:rsidRPr="008924E0" w:rsidRDefault="006F579C" w:rsidP="006F579C">
            <w:pPr>
              <w:jc w:val="center"/>
              <w:rPr>
                <w:rFonts w:eastAsia="Calibri"/>
                <w:lang w:val="bs-Latn-BA"/>
              </w:rPr>
            </w:pPr>
            <w:r w:rsidRPr="008924E0">
              <w:rPr>
                <w:rFonts w:eastAsia="Calibri"/>
                <w:lang w:val="bs-Latn-BA"/>
              </w:rPr>
              <w:t xml:space="preserve">Trošak energijske </w:t>
            </w:r>
            <w:r w:rsidR="00CA3E85">
              <w:rPr>
                <w:rFonts w:eastAsia="Calibri"/>
                <w:lang w:val="bs-Latn-BA"/>
              </w:rPr>
              <w:t>obnova</w:t>
            </w:r>
            <w:r w:rsidRPr="008924E0">
              <w:rPr>
                <w:rFonts w:eastAsia="Calibri"/>
                <w:lang w:val="bs-Latn-BA"/>
              </w:rPr>
              <w:t>, 10</w:t>
            </w:r>
            <w:r w:rsidRPr="008924E0">
              <w:rPr>
                <w:rFonts w:eastAsia="Calibri"/>
                <w:vertAlign w:val="superscript"/>
                <w:lang w:val="bs-Latn-BA"/>
              </w:rPr>
              <w:t>6</w:t>
            </w:r>
            <w:r w:rsidRPr="008924E0">
              <w:rPr>
                <w:rFonts w:eastAsia="Calibri"/>
                <w:lang w:val="bs-Latn-BA"/>
              </w:rPr>
              <w:t xml:space="preserve"> BAM</w:t>
            </w:r>
          </w:p>
        </w:tc>
      </w:tr>
      <w:tr w:rsidR="006F579C" w:rsidRPr="008924E0" w14:paraId="55FD9909" w14:textId="77777777" w:rsidTr="00B003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66C067FB" w14:textId="1BAB2DB2" w:rsidR="006F579C" w:rsidRPr="008924E0" w:rsidRDefault="006F579C" w:rsidP="006F579C">
            <w:pPr>
              <w:jc w:val="left"/>
              <w:rPr>
                <w:rFonts w:eastAsia="Calibri"/>
                <w:color w:val="auto"/>
                <w:lang w:val="bs-Latn-BA"/>
              </w:rPr>
            </w:pPr>
            <w:r w:rsidRPr="008924E0">
              <w:rPr>
                <w:rFonts w:eastAsia="Calibri"/>
                <w:color w:val="auto"/>
                <w:lang w:val="bs-Latn-BA"/>
              </w:rPr>
              <w:t xml:space="preserve">Scenarij </w:t>
            </w:r>
            <w:r w:rsidR="006A5773">
              <w:rPr>
                <w:rFonts w:eastAsia="Calibri"/>
                <w:color w:val="auto"/>
                <w:lang w:val="bs-Latn-BA"/>
              </w:rPr>
              <w:t>obnove</w:t>
            </w:r>
            <w:r w:rsidRPr="008924E0">
              <w:rPr>
                <w:rFonts w:eastAsia="Calibri"/>
                <w:color w:val="auto"/>
                <w:lang w:val="bs-Latn-BA"/>
              </w:rPr>
              <w:t xml:space="preserve"> </w:t>
            </w:r>
          </w:p>
        </w:tc>
        <w:tc>
          <w:tcPr>
            <w:tcW w:w="896" w:type="dxa"/>
          </w:tcPr>
          <w:p w14:paraId="7E61E4DE"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 xml:space="preserve">2020. </w:t>
            </w:r>
          </w:p>
          <w:p w14:paraId="0C960CF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853" w:type="dxa"/>
          </w:tcPr>
          <w:p w14:paraId="737B296D"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 xml:space="preserve">2030. </w:t>
            </w:r>
          </w:p>
          <w:p w14:paraId="56F13D6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993" w:type="dxa"/>
          </w:tcPr>
          <w:p w14:paraId="7FCE37C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 xml:space="preserve">2040. </w:t>
            </w:r>
          </w:p>
          <w:p w14:paraId="253E4ABF"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939" w:type="dxa"/>
          </w:tcPr>
          <w:p w14:paraId="61C654A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 xml:space="preserve">2050. </w:t>
            </w:r>
          </w:p>
          <w:p w14:paraId="10A99D2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 xml:space="preserve">godina </w:t>
            </w:r>
          </w:p>
        </w:tc>
      </w:tr>
      <w:tr w:rsidR="003D6A20" w:rsidRPr="008924E0" w14:paraId="1790CFCA" w14:textId="77777777" w:rsidTr="00B003A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3" w:type="dxa"/>
          </w:tcPr>
          <w:p w14:paraId="7CE4C1E3" w14:textId="1104D2D8" w:rsidR="003D6A20" w:rsidRPr="008924E0" w:rsidRDefault="003D6A20" w:rsidP="003D6A20">
            <w:pPr>
              <w:jc w:val="left"/>
              <w:rPr>
                <w:rFonts w:eastAsia="Calibri"/>
                <w:color w:val="000000"/>
                <w:lang w:val="bs-Latn-BA"/>
              </w:rPr>
            </w:pPr>
            <w:r>
              <w:rPr>
                <w:rFonts w:eastAsia="Calibri"/>
                <w:color w:val="000000"/>
                <w:lang w:val="bs-Latn-BA"/>
              </w:rPr>
              <w:t>Obnova</w:t>
            </w:r>
            <w:r w:rsidRPr="008924E0">
              <w:rPr>
                <w:rFonts w:eastAsia="Calibri"/>
                <w:color w:val="000000"/>
                <w:lang w:val="bs-Latn-BA"/>
              </w:rPr>
              <w:t xml:space="preserve"> 2,5 % korisne grijane površine  </w:t>
            </w:r>
          </w:p>
        </w:tc>
        <w:tc>
          <w:tcPr>
            <w:tcW w:w="896" w:type="dxa"/>
          </w:tcPr>
          <w:p w14:paraId="6EEF1693" w14:textId="01195F65" w:rsidR="003D6A20" w:rsidRPr="003D6A20" w:rsidRDefault="003D6A20" w:rsidP="003D6A20">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491F28">
              <w:rPr>
                <w:color w:val="auto"/>
              </w:rPr>
              <w:t>54,54</w:t>
            </w:r>
          </w:p>
        </w:tc>
        <w:tc>
          <w:tcPr>
            <w:tcW w:w="853" w:type="dxa"/>
          </w:tcPr>
          <w:p w14:paraId="65420202" w14:textId="456D5EA3" w:rsidR="003D6A20" w:rsidRPr="003D6A20" w:rsidRDefault="003D6A20" w:rsidP="003D6A20">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491F28">
              <w:rPr>
                <w:color w:val="auto"/>
              </w:rPr>
              <w:t>599,91</w:t>
            </w:r>
          </w:p>
        </w:tc>
        <w:tc>
          <w:tcPr>
            <w:tcW w:w="993" w:type="dxa"/>
          </w:tcPr>
          <w:p w14:paraId="3053E344" w14:textId="0FD46EDB" w:rsidR="003D6A20" w:rsidRPr="003D6A20" w:rsidRDefault="003D6A20" w:rsidP="003D6A20">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491F28">
              <w:rPr>
                <w:color w:val="auto"/>
              </w:rPr>
              <w:t>1.145,28</w:t>
            </w:r>
          </w:p>
        </w:tc>
        <w:tc>
          <w:tcPr>
            <w:tcW w:w="939" w:type="dxa"/>
          </w:tcPr>
          <w:p w14:paraId="1D4267B2" w14:textId="63AD8C1E" w:rsidR="003D6A20" w:rsidRPr="003D6A20" w:rsidRDefault="003D6A20" w:rsidP="003D6A20">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491F28">
              <w:rPr>
                <w:color w:val="auto"/>
              </w:rPr>
              <w:t>1.690,65</w:t>
            </w:r>
          </w:p>
        </w:tc>
      </w:tr>
    </w:tbl>
    <w:p w14:paraId="1F881A3D" w14:textId="5D540235" w:rsidR="0020091B" w:rsidRDefault="0020091B" w:rsidP="006F579C">
      <w:pPr>
        <w:keepNext/>
        <w:keepLines/>
        <w:spacing w:before="40"/>
        <w:outlineLvl w:val="4"/>
        <w:rPr>
          <w:rFonts w:asciiTheme="majorHAnsi" w:eastAsiaTheme="majorEastAsia" w:hAnsiTheme="majorHAnsi" w:cstheme="majorBidi"/>
          <w:b/>
          <w:color w:val="005837"/>
          <w:lang w:val="bs-Latn-BA"/>
        </w:rPr>
      </w:pPr>
    </w:p>
    <w:p w14:paraId="00BCEA66" w14:textId="69993693" w:rsidR="00CC5B2C" w:rsidRDefault="008352D9" w:rsidP="00CC5B2C">
      <w:pPr>
        <w:rPr>
          <w:rFonts w:eastAsia="Calibri"/>
          <w:b/>
          <w:color w:val="005837"/>
          <w:lang w:val="bs-Latn-BA"/>
        </w:rPr>
      </w:pPr>
      <w:r>
        <w:rPr>
          <w:rFonts w:eastAsia="Calibri"/>
          <w:b/>
          <w:color w:val="005837"/>
          <w:lang w:val="bs-Latn-BA"/>
        </w:rPr>
        <w:t>Angažirana</w:t>
      </w:r>
      <w:r w:rsidR="00CC5B2C">
        <w:rPr>
          <w:rFonts w:eastAsia="Calibri"/>
          <w:b/>
          <w:color w:val="005837"/>
          <w:lang w:val="bs-Latn-BA"/>
        </w:rPr>
        <w:t xml:space="preserve"> radna snaga za provođenje energijske obnove fonda javnih zgrada</w:t>
      </w:r>
    </w:p>
    <w:p w14:paraId="6A78F310" w14:textId="7500974E" w:rsidR="00CC5B2C" w:rsidRPr="00FE1B58" w:rsidRDefault="00CC5B2C" w:rsidP="00CC5B2C">
      <w:pPr>
        <w:rPr>
          <w:lang w:val="bs-Latn-BA"/>
        </w:rPr>
      </w:pPr>
      <w:r w:rsidRPr="00FE1B58">
        <w:rPr>
          <w:lang w:val="bs-Latn-BA"/>
        </w:rPr>
        <w:t xml:space="preserve">Za </w:t>
      </w:r>
      <w:r>
        <w:rPr>
          <w:lang w:val="bs-Latn-BA"/>
        </w:rPr>
        <w:t>provođenje energijske obnove fonda</w:t>
      </w:r>
      <w:r w:rsidR="00F605BB">
        <w:rPr>
          <w:lang w:val="bs-Latn-BA"/>
        </w:rPr>
        <w:t xml:space="preserve"> javnih zgrada</w:t>
      </w:r>
      <w:r>
        <w:rPr>
          <w:lang w:val="bs-Latn-BA"/>
        </w:rPr>
        <w:t xml:space="preserve">, angažman radne snage se može izraziti kroz </w:t>
      </w:r>
      <w:r w:rsidRPr="00FE1B58">
        <w:rPr>
          <w:lang w:val="bs-Latn-BA"/>
        </w:rPr>
        <w:t xml:space="preserve">ukupan broj radnih dana odnosno broj čovjek dana </w:t>
      </w:r>
      <w:r>
        <w:rPr>
          <w:lang w:val="bs-Latn-BA"/>
        </w:rPr>
        <w:t>radnika</w:t>
      </w:r>
      <w:r w:rsidRPr="00FE1B58">
        <w:rPr>
          <w:lang w:val="bs-Latn-BA"/>
        </w:rPr>
        <w:t xml:space="preserve"> </w:t>
      </w:r>
      <w:r w:rsidR="008352D9">
        <w:rPr>
          <w:lang w:val="bs-Latn-BA"/>
        </w:rPr>
        <w:t>angažiranih</w:t>
      </w:r>
      <w:r w:rsidRPr="00FE1B58">
        <w:rPr>
          <w:lang w:val="bs-Latn-BA"/>
        </w:rPr>
        <w:t xml:space="preserve"> na implementaciji mjera i scenarija </w:t>
      </w:r>
      <w:r>
        <w:rPr>
          <w:lang w:val="bs-Latn-BA"/>
        </w:rPr>
        <w:t xml:space="preserve">obnove i ekvivalent punog radnog vremena (FTE). </w:t>
      </w:r>
    </w:p>
    <w:p w14:paraId="3E55F764" w14:textId="5E97F8AA" w:rsidR="00CC5B2C" w:rsidRDefault="00CC5B2C" w:rsidP="003C256B">
      <w:pPr>
        <w:pBdr>
          <w:top w:val="nil"/>
          <w:left w:val="nil"/>
          <w:bottom w:val="nil"/>
          <w:right w:val="nil"/>
          <w:between w:val="nil"/>
        </w:pBdr>
        <w:spacing w:after="0" w:line="240" w:lineRule="auto"/>
        <w:rPr>
          <w:lang w:val="bs-Latn-BA"/>
        </w:rPr>
      </w:pPr>
      <w:r>
        <w:rPr>
          <w:lang w:val="bs-Latn-BA"/>
        </w:rPr>
        <w:t>P</w:t>
      </w:r>
      <w:r w:rsidRPr="00FE1B58">
        <w:rPr>
          <w:lang w:val="bs-Latn-BA"/>
        </w:rPr>
        <w:t xml:space="preserve">roračun broja </w:t>
      </w:r>
      <w:r>
        <w:rPr>
          <w:lang w:val="bs-Latn-BA"/>
        </w:rPr>
        <w:t>čovjek dana za implementaciju</w:t>
      </w:r>
      <w:r w:rsidRPr="00FE1B58">
        <w:rPr>
          <w:lang w:val="bs-Latn-BA"/>
        </w:rPr>
        <w:t xml:space="preserve"> </w:t>
      </w:r>
      <w:r w:rsidR="003C256B">
        <w:rPr>
          <w:lang w:val="bs-Latn-BA"/>
        </w:rPr>
        <w:t xml:space="preserve">scenarija </w:t>
      </w:r>
      <w:r w:rsidR="002F2E73">
        <w:rPr>
          <w:lang w:val="bs-Latn-BA"/>
        </w:rPr>
        <w:t>obnove</w:t>
      </w:r>
      <w:r w:rsidR="003C256B">
        <w:rPr>
          <w:lang w:val="bs-Latn-BA"/>
        </w:rPr>
        <w:t xml:space="preserve"> javnih zgrada</w:t>
      </w:r>
      <w:r>
        <w:rPr>
          <w:lang w:val="bs-Latn-BA"/>
        </w:rPr>
        <w:t xml:space="preserve">, izvršen je prema metodologiji razvijenoj u okviru projekta </w:t>
      </w:r>
      <w:r w:rsidRPr="008924E0">
        <w:rPr>
          <w:rFonts w:eastAsia="Calibri"/>
          <w:color w:val="000000"/>
          <w:lang w:val="bs-Latn-BA"/>
        </w:rPr>
        <w:t>„Analiza kapaciteta privatnog sektora za provođenje strategije obnove zgrada u Bosni i Hercegovini„</w:t>
      </w:r>
      <w:r w:rsidRPr="008924E0">
        <w:rPr>
          <w:rFonts w:eastAsia="Calibri"/>
          <w:color w:val="000000"/>
          <w:vertAlign w:val="superscript"/>
          <w:lang w:val="bs-Latn-BA"/>
        </w:rPr>
        <w:footnoteReference w:id="37"/>
      </w:r>
      <w:r w:rsidRPr="008924E0">
        <w:rPr>
          <w:rFonts w:eastAsia="Calibri"/>
          <w:color w:val="000000"/>
          <w:lang w:val="bs-Latn-BA"/>
        </w:rPr>
        <w:t>.</w:t>
      </w:r>
      <w:r>
        <w:rPr>
          <w:lang w:val="bs-Latn-BA"/>
        </w:rPr>
        <w:t xml:space="preserve"> </w:t>
      </w:r>
      <w:r>
        <w:rPr>
          <w:rFonts w:eastAsia="Calibri"/>
          <w:color w:val="000000"/>
          <w:lang w:val="bs-Latn-BA"/>
        </w:rPr>
        <w:t xml:space="preserve">Korištenjem podataka o ukupnom broju zgrada koje se obnavljaju </w:t>
      </w:r>
      <w:r>
        <w:rPr>
          <w:lang w:val="bs-Latn-BA"/>
        </w:rPr>
        <w:t xml:space="preserve">izračunat je ukupan broj čovjek dana za provođenje obnove </w:t>
      </w:r>
      <w:r w:rsidR="003C256B">
        <w:rPr>
          <w:lang w:val="bs-Latn-BA"/>
        </w:rPr>
        <w:t xml:space="preserve">javnog </w:t>
      </w:r>
      <w:r>
        <w:rPr>
          <w:lang w:val="bs-Latn-BA"/>
        </w:rPr>
        <w:t>sektora, kako je prikazano u Tabeli 6.</w:t>
      </w:r>
      <w:r w:rsidR="003C256B">
        <w:rPr>
          <w:lang w:val="bs-Latn-BA"/>
        </w:rPr>
        <w:t>20</w:t>
      </w:r>
      <w:r>
        <w:rPr>
          <w:lang w:val="bs-Latn-BA"/>
        </w:rPr>
        <w:t xml:space="preserve">. </w:t>
      </w:r>
    </w:p>
    <w:p w14:paraId="030094D8" w14:textId="072B763E" w:rsidR="00CC5B2C" w:rsidRPr="008924E0" w:rsidRDefault="00CC5B2C" w:rsidP="00CC5B2C">
      <w:pPr>
        <w:pBdr>
          <w:top w:val="nil"/>
          <w:left w:val="nil"/>
          <w:bottom w:val="nil"/>
          <w:right w:val="nil"/>
          <w:between w:val="nil"/>
        </w:pBdr>
        <w:spacing w:after="0" w:line="240" w:lineRule="auto"/>
        <w:rPr>
          <w:rFonts w:eastAsia="Calibri"/>
          <w:color w:val="000000"/>
          <w:lang w:val="bs-Latn-BA"/>
        </w:rPr>
      </w:pPr>
      <w:r w:rsidRPr="003250E4">
        <w:rPr>
          <w:rFonts w:eastAsia="Calibri"/>
          <w:color w:val="000000"/>
          <w:lang w:val="bs-Latn-BA"/>
        </w:rPr>
        <w:t xml:space="preserve">Ekvivalent punog radnog vremena (Full Time Employment FTE) predstavlja podatak o kreiranom broju radnih mjesta odnosno broju radnih mjesta sa punim radnim vremenom na period od godinu dana.  FTE </w:t>
      </w:r>
      <w:r>
        <w:rPr>
          <w:rFonts w:eastAsia="Calibri"/>
          <w:color w:val="000000"/>
          <w:lang w:val="bs-Latn-BA"/>
        </w:rPr>
        <w:t>se računa</w:t>
      </w:r>
      <w:r w:rsidRPr="003250E4">
        <w:rPr>
          <w:rFonts w:eastAsia="Calibri"/>
          <w:color w:val="000000"/>
          <w:lang w:val="bs-Latn-BA"/>
        </w:rPr>
        <w:t xml:space="preserve"> </w:t>
      </w:r>
      <w:r>
        <w:rPr>
          <w:rFonts w:eastAsia="Calibri"/>
          <w:color w:val="000000"/>
          <w:lang w:val="bs-Latn-BA"/>
        </w:rPr>
        <w:t xml:space="preserve">kao omjer </w:t>
      </w:r>
      <w:r w:rsidRPr="003250E4">
        <w:rPr>
          <w:rFonts w:eastAsia="Calibri"/>
          <w:color w:val="000000"/>
          <w:lang w:val="bs-Latn-BA"/>
        </w:rPr>
        <w:t>vrijednost</w:t>
      </w:r>
      <w:r>
        <w:rPr>
          <w:rFonts w:eastAsia="Calibri"/>
          <w:color w:val="000000"/>
          <w:lang w:val="bs-Latn-BA"/>
        </w:rPr>
        <w:t>i</w:t>
      </w:r>
      <w:r w:rsidRPr="003250E4">
        <w:rPr>
          <w:rFonts w:eastAsia="Calibri"/>
          <w:color w:val="000000"/>
          <w:lang w:val="bs-Latn-BA"/>
        </w:rPr>
        <w:t xml:space="preserve"> broja čovjek dana i broja radnih dana</w:t>
      </w:r>
      <w:r>
        <w:rPr>
          <w:rFonts w:eastAsia="Calibri"/>
          <w:color w:val="000000"/>
          <w:lang w:val="bs-Latn-BA"/>
        </w:rPr>
        <w:t>,</w:t>
      </w:r>
      <w:r w:rsidRPr="003250E4">
        <w:rPr>
          <w:rFonts w:eastAsia="Calibri"/>
          <w:color w:val="000000"/>
          <w:lang w:val="bs-Latn-BA"/>
        </w:rPr>
        <w:t xml:space="preserve"> koji iznosi 260 radnih dana u godini za građevinski sektor</w:t>
      </w:r>
      <w:r>
        <w:rPr>
          <w:rFonts w:eastAsia="Calibri"/>
          <w:color w:val="000000"/>
          <w:lang w:val="bs-Latn-BA"/>
        </w:rPr>
        <w:t xml:space="preserve">. Izračunate vrijednosti FTE su prikazane u </w:t>
      </w:r>
      <w:r>
        <w:rPr>
          <w:lang w:val="bs-Latn-BA"/>
        </w:rPr>
        <w:t>Tabeli 6.</w:t>
      </w:r>
      <w:r w:rsidR="003C256B">
        <w:rPr>
          <w:lang w:val="bs-Latn-BA"/>
        </w:rPr>
        <w:t>20</w:t>
      </w:r>
      <w:r>
        <w:rPr>
          <w:lang w:val="bs-Latn-BA"/>
        </w:rPr>
        <w:t>.</w:t>
      </w:r>
    </w:p>
    <w:p w14:paraId="485AC9F5" w14:textId="77777777" w:rsidR="00CC5B2C" w:rsidRPr="008924E0" w:rsidRDefault="00CC5B2C" w:rsidP="00CC5B2C">
      <w:pPr>
        <w:pBdr>
          <w:top w:val="nil"/>
          <w:left w:val="nil"/>
          <w:bottom w:val="nil"/>
          <w:right w:val="nil"/>
          <w:between w:val="nil"/>
        </w:pBdr>
        <w:spacing w:after="0" w:line="240" w:lineRule="auto"/>
        <w:jc w:val="left"/>
        <w:rPr>
          <w:rFonts w:eastAsia="Calibri"/>
          <w:color w:val="000000"/>
          <w:lang w:val="bs-Latn-BA"/>
        </w:rPr>
      </w:pPr>
    </w:p>
    <w:p w14:paraId="5E028B47" w14:textId="32B975E3" w:rsidR="00CC5B2C" w:rsidRPr="008924E0" w:rsidRDefault="00CC5B2C" w:rsidP="00CC5B2C">
      <w:pPr>
        <w:pStyle w:val="Caption"/>
        <w:keepNext/>
      </w:pPr>
      <w:bookmarkStart w:id="129" w:name="_Toc133499565"/>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20</w:t>
        </w:r>
      </w:fldSimple>
      <w:r>
        <w:t xml:space="preserve"> </w:t>
      </w:r>
      <w:r w:rsidR="008352D9">
        <w:t>Angažirana</w:t>
      </w:r>
      <w:r>
        <w:t xml:space="preserve"> radna snaga za </w:t>
      </w:r>
      <w:r>
        <w:rPr>
          <w:rFonts w:eastAsia="Calibri"/>
          <w:color w:val="000000"/>
        </w:rPr>
        <w:t>obnovu</w:t>
      </w:r>
      <w:r w:rsidRPr="008924E0">
        <w:rPr>
          <w:rFonts w:eastAsia="Calibri"/>
          <w:color w:val="000000"/>
        </w:rPr>
        <w:t xml:space="preserve"> fonda</w:t>
      </w:r>
      <w:r w:rsidR="00857EED">
        <w:rPr>
          <w:rFonts w:eastAsia="Calibri"/>
          <w:color w:val="000000"/>
        </w:rPr>
        <w:t xml:space="preserve"> javnih</w:t>
      </w:r>
      <w:r w:rsidRPr="008924E0">
        <w:rPr>
          <w:rFonts w:eastAsia="Calibri"/>
          <w:color w:val="000000"/>
        </w:rPr>
        <w:t xml:space="preserve"> zgrada FBiH</w:t>
      </w:r>
      <w:bookmarkEnd w:id="129"/>
    </w:p>
    <w:tbl>
      <w:tblPr>
        <w:tblW w:w="958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3655"/>
        <w:gridCol w:w="1299"/>
        <w:gridCol w:w="1524"/>
        <w:gridCol w:w="1584"/>
        <w:gridCol w:w="1524"/>
      </w:tblGrid>
      <w:tr w:rsidR="00CC5B2C" w:rsidRPr="008924E0" w14:paraId="0609CC4D" w14:textId="77777777" w:rsidTr="0034366E">
        <w:trPr>
          <w:jc w:val="center"/>
        </w:trPr>
        <w:tc>
          <w:tcPr>
            <w:tcW w:w="3655" w:type="dxa"/>
            <w:shd w:val="clear" w:color="auto" w:fill="006432"/>
          </w:tcPr>
          <w:p w14:paraId="22A61A61" w14:textId="77777777" w:rsidR="00CC5B2C" w:rsidRPr="008924E0" w:rsidRDefault="00CC5B2C" w:rsidP="001808D0">
            <w:pPr>
              <w:spacing w:after="0" w:line="240" w:lineRule="auto"/>
              <w:jc w:val="left"/>
              <w:rPr>
                <w:rFonts w:eastAsia="Calibri"/>
                <w:b/>
                <w:color w:val="FFFFFF"/>
                <w:sz w:val="20"/>
                <w:szCs w:val="20"/>
                <w:lang w:val="bs-Latn-BA"/>
              </w:rPr>
            </w:pPr>
            <w:r>
              <w:rPr>
                <w:rFonts w:eastAsia="Calibri"/>
                <w:b/>
                <w:color w:val="FFFFFF"/>
                <w:sz w:val="20"/>
                <w:szCs w:val="20"/>
                <w:lang w:val="bs-Latn-BA"/>
              </w:rPr>
              <w:t xml:space="preserve">Parametar </w:t>
            </w:r>
          </w:p>
        </w:tc>
        <w:tc>
          <w:tcPr>
            <w:tcW w:w="0" w:type="auto"/>
            <w:shd w:val="clear" w:color="auto" w:fill="006432"/>
          </w:tcPr>
          <w:p w14:paraId="594ED12E"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2020. </w:t>
            </w:r>
          </w:p>
          <w:p w14:paraId="3FBBB8AA"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0" w:type="auto"/>
            <w:shd w:val="clear" w:color="auto" w:fill="006432"/>
          </w:tcPr>
          <w:p w14:paraId="1FA81B44"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2030. </w:t>
            </w:r>
          </w:p>
          <w:p w14:paraId="0F2ABA73"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1584" w:type="dxa"/>
            <w:shd w:val="clear" w:color="auto" w:fill="006432"/>
          </w:tcPr>
          <w:p w14:paraId="753F90D6"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2040. </w:t>
            </w:r>
          </w:p>
          <w:p w14:paraId="22A45163"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0" w:type="auto"/>
            <w:shd w:val="clear" w:color="auto" w:fill="006432"/>
          </w:tcPr>
          <w:p w14:paraId="14D30F52"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2050. </w:t>
            </w:r>
          </w:p>
          <w:p w14:paraId="7FFF73C8" w14:textId="77777777" w:rsidR="00CC5B2C" w:rsidRPr="008924E0" w:rsidRDefault="00CC5B2C" w:rsidP="001808D0">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godina </w:t>
            </w:r>
          </w:p>
        </w:tc>
      </w:tr>
      <w:tr w:rsidR="0034366E" w:rsidRPr="008924E0" w14:paraId="43D06147" w14:textId="77777777" w:rsidTr="0034366E">
        <w:trPr>
          <w:jc w:val="center"/>
        </w:trPr>
        <w:tc>
          <w:tcPr>
            <w:tcW w:w="3655" w:type="dxa"/>
          </w:tcPr>
          <w:p w14:paraId="40EF5733" w14:textId="77777777" w:rsidR="0034366E" w:rsidRPr="008924E0" w:rsidRDefault="0034366E" w:rsidP="0034366E">
            <w:pPr>
              <w:spacing w:after="0" w:line="240" w:lineRule="auto"/>
              <w:jc w:val="left"/>
              <w:rPr>
                <w:rFonts w:eastAsia="Calibri"/>
                <w:b/>
                <w:color w:val="000000"/>
                <w:sz w:val="20"/>
                <w:szCs w:val="20"/>
                <w:lang w:val="bs-Latn-BA"/>
              </w:rPr>
            </w:pPr>
            <w:r>
              <w:rPr>
                <w:rFonts w:eastAsia="Calibri"/>
                <w:b/>
                <w:sz w:val="20"/>
                <w:szCs w:val="20"/>
                <w:lang w:val="bs-Latn-BA"/>
              </w:rPr>
              <w:t>Broj čovjek dana</w:t>
            </w:r>
          </w:p>
        </w:tc>
        <w:tc>
          <w:tcPr>
            <w:tcW w:w="0" w:type="auto"/>
            <w:vAlign w:val="bottom"/>
          </w:tcPr>
          <w:p w14:paraId="38F12654" w14:textId="486262D1" w:rsidR="0034366E" w:rsidRPr="0034366E" w:rsidRDefault="0034366E" w:rsidP="0034366E">
            <w:pPr>
              <w:spacing w:after="0" w:line="240" w:lineRule="auto"/>
              <w:jc w:val="right"/>
              <w:rPr>
                <w:rFonts w:ascii="Corbel" w:hAnsi="Corbel" w:cs="Corbel"/>
                <w:color w:val="000000"/>
                <w:sz w:val="20"/>
                <w:szCs w:val="20"/>
                <w:lang w:val="bs-Latn-BA"/>
              </w:rPr>
            </w:pPr>
            <w:r w:rsidRPr="0034366E">
              <w:rPr>
                <w:color w:val="000000"/>
                <w:sz w:val="20"/>
                <w:szCs w:val="20"/>
              </w:rPr>
              <w:t>146.232</w:t>
            </w:r>
          </w:p>
        </w:tc>
        <w:tc>
          <w:tcPr>
            <w:tcW w:w="0" w:type="auto"/>
            <w:vAlign w:val="bottom"/>
          </w:tcPr>
          <w:p w14:paraId="16584673" w14:textId="0175CB50" w:rsidR="0034366E" w:rsidRPr="0034366E" w:rsidRDefault="0034366E" w:rsidP="0034366E">
            <w:pPr>
              <w:spacing w:after="0" w:line="240" w:lineRule="auto"/>
              <w:jc w:val="right"/>
              <w:rPr>
                <w:rFonts w:ascii="Corbel" w:hAnsi="Corbel" w:cs="Corbel"/>
                <w:color w:val="000000"/>
                <w:sz w:val="20"/>
                <w:szCs w:val="20"/>
                <w:lang w:val="bs-Latn-BA"/>
              </w:rPr>
            </w:pPr>
            <w:r w:rsidRPr="0034366E">
              <w:rPr>
                <w:color w:val="000000"/>
                <w:sz w:val="20"/>
                <w:szCs w:val="20"/>
              </w:rPr>
              <w:t>1.608.557</w:t>
            </w:r>
          </w:p>
        </w:tc>
        <w:tc>
          <w:tcPr>
            <w:tcW w:w="1584" w:type="dxa"/>
            <w:vAlign w:val="bottom"/>
          </w:tcPr>
          <w:p w14:paraId="53936CC3" w14:textId="1F05784F" w:rsidR="0034366E" w:rsidRPr="0034366E" w:rsidRDefault="0034366E" w:rsidP="0034366E">
            <w:pPr>
              <w:spacing w:after="0" w:line="240" w:lineRule="auto"/>
              <w:jc w:val="right"/>
              <w:rPr>
                <w:rFonts w:ascii="Corbel" w:hAnsi="Corbel" w:cs="Corbel"/>
                <w:color w:val="000000"/>
                <w:sz w:val="20"/>
                <w:szCs w:val="20"/>
                <w:lang w:val="bs-Latn-BA"/>
              </w:rPr>
            </w:pPr>
            <w:r w:rsidRPr="0034366E">
              <w:rPr>
                <w:color w:val="000000"/>
                <w:sz w:val="20"/>
                <w:szCs w:val="20"/>
              </w:rPr>
              <w:t>3.124.553</w:t>
            </w:r>
          </w:p>
        </w:tc>
        <w:tc>
          <w:tcPr>
            <w:tcW w:w="0" w:type="auto"/>
            <w:vAlign w:val="bottom"/>
          </w:tcPr>
          <w:p w14:paraId="59C05D83" w14:textId="2FE523AD" w:rsidR="0034366E" w:rsidRPr="0034366E" w:rsidRDefault="0034366E" w:rsidP="0034366E">
            <w:pPr>
              <w:spacing w:after="0" w:line="240" w:lineRule="auto"/>
              <w:jc w:val="right"/>
              <w:rPr>
                <w:rFonts w:ascii="Corbel" w:hAnsi="Corbel" w:cs="Corbel"/>
                <w:color w:val="000000"/>
                <w:sz w:val="20"/>
                <w:szCs w:val="20"/>
                <w:lang w:val="bs-Latn-BA"/>
              </w:rPr>
            </w:pPr>
            <w:r w:rsidRPr="0034366E">
              <w:rPr>
                <w:color w:val="000000"/>
                <w:sz w:val="20"/>
                <w:szCs w:val="20"/>
              </w:rPr>
              <w:t>4.676.850</w:t>
            </w:r>
          </w:p>
        </w:tc>
      </w:tr>
      <w:tr w:rsidR="0034366E" w:rsidRPr="003250E4" w14:paraId="521E1274" w14:textId="77777777" w:rsidTr="0034366E">
        <w:trPr>
          <w:jc w:val="center"/>
        </w:trPr>
        <w:tc>
          <w:tcPr>
            <w:tcW w:w="3655" w:type="dxa"/>
          </w:tcPr>
          <w:p w14:paraId="2C30AFD8" w14:textId="77777777" w:rsidR="0034366E" w:rsidRPr="003250E4" w:rsidRDefault="0034366E" w:rsidP="0034366E">
            <w:pPr>
              <w:spacing w:after="0" w:line="240" w:lineRule="auto"/>
              <w:jc w:val="left"/>
              <w:rPr>
                <w:rFonts w:eastAsia="Calibri"/>
                <w:b/>
                <w:sz w:val="20"/>
                <w:szCs w:val="20"/>
                <w:lang w:val="bs-Latn-BA"/>
              </w:rPr>
            </w:pPr>
            <w:r w:rsidRPr="001808D0">
              <w:rPr>
                <w:rFonts w:eastAsia="Calibri"/>
                <w:b/>
                <w:sz w:val="20"/>
                <w:szCs w:val="20"/>
                <w:lang w:val="bs-Latn-BA"/>
              </w:rPr>
              <w:t>Ekvivalent punog radnog vremena (FTE)</w:t>
            </w:r>
          </w:p>
        </w:tc>
        <w:tc>
          <w:tcPr>
            <w:tcW w:w="0" w:type="auto"/>
            <w:vAlign w:val="bottom"/>
          </w:tcPr>
          <w:p w14:paraId="62D6BD25" w14:textId="049672F0" w:rsidR="0034366E" w:rsidRPr="0034366E" w:rsidRDefault="0034366E" w:rsidP="0034366E">
            <w:pPr>
              <w:spacing w:after="0" w:line="240" w:lineRule="auto"/>
              <w:jc w:val="right"/>
              <w:rPr>
                <w:rFonts w:eastAsia="Calibri"/>
                <w:color w:val="000000"/>
                <w:sz w:val="20"/>
                <w:szCs w:val="20"/>
                <w:lang w:val="bs-Latn-BA"/>
              </w:rPr>
            </w:pPr>
            <w:r w:rsidRPr="0034366E">
              <w:rPr>
                <w:color w:val="000000"/>
                <w:sz w:val="20"/>
                <w:szCs w:val="20"/>
              </w:rPr>
              <w:t>562</w:t>
            </w:r>
          </w:p>
        </w:tc>
        <w:tc>
          <w:tcPr>
            <w:tcW w:w="0" w:type="auto"/>
            <w:vAlign w:val="bottom"/>
          </w:tcPr>
          <w:p w14:paraId="63231FD0" w14:textId="1AC41D2C" w:rsidR="0034366E" w:rsidRPr="0034366E" w:rsidRDefault="0034366E" w:rsidP="0034366E">
            <w:pPr>
              <w:spacing w:after="0" w:line="240" w:lineRule="auto"/>
              <w:jc w:val="right"/>
              <w:rPr>
                <w:rFonts w:eastAsia="Calibri"/>
                <w:color w:val="000000"/>
                <w:sz w:val="20"/>
                <w:szCs w:val="20"/>
                <w:lang w:val="bs-Latn-BA"/>
              </w:rPr>
            </w:pPr>
            <w:r w:rsidRPr="0034366E">
              <w:rPr>
                <w:color w:val="000000"/>
                <w:sz w:val="20"/>
                <w:szCs w:val="20"/>
              </w:rPr>
              <w:t>6.187</w:t>
            </w:r>
          </w:p>
        </w:tc>
        <w:tc>
          <w:tcPr>
            <w:tcW w:w="1584" w:type="dxa"/>
            <w:vAlign w:val="bottom"/>
          </w:tcPr>
          <w:p w14:paraId="55885391" w14:textId="709FD0C0" w:rsidR="0034366E" w:rsidRPr="0034366E" w:rsidRDefault="0034366E" w:rsidP="0034366E">
            <w:pPr>
              <w:spacing w:after="0" w:line="240" w:lineRule="auto"/>
              <w:jc w:val="right"/>
              <w:rPr>
                <w:rFonts w:eastAsia="Calibri"/>
                <w:color w:val="000000"/>
                <w:sz w:val="20"/>
                <w:szCs w:val="20"/>
                <w:lang w:val="bs-Latn-BA"/>
              </w:rPr>
            </w:pPr>
            <w:r w:rsidRPr="0034366E">
              <w:rPr>
                <w:color w:val="000000"/>
                <w:sz w:val="20"/>
                <w:szCs w:val="20"/>
              </w:rPr>
              <w:t>12.018</w:t>
            </w:r>
          </w:p>
        </w:tc>
        <w:tc>
          <w:tcPr>
            <w:tcW w:w="0" w:type="auto"/>
            <w:vAlign w:val="bottom"/>
          </w:tcPr>
          <w:p w14:paraId="69FAB5D1" w14:textId="3E183AF1" w:rsidR="0034366E" w:rsidRPr="0034366E" w:rsidRDefault="0034366E" w:rsidP="0034366E">
            <w:pPr>
              <w:spacing w:after="0" w:line="240" w:lineRule="auto"/>
              <w:jc w:val="right"/>
              <w:rPr>
                <w:rFonts w:eastAsia="Calibri"/>
                <w:color w:val="000000"/>
                <w:sz w:val="20"/>
                <w:szCs w:val="20"/>
                <w:lang w:val="bs-Latn-BA"/>
              </w:rPr>
            </w:pPr>
            <w:r w:rsidRPr="0034366E">
              <w:rPr>
                <w:color w:val="000000"/>
                <w:sz w:val="20"/>
                <w:szCs w:val="20"/>
              </w:rPr>
              <w:t>17.988</w:t>
            </w:r>
          </w:p>
        </w:tc>
      </w:tr>
    </w:tbl>
    <w:p w14:paraId="7AE5A349" w14:textId="77777777" w:rsidR="00CC5B2C" w:rsidRDefault="00CC5B2C" w:rsidP="006F579C">
      <w:pPr>
        <w:keepNext/>
        <w:keepLines/>
        <w:spacing w:before="40"/>
        <w:outlineLvl w:val="4"/>
        <w:rPr>
          <w:rFonts w:asciiTheme="majorHAnsi" w:eastAsiaTheme="majorEastAsia" w:hAnsiTheme="majorHAnsi" w:cstheme="majorBidi"/>
          <w:b/>
          <w:color w:val="005837"/>
          <w:lang w:val="bs-Latn-BA"/>
        </w:rPr>
      </w:pPr>
    </w:p>
    <w:p w14:paraId="34C34CB1" w14:textId="77777777" w:rsidR="006F579C" w:rsidRPr="008924E0" w:rsidRDefault="006F579C" w:rsidP="006F579C">
      <w:pPr>
        <w:keepNext/>
        <w:keepLines/>
        <w:spacing w:before="40"/>
        <w:outlineLvl w:val="4"/>
        <w:rPr>
          <w:rFonts w:asciiTheme="majorHAnsi" w:eastAsiaTheme="majorEastAsia" w:hAnsiTheme="majorHAnsi" w:cstheme="majorBidi"/>
          <w:b/>
          <w:color w:val="005837"/>
          <w:lang w:val="bs-Latn-BA"/>
        </w:rPr>
      </w:pPr>
      <w:r w:rsidRPr="008924E0">
        <w:rPr>
          <w:rFonts w:asciiTheme="majorHAnsi" w:eastAsiaTheme="majorEastAsia" w:hAnsiTheme="majorHAnsi" w:cstheme="majorBidi"/>
          <w:b/>
          <w:color w:val="005837"/>
          <w:lang w:val="bs-Latn-BA"/>
        </w:rPr>
        <w:t>Energijska obnova javnih zgrada u Kantonima FBiH</w:t>
      </w:r>
    </w:p>
    <w:p w14:paraId="4361E8F5" w14:textId="46496941" w:rsidR="006F579C" w:rsidRPr="008924E0" w:rsidRDefault="006F579C" w:rsidP="006F579C">
      <w:pPr>
        <w:rPr>
          <w:lang w:val="bs-Latn-BA"/>
        </w:rPr>
      </w:pPr>
      <w:r w:rsidRPr="008924E0">
        <w:rPr>
          <w:lang w:val="bs-Latn-BA"/>
        </w:rPr>
        <w:t xml:space="preserve">Za procjenu broja zgrada koje će se </w:t>
      </w:r>
      <w:r w:rsidR="00BC23DF">
        <w:rPr>
          <w:lang w:val="bs-Latn-BA"/>
        </w:rPr>
        <w:t>obnoviti</w:t>
      </w:r>
      <w:r w:rsidR="00BC23DF" w:rsidRPr="008924E0">
        <w:rPr>
          <w:lang w:val="bs-Latn-BA"/>
        </w:rPr>
        <w:t xml:space="preserve"> </w:t>
      </w:r>
      <w:r w:rsidRPr="008924E0">
        <w:rPr>
          <w:lang w:val="bs-Latn-BA"/>
        </w:rPr>
        <w:t xml:space="preserve">u pojedinim </w:t>
      </w:r>
      <w:r w:rsidR="00BC23DF">
        <w:rPr>
          <w:lang w:val="bs-Latn-BA"/>
        </w:rPr>
        <w:t>k</w:t>
      </w:r>
      <w:r w:rsidRPr="008924E0">
        <w:rPr>
          <w:lang w:val="bs-Latn-BA"/>
        </w:rPr>
        <w:t xml:space="preserve">antonima, korišteni su podaci o procentualnim udjelima javnih zgrada u kantonima u ukupnom fondu zgrada. </w:t>
      </w:r>
      <w:r w:rsidR="00B17B41" w:rsidRPr="008924E0">
        <w:rPr>
          <w:lang w:val="bs-Latn-BA"/>
        </w:rPr>
        <w:t>Dobiveni</w:t>
      </w:r>
      <w:r w:rsidRPr="008924E0">
        <w:rPr>
          <w:lang w:val="bs-Latn-BA"/>
        </w:rPr>
        <w:t xml:space="preserve"> rezultati su predstavljeni u Tabeli </w:t>
      </w:r>
      <w:r w:rsidR="004F0255" w:rsidRPr="008924E0">
        <w:rPr>
          <w:lang w:val="bs-Latn-BA"/>
        </w:rPr>
        <w:lastRenderedPageBreak/>
        <w:t>6</w:t>
      </w:r>
      <w:r w:rsidRPr="008924E0">
        <w:rPr>
          <w:lang w:val="bs-Latn-BA"/>
        </w:rPr>
        <w:t>.</w:t>
      </w:r>
      <w:r w:rsidR="00084C97" w:rsidRPr="008924E0">
        <w:rPr>
          <w:lang w:val="bs-Latn-BA"/>
        </w:rPr>
        <w:t>2</w:t>
      </w:r>
      <w:r w:rsidR="003C256B">
        <w:rPr>
          <w:lang w:val="bs-Latn-BA"/>
        </w:rPr>
        <w:t>1</w:t>
      </w:r>
      <w:r w:rsidRPr="008924E0">
        <w:rPr>
          <w:lang w:val="bs-Latn-BA"/>
        </w:rPr>
        <w:t>-</w:t>
      </w:r>
      <w:r w:rsidR="004F0255" w:rsidRPr="008924E0">
        <w:rPr>
          <w:lang w:val="bs-Latn-BA"/>
        </w:rPr>
        <w:t>6</w:t>
      </w:r>
      <w:r w:rsidRPr="008924E0">
        <w:rPr>
          <w:lang w:val="bs-Latn-BA"/>
        </w:rPr>
        <w:t>.</w:t>
      </w:r>
      <w:r w:rsidR="00084C97" w:rsidRPr="008924E0">
        <w:rPr>
          <w:lang w:val="bs-Latn-BA"/>
        </w:rPr>
        <w:t>2</w:t>
      </w:r>
      <w:r w:rsidR="003C256B">
        <w:rPr>
          <w:lang w:val="bs-Latn-BA"/>
        </w:rPr>
        <w:t>3</w:t>
      </w:r>
      <w:r w:rsidRPr="008924E0">
        <w:rPr>
          <w:lang w:val="bs-Latn-BA"/>
        </w:rPr>
        <w:t xml:space="preserve">. Za svaki Kanton je napravljena projekcija broja </w:t>
      </w:r>
      <w:r w:rsidR="00BC23DF">
        <w:rPr>
          <w:lang w:val="bs-Latn-BA"/>
        </w:rPr>
        <w:t>obnovljenih</w:t>
      </w:r>
      <w:r w:rsidR="00BC23DF" w:rsidRPr="008924E0">
        <w:rPr>
          <w:lang w:val="bs-Latn-BA"/>
        </w:rPr>
        <w:t xml:space="preserve">  </w:t>
      </w:r>
      <w:r w:rsidRPr="008924E0">
        <w:rPr>
          <w:lang w:val="bs-Latn-BA"/>
        </w:rPr>
        <w:t xml:space="preserve">javnih zgrada i korisne površine zgrada za karakteristične periode od po 10 godina i godišnju </w:t>
      </w:r>
      <w:r w:rsidR="00BC23DF">
        <w:rPr>
          <w:lang w:val="bs-Latn-BA"/>
        </w:rPr>
        <w:t>obnovu</w:t>
      </w:r>
      <w:r w:rsidR="00BC23DF" w:rsidRPr="008924E0">
        <w:rPr>
          <w:lang w:val="bs-Latn-BA"/>
        </w:rPr>
        <w:t xml:space="preserve"> </w:t>
      </w:r>
      <w:r w:rsidRPr="008924E0">
        <w:rPr>
          <w:lang w:val="bs-Latn-BA"/>
        </w:rPr>
        <w:t>2,5 % korisne površine zgrada.</w:t>
      </w:r>
    </w:p>
    <w:p w14:paraId="6F643926" w14:textId="038F8347" w:rsidR="004F0255" w:rsidRPr="008924E0" w:rsidRDefault="004F0255" w:rsidP="004F0255">
      <w:pPr>
        <w:pStyle w:val="Caption"/>
        <w:keepNext/>
      </w:pPr>
      <w:bookmarkStart w:id="130" w:name="_Toc133499566"/>
      <w:r w:rsidRPr="008924E0">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21</w:t>
      </w:r>
      <w:r w:rsidR="00000000">
        <w:rPr>
          <w:noProof/>
        </w:rPr>
        <w:fldChar w:fldCharType="end"/>
      </w:r>
      <w:r w:rsidRPr="008924E0">
        <w:rPr>
          <w:rFonts w:eastAsia="Calibri"/>
          <w:color w:val="000000"/>
        </w:rPr>
        <w:t xml:space="preserve"> Procjena broja javnih zgrada </w:t>
      </w:r>
      <w:r w:rsidR="00BC23DF">
        <w:rPr>
          <w:rFonts w:eastAsia="Calibri"/>
          <w:color w:val="000000"/>
        </w:rPr>
        <w:t>obnovljenih</w:t>
      </w:r>
      <w:r w:rsidR="00BC23DF" w:rsidRPr="008924E0">
        <w:rPr>
          <w:rFonts w:eastAsia="Calibri"/>
          <w:color w:val="000000"/>
        </w:rPr>
        <w:t xml:space="preserve"> </w:t>
      </w:r>
      <w:r w:rsidRPr="008924E0">
        <w:rPr>
          <w:rFonts w:eastAsia="Calibri"/>
          <w:color w:val="000000"/>
        </w:rPr>
        <w:t xml:space="preserve">po </w:t>
      </w:r>
      <w:r w:rsidR="00BC23DF">
        <w:rPr>
          <w:rFonts w:eastAsia="Calibri"/>
          <w:color w:val="000000"/>
        </w:rPr>
        <w:t>k</w:t>
      </w:r>
      <w:r w:rsidRPr="008924E0">
        <w:rPr>
          <w:rFonts w:eastAsia="Calibri"/>
          <w:color w:val="000000"/>
        </w:rPr>
        <w:t>antonima za period do 2050. godine</w:t>
      </w:r>
      <w:bookmarkEnd w:id="130"/>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6F579C" w:rsidRPr="008924E0" w14:paraId="656E45A0" w14:textId="77777777" w:rsidTr="000A1F1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215C3522" w14:textId="77777777" w:rsidR="006F579C" w:rsidRPr="008924E0" w:rsidRDefault="006F579C" w:rsidP="006F579C">
            <w:pPr>
              <w:jc w:val="left"/>
              <w:rPr>
                <w:lang w:val="bs-Latn-BA"/>
              </w:rPr>
            </w:pPr>
            <w:r w:rsidRPr="008924E0">
              <w:rPr>
                <w:lang w:val="bs-Latn-BA"/>
              </w:rPr>
              <w:t>Kanton</w:t>
            </w:r>
          </w:p>
        </w:tc>
        <w:tc>
          <w:tcPr>
            <w:tcW w:w="6130" w:type="dxa"/>
            <w:gridSpan w:val="4"/>
          </w:tcPr>
          <w:p w14:paraId="696F1465" w14:textId="77777777" w:rsidR="006F579C" w:rsidRPr="008924E0" w:rsidRDefault="006F579C" w:rsidP="006F579C">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sidRPr="008924E0">
              <w:rPr>
                <w:rFonts w:ascii="Corbel" w:hAnsi="Corbel" w:cs="Corbel"/>
                <w:lang w:val="bs-Latn-BA"/>
              </w:rPr>
              <w:t>Broj zgrada</w:t>
            </w:r>
          </w:p>
        </w:tc>
      </w:tr>
      <w:tr w:rsidR="006F579C" w:rsidRPr="008924E0" w14:paraId="10807F0A"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5271EA48" w14:textId="77777777" w:rsidR="006F579C" w:rsidRPr="008924E0" w:rsidRDefault="006F579C" w:rsidP="006F579C">
            <w:pPr>
              <w:widowControl w:val="0"/>
              <w:pBdr>
                <w:top w:val="nil"/>
                <w:left w:val="nil"/>
                <w:bottom w:val="nil"/>
                <w:right w:val="nil"/>
                <w:between w:val="nil"/>
              </w:pBdr>
              <w:spacing w:line="276" w:lineRule="auto"/>
              <w:jc w:val="left"/>
              <w:rPr>
                <w:color w:val="000000"/>
                <w:lang w:val="bs-Latn-BA"/>
              </w:rPr>
            </w:pPr>
          </w:p>
        </w:tc>
        <w:tc>
          <w:tcPr>
            <w:tcW w:w="1204" w:type="dxa"/>
          </w:tcPr>
          <w:p w14:paraId="7735C038"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641C0C0B"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2306EAD3"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5B6B588C"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4030E008"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2E0F5F56"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1EC92436"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257EE769"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C23EFC" w:rsidRPr="008924E0" w14:paraId="03FCDCD8" w14:textId="77777777" w:rsidTr="00C23EF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C965895" w14:textId="77777777" w:rsidR="00C23EFC" w:rsidRPr="008924E0" w:rsidRDefault="00C23EFC" w:rsidP="00C23EFC">
            <w:pPr>
              <w:jc w:val="left"/>
              <w:rPr>
                <w:color w:val="000000"/>
                <w:lang w:val="bs-Latn-BA"/>
              </w:rPr>
            </w:pPr>
            <w:r w:rsidRPr="008924E0">
              <w:rPr>
                <w:color w:val="000000"/>
                <w:lang w:val="bs-Latn-BA"/>
              </w:rPr>
              <w:t>Unsko-sanski kanton</w:t>
            </w:r>
          </w:p>
        </w:tc>
        <w:tc>
          <w:tcPr>
            <w:tcW w:w="1204" w:type="dxa"/>
            <w:vAlign w:val="bottom"/>
          </w:tcPr>
          <w:p w14:paraId="1ED11D94" w14:textId="3276456B"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57687B40" w14:textId="7E51E878"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158</w:t>
            </w:r>
          </w:p>
        </w:tc>
        <w:tc>
          <w:tcPr>
            <w:tcW w:w="1642" w:type="dxa"/>
            <w:vAlign w:val="bottom"/>
          </w:tcPr>
          <w:p w14:paraId="5E4D20D6" w14:textId="27503231"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302</w:t>
            </w:r>
          </w:p>
        </w:tc>
        <w:tc>
          <w:tcPr>
            <w:tcW w:w="1642" w:type="dxa"/>
            <w:vAlign w:val="bottom"/>
          </w:tcPr>
          <w:p w14:paraId="4FF1A2BC" w14:textId="4AA2392C"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446</w:t>
            </w:r>
          </w:p>
        </w:tc>
      </w:tr>
      <w:tr w:rsidR="00C23EFC" w:rsidRPr="008924E0" w14:paraId="343F54DE" w14:textId="77777777" w:rsidTr="00C23E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6B0F614" w14:textId="77777777" w:rsidR="00C23EFC" w:rsidRPr="008924E0" w:rsidRDefault="00C23EFC" w:rsidP="00C23EFC">
            <w:pPr>
              <w:jc w:val="left"/>
              <w:rPr>
                <w:color w:val="000000"/>
                <w:lang w:val="bs-Latn-BA"/>
              </w:rPr>
            </w:pPr>
            <w:r w:rsidRPr="008924E0">
              <w:rPr>
                <w:color w:val="000000"/>
                <w:lang w:val="bs-Latn-BA"/>
              </w:rPr>
              <w:t>Posavski kanton</w:t>
            </w:r>
          </w:p>
        </w:tc>
        <w:tc>
          <w:tcPr>
            <w:tcW w:w="1204" w:type="dxa"/>
            <w:vAlign w:val="bottom"/>
          </w:tcPr>
          <w:p w14:paraId="1DDD2C2B" w14:textId="4C782FBD"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48F42B5D" w14:textId="39CC4EEF"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41</w:t>
            </w:r>
          </w:p>
        </w:tc>
        <w:tc>
          <w:tcPr>
            <w:tcW w:w="1642" w:type="dxa"/>
            <w:vAlign w:val="bottom"/>
          </w:tcPr>
          <w:p w14:paraId="5A305C09" w14:textId="6DFD0887"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78</w:t>
            </w:r>
          </w:p>
        </w:tc>
        <w:tc>
          <w:tcPr>
            <w:tcW w:w="1642" w:type="dxa"/>
            <w:vAlign w:val="bottom"/>
          </w:tcPr>
          <w:p w14:paraId="0C47A987" w14:textId="1F3D1DDA"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115</w:t>
            </w:r>
          </w:p>
        </w:tc>
      </w:tr>
      <w:tr w:rsidR="00C23EFC" w:rsidRPr="008924E0" w14:paraId="44B91338" w14:textId="77777777" w:rsidTr="00C23EF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CA7A4A8" w14:textId="77777777" w:rsidR="00C23EFC" w:rsidRPr="008924E0" w:rsidRDefault="00C23EFC" w:rsidP="00C23EFC">
            <w:pPr>
              <w:jc w:val="left"/>
              <w:rPr>
                <w:color w:val="000000"/>
                <w:lang w:val="bs-Latn-BA"/>
              </w:rPr>
            </w:pPr>
            <w:r w:rsidRPr="008924E0">
              <w:rPr>
                <w:color w:val="000000"/>
                <w:lang w:val="bs-Latn-BA"/>
              </w:rPr>
              <w:t>Tuzlanski kanton</w:t>
            </w:r>
          </w:p>
        </w:tc>
        <w:tc>
          <w:tcPr>
            <w:tcW w:w="1204" w:type="dxa"/>
            <w:vAlign w:val="bottom"/>
          </w:tcPr>
          <w:p w14:paraId="4664C355" w14:textId="06AF02F3"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22A668ED" w14:textId="0310D416"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263</w:t>
            </w:r>
          </w:p>
        </w:tc>
        <w:tc>
          <w:tcPr>
            <w:tcW w:w="1642" w:type="dxa"/>
            <w:vAlign w:val="bottom"/>
          </w:tcPr>
          <w:p w14:paraId="651405CA" w14:textId="37A4FF1F"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502</w:t>
            </w:r>
          </w:p>
        </w:tc>
        <w:tc>
          <w:tcPr>
            <w:tcW w:w="1642" w:type="dxa"/>
            <w:vAlign w:val="bottom"/>
          </w:tcPr>
          <w:p w14:paraId="4C2F1157" w14:textId="4FDC2BC5"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740</w:t>
            </w:r>
          </w:p>
        </w:tc>
      </w:tr>
      <w:tr w:rsidR="00C23EFC" w:rsidRPr="008924E0" w14:paraId="6C7C0917" w14:textId="77777777" w:rsidTr="00C23E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B23124E" w14:textId="77777777" w:rsidR="00C23EFC" w:rsidRPr="008924E0" w:rsidRDefault="00C23EFC" w:rsidP="00C23EFC">
            <w:pPr>
              <w:jc w:val="left"/>
              <w:rPr>
                <w:color w:val="000000"/>
                <w:lang w:val="bs-Latn-BA"/>
              </w:rPr>
            </w:pPr>
            <w:r w:rsidRPr="008924E0">
              <w:rPr>
                <w:color w:val="000000"/>
                <w:lang w:val="bs-Latn-BA"/>
              </w:rPr>
              <w:t>Zeničko-dobojski kanton</w:t>
            </w:r>
          </w:p>
        </w:tc>
        <w:tc>
          <w:tcPr>
            <w:tcW w:w="1204" w:type="dxa"/>
            <w:vAlign w:val="bottom"/>
          </w:tcPr>
          <w:p w14:paraId="5B81EE56" w14:textId="4C87F770"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22A13555" w14:textId="172C597C"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225</w:t>
            </w:r>
          </w:p>
        </w:tc>
        <w:tc>
          <w:tcPr>
            <w:tcW w:w="1642" w:type="dxa"/>
            <w:vAlign w:val="bottom"/>
          </w:tcPr>
          <w:p w14:paraId="1D87BA6C" w14:textId="1B719CB3"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429</w:t>
            </w:r>
          </w:p>
        </w:tc>
        <w:tc>
          <w:tcPr>
            <w:tcW w:w="1642" w:type="dxa"/>
            <w:vAlign w:val="bottom"/>
          </w:tcPr>
          <w:p w14:paraId="7B079214" w14:textId="709550C5"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633</w:t>
            </w:r>
          </w:p>
        </w:tc>
      </w:tr>
      <w:tr w:rsidR="00C23EFC" w:rsidRPr="008924E0" w14:paraId="4A4B6194" w14:textId="77777777" w:rsidTr="00C23EF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D75B30F" w14:textId="77777777" w:rsidR="00C23EFC" w:rsidRPr="008924E0" w:rsidRDefault="00C23EFC" w:rsidP="00C23EFC">
            <w:pPr>
              <w:jc w:val="left"/>
              <w:rPr>
                <w:color w:val="000000"/>
                <w:lang w:val="bs-Latn-BA"/>
              </w:rPr>
            </w:pPr>
            <w:r w:rsidRPr="008924E0">
              <w:rPr>
                <w:color w:val="000000"/>
                <w:lang w:val="bs-Latn-BA"/>
              </w:rPr>
              <w:t>Bosansko-podrinjski kanton</w:t>
            </w:r>
          </w:p>
        </w:tc>
        <w:tc>
          <w:tcPr>
            <w:tcW w:w="1204" w:type="dxa"/>
            <w:vAlign w:val="bottom"/>
          </w:tcPr>
          <w:p w14:paraId="57634274" w14:textId="2B489C4A"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15F94DA9" w14:textId="1BA08D24"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25</w:t>
            </w:r>
          </w:p>
        </w:tc>
        <w:tc>
          <w:tcPr>
            <w:tcW w:w="1642" w:type="dxa"/>
            <w:vAlign w:val="bottom"/>
          </w:tcPr>
          <w:p w14:paraId="182506FE" w14:textId="795351C7"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47</w:t>
            </w:r>
          </w:p>
        </w:tc>
        <w:tc>
          <w:tcPr>
            <w:tcW w:w="1642" w:type="dxa"/>
            <w:vAlign w:val="bottom"/>
          </w:tcPr>
          <w:p w14:paraId="5F89F365" w14:textId="0C7525E0"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69</w:t>
            </w:r>
          </w:p>
        </w:tc>
      </w:tr>
      <w:tr w:rsidR="00C23EFC" w:rsidRPr="008924E0" w14:paraId="58A696C3" w14:textId="77777777" w:rsidTr="00C23E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8EB3638" w14:textId="77777777" w:rsidR="00C23EFC" w:rsidRPr="008924E0" w:rsidRDefault="00C23EFC" w:rsidP="00C23EFC">
            <w:pPr>
              <w:jc w:val="left"/>
              <w:rPr>
                <w:color w:val="000000"/>
                <w:lang w:val="bs-Latn-BA"/>
              </w:rPr>
            </w:pPr>
            <w:r w:rsidRPr="008924E0">
              <w:rPr>
                <w:color w:val="000000"/>
                <w:lang w:val="bs-Latn-BA"/>
              </w:rPr>
              <w:t>Srednjobosanski kanton</w:t>
            </w:r>
          </w:p>
        </w:tc>
        <w:tc>
          <w:tcPr>
            <w:tcW w:w="1204" w:type="dxa"/>
            <w:vAlign w:val="bottom"/>
          </w:tcPr>
          <w:p w14:paraId="028BD8D1" w14:textId="053AA91E"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4A096E91" w14:textId="367693DA"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136</w:t>
            </w:r>
          </w:p>
        </w:tc>
        <w:tc>
          <w:tcPr>
            <w:tcW w:w="1642" w:type="dxa"/>
            <w:vAlign w:val="bottom"/>
          </w:tcPr>
          <w:p w14:paraId="66E383B2" w14:textId="7E12F59F"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260</w:t>
            </w:r>
          </w:p>
        </w:tc>
        <w:tc>
          <w:tcPr>
            <w:tcW w:w="1642" w:type="dxa"/>
            <w:vAlign w:val="bottom"/>
          </w:tcPr>
          <w:p w14:paraId="41403E66" w14:textId="3865D663"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383</w:t>
            </w:r>
          </w:p>
        </w:tc>
      </w:tr>
      <w:tr w:rsidR="00C23EFC" w:rsidRPr="008924E0" w14:paraId="1EAEF13C" w14:textId="77777777" w:rsidTr="00C23EF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9F28A2A" w14:textId="77777777" w:rsidR="00C23EFC" w:rsidRPr="008924E0" w:rsidRDefault="00C23EFC" w:rsidP="00C23EFC">
            <w:pPr>
              <w:jc w:val="left"/>
              <w:rPr>
                <w:color w:val="000000"/>
                <w:lang w:val="bs-Latn-BA"/>
              </w:rPr>
            </w:pPr>
            <w:r w:rsidRPr="008924E0">
              <w:rPr>
                <w:color w:val="000000"/>
                <w:lang w:val="bs-Latn-BA"/>
              </w:rPr>
              <w:t>Hercegovačko-neretvanski kanton</w:t>
            </w:r>
          </w:p>
        </w:tc>
        <w:tc>
          <w:tcPr>
            <w:tcW w:w="1204" w:type="dxa"/>
            <w:vAlign w:val="bottom"/>
          </w:tcPr>
          <w:p w14:paraId="38AB2023" w14:textId="35DE7719"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17FC9F02" w14:textId="328BB979"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173</w:t>
            </w:r>
          </w:p>
        </w:tc>
        <w:tc>
          <w:tcPr>
            <w:tcW w:w="1642" w:type="dxa"/>
            <w:vAlign w:val="bottom"/>
          </w:tcPr>
          <w:p w14:paraId="516CBD5B" w14:textId="3557240F"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331</w:t>
            </w:r>
          </w:p>
        </w:tc>
        <w:tc>
          <w:tcPr>
            <w:tcW w:w="1642" w:type="dxa"/>
            <w:vAlign w:val="bottom"/>
          </w:tcPr>
          <w:p w14:paraId="53A93DA6" w14:textId="6B0F29C4"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488</w:t>
            </w:r>
          </w:p>
        </w:tc>
      </w:tr>
      <w:tr w:rsidR="00C23EFC" w:rsidRPr="008924E0" w14:paraId="24EE43C5" w14:textId="77777777" w:rsidTr="00C23E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8693BCD" w14:textId="77777777" w:rsidR="00C23EFC" w:rsidRPr="008924E0" w:rsidRDefault="00C23EFC" w:rsidP="00C23EFC">
            <w:pPr>
              <w:jc w:val="left"/>
              <w:rPr>
                <w:color w:val="000000"/>
                <w:lang w:val="bs-Latn-BA"/>
              </w:rPr>
            </w:pPr>
            <w:r w:rsidRPr="008924E0">
              <w:rPr>
                <w:color w:val="000000"/>
                <w:lang w:val="bs-Latn-BA"/>
              </w:rPr>
              <w:t>Zapadnohercegovački kanton</w:t>
            </w:r>
          </w:p>
        </w:tc>
        <w:tc>
          <w:tcPr>
            <w:tcW w:w="1204" w:type="dxa"/>
            <w:vAlign w:val="bottom"/>
          </w:tcPr>
          <w:p w14:paraId="3827F95F" w14:textId="3FC227A2"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70967971" w14:textId="16774D31"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59</w:t>
            </w:r>
          </w:p>
        </w:tc>
        <w:tc>
          <w:tcPr>
            <w:tcW w:w="1642" w:type="dxa"/>
            <w:vAlign w:val="bottom"/>
          </w:tcPr>
          <w:p w14:paraId="57BDCC46" w14:textId="79D91462"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113</w:t>
            </w:r>
          </w:p>
        </w:tc>
        <w:tc>
          <w:tcPr>
            <w:tcW w:w="1642" w:type="dxa"/>
            <w:vAlign w:val="bottom"/>
          </w:tcPr>
          <w:p w14:paraId="27528CBF" w14:textId="17EFEDAA"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167</w:t>
            </w:r>
          </w:p>
        </w:tc>
      </w:tr>
      <w:tr w:rsidR="00C23EFC" w:rsidRPr="008924E0" w14:paraId="659796EB" w14:textId="77777777" w:rsidTr="00C23EF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3AAA1E0" w14:textId="77777777" w:rsidR="00C23EFC" w:rsidRPr="008924E0" w:rsidRDefault="00C23EFC" w:rsidP="00C23EFC">
            <w:pPr>
              <w:jc w:val="left"/>
              <w:rPr>
                <w:color w:val="000000"/>
                <w:lang w:val="bs-Latn-BA"/>
              </w:rPr>
            </w:pPr>
            <w:r w:rsidRPr="008924E0">
              <w:rPr>
                <w:color w:val="000000"/>
                <w:lang w:val="bs-Latn-BA"/>
              </w:rPr>
              <w:t>Kanton Sarajevo</w:t>
            </w:r>
          </w:p>
        </w:tc>
        <w:tc>
          <w:tcPr>
            <w:tcW w:w="1204" w:type="dxa"/>
            <w:vAlign w:val="bottom"/>
          </w:tcPr>
          <w:p w14:paraId="2410E8E4" w14:textId="6A7D422F"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37C3367D" w14:textId="62610473"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169</w:t>
            </w:r>
          </w:p>
        </w:tc>
        <w:tc>
          <w:tcPr>
            <w:tcW w:w="1642" w:type="dxa"/>
            <w:vAlign w:val="bottom"/>
          </w:tcPr>
          <w:p w14:paraId="570E3413" w14:textId="3EF4A7E3"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322</w:t>
            </w:r>
          </w:p>
        </w:tc>
        <w:tc>
          <w:tcPr>
            <w:tcW w:w="1642" w:type="dxa"/>
            <w:vAlign w:val="bottom"/>
          </w:tcPr>
          <w:p w14:paraId="56F08E80" w14:textId="4AD98FD3" w:rsidR="00C23EFC" w:rsidRPr="00C23EFC"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C23EFC">
              <w:rPr>
                <w:color w:val="000000"/>
              </w:rPr>
              <w:t>475</w:t>
            </w:r>
          </w:p>
        </w:tc>
      </w:tr>
      <w:tr w:rsidR="00C23EFC" w:rsidRPr="008924E0" w14:paraId="4674DF73" w14:textId="77777777" w:rsidTr="00C23EF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385AE16" w14:textId="77777777" w:rsidR="00C23EFC" w:rsidRPr="008924E0" w:rsidRDefault="00C23EFC" w:rsidP="00C23EFC">
            <w:pPr>
              <w:jc w:val="left"/>
              <w:rPr>
                <w:color w:val="000000"/>
                <w:lang w:val="bs-Latn-BA"/>
              </w:rPr>
            </w:pPr>
            <w:r w:rsidRPr="008924E0">
              <w:rPr>
                <w:color w:val="000000"/>
                <w:lang w:val="bs-Latn-BA"/>
              </w:rPr>
              <w:t>Kanton 10</w:t>
            </w:r>
          </w:p>
        </w:tc>
        <w:tc>
          <w:tcPr>
            <w:tcW w:w="1204" w:type="dxa"/>
            <w:vAlign w:val="bottom"/>
          </w:tcPr>
          <w:p w14:paraId="3A742702" w14:textId="176F5BC2"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0</w:t>
            </w:r>
          </w:p>
        </w:tc>
        <w:tc>
          <w:tcPr>
            <w:tcW w:w="1642" w:type="dxa"/>
            <w:vAlign w:val="bottom"/>
          </w:tcPr>
          <w:p w14:paraId="1509473A" w14:textId="261FED9B"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61</w:t>
            </w:r>
          </w:p>
        </w:tc>
        <w:tc>
          <w:tcPr>
            <w:tcW w:w="1642" w:type="dxa"/>
            <w:vAlign w:val="bottom"/>
          </w:tcPr>
          <w:p w14:paraId="1FFE4B32" w14:textId="31EB1BC4"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116</w:t>
            </w:r>
          </w:p>
        </w:tc>
        <w:tc>
          <w:tcPr>
            <w:tcW w:w="1642" w:type="dxa"/>
            <w:vAlign w:val="bottom"/>
          </w:tcPr>
          <w:p w14:paraId="79978FCF" w14:textId="2394FA7B" w:rsidR="00C23EFC" w:rsidRPr="00C23EFC" w:rsidRDefault="00C23EFC" w:rsidP="00C23EFC">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C23EFC">
              <w:rPr>
                <w:color w:val="000000"/>
              </w:rPr>
              <w:t>172</w:t>
            </w:r>
          </w:p>
        </w:tc>
      </w:tr>
      <w:tr w:rsidR="00C23EFC" w:rsidRPr="008924E0" w14:paraId="2F648CAF" w14:textId="77777777" w:rsidTr="00C23EFC">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CAD244F" w14:textId="77777777" w:rsidR="00C23EFC" w:rsidRPr="008924E0" w:rsidRDefault="00C23EFC" w:rsidP="00C23EFC">
            <w:pPr>
              <w:jc w:val="left"/>
              <w:rPr>
                <w:color w:val="000000"/>
                <w:lang w:val="bs-Latn-BA"/>
              </w:rPr>
            </w:pPr>
            <w:r w:rsidRPr="008924E0">
              <w:rPr>
                <w:color w:val="000000"/>
                <w:lang w:val="bs-Latn-BA"/>
              </w:rPr>
              <w:t>Ukupno</w:t>
            </w:r>
          </w:p>
        </w:tc>
        <w:tc>
          <w:tcPr>
            <w:tcW w:w="1204" w:type="dxa"/>
            <w:vAlign w:val="bottom"/>
          </w:tcPr>
          <w:p w14:paraId="6956A2E5" w14:textId="255A1714" w:rsidR="00C23EFC" w:rsidRPr="006070B3"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94355D">
              <w:rPr>
                <w:b/>
                <w:bCs/>
                <w:color w:val="000000"/>
              </w:rPr>
              <w:t>0</w:t>
            </w:r>
          </w:p>
        </w:tc>
        <w:tc>
          <w:tcPr>
            <w:tcW w:w="1642" w:type="dxa"/>
            <w:vAlign w:val="bottom"/>
          </w:tcPr>
          <w:p w14:paraId="3BB40DDF" w14:textId="0C341E4E" w:rsidR="00C23EFC" w:rsidRPr="006070B3"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94355D">
              <w:rPr>
                <w:b/>
                <w:bCs/>
                <w:color w:val="000000"/>
              </w:rPr>
              <w:t>1.309</w:t>
            </w:r>
          </w:p>
        </w:tc>
        <w:tc>
          <w:tcPr>
            <w:tcW w:w="1642" w:type="dxa"/>
            <w:vAlign w:val="bottom"/>
          </w:tcPr>
          <w:p w14:paraId="05850652" w14:textId="467B471D" w:rsidR="00C23EFC" w:rsidRPr="006070B3"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94355D">
              <w:rPr>
                <w:b/>
                <w:bCs/>
                <w:color w:val="000000"/>
              </w:rPr>
              <w:t>2.499</w:t>
            </w:r>
          </w:p>
        </w:tc>
        <w:tc>
          <w:tcPr>
            <w:tcW w:w="1642" w:type="dxa"/>
            <w:vAlign w:val="bottom"/>
          </w:tcPr>
          <w:p w14:paraId="5B503741" w14:textId="026406E5" w:rsidR="00C23EFC" w:rsidRPr="006070B3" w:rsidRDefault="00C23EFC" w:rsidP="00C23EFC">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94355D">
              <w:rPr>
                <w:b/>
                <w:bCs/>
                <w:color w:val="000000"/>
              </w:rPr>
              <w:t>3.689</w:t>
            </w:r>
          </w:p>
        </w:tc>
      </w:tr>
    </w:tbl>
    <w:p w14:paraId="2949545F" w14:textId="069010A2" w:rsidR="006F579C" w:rsidRPr="008924E0" w:rsidRDefault="006F579C" w:rsidP="006F579C">
      <w:pPr>
        <w:keepNext/>
        <w:pBdr>
          <w:top w:val="nil"/>
          <w:left w:val="nil"/>
          <w:bottom w:val="nil"/>
          <w:right w:val="nil"/>
          <w:between w:val="nil"/>
        </w:pBdr>
        <w:spacing w:after="200" w:line="240" w:lineRule="auto"/>
        <w:jc w:val="left"/>
        <w:rPr>
          <w:rFonts w:eastAsia="Calibri"/>
          <w:i/>
          <w:color w:val="000000"/>
          <w:lang w:val="bs-Latn-BA"/>
        </w:rPr>
      </w:pPr>
    </w:p>
    <w:p w14:paraId="591532CC" w14:textId="7E8B5D9D" w:rsidR="004F0255" w:rsidRPr="008924E0" w:rsidRDefault="004F0255" w:rsidP="004F0255">
      <w:pPr>
        <w:pStyle w:val="Caption"/>
        <w:keepNext/>
      </w:pPr>
      <w:bookmarkStart w:id="131" w:name="_Toc133499567"/>
      <w:r w:rsidRPr="008924E0">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22</w:t>
        </w:r>
      </w:fldSimple>
      <w:r w:rsidRPr="008924E0">
        <w:rPr>
          <w:rFonts w:eastAsia="Calibri"/>
          <w:color w:val="000000"/>
        </w:rPr>
        <w:t xml:space="preserve"> Procjena korisne grijane površine javnih zgrada </w:t>
      </w:r>
      <w:r w:rsidR="00BC23DF">
        <w:rPr>
          <w:rFonts w:eastAsia="Calibri"/>
          <w:color w:val="000000"/>
        </w:rPr>
        <w:t>obnovljenih</w:t>
      </w:r>
      <w:r w:rsidR="00BC23DF" w:rsidRPr="008924E0">
        <w:rPr>
          <w:rFonts w:eastAsia="Calibri"/>
          <w:color w:val="000000"/>
        </w:rPr>
        <w:t xml:space="preserve"> </w:t>
      </w:r>
      <w:r w:rsidRPr="008924E0">
        <w:rPr>
          <w:rFonts w:eastAsia="Calibri"/>
          <w:color w:val="000000"/>
        </w:rPr>
        <w:t xml:space="preserve">po </w:t>
      </w:r>
      <w:r w:rsidR="00BC23DF">
        <w:rPr>
          <w:rFonts w:eastAsia="Calibri"/>
          <w:color w:val="000000"/>
        </w:rPr>
        <w:t>k</w:t>
      </w:r>
      <w:r w:rsidRPr="008924E0">
        <w:rPr>
          <w:rFonts w:eastAsia="Calibri"/>
          <w:color w:val="000000"/>
        </w:rPr>
        <w:t>antonima za period do 2050. godine</w:t>
      </w:r>
      <w:bookmarkEnd w:id="131"/>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6F579C" w:rsidRPr="001972F5" w14:paraId="511A9AC0" w14:textId="77777777" w:rsidTr="000A1F18">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7D369840" w14:textId="77777777" w:rsidR="006F579C" w:rsidRPr="008924E0" w:rsidRDefault="006F579C" w:rsidP="006F579C">
            <w:pPr>
              <w:jc w:val="left"/>
              <w:rPr>
                <w:lang w:val="bs-Latn-BA"/>
              </w:rPr>
            </w:pPr>
            <w:r w:rsidRPr="008924E0">
              <w:rPr>
                <w:lang w:val="bs-Latn-BA"/>
              </w:rPr>
              <w:t>Kanton</w:t>
            </w:r>
          </w:p>
        </w:tc>
        <w:tc>
          <w:tcPr>
            <w:tcW w:w="6130" w:type="dxa"/>
            <w:gridSpan w:val="4"/>
          </w:tcPr>
          <w:p w14:paraId="327BC3FD" w14:textId="66DFB09A" w:rsidR="006F579C" w:rsidRPr="008924E0" w:rsidRDefault="00F8605C" w:rsidP="006F579C">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Pr>
                <w:rFonts w:eastAsia="Calibri"/>
                <w:lang w:val="bs-Latn-BA"/>
              </w:rPr>
              <w:t>Obnovljena</w:t>
            </w:r>
            <w:r w:rsidRPr="008924E0">
              <w:rPr>
                <w:rFonts w:eastAsia="Calibri"/>
                <w:lang w:val="bs-Latn-BA"/>
              </w:rPr>
              <w:t xml:space="preserve"> </w:t>
            </w:r>
            <w:r w:rsidR="006F579C" w:rsidRPr="008924E0">
              <w:rPr>
                <w:rFonts w:eastAsia="Calibri"/>
                <w:lang w:val="bs-Latn-BA"/>
              </w:rPr>
              <w:t>korisna grijana površina, m</w:t>
            </w:r>
            <w:r w:rsidR="006F579C" w:rsidRPr="008924E0">
              <w:rPr>
                <w:rFonts w:eastAsia="Calibri"/>
                <w:vertAlign w:val="superscript"/>
                <w:lang w:val="bs-Latn-BA"/>
              </w:rPr>
              <w:t>2</w:t>
            </w:r>
          </w:p>
        </w:tc>
      </w:tr>
      <w:tr w:rsidR="006F579C" w:rsidRPr="008924E0" w14:paraId="06BD53DE" w14:textId="77777777" w:rsidTr="000A1F1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04AF896D" w14:textId="77777777" w:rsidR="006F579C" w:rsidRPr="008924E0" w:rsidRDefault="006F579C" w:rsidP="006F579C">
            <w:pPr>
              <w:widowControl w:val="0"/>
              <w:pBdr>
                <w:top w:val="nil"/>
                <w:left w:val="nil"/>
                <w:bottom w:val="nil"/>
                <w:right w:val="nil"/>
                <w:between w:val="nil"/>
              </w:pBdr>
              <w:spacing w:line="276" w:lineRule="auto"/>
              <w:jc w:val="left"/>
              <w:rPr>
                <w:color w:val="000000"/>
                <w:lang w:val="bs-Latn-BA"/>
              </w:rPr>
            </w:pPr>
          </w:p>
        </w:tc>
        <w:tc>
          <w:tcPr>
            <w:tcW w:w="1204" w:type="dxa"/>
          </w:tcPr>
          <w:p w14:paraId="5D37CD9F"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40D8415A"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434FE573"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6B2238C1"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1AE82500"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56E01F3B"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6F1AF70B"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78844E50" w14:textId="77777777" w:rsidR="006F579C" w:rsidRPr="008924E0" w:rsidRDefault="006F579C" w:rsidP="006F579C">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6070B3" w:rsidRPr="008924E0" w14:paraId="3B57AE1B"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847286B" w14:textId="77777777" w:rsidR="006070B3" w:rsidRPr="008924E0" w:rsidRDefault="006070B3" w:rsidP="006070B3">
            <w:pPr>
              <w:jc w:val="left"/>
              <w:rPr>
                <w:color w:val="000000"/>
                <w:lang w:val="bs-Latn-BA"/>
              </w:rPr>
            </w:pPr>
            <w:r w:rsidRPr="008924E0">
              <w:rPr>
                <w:color w:val="000000"/>
                <w:lang w:val="bs-Latn-BA"/>
              </w:rPr>
              <w:t>Unsko-sanski kanton</w:t>
            </w:r>
          </w:p>
        </w:tc>
        <w:tc>
          <w:tcPr>
            <w:tcW w:w="1204" w:type="dxa"/>
            <w:vAlign w:val="bottom"/>
          </w:tcPr>
          <w:p w14:paraId="4CE65043" w14:textId="7F222C52"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3AA1E771" w14:textId="5D0B47B7"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187.129</w:t>
            </w:r>
          </w:p>
        </w:tc>
        <w:tc>
          <w:tcPr>
            <w:tcW w:w="1642" w:type="dxa"/>
            <w:vAlign w:val="bottom"/>
          </w:tcPr>
          <w:p w14:paraId="7038B05E" w14:textId="14CB1020"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357.247</w:t>
            </w:r>
          </w:p>
        </w:tc>
        <w:tc>
          <w:tcPr>
            <w:tcW w:w="1642" w:type="dxa"/>
            <w:vAlign w:val="bottom"/>
          </w:tcPr>
          <w:p w14:paraId="49D2E994" w14:textId="4D364A88"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527.364</w:t>
            </w:r>
          </w:p>
        </w:tc>
      </w:tr>
      <w:tr w:rsidR="006070B3" w:rsidRPr="008924E0" w14:paraId="01C6D67A"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DBF0565" w14:textId="77777777" w:rsidR="006070B3" w:rsidRPr="008924E0" w:rsidRDefault="006070B3" w:rsidP="006070B3">
            <w:pPr>
              <w:jc w:val="left"/>
              <w:rPr>
                <w:color w:val="000000"/>
                <w:lang w:val="bs-Latn-BA"/>
              </w:rPr>
            </w:pPr>
            <w:r w:rsidRPr="008924E0">
              <w:rPr>
                <w:color w:val="000000"/>
                <w:lang w:val="bs-Latn-BA"/>
              </w:rPr>
              <w:t>Posavski kanton</w:t>
            </w:r>
          </w:p>
        </w:tc>
        <w:tc>
          <w:tcPr>
            <w:tcW w:w="1204" w:type="dxa"/>
            <w:vAlign w:val="bottom"/>
          </w:tcPr>
          <w:p w14:paraId="143EC764" w14:textId="36D61202"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4773F6AF" w14:textId="4D7D9EF5"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48.359</w:t>
            </w:r>
          </w:p>
        </w:tc>
        <w:tc>
          <w:tcPr>
            <w:tcW w:w="1642" w:type="dxa"/>
            <w:vAlign w:val="bottom"/>
          </w:tcPr>
          <w:p w14:paraId="46CB699F" w14:textId="6747FABD"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92.322</w:t>
            </w:r>
          </w:p>
        </w:tc>
        <w:tc>
          <w:tcPr>
            <w:tcW w:w="1642" w:type="dxa"/>
            <w:vAlign w:val="bottom"/>
          </w:tcPr>
          <w:p w14:paraId="049FCEA2" w14:textId="4F6B076A"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136.285</w:t>
            </w:r>
          </w:p>
        </w:tc>
      </w:tr>
      <w:tr w:rsidR="006070B3" w:rsidRPr="008924E0" w14:paraId="6E4F5B5C"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41EAD95" w14:textId="77777777" w:rsidR="006070B3" w:rsidRPr="008924E0" w:rsidRDefault="006070B3" w:rsidP="006070B3">
            <w:pPr>
              <w:jc w:val="left"/>
              <w:rPr>
                <w:color w:val="000000"/>
                <w:lang w:val="bs-Latn-BA"/>
              </w:rPr>
            </w:pPr>
            <w:r w:rsidRPr="008924E0">
              <w:rPr>
                <w:color w:val="000000"/>
                <w:lang w:val="bs-Latn-BA"/>
              </w:rPr>
              <w:t>Tuzlanski kanton</w:t>
            </w:r>
          </w:p>
        </w:tc>
        <w:tc>
          <w:tcPr>
            <w:tcW w:w="1204" w:type="dxa"/>
            <w:vAlign w:val="bottom"/>
          </w:tcPr>
          <w:p w14:paraId="67F60DDD" w14:textId="580856C8"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657EB4DE" w14:textId="52F6185D"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310.831</w:t>
            </w:r>
          </w:p>
        </w:tc>
        <w:tc>
          <w:tcPr>
            <w:tcW w:w="1642" w:type="dxa"/>
            <w:vAlign w:val="bottom"/>
          </w:tcPr>
          <w:p w14:paraId="48EDA3D5" w14:textId="46117C3B"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593.404</w:t>
            </w:r>
          </w:p>
        </w:tc>
        <w:tc>
          <w:tcPr>
            <w:tcW w:w="1642" w:type="dxa"/>
            <w:vAlign w:val="bottom"/>
          </w:tcPr>
          <w:p w14:paraId="5FB2ED88" w14:textId="27D7B21C"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875.977</w:t>
            </w:r>
          </w:p>
        </w:tc>
      </w:tr>
      <w:tr w:rsidR="006070B3" w:rsidRPr="008924E0" w14:paraId="1560E8A5"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570DA45" w14:textId="77777777" w:rsidR="006070B3" w:rsidRPr="008924E0" w:rsidRDefault="006070B3" w:rsidP="006070B3">
            <w:pPr>
              <w:jc w:val="left"/>
              <w:rPr>
                <w:color w:val="000000"/>
                <w:lang w:val="bs-Latn-BA"/>
              </w:rPr>
            </w:pPr>
            <w:r w:rsidRPr="008924E0">
              <w:rPr>
                <w:color w:val="000000"/>
                <w:lang w:val="bs-Latn-BA"/>
              </w:rPr>
              <w:t>Zeničko-dobojski kanton</w:t>
            </w:r>
          </w:p>
        </w:tc>
        <w:tc>
          <w:tcPr>
            <w:tcW w:w="1204" w:type="dxa"/>
            <w:vAlign w:val="bottom"/>
          </w:tcPr>
          <w:p w14:paraId="05728108" w14:textId="18D8AB60"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14CCBC0B" w14:textId="4B333520"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265.625</w:t>
            </w:r>
          </w:p>
        </w:tc>
        <w:tc>
          <w:tcPr>
            <w:tcW w:w="1642" w:type="dxa"/>
            <w:vAlign w:val="bottom"/>
          </w:tcPr>
          <w:p w14:paraId="0D56A4F3" w14:textId="0689EFC2"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507.103</w:t>
            </w:r>
          </w:p>
        </w:tc>
        <w:tc>
          <w:tcPr>
            <w:tcW w:w="1642" w:type="dxa"/>
            <w:vAlign w:val="bottom"/>
          </w:tcPr>
          <w:p w14:paraId="5002C589" w14:textId="74BFA4DD"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748.580</w:t>
            </w:r>
          </w:p>
        </w:tc>
      </w:tr>
      <w:tr w:rsidR="006070B3" w:rsidRPr="008924E0" w14:paraId="5EF40ED4"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1C9CD8B" w14:textId="77777777" w:rsidR="006070B3" w:rsidRPr="008924E0" w:rsidRDefault="006070B3" w:rsidP="006070B3">
            <w:pPr>
              <w:jc w:val="left"/>
              <w:rPr>
                <w:color w:val="000000"/>
                <w:lang w:val="bs-Latn-BA"/>
              </w:rPr>
            </w:pPr>
            <w:r w:rsidRPr="008924E0">
              <w:rPr>
                <w:color w:val="000000"/>
                <w:lang w:val="bs-Latn-BA"/>
              </w:rPr>
              <w:t>Bosansko-podrinjski kanton</w:t>
            </w:r>
          </w:p>
        </w:tc>
        <w:tc>
          <w:tcPr>
            <w:tcW w:w="1204" w:type="dxa"/>
            <w:vAlign w:val="bottom"/>
          </w:tcPr>
          <w:p w14:paraId="75DF31E6" w14:textId="7724A5BF"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0E8A2DAF" w14:textId="53F78D24"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29.086</w:t>
            </w:r>
          </w:p>
        </w:tc>
        <w:tc>
          <w:tcPr>
            <w:tcW w:w="1642" w:type="dxa"/>
            <w:vAlign w:val="bottom"/>
          </w:tcPr>
          <w:p w14:paraId="6607400E" w14:textId="5AEE888D"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55.527</w:t>
            </w:r>
          </w:p>
        </w:tc>
        <w:tc>
          <w:tcPr>
            <w:tcW w:w="1642" w:type="dxa"/>
            <w:vAlign w:val="bottom"/>
          </w:tcPr>
          <w:p w14:paraId="3F313CBE" w14:textId="0BF96756"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81.969</w:t>
            </w:r>
          </w:p>
        </w:tc>
      </w:tr>
      <w:tr w:rsidR="006070B3" w:rsidRPr="008924E0" w14:paraId="0C38DAA6"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3E9B1A2" w14:textId="77777777" w:rsidR="006070B3" w:rsidRPr="008924E0" w:rsidRDefault="006070B3" w:rsidP="006070B3">
            <w:pPr>
              <w:jc w:val="left"/>
              <w:rPr>
                <w:color w:val="000000"/>
                <w:lang w:val="bs-Latn-BA"/>
              </w:rPr>
            </w:pPr>
            <w:r w:rsidRPr="008924E0">
              <w:rPr>
                <w:color w:val="000000"/>
                <w:lang w:val="bs-Latn-BA"/>
              </w:rPr>
              <w:t>Srednjobosanski kanton</w:t>
            </w:r>
          </w:p>
        </w:tc>
        <w:tc>
          <w:tcPr>
            <w:tcW w:w="1204" w:type="dxa"/>
            <w:vAlign w:val="bottom"/>
          </w:tcPr>
          <w:p w14:paraId="47506CCB" w14:textId="79FE071C"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736A7286" w14:textId="2163B835"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160.847</w:t>
            </w:r>
          </w:p>
        </w:tc>
        <w:tc>
          <w:tcPr>
            <w:tcW w:w="1642" w:type="dxa"/>
            <w:vAlign w:val="bottom"/>
          </w:tcPr>
          <w:p w14:paraId="55B86328" w14:textId="099E86A0"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307.071</w:t>
            </w:r>
          </w:p>
        </w:tc>
        <w:tc>
          <w:tcPr>
            <w:tcW w:w="1642" w:type="dxa"/>
            <w:vAlign w:val="bottom"/>
          </w:tcPr>
          <w:p w14:paraId="1DC0E5B4" w14:textId="219F5289"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453.296</w:t>
            </w:r>
          </w:p>
        </w:tc>
      </w:tr>
      <w:tr w:rsidR="006070B3" w:rsidRPr="008924E0" w14:paraId="18176CB1"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C28C4E1" w14:textId="77777777" w:rsidR="006070B3" w:rsidRPr="008924E0" w:rsidRDefault="006070B3" w:rsidP="006070B3">
            <w:pPr>
              <w:jc w:val="left"/>
              <w:rPr>
                <w:color w:val="000000"/>
                <w:lang w:val="bs-Latn-BA"/>
              </w:rPr>
            </w:pPr>
            <w:r w:rsidRPr="008924E0">
              <w:rPr>
                <w:color w:val="000000"/>
                <w:lang w:val="bs-Latn-BA"/>
              </w:rPr>
              <w:t>Hercegovačko-neretvanski kanton</w:t>
            </w:r>
          </w:p>
        </w:tc>
        <w:tc>
          <w:tcPr>
            <w:tcW w:w="1204" w:type="dxa"/>
            <w:vAlign w:val="bottom"/>
          </w:tcPr>
          <w:p w14:paraId="4315DCE1" w14:textId="782E2443"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38C7885E" w14:textId="1D321E05"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205.001</w:t>
            </w:r>
          </w:p>
        </w:tc>
        <w:tc>
          <w:tcPr>
            <w:tcW w:w="1642" w:type="dxa"/>
            <w:vAlign w:val="bottom"/>
          </w:tcPr>
          <w:p w14:paraId="59C755D0" w14:textId="26B66D13"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391.366</w:t>
            </w:r>
          </w:p>
        </w:tc>
        <w:tc>
          <w:tcPr>
            <w:tcW w:w="1642" w:type="dxa"/>
            <w:vAlign w:val="bottom"/>
          </w:tcPr>
          <w:p w14:paraId="4F33FA55" w14:textId="3F8341C7"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577.730</w:t>
            </w:r>
          </w:p>
        </w:tc>
      </w:tr>
      <w:tr w:rsidR="006070B3" w:rsidRPr="008924E0" w14:paraId="0E158A67"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5B185A9" w14:textId="77777777" w:rsidR="006070B3" w:rsidRPr="008924E0" w:rsidRDefault="006070B3" w:rsidP="006070B3">
            <w:pPr>
              <w:jc w:val="left"/>
              <w:rPr>
                <w:color w:val="000000"/>
                <w:lang w:val="bs-Latn-BA"/>
              </w:rPr>
            </w:pPr>
            <w:r w:rsidRPr="008924E0">
              <w:rPr>
                <w:color w:val="000000"/>
                <w:lang w:val="bs-Latn-BA"/>
              </w:rPr>
              <w:t>Zapadnohercegovački kanton</w:t>
            </w:r>
          </w:p>
        </w:tc>
        <w:tc>
          <w:tcPr>
            <w:tcW w:w="1204" w:type="dxa"/>
            <w:vAlign w:val="bottom"/>
          </w:tcPr>
          <w:p w14:paraId="1661898D" w14:textId="297F3AE6"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36E6A1F1" w14:textId="11034799"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70.086</w:t>
            </w:r>
          </w:p>
        </w:tc>
        <w:tc>
          <w:tcPr>
            <w:tcW w:w="1642" w:type="dxa"/>
            <w:vAlign w:val="bottom"/>
          </w:tcPr>
          <w:p w14:paraId="48DF6B79" w14:textId="45DE7B58"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133.800</w:t>
            </w:r>
          </w:p>
        </w:tc>
        <w:tc>
          <w:tcPr>
            <w:tcW w:w="1642" w:type="dxa"/>
            <w:vAlign w:val="bottom"/>
          </w:tcPr>
          <w:p w14:paraId="3E2AE164" w14:textId="032EB2BE"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197.515</w:t>
            </w:r>
          </w:p>
        </w:tc>
      </w:tr>
      <w:tr w:rsidR="006070B3" w:rsidRPr="008924E0" w14:paraId="0C5C8560"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B6B596C" w14:textId="77777777" w:rsidR="006070B3" w:rsidRPr="008924E0" w:rsidRDefault="006070B3" w:rsidP="006070B3">
            <w:pPr>
              <w:jc w:val="left"/>
              <w:rPr>
                <w:color w:val="000000"/>
                <w:lang w:val="bs-Latn-BA"/>
              </w:rPr>
            </w:pPr>
            <w:r w:rsidRPr="008924E0">
              <w:rPr>
                <w:color w:val="000000"/>
                <w:lang w:val="bs-Latn-BA"/>
              </w:rPr>
              <w:t>Kanton Sarajevo</w:t>
            </w:r>
          </w:p>
        </w:tc>
        <w:tc>
          <w:tcPr>
            <w:tcW w:w="1204" w:type="dxa"/>
            <w:vAlign w:val="bottom"/>
          </w:tcPr>
          <w:p w14:paraId="1052736E" w14:textId="318BD959"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46230BB7" w14:textId="5D1DF942"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199.394</w:t>
            </w:r>
          </w:p>
        </w:tc>
        <w:tc>
          <w:tcPr>
            <w:tcW w:w="1642" w:type="dxa"/>
            <w:vAlign w:val="bottom"/>
          </w:tcPr>
          <w:p w14:paraId="498553A1" w14:textId="61F04638"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380.662</w:t>
            </w:r>
          </w:p>
        </w:tc>
        <w:tc>
          <w:tcPr>
            <w:tcW w:w="1642" w:type="dxa"/>
            <w:vAlign w:val="bottom"/>
          </w:tcPr>
          <w:p w14:paraId="1AE633C3" w14:textId="59C2CC1A"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561.929</w:t>
            </w:r>
          </w:p>
        </w:tc>
      </w:tr>
      <w:tr w:rsidR="006070B3" w:rsidRPr="008924E0" w14:paraId="522A0061"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4757CEE" w14:textId="77777777" w:rsidR="006070B3" w:rsidRPr="008924E0" w:rsidRDefault="006070B3" w:rsidP="006070B3">
            <w:pPr>
              <w:jc w:val="left"/>
              <w:rPr>
                <w:color w:val="000000"/>
                <w:lang w:val="bs-Latn-BA"/>
              </w:rPr>
            </w:pPr>
            <w:r w:rsidRPr="008924E0">
              <w:rPr>
                <w:color w:val="000000"/>
                <w:lang w:val="bs-Latn-BA"/>
              </w:rPr>
              <w:t>Kanton 10</w:t>
            </w:r>
          </w:p>
        </w:tc>
        <w:tc>
          <w:tcPr>
            <w:tcW w:w="1204" w:type="dxa"/>
            <w:vAlign w:val="bottom"/>
          </w:tcPr>
          <w:p w14:paraId="3A46941F" w14:textId="211CE1A8"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0</w:t>
            </w:r>
          </w:p>
        </w:tc>
        <w:tc>
          <w:tcPr>
            <w:tcW w:w="1642" w:type="dxa"/>
            <w:vAlign w:val="bottom"/>
          </w:tcPr>
          <w:p w14:paraId="40AD450D" w14:textId="6C09A632"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72.188</w:t>
            </w:r>
          </w:p>
        </w:tc>
        <w:tc>
          <w:tcPr>
            <w:tcW w:w="1642" w:type="dxa"/>
            <w:vAlign w:val="bottom"/>
          </w:tcPr>
          <w:p w14:paraId="523ECAC1" w14:textId="4939C6E5"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137.814</w:t>
            </w:r>
          </w:p>
        </w:tc>
        <w:tc>
          <w:tcPr>
            <w:tcW w:w="1642" w:type="dxa"/>
            <w:vAlign w:val="bottom"/>
          </w:tcPr>
          <w:p w14:paraId="4DF52F72" w14:textId="48902D69"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203.440</w:t>
            </w:r>
          </w:p>
        </w:tc>
      </w:tr>
      <w:tr w:rsidR="006070B3" w:rsidRPr="008924E0" w14:paraId="46804CCF"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05D6C85" w14:textId="77777777" w:rsidR="006070B3" w:rsidRPr="008924E0" w:rsidRDefault="006070B3" w:rsidP="006070B3">
            <w:pPr>
              <w:jc w:val="left"/>
              <w:rPr>
                <w:color w:val="000000"/>
                <w:lang w:val="bs-Latn-BA"/>
              </w:rPr>
            </w:pPr>
            <w:r w:rsidRPr="008924E0">
              <w:rPr>
                <w:color w:val="000000"/>
                <w:lang w:val="bs-Latn-BA"/>
              </w:rPr>
              <w:t>Ukupno</w:t>
            </w:r>
          </w:p>
        </w:tc>
        <w:tc>
          <w:tcPr>
            <w:tcW w:w="1204" w:type="dxa"/>
            <w:vAlign w:val="bottom"/>
          </w:tcPr>
          <w:p w14:paraId="0B18F7A5" w14:textId="5E2AF666"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0</w:t>
            </w:r>
          </w:p>
        </w:tc>
        <w:tc>
          <w:tcPr>
            <w:tcW w:w="1642" w:type="dxa"/>
            <w:vAlign w:val="bottom"/>
          </w:tcPr>
          <w:p w14:paraId="57E139CD" w14:textId="313B9E6B"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1.548.546</w:t>
            </w:r>
          </w:p>
        </w:tc>
        <w:tc>
          <w:tcPr>
            <w:tcW w:w="1642" w:type="dxa"/>
            <w:vAlign w:val="bottom"/>
          </w:tcPr>
          <w:p w14:paraId="76734489" w14:textId="57392FE8"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2.956.315</w:t>
            </w:r>
          </w:p>
        </w:tc>
        <w:tc>
          <w:tcPr>
            <w:tcW w:w="1642" w:type="dxa"/>
            <w:vAlign w:val="bottom"/>
          </w:tcPr>
          <w:p w14:paraId="3F193E85" w14:textId="47EFCA99"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4.364.085</w:t>
            </w:r>
          </w:p>
        </w:tc>
      </w:tr>
    </w:tbl>
    <w:p w14:paraId="430F6888" w14:textId="1B28CC21" w:rsidR="006F579C" w:rsidRDefault="006F579C" w:rsidP="006F579C">
      <w:pPr>
        <w:rPr>
          <w:lang w:val="bs-Latn-BA"/>
        </w:rPr>
      </w:pPr>
    </w:p>
    <w:p w14:paraId="561D09B0" w14:textId="77777777" w:rsidR="004A246B" w:rsidRDefault="004A246B">
      <w:pPr>
        <w:rPr>
          <w:i/>
          <w:iCs/>
          <w:szCs w:val="18"/>
          <w:lang w:val="bs-Latn-BA"/>
        </w:rPr>
      </w:pPr>
      <w:r>
        <w:br w:type="page"/>
      </w:r>
    </w:p>
    <w:p w14:paraId="5E8DAD63" w14:textId="0C91D3EE" w:rsidR="00126C38" w:rsidRPr="008924E0" w:rsidRDefault="00126C38" w:rsidP="00126C38">
      <w:pPr>
        <w:pStyle w:val="Caption"/>
        <w:keepNext/>
      </w:pPr>
      <w:bookmarkStart w:id="132" w:name="_Toc133499568"/>
      <w:r w:rsidRPr="008924E0">
        <w:lastRenderedPageBreak/>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23</w:t>
        </w:r>
      </w:fldSimple>
      <w:r w:rsidRPr="008924E0">
        <w:rPr>
          <w:rFonts w:eastAsia="Calibri"/>
          <w:color w:val="000000"/>
        </w:rPr>
        <w:t xml:space="preserve"> Troškovi energ</w:t>
      </w:r>
      <w:r>
        <w:rPr>
          <w:rFonts w:eastAsia="Calibri"/>
          <w:color w:val="000000"/>
        </w:rPr>
        <w:t>ij</w:t>
      </w:r>
      <w:r w:rsidRPr="008924E0">
        <w:rPr>
          <w:rFonts w:eastAsia="Calibri"/>
          <w:color w:val="000000"/>
        </w:rPr>
        <w:t xml:space="preserve">ske </w:t>
      </w:r>
      <w:r w:rsidR="00BC23DF">
        <w:rPr>
          <w:rFonts w:eastAsia="Calibri"/>
          <w:color w:val="000000"/>
        </w:rPr>
        <w:t>obnove</w:t>
      </w:r>
      <w:r w:rsidR="00BC23DF" w:rsidRPr="008924E0">
        <w:rPr>
          <w:rFonts w:eastAsia="Calibri"/>
          <w:color w:val="000000"/>
        </w:rPr>
        <w:t xml:space="preserve"> </w:t>
      </w:r>
      <w:r w:rsidRPr="008924E0">
        <w:rPr>
          <w:rFonts w:eastAsia="Calibri"/>
          <w:color w:val="000000"/>
        </w:rPr>
        <w:t xml:space="preserve">fonda javnih zgrada po </w:t>
      </w:r>
      <w:r w:rsidR="00BC23DF">
        <w:rPr>
          <w:rFonts w:eastAsia="Calibri"/>
          <w:color w:val="000000"/>
        </w:rPr>
        <w:t>k</w:t>
      </w:r>
      <w:r w:rsidRPr="008924E0">
        <w:rPr>
          <w:rFonts w:eastAsia="Calibri"/>
          <w:color w:val="000000"/>
        </w:rPr>
        <w:t>antonima za period do 2050. godine</w:t>
      </w:r>
      <w:bookmarkEnd w:id="132"/>
      <w:r>
        <w:rPr>
          <w:rFonts w:eastAsia="Calibri"/>
          <w:color w:val="000000"/>
        </w:rPr>
        <w:t xml:space="preserve"> </w:t>
      </w:r>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126C38" w:rsidRPr="008924E0" w14:paraId="50F02187" w14:textId="77777777" w:rsidTr="000B085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7C419324" w14:textId="77777777" w:rsidR="00126C38" w:rsidRPr="008924E0" w:rsidRDefault="00126C38" w:rsidP="000B085B">
            <w:pPr>
              <w:jc w:val="left"/>
              <w:rPr>
                <w:lang w:val="bs-Latn-BA"/>
              </w:rPr>
            </w:pPr>
            <w:r w:rsidRPr="008924E0">
              <w:rPr>
                <w:lang w:val="bs-Latn-BA"/>
              </w:rPr>
              <w:t>Kanton</w:t>
            </w:r>
          </w:p>
        </w:tc>
        <w:tc>
          <w:tcPr>
            <w:tcW w:w="6130" w:type="dxa"/>
            <w:gridSpan w:val="4"/>
          </w:tcPr>
          <w:p w14:paraId="7AB6C6A8" w14:textId="6806CA57" w:rsidR="00126C38" w:rsidRPr="008924E0" w:rsidRDefault="00126C38" w:rsidP="000B085B">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sidRPr="008924E0">
              <w:rPr>
                <w:rFonts w:eastAsia="Calibri"/>
                <w:lang w:val="bs-Latn-BA"/>
              </w:rPr>
              <w:t xml:space="preserve">Trošak energijske </w:t>
            </w:r>
            <w:r w:rsidR="00BC23DF">
              <w:rPr>
                <w:rFonts w:eastAsia="Calibri"/>
                <w:lang w:val="bs-Latn-BA"/>
              </w:rPr>
              <w:t>obnove</w:t>
            </w:r>
            <w:r w:rsidRPr="008924E0">
              <w:rPr>
                <w:rFonts w:eastAsia="Calibri"/>
                <w:lang w:val="bs-Latn-BA"/>
              </w:rPr>
              <w:t>, 10</w:t>
            </w:r>
            <w:r w:rsidRPr="008924E0">
              <w:rPr>
                <w:rFonts w:eastAsia="Calibri"/>
                <w:vertAlign w:val="superscript"/>
                <w:lang w:val="bs-Latn-BA"/>
              </w:rPr>
              <w:t>6</w:t>
            </w:r>
            <w:r w:rsidRPr="008924E0">
              <w:rPr>
                <w:rFonts w:eastAsia="Calibri"/>
                <w:lang w:val="bs-Latn-BA"/>
              </w:rPr>
              <w:t xml:space="preserve"> BAM</w:t>
            </w:r>
          </w:p>
        </w:tc>
      </w:tr>
      <w:tr w:rsidR="00126C38" w:rsidRPr="008924E0" w14:paraId="094D6B84" w14:textId="77777777" w:rsidTr="000B085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274313AF" w14:textId="77777777" w:rsidR="00126C38" w:rsidRPr="008924E0" w:rsidRDefault="00126C38" w:rsidP="000B085B">
            <w:pPr>
              <w:widowControl w:val="0"/>
              <w:pBdr>
                <w:top w:val="nil"/>
                <w:left w:val="nil"/>
                <w:bottom w:val="nil"/>
                <w:right w:val="nil"/>
                <w:between w:val="nil"/>
              </w:pBdr>
              <w:spacing w:line="276" w:lineRule="auto"/>
              <w:jc w:val="left"/>
              <w:rPr>
                <w:color w:val="000000"/>
                <w:lang w:val="bs-Latn-BA"/>
              </w:rPr>
            </w:pPr>
          </w:p>
        </w:tc>
        <w:tc>
          <w:tcPr>
            <w:tcW w:w="1204" w:type="dxa"/>
          </w:tcPr>
          <w:p w14:paraId="5356D9AB"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2020.</w:t>
            </w:r>
          </w:p>
          <w:p w14:paraId="45E95EB2"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24E2A9E2"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2030.</w:t>
            </w:r>
          </w:p>
          <w:p w14:paraId="269C0710"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4AC7C0FC"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2040.</w:t>
            </w:r>
          </w:p>
          <w:p w14:paraId="6C436B05"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c>
          <w:tcPr>
            <w:tcW w:w="1642" w:type="dxa"/>
          </w:tcPr>
          <w:p w14:paraId="716D9919"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2050.</w:t>
            </w:r>
          </w:p>
          <w:p w14:paraId="14973EB5" w14:textId="77777777" w:rsidR="00126C38" w:rsidRPr="008924E0" w:rsidRDefault="00126C38" w:rsidP="000B085B">
            <w:pPr>
              <w:jc w:val="center"/>
              <w:cnfStyle w:val="000000100000" w:firstRow="0" w:lastRow="0" w:firstColumn="0" w:lastColumn="0" w:oddVBand="0" w:evenVBand="0" w:oddHBand="1" w:evenHBand="0" w:firstRowFirstColumn="0" w:firstRowLastColumn="0" w:lastRowFirstColumn="0" w:lastRowLastColumn="0"/>
              <w:rPr>
                <w:rFonts w:eastAsia="Calibri"/>
                <w:b/>
                <w:color w:val="auto"/>
                <w:lang w:val="bs-Latn-BA"/>
              </w:rPr>
            </w:pPr>
            <w:r w:rsidRPr="008924E0">
              <w:rPr>
                <w:rFonts w:eastAsia="Calibri"/>
                <w:b/>
                <w:color w:val="auto"/>
                <w:lang w:val="bs-Latn-BA"/>
              </w:rPr>
              <w:t>godina</w:t>
            </w:r>
          </w:p>
        </w:tc>
      </w:tr>
      <w:tr w:rsidR="006070B3" w:rsidRPr="008924E0" w14:paraId="1F9B24FA"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A225E8C" w14:textId="77777777" w:rsidR="006070B3" w:rsidRPr="008924E0" w:rsidRDefault="006070B3" w:rsidP="006070B3">
            <w:pPr>
              <w:jc w:val="left"/>
              <w:rPr>
                <w:color w:val="000000"/>
                <w:lang w:val="bs-Latn-BA"/>
              </w:rPr>
            </w:pPr>
            <w:r w:rsidRPr="008924E0">
              <w:rPr>
                <w:color w:val="000000"/>
                <w:lang w:val="bs-Latn-BA"/>
              </w:rPr>
              <w:t>Unsko-sanski kanton</w:t>
            </w:r>
          </w:p>
        </w:tc>
        <w:tc>
          <w:tcPr>
            <w:tcW w:w="1204" w:type="dxa"/>
            <w:vAlign w:val="bottom"/>
          </w:tcPr>
          <w:p w14:paraId="13921886" w14:textId="5D74F557"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6,6</w:t>
            </w:r>
          </w:p>
        </w:tc>
        <w:tc>
          <w:tcPr>
            <w:tcW w:w="1642" w:type="dxa"/>
            <w:vAlign w:val="bottom"/>
          </w:tcPr>
          <w:p w14:paraId="66C3834D" w14:textId="6AF4E651"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72,5</w:t>
            </w:r>
          </w:p>
        </w:tc>
        <w:tc>
          <w:tcPr>
            <w:tcW w:w="1642" w:type="dxa"/>
            <w:vAlign w:val="bottom"/>
          </w:tcPr>
          <w:p w14:paraId="75910AC5" w14:textId="5034A351"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138,4</w:t>
            </w:r>
          </w:p>
        </w:tc>
        <w:tc>
          <w:tcPr>
            <w:tcW w:w="1642" w:type="dxa"/>
            <w:vAlign w:val="bottom"/>
          </w:tcPr>
          <w:p w14:paraId="585713B0" w14:textId="0E6A37DD"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204,3</w:t>
            </w:r>
          </w:p>
        </w:tc>
      </w:tr>
      <w:tr w:rsidR="006070B3" w:rsidRPr="008924E0" w14:paraId="5487F47A"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DE63CBA" w14:textId="77777777" w:rsidR="006070B3" w:rsidRPr="008924E0" w:rsidRDefault="006070B3" w:rsidP="006070B3">
            <w:pPr>
              <w:jc w:val="left"/>
              <w:rPr>
                <w:color w:val="000000"/>
                <w:lang w:val="bs-Latn-BA"/>
              </w:rPr>
            </w:pPr>
            <w:r w:rsidRPr="008924E0">
              <w:rPr>
                <w:color w:val="000000"/>
                <w:lang w:val="bs-Latn-BA"/>
              </w:rPr>
              <w:t>Posavski kanton</w:t>
            </w:r>
          </w:p>
        </w:tc>
        <w:tc>
          <w:tcPr>
            <w:tcW w:w="1204" w:type="dxa"/>
            <w:vAlign w:val="bottom"/>
          </w:tcPr>
          <w:p w14:paraId="24B45E00" w14:textId="1BEDE02B"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1,7</w:t>
            </w:r>
          </w:p>
        </w:tc>
        <w:tc>
          <w:tcPr>
            <w:tcW w:w="1642" w:type="dxa"/>
            <w:vAlign w:val="bottom"/>
          </w:tcPr>
          <w:p w14:paraId="3686E2D8" w14:textId="0FBDA505"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18,7</w:t>
            </w:r>
          </w:p>
        </w:tc>
        <w:tc>
          <w:tcPr>
            <w:tcW w:w="1642" w:type="dxa"/>
            <w:vAlign w:val="bottom"/>
          </w:tcPr>
          <w:p w14:paraId="6FB93ED3" w14:textId="79706AA8"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35,8</w:t>
            </w:r>
          </w:p>
        </w:tc>
        <w:tc>
          <w:tcPr>
            <w:tcW w:w="1642" w:type="dxa"/>
            <w:vAlign w:val="bottom"/>
          </w:tcPr>
          <w:p w14:paraId="30AC13FF" w14:textId="68B8B7EC"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52,8</w:t>
            </w:r>
          </w:p>
        </w:tc>
      </w:tr>
      <w:tr w:rsidR="006070B3" w:rsidRPr="008924E0" w14:paraId="789D9D42"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EBADA29" w14:textId="77777777" w:rsidR="006070B3" w:rsidRPr="008924E0" w:rsidRDefault="006070B3" w:rsidP="006070B3">
            <w:pPr>
              <w:jc w:val="left"/>
              <w:rPr>
                <w:color w:val="000000"/>
                <w:lang w:val="bs-Latn-BA"/>
              </w:rPr>
            </w:pPr>
            <w:r w:rsidRPr="008924E0">
              <w:rPr>
                <w:color w:val="000000"/>
                <w:lang w:val="bs-Latn-BA"/>
              </w:rPr>
              <w:t>Tuzlanski kanton</w:t>
            </w:r>
          </w:p>
        </w:tc>
        <w:tc>
          <w:tcPr>
            <w:tcW w:w="1204" w:type="dxa"/>
            <w:vAlign w:val="bottom"/>
          </w:tcPr>
          <w:p w14:paraId="61506209" w14:textId="1174D38C"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10,9</w:t>
            </w:r>
          </w:p>
        </w:tc>
        <w:tc>
          <w:tcPr>
            <w:tcW w:w="1642" w:type="dxa"/>
            <w:vAlign w:val="bottom"/>
          </w:tcPr>
          <w:p w14:paraId="63CDD8F2" w14:textId="49E44A2C"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120,4</w:t>
            </w:r>
          </w:p>
        </w:tc>
        <w:tc>
          <w:tcPr>
            <w:tcW w:w="1642" w:type="dxa"/>
            <w:vAlign w:val="bottom"/>
          </w:tcPr>
          <w:p w14:paraId="6B08A868" w14:textId="55FE492F"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229,9</w:t>
            </w:r>
          </w:p>
        </w:tc>
        <w:tc>
          <w:tcPr>
            <w:tcW w:w="1642" w:type="dxa"/>
            <w:vAlign w:val="bottom"/>
          </w:tcPr>
          <w:p w14:paraId="46319E95" w14:textId="174A69B1"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339,4</w:t>
            </w:r>
          </w:p>
        </w:tc>
      </w:tr>
      <w:tr w:rsidR="006070B3" w:rsidRPr="008924E0" w14:paraId="26999D3A"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1A6D2BA" w14:textId="77777777" w:rsidR="006070B3" w:rsidRPr="008924E0" w:rsidRDefault="006070B3" w:rsidP="006070B3">
            <w:pPr>
              <w:jc w:val="left"/>
              <w:rPr>
                <w:color w:val="000000"/>
                <w:lang w:val="bs-Latn-BA"/>
              </w:rPr>
            </w:pPr>
            <w:r w:rsidRPr="008924E0">
              <w:rPr>
                <w:color w:val="000000"/>
                <w:lang w:val="bs-Latn-BA"/>
              </w:rPr>
              <w:t>Zeničko-dobojski kanton</w:t>
            </w:r>
          </w:p>
        </w:tc>
        <w:tc>
          <w:tcPr>
            <w:tcW w:w="1204" w:type="dxa"/>
            <w:vAlign w:val="bottom"/>
          </w:tcPr>
          <w:p w14:paraId="07EF1D30" w14:textId="1CC56812"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9,4</w:t>
            </w:r>
          </w:p>
        </w:tc>
        <w:tc>
          <w:tcPr>
            <w:tcW w:w="1642" w:type="dxa"/>
            <w:vAlign w:val="bottom"/>
          </w:tcPr>
          <w:p w14:paraId="7B3F7853" w14:textId="5C3639ED"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102,9</w:t>
            </w:r>
          </w:p>
        </w:tc>
        <w:tc>
          <w:tcPr>
            <w:tcW w:w="1642" w:type="dxa"/>
            <w:vAlign w:val="bottom"/>
          </w:tcPr>
          <w:p w14:paraId="4CF809B4" w14:textId="27592C90"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196,5</w:t>
            </w:r>
          </w:p>
        </w:tc>
        <w:tc>
          <w:tcPr>
            <w:tcW w:w="1642" w:type="dxa"/>
            <w:vAlign w:val="bottom"/>
          </w:tcPr>
          <w:p w14:paraId="62991A7A" w14:textId="230F66A2"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290,0</w:t>
            </w:r>
          </w:p>
        </w:tc>
      </w:tr>
      <w:tr w:rsidR="006070B3" w:rsidRPr="008924E0" w14:paraId="002EAD3E"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E318AEA" w14:textId="77777777" w:rsidR="006070B3" w:rsidRPr="008924E0" w:rsidRDefault="006070B3" w:rsidP="006070B3">
            <w:pPr>
              <w:jc w:val="left"/>
              <w:rPr>
                <w:color w:val="000000"/>
                <w:lang w:val="bs-Latn-BA"/>
              </w:rPr>
            </w:pPr>
            <w:r w:rsidRPr="008924E0">
              <w:rPr>
                <w:color w:val="000000"/>
                <w:lang w:val="bs-Latn-BA"/>
              </w:rPr>
              <w:t>Bosansko-podrinjski kanton</w:t>
            </w:r>
          </w:p>
        </w:tc>
        <w:tc>
          <w:tcPr>
            <w:tcW w:w="1204" w:type="dxa"/>
            <w:vAlign w:val="bottom"/>
          </w:tcPr>
          <w:p w14:paraId="7DAB32D5" w14:textId="20E111EC"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1,0</w:t>
            </w:r>
          </w:p>
        </w:tc>
        <w:tc>
          <w:tcPr>
            <w:tcW w:w="1642" w:type="dxa"/>
            <w:vAlign w:val="bottom"/>
          </w:tcPr>
          <w:p w14:paraId="2BCA1116" w14:textId="75793FA1"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11,3</w:t>
            </w:r>
          </w:p>
        </w:tc>
        <w:tc>
          <w:tcPr>
            <w:tcW w:w="1642" w:type="dxa"/>
            <w:vAlign w:val="bottom"/>
          </w:tcPr>
          <w:p w14:paraId="01FE4EA4" w14:textId="478B0CD5"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21,5</w:t>
            </w:r>
          </w:p>
        </w:tc>
        <w:tc>
          <w:tcPr>
            <w:tcW w:w="1642" w:type="dxa"/>
            <w:vAlign w:val="bottom"/>
          </w:tcPr>
          <w:p w14:paraId="141B8E4C" w14:textId="3C781F45"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31,8</w:t>
            </w:r>
          </w:p>
        </w:tc>
      </w:tr>
      <w:tr w:rsidR="006070B3" w:rsidRPr="008924E0" w14:paraId="4E383955"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9B8CD69" w14:textId="77777777" w:rsidR="006070B3" w:rsidRPr="008924E0" w:rsidRDefault="006070B3" w:rsidP="006070B3">
            <w:pPr>
              <w:jc w:val="left"/>
              <w:rPr>
                <w:color w:val="000000"/>
                <w:lang w:val="bs-Latn-BA"/>
              </w:rPr>
            </w:pPr>
            <w:r w:rsidRPr="008924E0">
              <w:rPr>
                <w:color w:val="000000"/>
                <w:lang w:val="bs-Latn-BA"/>
              </w:rPr>
              <w:t>Srednjobosanski kanton</w:t>
            </w:r>
          </w:p>
        </w:tc>
        <w:tc>
          <w:tcPr>
            <w:tcW w:w="1204" w:type="dxa"/>
            <w:vAlign w:val="bottom"/>
          </w:tcPr>
          <w:p w14:paraId="61ACFD3A" w14:textId="67547660"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5,7</w:t>
            </w:r>
          </w:p>
        </w:tc>
        <w:tc>
          <w:tcPr>
            <w:tcW w:w="1642" w:type="dxa"/>
            <w:vAlign w:val="bottom"/>
          </w:tcPr>
          <w:p w14:paraId="447B783D" w14:textId="2E4E38B0"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62,3</w:t>
            </w:r>
          </w:p>
        </w:tc>
        <w:tc>
          <w:tcPr>
            <w:tcW w:w="1642" w:type="dxa"/>
            <w:vAlign w:val="bottom"/>
          </w:tcPr>
          <w:p w14:paraId="4FC083DE" w14:textId="09E17C6D"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119,0</w:t>
            </w:r>
          </w:p>
        </w:tc>
        <w:tc>
          <w:tcPr>
            <w:tcW w:w="1642" w:type="dxa"/>
            <w:vAlign w:val="bottom"/>
          </w:tcPr>
          <w:p w14:paraId="278FAEF8" w14:textId="2A6F15D3"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175,6</w:t>
            </w:r>
          </w:p>
        </w:tc>
      </w:tr>
      <w:tr w:rsidR="006070B3" w:rsidRPr="008924E0" w14:paraId="32E7DF5A"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DFC5887" w14:textId="77777777" w:rsidR="006070B3" w:rsidRPr="008924E0" w:rsidRDefault="006070B3" w:rsidP="006070B3">
            <w:pPr>
              <w:jc w:val="left"/>
              <w:rPr>
                <w:color w:val="000000"/>
                <w:lang w:val="bs-Latn-BA"/>
              </w:rPr>
            </w:pPr>
            <w:r w:rsidRPr="008924E0">
              <w:rPr>
                <w:color w:val="000000"/>
                <w:lang w:val="bs-Latn-BA"/>
              </w:rPr>
              <w:t>Hercegovačko-neretvanski kanton</w:t>
            </w:r>
          </w:p>
        </w:tc>
        <w:tc>
          <w:tcPr>
            <w:tcW w:w="1204" w:type="dxa"/>
            <w:vAlign w:val="bottom"/>
          </w:tcPr>
          <w:p w14:paraId="34DD2D67" w14:textId="02A50A49"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7,2</w:t>
            </w:r>
          </w:p>
        </w:tc>
        <w:tc>
          <w:tcPr>
            <w:tcW w:w="1642" w:type="dxa"/>
            <w:vAlign w:val="bottom"/>
          </w:tcPr>
          <w:p w14:paraId="242393A6" w14:textId="108842B4"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79,4</w:t>
            </w:r>
          </w:p>
        </w:tc>
        <w:tc>
          <w:tcPr>
            <w:tcW w:w="1642" w:type="dxa"/>
            <w:vAlign w:val="bottom"/>
          </w:tcPr>
          <w:p w14:paraId="03E408DF" w14:textId="56739F00"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151,6</w:t>
            </w:r>
          </w:p>
        </w:tc>
        <w:tc>
          <w:tcPr>
            <w:tcW w:w="1642" w:type="dxa"/>
            <w:vAlign w:val="bottom"/>
          </w:tcPr>
          <w:p w14:paraId="5E350403" w14:textId="2CA7A8E7"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223,8</w:t>
            </w:r>
          </w:p>
        </w:tc>
      </w:tr>
      <w:tr w:rsidR="006070B3" w:rsidRPr="008924E0" w14:paraId="07C4FE33"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047047A1" w14:textId="77777777" w:rsidR="006070B3" w:rsidRPr="008924E0" w:rsidRDefault="006070B3" w:rsidP="006070B3">
            <w:pPr>
              <w:jc w:val="left"/>
              <w:rPr>
                <w:color w:val="000000"/>
                <w:lang w:val="bs-Latn-BA"/>
              </w:rPr>
            </w:pPr>
            <w:r w:rsidRPr="008924E0">
              <w:rPr>
                <w:color w:val="000000"/>
                <w:lang w:val="bs-Latn-BA"/>
              </w:rPr>
              <w:t>Zapadnohercegovački kanton</w:t>
            </w:r>
          </w:p>
        </w:tc>
        <w:tc>
          <w:tcPr>
            <w:tcW w:w="1204" w:type="dxa"/>
            <w:vAlign w:val="bottom"/>
          </w:tcPr>
          <w:p w14:paraId="6278AD59" w14:textId="370780F5"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2,5</w:t>
            </w:r>
          </w:p>
        </w:tc>
        <w:tc>
          <w:tcPr>
            <w:tcW w:w="1642" w:type="dxa"/>
            <w:vAlign w:val="bottom"/>
          </w:tcPr>
          <w:p w14:paraId="4A9F2292" w14:textId="35EB0515"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27,2</w:t>
            </w:r>
          </w:p>
        </w:tc>
        <w:tc>
          <w:tcPr>
            <w:tcW w:w="1642" w:type="dxa"/>
            <w:vAlign w:val="bottom"/>
          </w:tcPr>
          <w:p w14:paraId="55FE22D0" w14:textId="142EB473"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51,8</w:t>
            </w:r>
          </w:p>
        </w:tc>
        <w:tc>
          <w:tcPr>
            <w:tcW w:w="1642" w:type="dxa"/>
            <w:vAlign w:val="bottom"/>
          </w:tcPr>
          <w:p w14:paraId="118A755C" w14:textId="5ECD4DA2"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76,5</w:t>
            </w:r>
          </w:p>
        </w:tc>
      </w:tr>
      <w:tr w:rsidR="006070B3" w:rsidRPr="008924E0" w14:paraId="192E9433"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B58B1B6" w14:textId="77777777" w:rsidR="006070B3" w:rsidRPr="008924E0" w:rsidRDefault="006070B3" w:rsidP="006070B3">
            <w:pPr>
              <w:jc w:val="left"/>
              <w:rPr>
                <w:color w:val="000000"/>
                <w:lang w:val="bs-Latn-BA"/>
              </w:rPr>
            </w:pPr>
            <w:r w:rsidRPr="008924E0">
              <w:rPr>
                <w:color w:val="000000"/>
                <w:lang w:val="bs-Latn-BA"/>
              </w:rPr>
              <w:t>Kanton Sarajevo</w:t>
            </w:r>
          </w:p>
        </w:tc>
        <w:tc>
          <w:tcPr>
            <w:tcW w:w="1204" w:type="dxa"/>
            <w:vAlign w:val="bottom"/>
          </w:tcPr>
          <w:p w14:paraId="04A65C07" w14:textId="05281FFD"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7,0</w:t>
            </w:r>
          </w:p>
        </w:tc>
        <w:tc>
          <w:tcPr>
            <w:tcW w:w="1642" w:type="dxa"/>
            <w:vAlign w:val="bottom"/>
          </w:tcPr>
          <w:p w14:paraId="7D2521E6" w14:textId="6F5FE21B"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77,2</w:t>
            </w:r>
          </w:p>
        </w:tc>
        <w:tc>
          <w:tcPr>
            <w:tcW w:w="1642" w:type="dxa"/>
            <w:vAlign w:val="bottom"/>
          </w:tcPr>
          <w:p w14:paraId="14927EF3" w14:textId="4C7224A9"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147,5</w:t>
            </w:r>
          </w:p>
        </w:tc>
        <w:tc>
          <w:tcPr>
            <w:tcW w:w="1642" w:type="dxa"/>
            <w:vAlign w:val="bottom"/>
          </w:tcPr>
          <w:p w14:paraId="531CF6A2" w14:textId="51F5552A"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auto"/>
                <w:lang w:val="bs-Latn-BA"/>
              </w:rPr>
            </w:pPr>
            <w:r w:rsidRPr="006070B3">
              <w:rPr>
                <w:color w:val="000000"/>
              </w:rPr>
              <w:t>217,7</w:t>
            </w:r>
          </w:p>
        </w:tc>
      </w:tr>
      <w:tr w:rsidR="006070B3" w:rsidRPr="008924E0" w14:paraId="4285A3DC" w14:textId="77777777" w:rsidTr="006070B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AF818DC" w14:textId="77777777" w:rsidR="006070B3" w:rsidRPr="008924E0" w:rsidRDefault="006070B3" w:rsidP="006070B3">
            <w:pPr>
              <w:jc w:val="left"/>
              <w:rPr>
                <w:color w:val="000000"/>
                <w:lang w:val="bs-Latn-BA"/>
              </w:rPr>
            </w:pPr>
            <w:r w:rsidRPr="008924E0">
              <w:rPr>
                <w:color w:val="000000"/>
                <w:lang w:val="bs-Latn-BA"/>
              </w:rPr>
              <w:t>Kanton 10</w:t>
            </w:r>
          </w:p>
        </w:tc>
        <w:tc>
          <w:tcPr>
            <w:tcW w:w="1204" w:type="dxa"/>
            <w:vAlign w:val="bottom"/>
          </w:tcPr>
          <w:p w14:paraId="0ADE6978" w14:textId="4BD10A11"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2,5</w:t>
            </w:r>
          </w:p>
        </w:tc>
        <w:tc>
          <w:tcPr>
            <w:tcW w:w="1642" w:type="dxa"/>
            <w:vAlign w:val="bottom"/>
          </w:tcPr>
          <w:p w14:paraId="1180E741" w14:textId="2D7C17E7"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28,0</w:t>
            </w:r>
          </w:p>
        </w:tc>
        <w:tc>
          <w:tcPr>
            <w:tcW w:w="1642" w:type="dxa"/>
            <w:vAlign w:val="bottom"/>
          </w:tcPr>
          <w:p w14:paraId="1934671B" w14:textId="0CADB7B6"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53,4</w:t>
            </w:r>
          </w:p>
        </w:tc>
        <w:tc>
          <w:tcPr>
            <w:tcW w:w="1642" w:type="dxa"/>
            <w:vAlign w:val="bottom"/>
          </w:tcPr>
          <w:p w14:paraId="0A643D05" w14:textId="7F6D7CD5" w:rsidR="006070B3" w:rsidRPr="006070B3" w:rsidRDefault="006070B3" w:rsidP="006070B3">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auto"/>
                <w:lang w:val="bs-Latn-BA"/>
              </w:rPr>
            </w:pPr>
            <w:r w:rsidRPr="006070B3">
              <w:rPr>
                <w:color w:val="000000"/>
              </w:rPr>
              <w:t>78,8</w:t>
            </w:r>
          </w:p>
        </w:tc>
      </w:tr>
      <w:tr w:rsidR="006070B3" w:rsidRPr="00C640A4" w14:paraId="40030B2C" w14:textId="77777777" w:rsidTr="006070B3">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BEC0DDC" w14:textId="77777777" w:rsidR="006070B3" w:rsidRPr="00C640A4" w:rsidRDefault="006070B3" w:rsidP="006070B3">
            <w:pPr>
              <w:jc w:val="left"/>
              <w:rPr>
                <w:color w:val="000000"/>
                <w:lang w:val="bs-Latn-BA"/>
              </w:rPr>
            </w:pPr>
            <w:r w:rsidRPr="00C640A4">
              <w:rPr>
                <w:color w:val="000000"/>
                <w:lang w:val="bs-Latn-BA"/>
              </w:rPr>
              <w:t>Ukupno</w:t>
            </w:r>
          </w:p>
        </w:tc>
        <w:tc>
          <w:tcPr>
            <w:tcW w:w="1204" w:type="dxa"/>
            <w:vAlign w:val="bottom"/>
          </w:tcPr>
          <w:p w14:paraId="49DC69B8" w14:textId="265AEEAB"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54,5</w:t>
            </w:r>
          </w:p>
        </w:tc>
        <w:tc>
          <w:tcPr>
            <w:tcW w:w="1642" w:type="dxa"/>
            <w:vAlign w:val="bottom"/>
          </w:tcPr>
          <w:p w14:paraId="27D0858C" w14:textId="0982D032"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599,9</w:t>
            </w:r>
          </w:p>
        </w:tc>
        <w:tc>
          <w:tcPr>
            <w:tcW w:w="1642" w:type="dxa"/>
            <w:vAlign w:val="bottom"/>
          </w:tcPr>
          <w:p w14:paraId="05A00D33" w14:textId="7A79B8DF"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1.145,3</w:t>
            </w:r>
          </w:p>
        </w:tc>
        <w:tc>
          <w:tcPr>
            <w:tcW w:w="1642" w:type="dxa"/>
            <w:vAlign w:val="bottom"/>
          </w:tcPr>
          <w:p w14:paraId="68271FFD" w14:textId="2AB63162" w:rsidR="006070B3" w:rsidRPr="006070B3" w:rsidRDefault="006070B3" w:rsidP="006070B3">
            <w:pPr>
              <w:jc w:val="right"/>
              <w:cnfStyle w:val="000000010000" w:firstRow="0" w:lastRow="0" w:firstColumn="0" w:lastColumn="0" w:oddVBand="0" w:evenVBand="0" w:oddHBand="0" w:evenHBand="1" w:firstRowFirstColumn="0" w:firstRowLastColumn="0" w:lastRowFirstColumn="0" w:lastRowLastColumn="0"/>
              <w:rPr>
                <w:rFonts w:ascii="Corbel" w:hAnsi="Corbel" w:cs="Corbel"/>
                <w:b/>
                <w:bCs/>
                <w:color w:val="auto"/>
                <w:lang w:val="bs-Latn-BA"/>
              </w:rPr>
            </w:pPr>
            <w:r w:rsidRPr="006070B3">
              <w:rPr>
                <w:b/>
                <w:bCs/>
                <w:color w:val="000000"/>
              </w:rPr>
              <w:t>1.690,7</w:t>
            </w:r>
          </w:p>
        </w:tc>
      </w:tr>
    </w:tbl>
    <w:p w14:paraId="545DAB56" w14:textId="77777777" w:rsidR="00126C38" w:rsidRPr="008924E0" w:rsidRDefault="00126C38" w:rsidP="006F579C">
      <w:pPr>
        <w:rPr>
          <w:lang w:val="bs-Latn-BA"/>
        </w:rPr>
      </w:pPr>
    </w:p>
    <w:p w14:paraId="412A0040" w14:textId="77777777" w:rsidR="006F579C" w:rsidRPr="008924E0" w:rsidRDefault="006F579C" w:rsidP="00601B99">
      <w:pPr>
        <w:pStyle w:val="Heading3"/>
        <w:numPr>
          <w:ilvl w:val="2"/>
          <w:numId w:val="33"/>
        </w:numPr>
        <w:ind w:left="936" w:hanging="360"/>
      </w:pPr>
      <w:bookmarkStart w:id="133" w:name="_Toc134011768"/>
      <w:r w:rsidRPr="008924E0">
        <w:t>Komercijalne zgrade</w:t>
      </w:r>
      <w:bookmarkEnd w:id="133"/>
      <w:r w:rsidRPr="008924E0">
        <w:t xml:space="preserve"> </w:t>
      </w:r>
    </w:p>
    <w:p w14:paraId="03585EBC" w14:textId="7E501BEB" w:rsidR="006F579C" w:rsidRPr="008924E0" w:rsidRDefault="006F579C" w:rsidP="00597215">
      <w:pPr>
        <w:spacing w:after="120" w:line="276" w:lineRule="auto"/>
        <w:rPr>
          <w:rFonts w:ascii="Arial" w:eastAsia="Arial" w:hAnsi="Arial" w:cs="Arial"/>
          <w:color w:val="000000"/>
          <w:lang w:val="bs-Latn-BA"/>
        </w:rPr>
      </w:pPr>
      <w:r w:rsidRPr="008924E0">
        <w:rPr>
          <w:lang w:val="bs-Latn-BA"/>
        </w:rPr>
        <w:t>Fond komercijalnih zgrada u FBiH je 2016. godine obuhvatao 59,5 % korisne grijane površine nestambenih zgrada u FBiH. Osim podatka o korisnoj grijanoj površini, ostale relevantne energijske karakteristike zgrada nisu poznate. Iz bilansa energije datog u LEAP</w:t>
      </w:r>
      <w:r w:rsidRPr="008924E0">
        <w:rPr>
          <w:vertAlign w:val="superscript"/>
          <w:lang w:val="bs-Latn-BA"/>
        </w:rPr>
        <w:footnoteReference w:id="38"/>
      </w:r>
      <w:r w:rsidRPr="008924E0">
        <w:rPr>
          <w:lang w:val="bs-Latn-BA"/>
        </w:rPr>
        <w:t xml:space="preserve">, može se zaključiti da potrošnja energije za grijanje ove kategorije za 2020. godinu iznosi </w:t>
      </w:r>
      <w:r w:rsidRPr="008924E0">
        <w:rPr>
          <w:color w:val="000000"/>
          <w:lang w:val="bs-Latn-BA"/>
        </w:rPr>
        <w:t xml:space="preserve">1.729.709,7 </w:t>
      </w:r>
      <w:r w:rsidRPr="008924E0">
        <w:rPr>
          <w:lang w:val="bs-Latn-BA"/>
        </w:rPr>
        <w:t>kWh. Za preliminarnu analizu potencijala za uštedu energije mogu se iskoristiti proračunski podaci za postojeće i ciljne karakteristike kategorije javnih zgrada. Za procjenu rasta broja zgrada za 2020. godinu kao za javne zgrade, srednje vrijednosti korisne površine javnih zgrada, izvršena je procjena broja komercija</w:t>
      </w:r>
      <w:r w:rsidR="00597215">
        <w:rPr>
          <w:lang w:val="bs-Latn-BA"/>
        </w:rPr>
        <w:t>lni</w:t>
      </w:r>
      <w:r w:rsidRPr="008924E0">
        <w:rPr>
          <w:lang w:val="bs-Latn-BA"/>
        </w:rPr>
        <w:t xml:space="preserve">h zgrada za 2020. godinu. U skladu sa trendovima energijske </w:t>
      </w:r>
      <w:r w:rsidR="00BC23DF">
        <w:rPr>
          <w:lang w:val="bs-Latn-BA"/>
        </w:rPr>
        <w:t>obnove</w:t>
      </w:r>
      <w:r w:rsidR="00BC23DF" w:rsidRPr="008924E0">
        <w:rPr>
          <w:lang w:val="bs-Latn-BA"/>
        </w:rPr>
        <w:t xml:space="preserve"> </w:t>
      </w:r>
      <w:r w:rsidRPr="008924E0">
        <w:rPr>
          <w:lang w:val="bs-Latn-BA"/>
        </w:rPr>
        <w:t>i ušteda koje je moguće postići, napravljena je procjena o potencijalu za uštedu energije i emisije CO</w:t>
      </w:r>
      <w:r w:rsidRPr="008924E0">
        <w:rPr>
          <w:vertAlign w:val="subscript"/>
          <w:lang w:val="bs-Latn-BA"/>
        </w:rPr>
        <w:t>2</w:t>
      </w:r>
      <w:r w:rsidRPr="008924E0">
        <w:rPr>
          <w:lang w:val="bs-Latn-BA"/>
        </w:rPr>
        <w:t xml:space="preserve"> u fondu komercijalnih zgrada, kako je prikazano u Tabeli </w:t>
      </w:r>
      <w:r w:rsidR="004F0255" w:rsidRPr="008924E0">
        <w:rPr>
          <w:lang w:val="bs-Latn-BA"/>
        </w:rPr>
        <w:t>6</w:t>
      </w:r>
      <w:r w:rsidRPr="008924E0">
        <w:rPr>
          <w:lang w:val="bs-Latn-BA"/>
        </w:rPr>
        <w:t xml:space="preserve">.24. </w:t>
      </w:r>
      <w:r w:rsidR="00597215">
        <w:rPr>
          <w:lang w:val="bs-Latn-BA"/>
        </w:rPr>
        <w:t xml:space="preserve">Takođe, napravljena je procjena o angažmanu radne snage, sa izračunatim indikativnim vrijednostima broj čovjek dana i ekvivalenta punog radnog vremena. </w:t>
      </w:r>
      <w:r w:rsidRPr="008924E0">
        <w:rPr>
          <w:lang w:val="bs-Latn-BA"/>
        </w:rPr>
        <w:t xml:space="preserve">Potrebno je naglasiti da su ovo pokazne vrijednosti o potencijalima za uštedu fonda zgrada ove ukupne površine i potrošnje energije. Za detaljnu procjenu energijskih karakteristika i potencijala za uštedu energije, te odgovarajućih troškova potrebno je izraditi </w:t>
      </w:r>
      <w:r w:rsidRPr="008924E0">
        <w:rPr>
          <w:color w:val="000000"/>
          <w:lang w:val="bs-Latn-BA"/>
        </w:rPr>
        <w:t xml:space="preserve">„Program energijske obnove komercijalnih zgrada“, te isti kontinuirano ažurirati. Program treba da sadrži i podatke o raspodjeli komercijalnih zgrada (broj zgrada, korisnu i bruto površinu i detaljne energijske karakteristike) za FBiH i za svaki </w:t>
      </w:r>
      <w:r w:rsidR="00BC23DF">
        <w:rPr>
          <w:color w:val="000000"/>
          <w:lang w:val="bs-Latn-BA"/>
        </w:rPr>
        <w:t>k</w:t>
      </w:r>
      <w:r w:rsidRPr="008924E0">
        <w:rPr>
          <w:color w:val="000000"/>
          <w:lang w:val="bs-Latn-BA"/>
        </w:rPr>
        <w:t>anton.</w:t>
      </w:r>
    </w:p>
    <w:p w14:paraId="0DE9EEA0" w14:textId="77777777" w:rsidR="004A246B" w:rsidRDefault="004A246B">
      <w:pPr>
        <w:rPr>
          <w:i/>
          <w:iCs/>
          <w:szCs w:val="18"/>
          <w:lang w:val="bs-Latn-BA"/>
        </w:rPr>
      </w:pPr>
      <w:r w:rsidRPr="001972F5">
        <w:rPr>
          <w:lang w:val="bs-Latn-BA"/>
        </w:rPr>
        <w:br w:type="page"/>
      </w:r>
    </w:p>
    <w:p w14:paraId="53632AD9" w14:textId="4A3FCDFC" w:rsidR="00FF3BA1" w:rsidRPr="008924E0" w:rsidRDefault="00FF3BA1" w:rsidP="00FF3BA1">
      <w:pPr>
        <w:pStyle w:val="Caption"/>
        <w:keepNext/>
      </w:pPr>
      <w:bookmarkStart w:id="134" w:name="_Toc133499569"/>
      <w:r w:rsidRPr="008924E0">
        <w:lastRenderedPageBreak/>
        <w:t xml:space="preserve">Tabela </w:t>
      </w:r>
      <w:r w:rsidR="00000000">
        <w:fldChar w:fldCharType="begin"/>
      </w:r>
      <w:r w:rsidR="00000000">
        <w:instrText xml:space="preserve"> STYLEREF 1 \s </w:instrText>
      </w:r>
      <w:r w:rsidR="00000000">
        <w:fldChar w:fldCharType="separate"/>
      </w:r>
      <w:r w:rsidR="004A246B">
        <w:rPr>
          <w:noProof/>
        </w:rPr>
        <w:t>6</w:t>
      </w:r>
      <w:r w:rsidR="00000000">
        <w:rPr>
          <w:noProof/>
        </w:rPr>
        <w:fldChar w:fldCharType="end"/>
      </w:r>
      <w:r w:rsidR="004A246B">
        <w:t>.</w:t>
      </w:r>
      <w:fldSimple w:instr=" SEQ Tabela \* ARABIC \s 1 ">
        <w:r w:rsidR="004A246B">
          <w:rPr>
            <w:noProof/>
          </w:rPr>
          <w:t>24</w:t>
        </w:r>
      </w:fldSimple>
      <w:r w:rsidRPr="008924E0">
        <w:rPr>
          <w:rFonts w:eastAsia="Calibri"/>
          <w:color w:val="000000"/>
        </w:rPr>
        <w:t xml:space="preserve"> Postojeće i ciljne karakteristike fonda komercijalnih zgrada FBiH (godišnja </w:t>
      </w:r>
      <w:r w:rsidR="00BC23DF">
        <w:rPr>
          <w:rFonts w:eastAsia="Calibri"/>
          <w:color w:val="000000"/>
        </w:rPr>
        <w:t>obnova</w:t>
      </w:r>
      <w:r w:rsidR="00BC23DF" w:rsidRPr="008924E0">
        <w:rPr>
          <w:rFonts w:eastAsia="Calibri"/>
          <w:color w:val="000000"/>
        </w:rPr>
        <w:t xml:space="preserve"> </w:t>
      </w:r>
      <w:r w:rsidRPr="008924E0">
        <w:rPr>
          <w:rFonts w:eastAsia="Calibri"/>
          <w:color w:val="000000"/>
        </w:rPr>
        <w:t>2,5 % korisne grijane površine) – indikativne vrijednosti</w:t>
      </w:r>
      <w:bookmarkEnd w:id="134"/>
    </w:p>
    <w:tbl>
      <w:tblPr>
        <w:tblStyle w:val="57"/>
        <w:tblW w:w="9647" w:type="dxa"/>
        <w:tblLayout w:type="fixed"/>
        <w:tblLook w:val="04A0" w:firstRow="1" w:lastRow="0" w:firstColumn="1" w:lastColumn="0" w:noHBand="0" w:noVBand="1"/>
      </w:tblPr>
      <w:tblGrid>
        <w:gridCol w:w="4837"/>
        <w:gridCol w:w="1144"/>
        <w:gridCol w:w="1222"/>
        <w:gridCol w:w="1222"/>
        <w:gridCol w:w="1222"/>
      </w:tblGrid>
      <w:tr w:rsidR="0045203B" w:rsidRPr="008924E0" w14:paraId="38EEA0DA" w14:textId="77777777" w:rsidTr="0045203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837" w:type="dxa"/>
          </w:tcPr>
          <w:p w14:paraId="0B88FBB9" w14:textId="376AA86D" w:rsidR="006F579C" w:rsidRPr="008924E0" w:rsidRDefault="006F579C" w:rsidP="006F579C">
            <w:pPr>
              <w:jc w:val="left"/>
              <w:rPr>
                <w:rFonts w:eastAsia="Calibri"/>
                <w:lang w:val="bs-Latn-BA"/>
              </w:rPr>
            </w:pPr>
            <w:r w:rsidRPr="008924E0">
              <w:rPr>
                <w:rFonts w:eastAsia="Calibri"/>
                <w:lang w:val="bs-Latn-BA"/>
              </w:rPr>
              <w:t xml:space="preserve">Karakteristike fonda </w:t>
            </w:r>
            <w:r w:rsidR="006775DD">
              <w:rPr>
                <w:rFonts w:eastAsia="Calibri"/>
                <w:lang w:val="bs-Latn-BA"/>
              </w:rPr>
              <w:t>komercijalnih</w:t>
            </w:r>
            <w:r w:rsidR="006775DD" w:rsidRPr="008924E0">
              <w:rPr>
                <w:rFonts w:eastAsia="Calibri"/>
                <w:lang w:val="bs-Latn-BA"/>
              </w:rPr>
              <w:t xml:space="preserve"> </w:t>
            </w:r>
            <w:r w:rsidRPr="008924E0">
              <w:rPr>
                <w:rFonts w:eastAsia="Calibri"/>
                <w:lang w:val="bs-Latn-BA"/>
              </w:rPr>
              <w:t>zgrada</w:t>
            </w:r>
          </w:p>
        </w:tc>
        <w:tc>
          <w:tcPr>
            <w:tcW w:w="1144" w:type="dxa"/>
          </w:tcPr>
          <w:p w14:paraId="212DA760"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6F7AC612"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222" w:type="dxa"/>
          </w:tcPr>
          <w:p w14:paraId="540D8338"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256FDDBA"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222" w:type="dxa"/>
          </w:tcPr>
          <w:p w14:paraId="4F99EF01"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5F72C94F"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222" w:type="dxa"/>
          </w:tcPr>
          <w:p w14:paraId="51A1D4A2"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48672B22" w14:textId="77777777" w:rsidR="006F579C" w:rsidRPr="008924E0" w:rsidRDefault="006F579C" w:rsidP="006F579C">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45203B" w:rsidRPr="008924E0" w14:paraId="75C63012" w14:textId="77777777" w:rsidTr="004520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37" w:type="dxa"/>
          </w:tcPr>
          <w:p w14:paraId="359D9B72" w14:textId="77777777" w:rsidR="006F579C" w:rsidRPr="008924E0" w:rsidRDefault="006F579C" w:rsidP="006F579C">
            <w:pPr>
              <w:jc w:val="left"/>
              <w:rPr>
                <w:rFonts w:eastAsia="Calibri"/>
                <w:color w:val="000000"/>
                <w:lang w:val="bs-Latn-BA"/>
              </w:rPr>
            </w:pPr>
            <w:r w:rsidRPr="008924E0">
              <w:rPr>
                <w:color w:val="000000"/>
                <w:lang w:val="bs-Latn-BA"/>
              </w:rPr>
              <w:t xml:space="preserve">Broj zgrada </w:t>
            </w:r>
          </w:p>
        </w:tc>
        <w:tc>
          <w:tcPr>
            <w:tcW w:w="1144" w:type="dxa"/>
          </w:tcPr>
          <w:p w14:paraId="7A612C7E"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6.757</w:t>
            </w:r>
          </w:p>
        </w:tc>
        <w:tc>
          <w:tcPr>
            <w:tcW w:w="1222" w:type="dxa"/>
          </w:tcPr>
          <w:p w14:paraId="7CF4D3EF"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7.257</w:t>
            </w:r>
          </w:p>
        </w:tc>
        <w:tc>
          <w:tcPr>
            <w:tcW w:w="1222" w:type="dxa"/>
          </w:tcPr>
          <w:p w14:paraId="577362E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7.757</w:t>
            </w:r>
          </w:p>
        </w:tc>
        <w:tc>
          <w:tcPr>
            <w:tcW w:w="1222" w:type="dxa"/>
          </w:tcPr>
          <w:p w14:paraId="00A5DAC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8.259</w:t>
            </w:r>
          </w:p>
        </w:tc>
      </w:tr>
      <w:tr w:rsidR="0045203B" w:rsidRPr="008924E0" w14:paraId="667B191B" w14:textId="77777777" w:rsidTr="0045203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37" w:type="dxa"/>
          </w:tcPr>
          <w:p w14:paraId="4F2F1C73" w14:textId="77777777" w:rsidR="006F579C" w:rsidRPr="008924E0" w:rsidRDefault="006F579C" w:rsidP="006F579C">
            <w:pPr>
              <w:jc w:val="left"/>
              <w:rPr>
                <w:color w:val="000000"/>
                <w:lang w:val="bs-Latn-BA"/>
              </w:rPr>
            </w:pPr>
            <w:r w:rsidRPr="008924E0">
              <w:rPr>
                <w:color w:val="000000"/>
                <w:lang w:val="bs-Latn-BA"/>
              </w:rPr>
              <w:t>Korisna površina, m</w:t>
            </w:r>
            <w:r w:rsidRPr="008924E0">
              <w:rPr>
                <w:color w:val="000000"/>
                <w:vertAlign w:val="superscript"/>
                <w:lang w:val="bs-Latn-BA"/>
              </w:rPr>
              <w:t>2</w:t>
            </w:r>
          </w:p>
        </w:tc>
        <w:tc>
          <w:tcPr>
            <w:tcW w:w="1144" w:type="dxa"/>
          </w:tcPr>
          <w:p w14:paraId="5D633B2C"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7.895.906</w:t>
            </w:r>
          </w:p>
        </w:tc>
        <w:tc>
          <w:tcPr>
            <w:tcW w:w="1222" w:type="dxa"/>
          </w:tcPr>
          <w:p w14:paraId="42E1E731"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8.485.171</w:t>
            </w:r>
          </w:p>
        </w:tc>
        <w:tc>
          <w:tcPr>
            <w:tcW w:w="1222" w:type="dxa"/>
          </w:tcPr>
          <w:p w14:paraId="6F6F2554"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9.076.775</w:t>
            </w:r>
          </w:p>
        </w:tc>
        <w:tc>
          <w:tcPr>
            <w:tcW w:w="1222" w:type="dxa"/>
          </w:tcPr>
          <w:p w14:paraId="15F80240"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9.662.388</w:t>
            </w:r>
          </w:p>
        </w:tc>
      </w:tr>
      <w:tr w:rsidR="0045203B" w:rsidRPr="008924E0" w14:paraId="145BC86D" w14:textId="77777777" w:rsidTr="004520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37" w:type="dxa"/>
          </w:tcPr>
          <w:p w14:paraId="1B7F0211" w14:textId="77777777" w:rsidR="006F579C" w:rsidRPr="008924E0" w:rsidRDefault="006F579C" w:rsidP="006F579C">
            <w:pPr>
              <w:jc w:val="left"/>
              <w:rPr>
                <w:rFonts w:eastAsia="Calibri"/>
                <w:color w:val="000000"/>
                <w:lang w:val="bs-Latn-BA"/>
              </w:rPr>
            </w:pPr>
            <w:r w:rsidRPr="008924E0">
              <w:rPr>
                <w:color w:val="000000"/>
                <w:lang w:val="bs-Latn-BA"/>
              </w:rPr>
              <w:t>Potrošnja energije, GWh/god.</w:t>
            </w:r>
          </w:p>
        </w:tc>
        <w:tc>
          <w:tcPr>
            <w:tcW w:w="1144" w:type="dxa"/>
          </w:tcPr>
          <w:p w14:paraId="727F172C"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1.730</w:t>
            </w:r>
          </w:p>
        </w:tc>
        <w:tc>
          <w:tcPr>
            <w:tcW w:w="1222" w:type="dxa"/>
          </w:tcPr>
          <w:p w14:paraId="10A8DA63"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1.403</w:t>
            </w:r>
          </w:p>
        </w:tc>
        <w:tc>
          <w:tcPr>
            <w:tcW w:w="1222" w:type="dxa"/>
          </w:tcPr>
          <w:p w14:paraId="38CED4EB"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1.045</w:t>
            </w:r>
          </w:p>
        </w:tc>
        <w:tc>
          <w:tcPr>
            <w:tcW w:w="1222" w:type="dxa"/>
          </w:tcPr>
          <w:p w14:paraId="71CB03C0"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637</w:t>
            </w:r>
          </w:p>
        </w:tc>
      </w:tr>
      <w:tr w:rsidR="0045203B" w:rsidRPr="008924E0" w14:paraId="134C3467" w14:textId="77777777" w:rsidTr="0045203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37" w:type="dxa"/>
          </w:tcPr>
          <w:p w14:paraId="2024B1D3" w14:textId="11CC41DB" w:rsidR="006F579C" w:rsidRPr="008924E0" w:rsidRDefault="006F579C" w:rsidP="006F579C">
            <w:pPr>
              <w:rPr>
                <w:rFonts w:eastAsia="Calibri"/>
                <w:color w:val="000000"/>
                <w:lang w:val="bs-Latn-BA"/>
              </w:rPr>
            </w:pPr>
            <w:r w:rsidRPr="008924E0">
              <w:rPr>
                <w:color w:val="000000"/>
                <w:lang w:val="bs-Latn-BA"/>
              </w:rPr>
              <w:t xml:space="preserve">Broj zgrada obuhvaćenih </w:t>
            </w:r>
            <w:r w:rsidR="00BC23DF">
              <w:rPr>
                <w:color w:val="000000"/>
                <w:lang w:val="bs-Latn-BA"/>
              </w:rPr>
              <w:t>obnovom</w:t>
            </w:r>
          </w:p>
        </w:tc>
        <w:tc>
          <w:tcPr>
            <w:tcW w:w="1144" w:type="dxa"/>
          </w:tcPr>
          <w:p w14:paraId="3AC6B648"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0</w:t>
            </w:r>
          </w:p>
        </w:tc>
        <w:tc>
          <w:tcPr>
            <w:tcW w:w="1222" w:type="dxa"/>
          </w:tcPr>
          <w:p w14:paraId="744BBEB2"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1.713</w:t>
            </w:r>
          </w:p>
        </w:tc>
        <w:tc>
          <w:tcPr>
            <w:tcW w:w="1222" w:type="dxa"/>
          </w:tcPr>
          <w:p w14:paraId="18DFAB00"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3.270</w:t>
            </w:r>
          </w:p>
        </w:tc>
        <w:tc>
          <w:tcPr>
            <w:tcW w:w="1222" w:type="dxa"/>
          </w:tcPr>
          <w:p w14:paraId="57AFEE0C" w14:textId="77777777" w:rsidR="006F579C" w:rsidRPr="004D2CBA"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4D2CBA">
              <w:rPr>
                <w:rFonts w:eastAsia="Calibri"/>
                <w:color w:val="000000"/>
                <w:lang w:val="bs-Latn-BA"/>
              </w:rPr>
              <w:t>4.827</w:t>
            </w:r>
          </w:p>
        </w:tc>
      </w:tr>
      <w:tr w:rsidR="0045203B" w:rsidRPr="008924E0" w14:paraId="7ADE6ADB" w14:textId="77777777" w:rsidTr="004520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37" w:type="dxa"/>
          </w:tcPr>
          <w:p w14:paraId="6D83186D" w14:textId="64072362" w:rsidR="006F579C" w:rsidRPr="008924E0" w:rsidRDefault="00BC23DF" w:rsidP="006F579C">
            <w:pPr>
              <w:jc w:val="left"/>
              <w:rPr>
                <w:rFonts w:eastAsia="Calibri"/>
                <w:color w:val="000000"/>
                <w:lang w:val="bs-Latn-BA"/>
              </w:rPr>
            </w:pPr>
            <w:r>
              <w:rPr>
                <w:color w:val="000000"/>
                <w:lang w:val="bs-Latn-BA"/>
              </w:rPr>
              <w:t>Obnovljena</w:t>
            </w:r>
            <w:r w:rsidRPr="008924E0">
              <w:rPr>
                <w:color w:val="000000"/>
                <w:lang w:val="bs-Latn-BA"/>
              </w:rPr>
              <w:t xml:space="preserve"> </w:t>
            </w:r>
            <w:r w:rsidR="006F579C" w:rsidRPr="008924E0">
              <w:rPr>
                <w:color w:val="000000"/>
                <w:lang w:val="bs-Latn-BA"/>
              </w:rPr>
              <w:t>korisna površina, m</w:t>
            </w:r>
            <w:r w:rsidR="006F579C" w:rsidRPr="008924E0">
              <w:rPr>
                <w:color w:val="000000"/>
                <w:vertAlign w:val="superscript"/>
                <w:lang w:val="bs-Latn-BA"/>
              </w:rPr>
              <w:t>2</w:t>
            </w:r>
          </w:p>
        </w:tc>
        <w:tc>
          <w:tcPr>
            <w:tcW w:w="1144" w:type="dxa"/>
          </w:tcPr>
          <w:p w14:paraId="594CF29A"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0</w:t>
            </w:r>
          </w:p>
        </w:tc>
        <w:tc>
          <w:tcPr>
            <w:tcW w:w="1222" w:type="dxa"/>
          </w:tcPr>
          <w:p w14:paraId="7803D216"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2.270.848</w:t>
            </w:r>
          </w:p>
        </w:tc>
        <w:tc>
          <w:tcPr>
            <w:tcW w:w="1222" w:type="dxa"/>
          </w:tcPr>
          <w:p w14:paraId="459F958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4.335.256</w:t>
            </w:r>
          </w:p>
        </w:tc>
        <w:tc>
          <w:tcPr>
            <w:tcW w:w="1222" w:type="dxa"/>
          </w:tcPr>
          <w:p w14:paraId="1637EF27"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6.399.665</w:t>
            </w:r>
          </w:p>
        </w:tc>
      </w:tr>
      <w:tr w:rsidR="0045203B" w:rsidRPr="008924E0" w14:paraId="650086E7" w14:textId="77777777" w:rsidTr="0045203B">
        <w:trPr>
          <w:cnfStyle w:val="000000010000" w:firstRow="0" w:lastRow="0" w:firstColumn="0" w:lastColumn="0" w:oddVBand="0" w:evenVBand="0" w:oddHBand="0" w:evenHBand="1"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4837" w:type="dxa"/>
          </w:tcPr>
          <w:p w14:paraId="41B63C89" w14:textId="00E5429E" w:rsidR="006F579C" w:rsidRPr="008924E0" w:rsidRDefault="006F579C" w:rsidP="006F579C">
            <w:pPr>
              <w:jc w:val="left"/>
              <w:rPr>
                <w:rFonts w:eastAsia="Calibri"/>
                <w:color w:val="000000"/>
                <w:lang w:val="bs-Latn-BA"/>
              </w:rPr>
            </w:pPr>
            <w:r w:rsidRPr="008924E0">
              <w:rPr>
                <w:rFonts w:eastAsia="Calibri"/>
                <w:color w:val="000000"/>
                <w:lang w:val="bs-Latn-BA"/>
              </w:rPr>
              <w:t xml:space="preserve">Ušteda energije primjenom mjera energijske </w:t>
            </w:r>
            <w:r w:rsidR="00BC23DF">
              <w:rPr>
                <w:rFonts w:eastAsia="Calibri"/>
                <w:color w:val="000000"/>
                <w:lang w:val="bs-Latn-BA"/>
              </w:rPr>
              <w:t>obnove</w:t>
            </w:r>
            <w:r w:rsidRPr="008924E0">
              <w:rPr>
                <w:rFonts w:eastAsia="Calibri"/>
                <w:color w:val="000000"/>
                <w:lang w:val="bs-Latn-BA"/>
              </w:rPr>
              <w:t>, GWh</w:t>
            </w:r>
          </w:p>
        </w:tc>
        <w:tc>
          <w:tcPr>
            <w:tcW w:w="1144" w:type="dxa"/>
          </w:tcPr>
          <w:p w14:paraId="073D19A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0</w:t>
            </w:r>
          </w:p>
        </w:tc>
        <w:tc>
          <w:tcPr>
            <w:tcW w:w="1222" w:type="dxa"/>
          </w:tcPr>
          <w:p w14:paraId="4E0EEDBE"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354</w:t>
            </w:r>
          </w:p>
        </w:tc>
        <w:tc>
          <w:tcPr>
            <w:tcW w:w="1222" w:type="dxa"/>
          </w:tcPr>
          <w:p w14:paraId="2DC38171"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704</w:t>
            </w:r>
          </w:p>
        </w:tc>
        <w:tc>
          <w:tcPr>
            <w:tcW w:w="1222" w:type="dxa"/>
          </w:tcPr>
          <w:p w14:paraId="4049A9B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8924E0">
              <w:rPr>
                <w:rFonts w:eastAsia="Calibri"/>
                <w:color w:val="000000"/>
                <w:lang w:val="bs-Latn-BA"/>
              </w:rPr>
              <w:t>1.107</w:t>
            </w:r>
          </w:p>
        </w:tc>
      </w:tr>
      <w:tr w:rsidR="0045203B" w:rsidRPr="008924E0" w14:paraId="444B9830" w14:textId="77777777" w:rsidTr="0045203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37" w:type="dxa"/>
          </w:tcPr>
          <w:p w14:paraId="60443950" w14:textId="430CC0CB" w:rsidR="006F579C" w:rsidRPr="008924E0" w:rsidRDefault="006F579C" w:rsidP="006F579C">
            <w:pPr>
              <w:jc w:val="left"/>
              <w:rPr>
                <w:rFonts w:eastAsia="Calibri"/>
                <w:color w:val="000000"/>
                <w:lang w:val="bs-Latn-BA"/>
              </w:rPr>
            </w:pPr>
            <w:r w:rsidRPr="008924E0">
              <w:rPr>
                <w:rFonts w:eastAsia="Calibri"/>
                <w:color w:val="000000"/>
                <w:lang w:val="bs-Latn-BA"/>
              </w:rPr>
              <w:t>Ušteda emisije CO</w:t>
            </w:r>
            <w:r w:rsidRPr="008924E0">
              <w:rPr>
                <w:rFonts w:eastAsia="Calibri"/>
                <w:color w:val="000000"/>
                <w:vertAlign w:val="subscript"/>
                <w:lang w:val="bs-Latn-BA"/>
              </w:rPr>
              <w:t>2</w:t>
            </w:r>
            <w:r w:rsidRPr="008924E0">
              <w:rPr>
                <w:rFonts w:eastAsia="Calibri"/>
                <w:color w:val="000000"/>
                <w:lang w:val="bs-Latn-BA"/>
              </w:rPr>
              <w:t>, 10</w:t>
            </w:r>
            <w:r w:rsidR="00066C30">
              <w:rPr>
                <w:rFonts w:eastAsia="Calibri"/>
                <w:color w:val="000000"/>
                <w:vertAlign w:val="superscript"/>
                <w:lang w:val="bs-Latn-BA"/>
              </w:rPr>
              <w:t>3</w:t>
            </w:r>
            <w:r w:rsidRPr="008924E0">
              <w:rPr>
                <w:rFonts w:eastAsia="Calibri"/>
                <w:color w:val="000000"/>
                <w:lang w:val="bs-Latn-BA"/>
              </w:rPr>
              <w:t>t/god.</w:t>
            </w:r>
          </w:p>
        </w:tc>
        <w:tc>
          <w:tcPr>
            <w:tcW w:w="1144" w:type="dxa"/>
          </w:tcPr>
          <w:p w14:paraId="34579365"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0</w:t>
            </w:r>
          </w:p>
        </w:tc>
        <w:tc>
          <w:tcPr>
            <w:tcW w:w="1222" w:type="dxa"/>
          </w:tcPr>
          <w:p w14:paraId="1EBE61A9"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387</w:t>
            </w:r>
          </w:p>
        </w:tc>
        <w:tc>
          <w:tcPr>
            <w:tcW w:w="1222" w:type="dxa"/>
          </w:tcPr>
          <w:p w14:paraId="08B54D51"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514</w:t>
            </w:r>
          </w:p>
        </w:tc>
        <w:tc>
          <w:tcPr>
            <w:tcW w:w="1222" w:type="dxa"/>
          </w:tcPr>
          <w:p w14:paraId="2E63C364" w14:textId="77777777" w:rsidR="006F579C" w:rsidRPr="008924E0" w:rsidRDefault="006F579C" w:rsidP="006F579C">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8924E0">
              <w:rPr>
                <w:rFonts w:eastAsia="Calibri"/>
                <w:color w:val="000000"/>
                <w:lang w:val="bs-Latn-BA"/>
              </w:rPr>
              <w:t>515</w:t>
            </w:r>
          </w:p>
        </w:tc>
      </w:tr>
      <w:tr w:rsidR="0045203B" w:rsidRPr="008924E0" w14:paraId="70919611" w14:textId="77777777" w:rsidTr="0045203B">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4837" w:type="dxa"/>
          </w:tcPr>
          <w:p w14:paraId="231A4082" w14:textId="76395CF8" w:rsidR="006F579C" w:rsidRPr="008924E0" w:rsidRDefault="006F579C" w:rsidP="006F579C">
            <w:pPr>
              <w:jc w:val="left"/>
              <w:rPr>
                <w:rFonts w:eastAsia="Calibri"/>
                <w:color w:val="000000"/>
                <w:lang w:val="bs-Latn-BA"/>
              </w:rPr>
            </w:pPr>
            <w:r w:rsidRPr="008924E0">
              <w:rPr>
                <w:rFonts w:eastAsia="Calibri"/>
                <w:color w:val="000000"/>
                <w:lang w:val="bs-Latn-BA"/>
              </w:rPr>
              <w:t xml:space="preserve">Trošak energijske </w:t>
            </w:r>
            <w:r w:rsidR="00BC23DF">
              <w:rPr>
                <w:rFonts w:eastAsia="Calibri"/>
                <w:color w:val="000000"/>
                <w:lang w:val="bs-Latn-BA"/>
              </w:rPr>
              <w:t>obnove</w:t>
            </w:r>
            <w:r w:rsidRPr="008924E0">
              <w:rPr>
                <w:rFonts w:eastAsia="Calibri"/>
                <w:color w:val="000000"/>
                <w:lang w:val="bs-Latn-BA"/>
              </w:rPr>
              <w:t>, 10</w:t>
            </w:r>
            <w:r w:rsidRPr="008924E0">
              <w:rPr>
                <w:rFonts w:eastAsia="Calibri"/>
                <w:color w:val="000000"/>
                <w:vertAlign w:val="superscript"/>
                <w:lang w:val="bs-Latn-BA"/>
              </w:rPr>
              <w:t>6</w:t>
            </w:r>
            <w:r w:rsidRPr="008924E0">
              <w:rPr>
                <w:rFonts w:eastAsia="Calibri"/>
                <w:color w:val="000000"/>
                <w:lang w:val="bs-Latn-BA"/>
              </w:rPr>
              <w:t xml:space="preserve"> BAM</w:t>
            </w:r>
          </w:p>
        </w:tc>
        <w:tc>
          <w:tcPr>
            <w:tcW w:w="1144" w:type="dxa"/>
          </w:tcPr>
          <w:p w14:paraId="41297140"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80</w:t>
            </w:r>
          </w:p>
        </w:tc>
        <w:tc>
          <w:tcPr>
            <w:tcW w:w="1222" w:type="dxa"/>
          </w:tcPr>
          <w:p w14:paraId="6DEA7CAA"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880</w:t>
            </w:r>
          </w:p>
        </w:tc>
        <w:tc>
          <w:tcPr>
            <w:tcW w:w="1222" w:type="dxa"/>
          </w:tcPr>
          <w:p w14:paraId="57BD6C7C"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1.679</w:t>
            </w:r>
          </w:p>
        </w:tc>
        <w:tc>
          <w:tcPr>
            <w:tcW w:w="1222" w:type="dxa"/>
          </w:tcPr>
          <w:p w14:paraId="18F7AC16" w14:textId="77777777" w:rsidR="006F579C" w:rsidRPr="008924E0" w:rsidRDefault="006F579C" w:rsidP="006F579C">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8924E0">
              <w:rPr>
                <w:rFonts w:eastAsia="Calibri"/>
                <w:color w:val="000000"/>
                <w:lang w:val="bs-Latn-BA"/>
              </w:rPr>
              <w:t>2.479</w:t>
            </w:r>
          </w:p>
        </w:tc>
      </w:tr>
      <w:tr w:rsidR="00DE0F31" w:rsidRPr="00DE0F31" w14:paraId="62AD988A" w14:textId="77777777" w:rsidTr="00DE0F3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dxa"/>
          </w:tcPr>
          <w:p w14:paraId="0FEF8A83" w14:textId="3591DB66" w:rsidR="00597215" w:rsidRPr="00DE0F31" w:rsidRDefault="00597215" w:rsidP="00597215">
            <w:pPr>
              <w:jc w:val="left"/>
              <w:rPr>
                <w:rFonts w:eastAsia="Calibri"/>
                <w:color w:val="auto"/>
                <w:lang w:val="bs-Latn-BA"/>
              </w:rPr>
            </w:pPr>
            <w:r w:rsidRPr="00DE0F31">
              <w:rPr>
                <w:rFonts w:eastAsia="Calibri"/>
                <w:color w:val="auto"/>
                <w:lang w:val="bs-Latn-BA"/>
              </w:rPr>
              <w:t>Broj čovjek dana</w:t>
            </w:r>
          </w:p>
        </w:tc>
        <w:tc>
          <w:tcPr>
            <w:tcW w:w="0" w:type="dxa"/>
            <w:vAlign w:val="bottom"/>
          </w:tcPr>
          <w:p w14:paraId="73A18141" w14:textId="63D0152D" w:rsidR="00597215" w:rsidRPr="00DE0F31" w:rsidRDefault="00597215" w:rsidP="00597215">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DE0F31">
              <w:rPr>
                <w:rFonts w:eastAsia="Calibri"/>
                <w:color w:val="auto"/>
                <w:lang w:val="bs-Latn-BA"/>
              </w:rPr>
              <w:t>214.441</w:t>
            </w:r>
          </w:p>
        </w:tc>
        <w:tc>
          <w:tcPr>
            <w:tcW w:w="1222" w:type="dxa"/>
            <w:vAlign w:val="bottom"/>
          </w:tcPr>
          <w:p w14:paraId="15E88743" w14:textId="40C94639" w:rsidR="00597215" w:rsidRPr="00DE0F31" w:rsidRDefault="00597215" w:rsidP="00597215">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DE0F31">
              <w:rPr>
                <w:rFonts w:eastAsia="Calibri"/>
                <w:color w:val="auto"/>
                <w:lang w:val="bs-Latn-BA"/>
              </w:rPr>
              <w:t>2.358.850</w:t>
            </w:r>
          </w:p>
        </w:tc>
        <w:tc>
          <w:tcPr>
            <w:tcW w:w="0" w:type="dxa"/>
            <w:vAlign w:val="bottom"/>
          </w:tcPr>
          <w:p w14:paraId="1499D781" w14:textId="0497E19C" w:rsidR="00597215" w:rsidRPr="00DE0F31" w:rsidRDefault="00597215" w:rsidP="00597215">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DE0F31">
              <w:rPr>
                <w:rFonts w:eastAsia="Calibri"/>
                <w:color w:val="auto"/>
                <w:lang w:val="bs-Latn-BA"/>
              </w:rPr>
              <w:t>4.581.966</w:t>
            </w:r>
          </w:p>
        </w:tc>
        <w:tc>
          <w:tcPr>
            <w:tcW w:w="0" w:type="dxa"/>
            <w:vAlign w:val="bottom"/>
          </w:tcPr>
          <w:p w14:paraId="6CED323F" w14:textId="51B6DC89" w:rsidR="00597215" w:rsidRPr="00DE0F31" w:rsidRDefault="00597215" w:rsidP="00597215">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DE0F31">
              <w:rPr>
                <w:rFonts w:eastAsia="Calibri"/>
                <w:color w:val="auto"/>
                <w:lang w:val="bs-Latn-BA"/>
              </w:rPr>
              <w:t>6.858.317</w:t>
            </w:r>
          </w:p>
        </w:tc>
      </w:tr>
      <w:tr w:rsidR="00461B13" w:rsidRPr="008924E0" w14:paraId="32AA6FCC" w14:textId="77777777" w:rsidTr="00DE0F31">
        <w:trPr>
          <w:cnfStyle w:val="000000010000" w:firstRow="0" w:lastRow="0" w:firstColumn="0" w:lastColumn="0" w:oddVBand="0" w:evenVBand="0" w:oddHBand="0" w:evenHBand="1"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0" w:type="dxa"/>
          </w:tcPr>
          <w:p w14:paraId="591A64FE" w14:textId="379AA143" w:rsidR="00597215" w:rsidRPr="00DE0F31" w:rsidRDefault="00597215" w:rsidP="00597215">
            <w:pPr>
              <w:jc w:val="left"/>
              <w:rPr>
                <w:rFonts w:eastAsia="Calibri"/>
                <w:color w:val="000000"/>
                <w:lang w:val="bs-Latn-BA"/>
              </w:rPr>
            </w:pPr>
            <w:r w:rsidRPr="00DE0F31">
              <w:rPr>
                <w:rFonts w:eastAsia="Calibri"/>
                <w:color w:val="auto"/>
                <w:lang w:val="bs-Latn-BA"/>
              </w:rPr>
              <w:t>Ekvivalent punog radnog vremena (FTE)</w:t>
            </w:r>
          </w:p>
        </w:tc>
        <w:tc>
          <w:tcPr>
            <w:tcW w:w="0" w:type="dxa"/>
            <w:vAlign w:val="bottom"/>
          </w:tcPr>
          <w:p w14:paraId="64A1599C" w14:textId="6F375CD1" w:rsidR="00597215" w:rsidRPr="00DE0F31" w:rsidRDefault="00597215" w:rsidP="00597215">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DE0F31">
              <w:rPr>
                <w:rFonts w:eastAsia="Calibri"/>
                <w:color w:val="000000"/>
                <w:lang w:val="bs-Latn-BA"/>
              </w:rPr>
              <w:t>825</w:t>
            </w:r>
          </w:p>
        </w:tc>
        <w:tc>
          <w:tcPr>
            <w:tcW w:w="1222" w:type="dxa"/>
            <w:vAlign w:val="bottom"/>
          </w:tcPr>
          <w:p w14:paraId="1CF7A0BF" w14:textId="39F0B117" w:rsidR="00597215" w:rsidRPr="00DE0F31" w:rsidRDefault="00597215" w:rsidP="00597215">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DE0F31">
              <w:rPr>
                <w:rFonts w:eastAsia="Calibri"/>
                <w:color w:val="000000"/>
                <w:lang w:val="bs-Latn-BA"/>
              </w:rPr>
              <w:t>9.072</w:t>
            </w:r>
          </w:p>
        </w:tc>
        <w:tc>
          <w:tcPr>
            <w:tcW w:w="0" w:type="dxa"/>
            <w:vAlign w:val="bottom"/>
          </w:tcPr>
          <w:p w14:paraId="62DE8884" w14:textId="61C6A03C" w:rsidR="00597215" w:rsidRPr="00DE0F31" w:rsidRDefault="00597215" w:rsidP="00597215">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DE0F31">
              <w:rPr>
                <w:rFonts w:eastAsia="Calibri"/>
                <w:color w:val="000000"/>
                <w:lang w:val="bs-Latn-BA"/>
              </w:rPr>
              <w:t>17.623</w:t>
            </w:r>
          </w:p>
        </w:tc>
        <w:tc>
          <w:tcPr>
            <w:tcW w:w="0" w:type="dxa"/>
            <w:vAlign w:val="bottom"/>
          </w:tcPr>
          <w:p w14:paraId="0E281496" w14:textId="1BFE18AF" w:rsidR="00597215" w:rsidRPr="00DE0F31" w:rsidRDefault="00597215" w:rsidP="00597215">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DE0F31">
              <w:rPr>
                <w:rFonts w:eastAsia="Calibri"/>
                <w:color w:val="000000"/>
                <w:lang w:val="bs-Latn-BA"/>
              </w:rPr>
              <w:t>26.378</w:t>
            </w:r>
          </w:p>
        </w:tc>
      </w:tr>
    </w:tbl>
    <w:p w14:paraId="1C36EE5C" w14:textId="360120F3" w:rsidR="006F579C" w:rsidRDefault="006F579C" w:rsidP="006F579C">
      <w:pPr>
        <w:spacing w:after="120" w:line="276" w:lineRule="auto"/>
        <w:rPr>
          <w:color w:val="000000"/>
          <w:lang w:val="bs-Latn-BA"/>
        </w:rPr>
      </w:pPr>
    </w:p>
    <w:p w14:paraId="297A259D" w14:textId="36186C2F" w:rsidR="004A246B" w:rsidRDefault="004A246B" w:rsidP="004A246B">
      <w:pPr>
        <w:pStyle w:val="Caption"/>
        <w:keepNext/>
      </w:pPr>
      <w:bookmarkStart w:id="135" w:name="_Toc133499570"/>
      <w:r>
        <w:t xml:space="preserve">Tabela </w:t>
      </w:r>
      <w:fldSimple w:instr=" STYLEREF 1 \s ">
        <w:r>
          <w:rPr>
            <w:noProof/>
          </w:rPr>
          <w:t>6</w:t>
        </w:r>
      </w:fldSimple>
      <w:r>
        <w:t>.</w:t>
      </w:r>
      <w:r w:rsidR="00000000">
        <w:fldChar w:fldCharType="begin"/>
      </w:r>
      <w:r w:rsidR="00000000">
        <w:instrText xml:space="preserve"> SEQ Tabela \* ARABIC \s 1 </w:instrText>
      </w:r>
      <w:r w:rsidR="00000000">
        <w:fldChar w:fldCharType="separate"/>
      </w:r>
      <w:r>
        <w:rPr>
          <w:noProof/>
        </w:rPr>
        <w:t>25</w:t>
      </w:r>
      <w:r w:rsidR="00000000">
        <w:rPr>
          <w:noProof/>
        </w:rPr>
        <w:fldChar w:fldCharType="end"/>
      </w:r>
      <w:r>
        <w:t xml:space="preserve"> </w:t>
      </w:r>
      <w:r w:rsidRPr="004A246B">
        <w:t>Troškovi energijske obnove fonda komercijalnih zgrada po kantonima za period do 2050. godine</w:t>
      </w:r>
      <w:bookmarkEnd w:id="135"/>
    </w:p>
    <w:tbl>
      <w:tblPr>
        <w:tblStyle w:val="57"/>
        <w:tblW w:w="9277" w:type="dxa"/>
        <w:tblLayout w:type="fixed"/>
        <w:tblLook w:val="04A0" w:firstRow="1" w:lastRow="0" w:firstColumn="1" w:lastColumn="0" w:noHBand="0" w:noVBand="1"/>
      </w:tblPr>
      <w:tblGrid>
        <w:gridCol w:w="3147"/>
        <w:gridCol w:w="1204"/>
        <w:gridCol w:w="1642"/>
        <w:gridCol w:w="1642"/>
        <w:gridCol w:w="1642"/>
      </w:tblGrid>
      <w:tr w:rsidR="00126C38" w:rsidRPr="008924E0" w14:paraId="5DC1BAC0" w14:textId="77777777" w:rsidTr="000B085B">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val="restart"/>
          </w:tcPr>
          <w:p w14:paraId="23AA82B9" w14:textId="77777777" w:rsidR="00126C38" w:rsidRPr="008924E0" w:rsidRDefault="00126C38" w:rsidP="000B085B">
            <w:pPr>
              <w:jc w:val="left"/>
              <w:rPr>
                <w:lang w:val="bs-Latn-BA"/>
              </w:rPr>
            </w:pPr>
            <w:r w:rsidRPr="008924E0">
              <w:rPr>
                <w:lang w:val="bs-Latn-BA"/>
              </w:rPr>
              <w:t>Kanton</w:t>
            </w:r>
          </w:p>
        </w:tc>
        <w:tc>
          <w:tcPr>
            <w:tcW w:w="6130" w:type="dxa"/>
            <w:gridSpan w:val="4"/>
          </w:tcPr>
          <w:p w14:paraId="5F65C19E" w14:textId="52EAEB4B" w:rsidR="00126C38" w:rsidRPr="008924E0" w:rsidRDefault="00126C38" w:rsidP="000B085B">
            <w:pPr>
              <w:jc w:val="center"/>
              <w:cnfStyle w:val="100000000000" w:firstRow="1" w:lastRow="0" w:firstColumn="0" w:lastColumn="0" w:oddVBand="0" w:evenVBand="0" w:oddHBand="0" w:evenHBand="0" w:firstRowFirstColumn="0" w:firstRowLastColumn="0" w:lastRowFirstColumn="0" w:lastRowLastColumn="0"/>
              <w:rPr>
                <w:rFonts w:ascii="Corbel" w:hAnsi="Corbel" w:cs="Corbel"/>
                <w:lang w:val="bs-Latn-BA"/>
              </w:rPr>
            </w:pPr>
            <w:r w:rsidRPr="008924E0">
              <w:rPr>
                <w:rFonts w:eastAsia="Calibri"/>
                <w:lang w:val="bs-Latn-BA"/>
              </w:rPr>
              <w:t xml:space="preserve">Trošak energijske </w:t>
            </w:r>
            <w:r w:rsidR="00BC23DF">
              <w:rPr>
                <w:rFonts w:eastAsia="Calibri"/>
                <w:lang w:val="bs-Latn-BA"/>
              </w:rPr>
              <w:t>obove</w:t>
            </w:r>
            <w:r w:rsidRPr="008924E0">
              <w:rPr>
                <w:rFonts w:eastAsia="Calibri"/>
                <w:lang w:val="bs-Latn-BA"/>
              </w:rPr>
              <w:t>, 10</w:t>
            </w:r>
            <w:r w:rsidRPr="008924E0">
              <w:rPr>
                <w:rFonts w:eastAsia="Calibri"/>
                <w:vertAlign w:val="superscript"/>
                <w:lang w:val="bs-Latn-BA"/>
              </w:rPr>
              <w:t>6</w:t>
            </w:r>
            <w:r w:rsidRPr="008924E0">
              <w:rPr>
                <w:rFonts w:eastAsia="Calibri"/>
                <w:lang w:val="bs-Latn-BA"/>
              </w:rPr>
              <w:t xml:space="preserve"> BAM</w:t>
            </w:r>
          </w:p>
        </w:tc>
      </w:tr>
      <w:tr w:rsidR="00126C38" w:rsidRPr="008924E0" w14:paraId="42B62742" w14:textId="77777777" w:rsidTr="004A24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vMerge/>
          </w:tcPr>
          <w:p w14:paraId="6C2652EE" w14:textId="77777777" w:rsidR="00126C38" w:rsidRPr="008924E0" w:rsidRDefault="00126C38" w:rsidP="000B085B">
            <w:pPr>
              <w:widowControl w:val="0"/>
              <w:pBdr>
                <w:top w:val="nil"/>
                <w:left w:val="nil"/>
                <w:bottom w:val="nil"/>
                <w:right w:val="nil"/>
                <w:between w:val="nil"/>
              </w:pBdr>
              <w:spacing w:line="276" w:lineRule="auto"/>
              <w:jc w:val="left"/>
              <w:rPr>
                <w:color w:val="000000"/>
                <w:lang w:val="bs-Latn-BA"/>
              </w:rPr>
            </w:pPr>
          </w:p>
        </w:tc>
        <w:tc>
          <w:tcPr>
            <w:tcW w:w="1204" w:type="dxa"/>
            <w:shd w:val="clear" w:color="auto" w:fill="006432"/>
            <w:vAlign w:val="center"/>
          </w:tcPr>
          <w:p w14:paraId="154865FB"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2020.</w:t>
            </w:r>
          </w:p>
          <w:p w14:paraId="157D08DB"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godina</w:t>
            </w:r>
          </w:p>
        </w:tc>
        <w:tc>
          <w:tcPr>
            <w:tcW w:w="1642" w:type="dxa"/>
            <w:shd w:val="clear" w:color="auto" w:fill="006432"/>
            <w:vAlign w:val="center"/>
          </w:tcPr>
          <w:p w14:paraId="78C975A6"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2030.</w:t>
            </w:r>
          </w:p>
          <w:p w14:paraId="63B35511"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godina</w:t>
            </w:r>
          </w:p>
        </w:tc>
        <w:tc>
          <w:tcPr>
            <w:tcW w:w="1642" w:type="dxa"/>
            <w:shd w:val="clear" w:color="auto" w:fill="006432"/>
            <w:vAlign w:val="center"/>
          </w:tcPr>
          <w:p w14:paraId="71D35F70"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2040.</w:t>
            </w:r>
          </w:p>
          <w:p w14:paraId="55014BF7"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godina</w:t>
            </w:r>
          </w:p>
        </w:tc>
        <w:tc>
          <w:tcPr>
            <w:tcW w:w="1642" w:type="dxa"/>
            <w:shd w:val="clear" w:color="auto" w:fill="006432"/>
            <w:vAlign w:val="center"/>
          </w:tcPr>
          <w:p w14:paraId="2DCC1B5F"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2050.</w:t>
            </w:r>
          </w:p>
          <w:p w14:paraId="0A42E0C9" w14:textId="77777777" w:rsidR="00126C38" w:rsidRPr="004A246B" w:rsidRDefault="00126C38" w:rsidP="004A246B">
            <w:pPr>
              <w:jc w:val="center"/>
              <w:cnfStyle w:val="000000100000" w:firstRow="0" w:lastRow="0" w:firstColumn="0" w:lastColumn="0" w:oddVBand="0" w:evenVBand="0" w:oddHBand="1" w:evenHBand="0" w:firstRowFirstColumn="0" w:firstRowLastColumn="0" w:lastRowFirstColumn="0" w:lastRowLastColumn="0"/>
              <w:rPr>
                <w:rFonts w:eastAsia="Calibri"/>
                <w:b/>
                <w:color w:val="FFFFFF" w:themeColor="background1"/>
                <w:lang w:val="bs-Latn-BA"/>
              </w:rPr>
            </w:pPr>
            <w:r w:rsidRPr="004A246B">
              <w:rPr>
                <w:rFonts w:eastAsia="Calibri"/>
                <w:b/>
                <w:color w:val="FFFFFF" w:themeColor="background1"/>
                <w:lang w:val="bs-Latn-BA"/>
              </w:rPr>
              <w:t>godina</w:t>
            </w:r>
          </w:p>
        </w:tc>
      </w:tr>
      <w:tr w:rsidR="00126C38" w:rsidRPr="008924E0" w14:paraId="0A778F7C" w14:textId="77777777" w:rsidTr="004A24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10CD735" w14:textId="77777777" w:rsidR="00126C38" w:rsidRPr="008924E0" w:rsidRDefault="00126C38" w:rsidP="000B085B">
            <w:pPr>
              <w:jc w:val="left"/>
              <w:rPr>
                <w:color w:val="000000"/>
                <w:lang w:val="bs-Latn-BA"/>
              </w:rPr>
            </w:pPr>
            <w:r w:rsidRPr="008924E0">
              <w:rPr>
                <w:color w:val="000000"/>
                <w:lang w:val="bs-Latn-BA"/>
              </w:rPr>
              <w:t>Unsko-sanski kanton</w:t>
            </w:r>
          </w:p>
        </w:tc>
        <w:tc>
          <w:tcPr>
            <w:tcW w:w="1204" w:type="dxa"/>
            <w:vAlign w:val="center"/>
          </w:tcPr>
          <w:p w14:paraId="44A8E9FD"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rFonts w:eastAsia="Calibri"/>
                <w:color w:val="000000"/>
                <w:lang w:val="bs-Latn-BA"/>
              </w:rPr>
              <w:t>9,7</w:t>
            </w:r>
          </w:p>
        </w:tc>
        <w:tc>
          <w:tcPr>
            <w:tcW w:w="1642" w:type="dxa"/>
            <w:vAlign w:val="center"/>
          </w:tcPr>
          <w:p w14:paraId="1F2571AB"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rFonts w:eastAsia="Calibri"/>
                <w:color w:val="000000"/>
                <w:lang w:val="bs-Latn-BA"/>
              </w:rPr>
              <w:t>106,3</w:t>
            </w:r>
          </w:p>
        </w:tc>
        <w:tc>
          <w:tcPr>
            <w:tcW w:w="1642" w:type="dxa"/>
            <w:vAlign w:val="center"/>
          </w:tcPr>
          <w:p w14:paraId="7A867007"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rFonts w:eastAsia="Calibri"/>
                <w:color w:val="000000"/>
                <w:lang w:val="bs-Latn-BA"/>
              </w:rPr>
              <w:t>203,0</w:t>
            </w:r>
          </w:p>
        </w:tc>
        <w:tc>
          <w:tcPr>
            <w:tcW w:w="1642" w:type="dxa"/>
            <w:vAlign w:val="center"/>
          </w:tcPr>
          <w:p w14:paraId="1284C49E"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rFonts w:eastAsia="Calibri"/>
                <w:color w:val="000000"/>
                <w:lang w:val="bs-Latn-BA"/>
              </w:rPr>
              <w:t>299,6</w:t>
            </w:r>
          </w:p>
        </w:tc>
      </w:tr>
      <w:tr w:rsidR="00126C38" w:rsidRPr="008924E0" w14:paraId="15008727" w14:textId="77777777" w:rsidTr="004A24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7C8305C" w14:textId="77777777" w:rsidR="00126C38" w:rsidRPr="008924E0" w:rsidRDefault="00126C38" w:rsidP="000B085B">
            <w:pPr>
              <w:jc w:val="left"/>
              <w:rPr>
                <w:color w:val="000000"/>
                <w:lang w:val="bs-Latn-BA"/>
              </w:rPr>
            </w:pPr>
            <w:r w:rsidRPr="008924E0">
              <w:rPr>
                <w:color w:val="000000"/>
                <w:lang w:val="bs-Latn-BA"/>
              </w:rPr>
              <w:t>Posavski kanton</w:t>
            </w:r>
          </w:p>
        </w:tc>
        <w:tc>
          <w:tcPr>
            <w:tcW w:w="1204" w:type="dxa"/>
            <w:vAlign w:val="center"/>
          </w:tcPr>
          <w:p w14:paraId="45F4089F"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rFonts w:eastAsia="Calibri"/>
                <w:color w:val="000000"/>
                <w:lang w:val="bs-Latn-BA"/>
              </w:rPr>
              <w:t>2,5</w:t>
            </w:r>
          </w:p>
        </w:tc>
        <w:tc>
          <w:tcPr>
            <w:tcW w:w="1642" w:type="dxa"/>
            <w:vAlign w:val="center"/>
          </w:tcPr>
          <w:p w14:paraId="3DFB9560"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27,5</w:t>
            </w:r>
          </w:p>
        </w:tc>
        <w:tc>
          <w:tcPr>
            <w:tcW w:w="1642" w:type="dxa"/>
            <w:vAlign w:val="center"/>
          </w:tcPr>
          <w:p w14:paraId="779E6701"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52,4</w:t>
            </w:r>
          </w:p>
        </w:tc>
        <w:tc>
          <w:tcPr>
            <w:tcW w:w="1642" w:type="dxa"/>
            <w:vAlign w:val="center"/>
          </w:tcPr>
          <w:p w14:paraId="12E2771E"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77,4</w:t>
            </w:r>
          </w:p>
        </w:tc>
      </w:tr>
      <w:tr w:rsidR="00126C38" w:rsidRPr="008924E0" w14:paraId="487DEBC1" w14:textId="77777777" w:rsidTr="004A24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504DA10F" w14:textId="77777777" w:rsidR="00126C38" w:rsidRPr="008924E0" w:rsidRDefault="00126C38" w:rsidP="000B085B">
            <w:pPr>
              <w:jc w:val="left"/>
              <w:rPr>
                <w:color w:val="000000"/>
                <w:lang w:val="bs-Latn-BA"/>
              </w:rPr>
            </w:pPr>
            <w:r w:rsidRPr="008924E0">
              <w:rPr>
                <w:color w:val="000000"/>
                <w:lang w:val="bs-Latn-BA"/>
              </w:rPr>
              <w:t>Tuzlanski kanton</w:t>
            </w:r>
          </w:p>
        </w:tc>
        <w:tc>
          <w:tcPr>
            <w:tcW w:w="1204" w:type="dxa"/>
            <w:vAlign w:val="center"/>
          </w:tcPr>
          <w:p w14:paraId="4D2897A3"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16,1</w:t>
            </w:r>
          </w:p>
        </w:tc>
        <w:tc>
          <w:tcPr>
            <w:tcW w:w="1642" w:type="dxa"/>
            <w:vAlign w:val="center"/>
          </w:tcPr>
          <w:p w14:paraId="294E243A"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176,6</w:t>
            </w:r>
          </w:p>
        </w:tc>
        <w:tc>
          <w:tcPr>
            <w:tcW w:w="1642" w:type="dxa"/>
            <w:vAlign w:val="center"/>
          </w:tcPr>
          <w:p w14:paraId="35D0A102"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337,1</w:t>
            </w:r>
          </w:p>
        </w:tc>
        <w:tc>
          <w:tcPr>
            <w:tcW w:w="1642" w:type="dxa"/>
            <w:vAlign w:val="center"/>
          </w:tcPr>
          <w:p w14:paraId="1FBD9EB3"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497,6</w:t>
            </w:r>
          </w:p>
        </w:tc>
      </w:tr>
      <w:tr w:rsidR="00126C38" w:rsidRPr="008924E0" w14:paraId="6C804F2B" w14:textId="77777777" w:rsidTr="004A24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21CA23D5" w14:textId="77777777" w:rsidR="00126C38" w:rsidRPr="008924E0" w:rsidRDefault="00126C38" w:rsidP="000B085B">
            <w:pPr>
              <w:jc w:val="left"/>
              <w:rPr>
                <w:color w:val="000000"/>
                <w:lang w:val="bs-Latn-BA"/>
              </w:rPr>
            </w:pPr>
            <w:r w:rsidRPr="008924E0">
              <w:rPr>
                <w:color w:val="000000"/>
                <w:lang w:val="bs-Latn-BA"/>
              </w:rPr>
              <w:t>Zeničko-dobojski kanton</w:t>
            </w:r>
          </w:p>
        </w:tc>
        <w:tc>
          <w:tcPr>
            <w:tcW w:w="1204" w:type="dxa"/>
            <w:vAlign w:val="center"/>
          </w:tcPr>
          <w:p w14:paraId="62CD5840"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13,7</w:t>
            </w:r>
          </w:p>
        </w:tc>
        <w:tc>
          <w:tcPr>
            <w:tcW w:w="1642" w:type="dxa"/>
            <w:vAlign w:val="center"/>
          </w:tcPr>
          <w:p w14:paraId="7ABF8017"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150,9</w:t>
            </w:r>
          </w:p>
        </w:tc>
        <w:tc>
          <w:tcPr>
            <w:tcW w:w="1642" w:type="dxa"/>
            <w:vAlign w:val="center"/>
          </w:tcPr>
          <w:p w14:paraId="1FA1E154"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288,1</w:t>
            </w:r>
          </w:p>
        </w:tc>
        <w:tc>
          <w:tcPr>
            <w:tcW w:w="1642" w:type="dxa"/>
            <w:vAlign w:val="center"/>
          </w:tcPr>
          <w:p w14:paraId="204E0771"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425,3</w:t>
            </w:r>
          </w:p>
        </w:tc>
      </w:tr>
      <w:tr w:rsidR="00126C38" w:rsidRPr="008924E0" w14:paraId="0A7E0727" w14:textId="77777777" w:rsidTr="004A24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16A0BA7" w14:textId="77777777" w:rsidR="00126C38" w:rsidRPr="008924E0" w:rsidRDefault="00126C38" w:rsidP="000B085B">
            <w:pPr>
              <w:jc w:val="left"/>
              <w:rPr>
                <w:color w:val="000000"/>
                <w:lang w:val="bs-Latn-BA"/>
              </w:rPr>
            </w:pPr>
            <w:r w:rsidRPr="008924E0">
              <w:rPr>
                <w:color w:val="000000"/>
                <w:lang w:val="bs-Latn-BA"/>
              </w:rPr>
              <w:t>Bosansko-podrinjski kanton</w:t>
            </w:r>
          </w:p>
        </w:tc>
        <w:tc>
          <w:tcPr>
            <w:tcW w:w="1204" w:type="dxa"/>
            <w:vAlign w:val="center"/>
          </w:tcPr>
          <w:p w14:paraId="2C4DAFDB"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1,5</w:t>
            </w:r>
          </w:p>
        </w:tc>
        <w:tc>
          <w:tcPr>
            <w:tcW w:w="1642" w:type="dxa"/>
            <w:vAlign w:val="center"/>
          </w:tcPr>
          <w:p w14:paraId="3B602226"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16,5</w:t>
            </w:r>
          </w:p>
        </w:tc>
        <w:tc>
          <w:tcPr>
            <w:tcW w:w="1642" w:type="dxa"/>
            <w:vAlign w:val="center"/>
          </w:tcPr>
          <w:p w14:paraId="720AF17B"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31,5</w:t>
            </w:r>
          </w:p>
        </w:tc>
        <w:tc>
          <w:tcPr>
            <w:tcW w:w="1642" w:type="dxa"/>
            <w:vAlign w:val="center"/>
          </w:tcPr>
          <w:p w14:paraId="28DEE82E"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46,6</w:t>
            </w:r>
          </w:p>
        </w:tc>
      </w:tr>
      <w:tr w:rsidR="00126C38" w:rsidRPr="008924E0" w14:paraId="335B3D67" w14:textId="77777777" w:rsidTr="004A24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1FE51FDD" w14:textId="77777777" w:rsidR="00126C38" w:rsidRPr="008924E0" w:rsidRDefault="00126C38" w:rsidP="000B085B">
            <w:pPr>
              <w:jc w:val="left"/>
              <w:rPr>
                <w:color w:val="000000"/>
                <w:lang w:val="bs-Latn-BA"/>
              </w:rPr>
            </w:pPr>
            <w:r w:rsidRPr="008924E0">
              <w:rPr>
                <w:color w:val="000000"/>
                <w:lang w:val="bs-Latn-BA"/>
              </w:rPr>
              <w:t>Srednjobosanski kanton</w:t>
            </w:r>
          </w:p>
        </w:tc>
        <w:tc>
          <w:tcPr>
            <w:tcW w:w="1204" w:type="dxa"/>
            <w:vAlign w:val="center"/>
          </w:tcPr>
          <w:p w14:paraId="340419B5"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8,3</w:t>
            </w:r>
          </w:p>
        </w:tc>
        <w:tc>
          <w:tcPr>
            <w:tcW w:w="1642" w:type="dxa"/>
            <w:vAlign w:val="center"/>
          </w:tcPr>
          <w:p w14:paraId="1C5B05FB"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91,4</w:t>
            </w:r>
          </w:p>
        </w:tc>
        <w:tc>
          <w:tcPr>
            <w:tcW w:w="1642" w:type="dxa"/>
            <w:vAlign w:val="center"/>
          </w:tcPr>
          <w:p w14:paraId="6B011DC3"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174,4</w:t>
            </w:r>
          </w:p>
        </w:tc>
        <w:tc>
          <w:tcPr>
            <w:tcW w:w="1642" w:type="dxa"/>
            <w:vAlign w:val="center"/>
          </w:tcPr>
          <w:p w14:paraId="24DFA8CB"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257,5</w:t>
            </w:r>
          </w:p>
        </w:tc>
      </w:tr>
      <w:tr w:rsidR="00126C38" w:rsidRPr="008924E0" w14:paraId="5C335A88" w14:textId="77777777" w:rsidTr="004A24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4E4F6119" w14:textId="77777777" w:rsidR="00126C38" w:rsidRPr="008924E0" w:rsidRDefault="00126C38" w:rsidP="000B085B">
            <w:pPr>
              <w:jc w:val="left"/>
              <w:rPr>
                <w:color w:val="000000"/>
                <w:lang w:val="bs-Latn-BA"/>
              </w:rPr>
            </w:pPr>
            <w:r w:rsidRPr="008924E0">
              <w:rPr>
                <w:color w:val="000000"/>
                <w:lang w:val="bs-Latn-BA"/>
              </w:rPr>
              <w:t>Hercegovačko-neretvanski kanton</w:t>
            </w:r>
          </w:p>
        </w:tc>
        <w:tc>
          <w:tcPr>
            <w:tcW w:w="1204" w:type="dxa"/>
            <w:vAlign w:val="center"/>
          </w:tcPr>
          <w:p w14:paraId="564CDD43"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10,6</w:t>
            </w:r>
          </w:p>
        </w:tc>
        <w:tc>
          <w:tcPr>
            <w:tcW w:w="1642" w:type="dxa"/>
            <w:vAlign w:val="center"/>
          </w:tcPr>
          <w:p w14:paraId="5DD143BB"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116,5</w:t>
            </w:r>
          </w:p>
        </w:tc>
        <w:tc>
          <w:tcPr>
            <w:tcW w:w="1642" w:type="dxa"/>
            <w:vAlign w:val="center"/>
          </w:tcPr>
          <w:p w14:paraId="40204875"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222,3</w:t>
            </w:r>
          </w:p>
        </w:tc>
        <w:tc>
          <w:tcPr>
            <w:tcW w:w="1642" w:type="dxa"/>
            <w:vAlign w:val="center"/>
          </w:tcPr>
          <w:p w14:paraId="31887D15"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328,2</w:t>
            </w:r>
          </w:p>
        </w:tc>
      </w:tr>
      <w:tr w:rsidR="00126C38" w:rsidRPr="008924E0" w14:paraId="6AFE1F3C" w14:textId="77777777" w:rsidTr="004A24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924ED52" w14:textId="77777777" w:rsidR="00126C38" w:rsidRPr="008924E0" w:rsidRDefault="00126C38" w:rsidP="000B085B">
            <w:pPr>
              <w:jc w:val="left"/>
              <w:rPr>
                <w:color w:val="000000"/>
                <w:lang w:val="bs-Latn-BA"/>
              </w:rPr>
            </w:pPr>
            <w:r w:rsidRPr="008924E0">
              <w:rPr>
                <w:color w:val="000000"/>
                <w:lang w:val="bs-Latn-BA"/>
              </w:rPr>
              <w:t>Zapadnohercegovački kanton</w:t>
            </w:r>
          </w:p>
        </w:tc>
        <w:tc>
          <w:tcPr>
            <w:tcW w:w="1204" w:type="dxa"/>
            <w:vAlign w:val="center"/>
          </w:tcPr>
          <w:p w14:paraId="58B13B6E"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3,6</w:t>
            </w:r>
          </w:p>
        </w:tc>
        <w:tc>
          <w:tcPr>
            <w:tcW w:w="1642" w:type="dxa"/>
            <w:vAlign w:val="center"/>
          </w:tcPr>
          <w:p w14:paraId="2241C03B"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39,8</w:t>
            </w:r>
          </w:p>
        </w:tc>
        <w:tc>
          <w:tcPr>
            <w:tcW w:w="1642" w:type="dxa"/>
            <w:vAlign w:val="center"/>
          </w:tcPr>
          <w:p w14:paraId="4F786608"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76,0</w:t>
            </w:r>
          </w:p>
        </w:tc>
        <w:tc>
          <w:tcPr>
            <w:tcW w:w="1642" w:type="dxa"/>
            <w:vAlign w:val="center"/>
          </w:tcPr>
          <w:p w14:paraId="58EF2F80"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112,2</w:t>
            </w:r>
          </w:p>
        </w:tc>
      </w:tr>
      <w:tr w:rsidR="00126C38" w:rsidRPr="008924E0" w14:paraId="0712EE4C" w14:textId="77777777" w:rsidTr="004A24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3201238E" w14:textId="77777777" w:rsidR="00126C38" w:rsidRPr="008924E0" w:rsidRDefault="00126C38" w:rsidP="000B085B">
            <w:pPr>
              <w:jc w:val="left"/>
              <w:rPr>
                <w:color w:val="000000"/>
                <w:lang w:val="bs-Latn-BA"/>
              </w:rPr>
            </w:pPr>
            <w:r w:rsidRPr="008924E0">
              <w:rPr>
                <w:color w:val="000000"/>
                <w:lang w:val="bs-Latn-BA"/>
              </w:rPr>
              <w:t>Kanton Sarajevo</w:t>
            </w:r>
          </w:p>
        </w:tc>
        <w:tc>
          <w:tcPr>
            <w:tcW w:w="1204" w:type="dxa"/>
            <w:vAlign w:val="center"/>
          </w:tcPr>
          <w:p w14:paraId="70BDC1A5"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10,3</w:t>
            </w:r>
          </w:p>
        </w:tc>
        <w:tc>
          <w:tcPr>
            <w:tcW w:w="1642" w:type="dxa"/>
            <w:vAlign w:val="center"/>
          </w:tcPr>
          <w:p w14:paraId="3ABAC696"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113,3</w:t>
            </w:r>
          </w:p>
        </w:tc>
        <w:tc>
          <w:tcPr>
            <w:tcW w:w="1642" w:type="dxa"/>
            <w:vAlign w:val="center"/>
          </w:tcPr>
          <w:p w14:paraId="2A6134D9"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216,3</w:t>
            </w:r>
          </w:p>
        </w:tc>
        <w:tc>
          <w:tcPr>
            <w:tcW w:w="1642" w:type="dxa"/>
            <w:vAlign w:val="center"/>
          </w:tcPr>
          <w:p w14:paraId="6E351FD4"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146AFD">
              <w:rPr>
                <w:color w:val="000000"/>
              </w:rPr>
              <w:t>319,2</w:t>
            </w:r>
          </w:p>
        </w:tc>
      </w:tr>
      <w:tr w:rsidR="00126C38" w:rsidRPr="008924E0" w14:paraId="26CEE32F" w14:textId="77777777" w:rsidTr="004A246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7C4C8AD5" w14:textId="77777777" w:rsidR="00126C38" w:rsidRPr="008924E0" w:rsidRDefault="00126C38" w:rsidP="000B085B">
            <w:pPr>
              <w:jc w:val="left"/>
              <w:rPr>
                <w:color w:val="000000"/>
                <w:lang w:val="bs-Latn-BA"/>
              </w:rPr>
            </w:pPr>
            <w:r w:rsidRPr="008924E0">
              <w:rPr>
                <w:color w:val="000000"/>
                <w:lang w:val="bs-Latn-BA"/>
              </w:rPr>
              <w:t>Kanton 10</w:t>
            </w:r>
          </w:p>
        </w:tc>
        <w:tc>
          <w:tcPr>
            <w:tcW w:w="1204" w:type="dxa"/>
            <w:vAlign w:val="center"/>
          </w:tcPr>
          <w:p w14:paraId="1F771A8C"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3,7</w:t>
            </w:r>
          </w:p>
        </w:tc>
        <w:tc>
          <w:tcPr>
            <w:tcW w:w="1642" w:type="dxa"/>
            <w:vAlign w:val="center"/>
          </w:tcPr>
          <w:p w14:paraId="3742286E"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41,0</w:t>
            </w:r>
          </w:p>
        </w:tc>
        <w:tc>
          <w:tcPr>
            <w:tcW w:w="1642" w:type="dxa"/>
            <w:vAlign w:val="center"/>
          </w:tcPr>
          <w:p w14:paraId="0015C6F3"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78,3</w:t>
            </w:r>
          </w:p>
        </w:tc>
        <w:tc>
          <w:tcPr>
            <w:tcW w:w="1642" w:type="dxa"/>
            <w:vAlign w:val="center"/>
          </w:tcPr>
          <w:p w14:paraId="5E7E1A96" w14:textId="77777777" w:rsidR="00126C38" w:rsidRPr="00146AFD" w:rsidRDefault="00126C38" w:rsidP="004A246B">
            <w:pPr>
              <w:jc w:val="center"/>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146AFD">
              <w:rPr>
                <w:color w:val="000000"/>
              </w:rPr>
              <w:t>115,6</w:t>
            </w:r>
          </w:p>
        </w:tc>
      </w:tr>
      <w:tr w:rsidR="00126C38" w:rsidRPr="00C640A4" w14:paraId="3E844CBF" w14:textId="77777777" w:rsidTr="004A246B">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3147" w:type="dxa"/>
          </w:tcPr>
          <w:p w14:paraId="69EE3865" w14:textId="77777777" w:rsidR="00126C38" w:rsidRPr="00C640A4" w:rsidRDefault="00126C38" w:rsidP="000B085B">
            <w:pPr>
              <w:jc w:val="left"/>
              <w:rPr>
                <w:color w:val="000000"/>
                <w:lang w:val="bs-Latn-BA"/>
              </w:rPr>
            </w:pPr>
            <w:r w:rsidRPr="00C640A4">
              <w:rPr>
                <w:color w:val="000000"/>
                <w:lang w:val="bs-Latn-BA"/>
              </w:rPr>
              <w:t>Ukupno</w:t>
            </w:r>
          </w:p>
        </w:tc>
        <w:tc>
          <w:tcPr>
            <w:tcW w:w="1204" w:type="dxa"/>
            <w:vAlign w:val="center"/>
          </w:tcPr>
          <w:p w14:paraId="72F66EFA"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46AFD">
              <w:rPr>
                <w:b/>
                <w:bCs/>
                <w:color w:val="000000"/>
              </w:rPr>
              <w:t>80,0</w:t>
            </w:r>
          </w:p>
        </w:tc>
        <w:tc>
          <w:tcPr>
            <w:tcW w:w="1642" w:type="dxa"/>
            <w:vAlign w:val="center"/>
          </w:tcPr>
          <w:p w14:paraId="730C696C"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46AFD">
              <w:rPr>
                <w:b/>
                <w:bCs/>
                <w:color w:val="000000"/>
              </w:rPr>
              <w:t>879,7</w:t>
            </w:r>
          </w:p>
        </w:tc>
        <w:tc>
          <w:tcPr>
            <w:tcW w:w="1642" w:type="dxa"/>
            <w:vAlign w:val="center"/>
          </w:tcPr>
          <w:p w14:paraId="3E355722"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46AFD">
              <w:rPr>
                <w:b/>
                <w:bCs/>
                <w:color w:val="000000"/>
              </w:rPr>
              <w:t>1.679,5</w:t>
            </w:r>
          </w:p>
        </w:tc>
        <w:tc>
          <w:tcPr>
            <w:tcW w:w="1642" w:type="dxa"/>
            <w:vAlign w:val="center"/>
          </w:tcPr>
          <w:p w14:paraId="1F5C99C8" w14:textId="77777777" w:rsidR="00126C38" w:rsidRPr="00146AFD" w:rsidRDefault="00126C38" w:rsidP="004A246B">
            <w:pPr>
              <w:jc w:val="center"/>
              <w:cnfStyle w:val="000000010000" w:firstRow="0" w:lastRow="0" w:firstColumn="0" w:lastColumn="0" w:oddVBand="0" w:evenVBand="0" w:oddHBand="0" w:evenHBand="1" w:firstRowFirstColumn="0" w:firstRowLastColumn="0" w:lastRowFirstColumn="0" w:lastRowLastColumn="0"/>
              <w:rPr>
                <w:rFonts w:ascii="Corbel" w:hAnsi="Corbel" w:cs="Corbel"/>
                <w:b/>
                <w:bCs/>
                <w:color w:val="000000"/>
                <w:lang w:val="bs-Latn-BA"/>
              </w:rPr>
            </w:pPr>
            <w:r w:rsidRPr="00146AFD">
              <w:rPr>
                <w:b/>
                <w:bCs/>
                <w:color w:val="000000"/>
              </w:rPr>
              <w:t>2.479,2</w:t>
            </w:r>
          </w:p>
        </w:tc>
      </w:tr>
    </w:tbl>
    <w:p w14:paraId="64CC8579" w14:textId="77777777" w:rsidR="00126C38" w:rsidRPr="008924E0" w:rsidRDefault="00126C38" w:rsidP="006F579C">
      <w:pPr>
        <w:spacing w:after="120" w:line="276" w:lineRule="auto"/>
        <w:rPr>
          <w:color w:val="000000"/>
          <w:lang w:val="bs-Latn-BA"/>
        </w:rPr>
      </w:pPr>
    </w:p>
    <w:p w14:paraId="37629217" w14:textId="77777777" w:rsidR="006F579C" w:rsidRPr="007F1ECE" w:rsidRDefault="006F579C" w:rsidP="00206D52">
      <w:pPr>
        <w:pStyle w:val="Heading2"/>
        <w:numPr>
          <w:ilvl w:val="1"/>
          <w:numId w:val="33"/>
        </w:numPr>
        <w:tabs>
          <w:tab w:val="left" w:pos="990"/>
          <w:tab w:val="left" w:pos="1620"/>
        </w:tabs>
        <w:ind w:left="792"/>
        <w:rPr>
          <w:lang w:val="bs-Latn-BA"/>
        </w:rPr>
      </w:pPr>
      <w:bookmarkStart w:id="136" w:name="_heading=h.3hv69ve" w:colFirst="0" w:colLast="0"/>
      <w:bookmarkStart w:id="137" w:name="_Toc134011769"/>
      <w:bookmarkEnd w:id="136"/>
      <w:r w:rsidRPr="007F1ECE">
        <w:rPr>
          <w:lang w:val="bs-Latn-BA"/>
        </w:rPr>
        <w:t>Zgrade sa statusom nacionalnih spomenika</w:t>
      </w:r>
      <w:bookmarkEnd w:id="137"/>
      <w:r w:rsidRPr="007F1ECE">
        <w:rPr>
          <w:lang w:val="bs-Latn-BA"/>
        </w:rPr>
        <w:t xml:space="preserve"> </w:t>
      </w:r>
    </w:p>
    <w:p w14:paraId="0C8D614B" w14:textId="2183F0E4" w:rsidR="006F579C" w:rsidRPr="008924E0" w:rsidRDefault="006F579C" w:rsidP="006F579C">
      <w:pPr>
        <w:rPr>
          <w:lang w:val="bs-Latn-BA"/>
        </w:rPr>
      </w:pPr>
      <w:r w:rsidRPr="008924E0">
        <w:rPr>
          <w:lang w:val="bs-Latn-BA"/>
        </w:rPr>
        <w:t xml:space="preserve">Zavod za zaštitu spomenika FBiH (ZZS FBiH) u okviru Ministarstva kulture i sporta FBiH, nadležan je za oblast zaštite i korištenja kulturno-historijskog naslijeđa u FBiH. U nadležnosti Zavoda je i priprema programe </w:t>
      </w:r>
      <w:r w:rsidR="00BC23DF">
        <w:rPr>
          <w:lang w:val="bs-Latn-BA"/>
        </w:rPr>
        <w:t>obnove</w:t>
      </w:r>
      <w:r w:rsidRPr="008924E0">
        <w:rPr>
          <w:lang w:val="bs-Latn-BA"/>
        </w:rPr>
        <w:t>, konzervacije, restauracije, rekonstrukcije i rehabilitacije objekata kulturno-historijskog naslijeđa, te sudjelovanje u pripremi zakona i drugih propisa u vezi sa zaštitom i korištenjem kulturno-historijskog naslijeđa. U okviru „</w:t>
      </w:r>
      <w:r w:rsidRPr="008924E0">
        <w:rPr>
          <w:color w:val="000000"/>
          <w:lang w:val="bs-Latn-BA"/>
        </w:rPr>
        <w:t>Programa energijske obnove zgrada sa statusom nacionalnih spomenika</w:t>
      </w:r>
      <w:r w:rsidRPr="008924E0">
        <w:rPr>
          <w:lang w:val="bs-Latn-BA"/>
        </w:rPr>
        <w:t xml:space="preserve">“ će biti </w:t>
      </w:r>
      <w:r w:rsidR="00AB786E">
        <w:rPr>
          <w:lang w:val="bs-Latn-BA"/>
        </w:rPr>
        <w:t>definirana</w:t>
      </w:r>
      <w:r w:rsidRPr="008924E0">
        <w:rPr>
          <w:lang w:val="bs-Latn-BA"/>
        </w:rPr>
        <w:t xml:space="preserve"> dinamika obnove ove kategorije zgrada , broj i energijske karakteristike zgrada obuhvaćenih obnovom, očekivane uštede energije i emisije CO</w:t>
      </w:r>
      <w:r w:rsidRPr="008924E0">
        <w:rPr>
          <w:vertAlign w:val="subscript"/>
          <w:lang w:val="bs-Latn-BA"/>
        </w:rPr>
        <w:t>2</w:t>
      </w:r>
      <w:r w:rsidRPr="008924E0">
        <w:rPr>
          <w:lang w:val="bs-Latn-BA"/>
        </w:rPr>
        <w:t xml:space="preserve">, troškovi </w:t>
      </w:r>
      <w:r w:rsidR="00BC23DF">
        <w:rPr>
          <w:lang w:val="bs-Latn-BA"/>
        </w:rPr>
        <w:t>obnove</w:t>
      </w:r>
      <w:r w:rsidR="00BC23DF" w:rsidRPr="008924E0">
        <w:rPr>
          <w:lang w:val="bs-Latn-BA"/>
        </w:rPr>
        <w:t xml:space="preserve"> </w:t>
      </w:r>
      <w:r w:rsidRPr="008924E0">
        <w:rPr>
          <w:lang w:val="bs-Latn-BA"/>
        </w:rPr>
        <w:t xml:space="preserve">i ostali relevantni parametri. </w:t>
      </w:r>
    </w:p>
    <w:p w14:paraId="26DA4387" w14:textId="77777777" w:rsidR="006F579C" w:rsidRPr="007F1ECE" w:rsidRDefault="006F579C" w:rsidP="00206D52">
      <w:pPr>
        <w:pStyle w:val="Heading2"/>
        <w:numPr>
          <w:ilvl w:val="1"/>
          <w:numId w:val="33"/>
        </w:numPr>
        <w:tabs>
          <w:tab w:val="left" w:pos="990"/>
        </w:tabs>
        <w:ind w:left="792"/>
        <w:rPr>
          <w:lang w:val="bs-Latn-BA"/>
        </w:rPr>
      </w:pPr>
      <w:bookmarkStart w:id="138" w:name="_heading=h.1x0gk37" w:colFirst="0" w:colLast="0"/>
      <w:bookmarkStart w:id="139" w:name="_Toc134011770"/>
      <w:bookmarkEnd w:id="138"/>
      <w:r w:rsidRPr="007F1ECE">
        <w:rPr>
          <w:lang w:val="bs-Latn-BA"/>
        </w:rPr>
        <w:lastRenderedPageBreak/>
        <w:t>Zgrade u vlasništvu i korištenju oružanih snaga BiH</w:t>
      </w:r>
      <w:bookmarkEnd w:id="139"/>
    </w:p>
    <w:p w14:paraId="2798C445" w14:textId="5DBD1EB6" w:rsidR="00066C30" w:rsidRDefault="006F579C" w:rsidP="00066C30">
      <w:pPr>
        <w:rPr>
          <w:lang w:val="bs-Latn-BA"/>
        </w:rPr>
      </w:pPr>
      <w:r w:rsidRPr="008924E0">
        <w:rPr>
          <w:lang w:val="bs-Latn-BA"/>
        </w:rPr>
        <w:t>Fond zgrada Oružanih snaga BiH, odnosno zgrade koje su u nadležnosti Ministarstva odbrane BiH, tretirat će se kroz poseban „</w:t>
      </w:r>
      <w:r w:rsidRPr="008924E0">
        <w:rPr>
          <w:color w:val="000000"/>
          <w:lang w:val="bs-Latn-BA"/>
        </w:rPr>
        <w:t>Program energijske obnove zgrada u nadležnosti Ministarstva odbrane BiH</w:t>
      </w:r>
      <w:r w:rsidRPr="008924E0">
        <w:rPr>
          <w:lang w:val="bs-Latn-BA"/>
        </w:rPr>
        <w:t xml:space="preserve">“, jer informacije o istima spadaju u domen državne tajne. U okviru Programa će biti </w:t>
      </w:r>
      <w:r w:rsidR="00AB786E">
        <w:rPr>
          <w:lang w:val="bs-Latn-BA"/>
        </w:rPr>
        <w:t>definirana</w:t>
      </w:r>
      <w:r w:rsidRPr="008924E0">
        <w:rPr>
          <w:lang w:val="bs-Latn-BA"/>
        </w:rPr>
        <w:t xml:space="preserve"> dinamika obnove ove kategorije zgrada , broj i energijske karakteristike zgrada obuhvaćenih obnovom, očekivane uštede energije i emisije CO</w:t>
      </w:r>
      <w:r w:rsidRPr="008924E0">
        <w:rPr>
          <w:vertAlign w:val="subscript"/>
          <w:lang w:val="bs-Latn-BA"/>
        </w:rPr>
        <w:t>2</w:t>
      </w:r>
      <w:r w:rsidRPr="008924E0">
        <w:rPr>
          <w:lang w:val="bs-Latn-BA"/>
        </w:rPr>
        <w:t xml:space="preserve">, troškovi </w:t>
      </w:r>
      <w:r w:rsidR="00BC23DF">
        <w:rPr>
          <w:lang w:val="bs-Latn-BA"/>
        </w:rPr>
        <w:t>obnove</w:t>
      </w:r>
      <w:r w:rsidR="00BC23DF" w:rsidRPr="008924E0">
        <w:rPr>
          <w:lang w:val="bs-Latn-BA"/>
        </w:rPr>
        <w:t xml:space="preserve"> </w:t>
      </w:r>
      <w:r w:rsidRPr="008924E0">
        <w:rPr>
          <w:lang w:val="bs-Latn-BA"/>
        </w:rPr>
        <w:t>i ostali relevantni parametri.</w:t>
      </w:r>
    </w:p>
    <w:p w14:paraId="278BC979" w14:textId="500DCE53" w:rsidR="00066C30" w:rsidRPr="007F1ECE" w:rsidRDefault="00066C30" w:rsidP="00206D52">
      <w:pPr>
        <w:pStyle w:val="Heading2"/>
        <w:numPr>
          <w:ilvl w:val="1"/>
          <w:numId w:val="33"/>
        </w:numPr>
        <w:tabs>
          <w:tab w:val="left" w:pos="990"/>
        </w:tabs>
        <w:ind w:left="792"/>
        <w:rPr>
          <w:lang w:val="bs-Latn-BA"/>
        </w:rPr>
      </w:pPr>
      <w:bookmarkStart w:id="140" w:name="_Toc134011771"/>
      <w:r w:rsidRPr="007F1ECE">
        <w:rPr>
          <w:lang w:val="bs-Latn-BA"/>
        </w:rPr>
        <w:t>Nelegalno izgrađene zgrade</w:t>
      </w:r>
      <w:bookmarkEnd w:id="140"/>
    </w:p>
    <w:p w14:paraId="49685869" w14:textId="07DB35E4" w:rsidR="00066C30" w:rsidRDefault="00066C30" w:rsidP="00066C30">
      <w:pPr>
        <w:rPr>
          <w:lang w:val="bs-Latn-BA"/>
        </w:rPr>
      </w:pPr>
      <w:r w:rsidRPr="004E1F77">
        <w:rPr>
          <w:lang w:val="bs-Latn-BA"/>
        </w:rPr>
        <w:t>Procenat broja zgrada koje imaju status nelegalno izgrađenih zgrada izgrađenih u periodu prije 2014. godine iznosi u prosjeku 22,22 %</w:t>
      </w:r>
      <w:r>
        <w:rPr>
          <w:lang w:val="bs-Latn-BA"/>
        </w:rPr>
        <w:t xml:space="preserve"> od ukupnog broja individualnih stambenih zgrada</w:t>
      </w:r>
      <w:r w:rsidRPr="004E1F77">
        <w:rPr>
          <w:lang w:val="bs-Latn-BA"/>
        </w:rPr>
        <w:t xml:space="preserve">, sa tendencijom porasta ovog procenta za zgrade izgrađene u periodu nakon 2014. godine. U okviru </w:t>
      </w:r>
      <w:r>
        <w:rPr>
          <w:lang w:val="bs-Latn-BA"/>
        </w:rPr>
        <w:t xml:space="preserve">analize ušteda energije kroz programe energijske </w:t>
      </w:r>
      <w:r w:rsidR="00BC23DF">
        <w:rPr>
          <w:lang w:val="bs-Latn-BA"/>
        </w:rPr>
        <w:t xml:space="preserve">obnove </w:t>
      </w:r>
      <w:r>
        <w:rPr>
          <w:lang w:val="bs-Latn-BA"/>
        </w:rPr>
        <w:t xml:space="preserve">stambenih zgrada, problematika energijske </w:t>
      </w:r>
      <w:r w:rsidR="00BC23DF">
        <w:rPr>
          <w:lang w:val="bs-Latn-BA"/>
        </w:rPr>
        <w:t xml:space="preserve">obnove </w:t>
      </w:r>
      <w:r>
        <w:rPr>
          <w:lang w:val="bs-Latn-BA"/>
        </w:rPr>
        <w:t xml:space="preserve">nelegalno izgrađenih zgrada nije razmatrana, te je uvedena pretpostavka da nema otvorenih pravno-statusnih i tehničkih pitanja u vezi ovih zgrada. Energijska </w:t>
      </w:r>
      <w:r w:rsidR="00BC23DF">
        <w:rPr>
          <w:lang w:val="bs-Latn-BA"/>
        </w:rPr>
        <w:t xml:space="preserve">obnova </w:t>
      </w:r>
      <w:r>
        <w:rPr>
          <w:lang w:val="bs-Latn-BA"/>
        </w:rPr>
        <w:t xml:space="preserve">nelegalno izgrađenih zgrada zahtjeva </w:t>
      </w:r>
      <w:r w:rsidRPr="001E504A">
        <w:rPr>
          <w:lang w:val="bs-Latn-BA"/>
        </w:rPr>
        <w:t>usvajanje sistemskog pristupa u rješavanju ovog problema  na nivou svih kantona u FBiH,</w:t>
      </w:r>
      <w:r>
        <w:rPr>
          <w:lang w:val="bs-Latn-BA"/>
        </w:rPr>
        <w:t xml:space="preserve"> u</w:t>
      </w:r>
      <w:r w:rsidRPr="001E504A">
        <w:rPr>
          <w:lang w:val="bs-Latn-BA"/>
        </w:rPr>
        <w:t>spostavljanje registra nelegalno izgrađenih zgrada na nivou općina</w:t>
      </w:r>
      <w:r w:rsidR="002E4CDE">
        <w:rPr>
          <w:lang w:val="bs-Latn-BA"/>
        </w:rPr>
        <w:t xml:space="preserve"> i gradova, </w:t>
      </w:r>
      <w:r>
        <w:rPr>
          <w:lang w:val="bs-Latn-BA"/>
        </w:rPr>
        <w:t xml:space="preserve"> i u</w:t>
      </w:r>
      <w:r w:rsidRPr="001E504A">
        <w:rPr>
          <w:lang w:val="bs-Latn-BA"/>
        </w:rPr>
        <w:t>svajanje procedure za legalizaciju nelegalno izgrađenih zgrada na nivou svih kantona u FBiH</w:t>
      </w:r>
      <w:r>
        <w:rPr>
          <w:lang w:val="bs-Latn-BA"/>
        </w:rPr>
        <w:t>.</w:t>
      </w:r>
    </w:p>
    <w:p w14:paraId="43148A16" w14:textId="46B00377" w:rsidR="00066C30" w:rsidRPr="007F1ECE" w:rsidRDefault="00066C30" w:rsidP="00206D52">
      <w:pPr>
        <w:pStyle w:val="Heading2"/>
        <w:numPr>
          <w:ilvl w:val="1"/>
          <w:numId w:val="33"/>
        </w:numPr>
        <w:tabs>
          <w:tab w:val="left" w:pos="990"/>
        </w:tabs>
        <w:ind w:left="792"/>
        <w:rPr>
          <w:lang w:val="bs-Latn-BA"/>
        </w:rPr>
      </w:pPr>
      <w:bookmarkStart w:id="141" w:name="_Toc134011772"/>
      <w:r w:rsidRPr="007F1ECE">
        <w:rPr>
          <w:lang w:val="bs-Latn-BA"/>
        </w:rPr>
        <w:t>Zgrade gotovo nulte energije (nZEB)</w:t>
      </w:r>
      <w:bookmarkEnd w:id="141"/>
    </w:p>
    <w:p w14:paraId="2E10DE3F" w14:textId="24C69C31" w:rsidR="00066C30" w:rsidRPr="00D76EFD" w:rsidRDefault="00066C30" w:rsidP="00066C30">
      <w:pPr>
        <w:spacing w:after="120" w:line="276" w:lineRule="auto"/>
        <w:rPr>
          <w:lang w:val="bs-Latn-BA"/>
        </w:rPr>
      </w:pPr>
      <w:r w:rsidRPr="00771E4B">
        <w:rPr>
          <w:lang w:val="bs-Latn-BA"/>
        </w:rPr>
        <w:t>P</w:t>
      </w:r>
      <w:r w:rsidR="00E9234C">
        <w:rPr>
          <w:lang w:val="bs-Latn-BA"/>
        </w:rPr>
        <w:t>rema</w:t>
      </w:r>
      <w:r w:rsidRPr="00771E4B">
        <w:rPr>
          <w:lang w:val="bs-Latn-BA"/>
        </w:rPr>
        <w:t xml:space="preserve"> </w:t>
      </w:r>
      <w:r>
        <w:rPr>
          <w:lang w:val="bs-Latn-BA"/>
        </w:rPr>
        <w:t>D</w:t>
      </w:r>
      <w:r w:rsidRPr="00771E4B">
        <w:rPr>
          <w:lang w:val="bs-Latn-BA"/>
        </w:rPr>
        <w:t xml:space="preserve">irektivi 2010/31/EU zgrade gotovo nulte energije su definirane kao zgrade koje su izuzetno energijski efikasne i gdje je skoro nulta ili niska potrošnja energije potrebna za funkcioniranje zgrade, </w:t>
      </w:r>
      <w:r w:rsidR="00B17B41" w:rsidRPr="00771E4B">
        <w:rPr>
          <w:lang w:val="bs-Latn-BA"/>
        </w:rPr>
        <w:t>dobivena</w:t>
      </w:r>
      <w:r w:rsidRPr="00771E4B">
        <w:rPr>
          <w:lang w:val="bs-Latn-BA"/>
        </w:rPr>
        <w:t xml:space="preserve"> u velikoj mjeri iz obnovljivih izvora energije</w:t>
      </w:r>
      <w:r>
        <w:rPr>
          <w:lang w:val="bs-Latn-BA"/>
        </w:rPr>
        <w:t>.</w:t>
      </w:r>
      <w:r w:rsidR="00B17B41">
        <w:rPr>
          <w:lang w:val="bs-Latn-BA"/>
        </w:rPr>
        <w:t xml:space="preserve"> </w:t>
      </w:r>
      <w:r w:rsidRPr="00771E4B">
        <w:rPr>
          <w:lang w:val="bs-Latn-BA"/>
        </w:rPr>
        <w:t>Odlukom Ministarskog vijeća Energetske Zajednice 2010/02/MC-EnC nakon 30. juna 2019. godine sve nove zgrade koje koriste državne institucije i  vlasništvo su države treba da budu zgrade gotovo nulte energije, a do 30. juna 2021. godine sve nove zgrade treba da budu zgrade skoro nulte energije.</w:t>
      </w:r>
      <w:r>
        <w:rPr>
          <w:lang w:val="bs-Latn-BA"/>
        </w:rPr>
        <w:t xml:space="preserve"> </w:t>
      </w:r>
    </w:p>
    <w:p w14:paraId="582AE02A" w14:textId="4242BA1F" w:rsidR="00066C30" w:rsidRDefault="00066C30" w:rsidP="00066C30">
      <w:pPr>
        <w:spacing w:after="120" w:line="276" w:lineRule="auto"/>
        <w:rPr>
          <w:lang w:val="bs-Latn-BA"/>
        </w:rPr>
      </w:pPr>
      <w:r w:rsidRPr="00D76EFD">
        <w:rPr>
          <w:lang w:val="bs-Latn-BA"/>
        </w:rPr>
        <w:t xml:space="preserve">Zgrada gotovo nulte energije definirana je potrošnjom primarne energije za grijanje, hlađenje, ventilaciju, pripremu potrošne tople vode i rasvjetu te minimalnim udjelom obnovljivih izvora energije od 30% u isporučenoj energiji potrebnoj za zadovoljavanje </w:t>
      </w:r>
      <w:r w:rsidR="00010793">
        <w:rPr>
          <w:lang w:val="bs-Latn-BA"/>
        </w:rPr>
        <w:t>energij</w:t>
      </w:r>
      <w:r w:rsidRPr="00D76EFD">
        <w:rPr>
          <w:lang w:val="bs-Latn-BA"/>
        </w:rPr>
        <w:t xml:space="preserve">skih potreba zgrade. </w:t>
      </w:r>
      <w:r>
        <w:rPr>
          <w:lang w:val="bs-Latn-BA"/>
        </w:rPr>
        <w:t xml:space="preserve">Prema prethodnom, važeći Zakon o EE </w:t>
      </w:r>
      <w:r w:rsidR="00E9234C">
        <w:rPr>
          <w:lang w:val="bs-Latn-BA"/>
        </w:rPr>
        <w:t xml:space="preserve">u FBiH </w:t>
      </w:r>
      <w:r>
        <w:rPr>
          <w:lang w:val="bs-Latn-BA"/>
        </w:rPr>
        <w:t xml:space="preserve">i </w:t>
      </w:r>
      <w:r w:rsidRPr="00771E4B">
        <w:rPr>
          <w:color w:val="000000"/>
          <w:lang w:val="bs-Latn-BA"/>
        </w:rPr>
        <w:t>Pravilnik</w:t>
      </w:r>
      <w:r w:rsidR="00DC0A98">
        <w:rPr>
          <w:color w:val="000000"/>
          <w:lang w:val="bs-Latn-BA"/>
        </w:rPr>
        <w:t>u</w:t>
      </w:r>
      <w:r w:rsidRPr="00771E4B">
        <w:rPr>
          <w:color w:val="000000"/>
          <w:lang w:val="bs-Latn-BA"/>
        </w:rPr>
        <w:t xml:space="preserve"> o minimalnim zahtjevima za energijskim kara</w:t>
      </w:r>
      <w:r>
        <w:rPr>
          <w:color w:val="000000"/>
          <w:lang w:val="bs-Latn-BA"/>
        </w:rPr>
        <w:t>k</w:t>
      </w:r>
      <w:r w:rsidRPr="00771E4B">
        <w:rPr>
          <w:color w:val="000000"/>
          <w:lang w:val="bs-Latn-BA"/>
        </w:rPr>
        <w:t>teristikama zgrada</w:t>
      </w:r>
      <w:r>
        <w:rPr>
          <w:color w:val="000000"/>
          <w:lang w:val="bs-Latn-BA"/>
        </w:rPr>
        <w:t xml:space="preserve"> FBiH, nije </w:t>
      </w:r>
      <w:r w:rsidR="00E9234C">
        <w:rPr>
          <w:color w:val="000000"/>
          <w:lang w:val="bs-Latn-BA"/>
        </w:rPr>
        <w:t xml:space="preserve">integrirao </w:t>
      </w:r>
      <w:r>
        <w:rPr>
          <w:color w:val="000000"/>
          <w:lang w:val="bs-Latn-BA"/>
        </w:rPr>
        <w:t>zahtjeve za zgrade kategori</w:t>
      </w:r>
      <w:r w:rsidR="00B9683F">
        <w:rPr>
          <w:color w:val="000000"/>
          <w:lang w:val="bs-Latn-BA"/>
        </w:rPr>
        <w:t>zirane</w:t>
      </w:r>
      <w:r>
        <w:rPr>
          <w:color w:val="000000"/>
          <w:lang w:val="bs-Latn-BA"/>
        </w:rPr>
        <w:t xml:space="preserve"> kao nZEB i neophodno je </w:t>
      </w:r>
      <w:r>
        <w:rPr>
          <w:lang w:val="bs-Latn-BA"/>
        </w:rPr>
        <w:t>utvrditi standarde izgradnje zgrada nZEB kao i standarde obnove za nZEB zgrade u FBiH</w:t>
      </w:r>
      <w:r>
        <w:rPr>
          <w:color w:val="000000"/>
          <w:lang w:val="bs-Latn-BA"/>
        </w:rPr>
        <w:t>. Takođe</w:t>
      </w:r>
      <w:r w:rsidR="00B17B41">
        <w:rPr>
          <w:color w:val="000000"/>
          <w:lang w:val="bs-Latn-BA"/>
        </w:rPr>
        <w:t>r</w:t>
      </w:r>
      <w:r>
        <w:rPr>
          <w:color w:val="000000"/>
          <w:lang w:val="bs-Latn-BA"/>
        </w:rPr>
        <w:t xml:space="preserve">, neophodno je  </w:t>
      </w:r>
      <w:r>
        <w:rPr>
          <w:lang w:val="bs-Latn-BA"/>
        </w:rPr>
        <w:t>usvajanje</w:t>
      </w:r>
      <w:r w:rsidRPr="004E1F77">
        <w:rPr>
          <w:lang w:val="bs-Latn-BA"/>
        </w:rPr>
        <w:t xml:space="preserve"> potrebne legislative</w:t>
      </w:r>
      <w:r>
        <w:rPr>
          <w:lang w:val="bs-Latn-BA"/>
        </w:rPr>
        <w:t xml:space="preserve"> i </w:t>
      </w:r>
      <w:r w:rsidR="007B690C">
        <w:rPr>
          <w:lang w:val="bs-Latn-BA"/>
        </w:rPr>
        <w:t>financ</w:t>
      </w:r>
      <w:r>
        <w:rPr>
          <w:lang w:val="bs-Latn-BA"/>
        </w:rPr>
        <w:t>ijskih mehanizama</w:t>
      </w:r>
      <w:r w:rsidRPr="004E1F77">
        <w:rPr>
          <w:lang w:val="bs-Latn-BA"/>
        </w:rPr>
        <w:t xml:space="preserve"> </w:t>
      </w:r>
      <w:r>
        <w:rPr>
          <w:lang w:val="bs-Latn-BA"/>
        </w:rPr>
        <w:t>kojim će se podstaknuti</w:t>
      </w:r>
      <w:r w:rsidRPr="004E1F77">
        <w:rPr>
          <w:lang w:val="bs-Latn-BA"/>
        </w:rPr>
        <w:t xml:space="preserve"> izgradnj</w:t>
      </w:r>
      <w:r>
        <w:rPr>
          <w:lang w:val="bs-Latn-BA"/>
        </w:rPr>
        <w:t>a</w:t>
      </w:r>
      <w:r w:rsidRPr="004E1F77">
        <w:rPr>
          <w:lang w:val="bs-Latn-BA"/>
        </w:rPr>
        <w:t xml:space="preserve"> zgrada do nivoa gotovo nulte energije (nZEB)</w:t>
      </w:r>
      <w:r>
        <w:rPr>
          <w:lang w:val="bs-Latn-BA"/>
        </w:rPr>
        <w:t xml:space="preserve">. </w:t>
      </w:r>
    </w:p>
    <w:p w14:paraId="7FE69DD2" w14:textId="3AC01F1B" w:rsidR="00066C30" w:rsidRDefault="00066C30" w:rsidP="00066C30">
      <w:pPr>
        <w:spacing w:after="120" w:line="276" w:lineRule="auto"/>
        <w:rPr>
          <w:lang w:val="bs-Latn-BA"/>
        </w:rPr>
      </w:pPr>
      <w:r>
        <w:rPr>
          <w:lang w:val="bs-Latn-BA"/>
        </w:rPr>
        <w:t xml:space="preserve">Za procjenu ušteda energije koja se može postići provođenjem energijske </w:t>
      </w:r>
      <w:r w:rsidR="00E9234C">
        <w:rPr>
          <w:lang w:val="bs-Latn-BA"/>
        </w:rPr>
        <w:t xml:space="preserve">obnove </w:t>
      </w:r>
      <w:r>
        <w:rPr>
          <w:lang w:val="bs-Latn-BA"/>
        </w:rPr>
        <w:t xml:space="preserve">stambenog fonda u FBiH, </w:t>
      </w:r>
      <w:r w:rsidRPr="004E1F77">
        <w:rPr>
          <w:lang w:val="bs-Latn-BA"/>
        </w:rPr>
        <w:t xml:space="preserve">usvojena je pretpostavka da </w:t>
      </w:r>
      <w:r w:rsidR="007626FF">
        <w:rPr>
          <w:lang w:val="bs-Latn-BA"/>
        </w:rPr>
        <w:t>bi</w:t>
      </w:r>
      <w:r w:rsidRPr="004E1F77">
        <w:rPr>
          <w:lang w:val="bs-Latn-BA"/>
        </w:rPr>
        <w:t xml:space="preserve"> nove </w:t>
      </w:r>
      <w:r>
        <w:rPr>
          <w:lang w:val="bs-Latn-BA"/>
        </w:rPr>
        <w:t xml:space="preserve">javne </w:t>
      </w:r>
      <w:r w:rsidRPr="004E1F77">
        <w:rPr>
          <w:lang w:val="bs-Latn-BA"/>
        </w:rPr>
        <w:t xml:space="preserve">zgrade izgrađene nakon 2030. godine, </w:t>
      </w:r>
      <w:r w:rsidR="007626FF">
        <w:rPr>
          <w:lang w:val="bs-Latn-BA"/>
        </w:rPr>
        <w:t xml:space="preserve">trebale </w:t>
      </w:r>
      <w:r w:rsidRPr="004E1F77">
        <w:rPr>
          <w:lang w:val="bs-Latn-BA"/>
        </w:rPr>
        <w:t xml:space="preserve">biti zgrade gotovo nulte energije odnosno izuzetno energijski efikasne, gdje je skoro nulta ili niska potrošnja energije potrebna za funkcioniranje zgrade, dobijena u velikoj mjeri iz obnovljivih izvora energije. </w:t>
      </w:r>
      <w:r>
        <w:rPr>
          <w:lang w:val="bs-Latn-BA"/>
        </w:rPr>
        <w:t>Takođe</w:t>
      </w:r>
      <w:r w:rsidR="00B17B41">
        <w:rPr>
          <w:lang w:val="bs-Latn-BA"/>
        </w:rPr>
        <w:t>r</w:t>
      </w:r>
      <w:r>
        <w:rPr>
          <w:lang w:val="bs-Latn-BA"/>
        </w:rPr>
        <w:t xml:space="preserve">, sve obnovljene javne zgrade </w:t>
      </w:r>
      <w:r w:rsidR="007626FF">
        <w:rPr>
          <w:lang w:val="bs-Latn-BA"/>
        </w:rPr>
        <w:t xml:space="preserve">bi trebale </w:t>
      </w:r>
      <w:r>
        <w:rPr>
          <w:lang w:val="bs-Latn-BA"/>
        </w:rPr>
        <w:t xml:space="preserve">zadovoljavati </w:t>
      </w:r>
      <w:r w:rsidR="00E9234C">
        <w:rPr>
          <w:lang w:val="bs-Latn-BA"/>
        </w:rPr>
        <w:t xml:space="preserve">uvjete </w:t>
      </w:r>
      <w:r>
        <w:rPr>
          <w:lang w:val="bs-Latn-BA"/>
        </w:rPr>
        <w:t xml:space="preserve">nZEB zgrada. </w:t>
      </w:r>
    </w:p>
    <w:p w14:paraId="6382026B" w14:textId="2097C546" w:rsidR="00066C30" w:rsidRPr="004E1F77" w:rsidRDefault="00066C30" w:rsidP="004D2CBA">
      <w:pPr>
        <w:spacing w:after="120" w:line="276" w:lineRule="auto"/>
        <w:rPr>
          <w:rFonts w:eastAsia="Calibri"/>
          <w:i/>
          <w:color w:val="000000"/>
          <w:lang w:val="bs-Latn-BA"/>
        </w:rPr>
      </w:pPr>
      <w:r>
        <w:rPr>
          <w:lang w:val="bs-Latn-BA"/>
        </w:rPr>
        <w:t>Broj i tip zgrada koje će se svrstavati u kategoriju nZEB zgrada će biti određene nakon d</w:t>
      </w:r>
      <w:r w:rsidRPr="00CB0E79">
        <w:rPr>
          <w:lang w:val="bs-Latn-BA"/>
        </w:rPr>
        <w:t>onošenj</w:t>
      </w:r>
      <w:r>
        <w:rPr>
          <w:lang w:val="bs-Latn-BA"/>
        </w:rPr>
        <w:t>a</w:t>
      </w:r>
      <w:r w:rsidRPr="00CB0E79">
        <w:rPr>
          <w:lang w:val="bs-Latn-BA"/>
        </w:rPr>
        <w:t xml:space="preserve"> procedura i standarda za izgradnju za zgrade nZEB i zgrade nulte potrošnje energije</w:t>
      </w:r>
      <w:r>
        <w:rPr>
          <w:lang w:val="bs-Latn-BA"/>
        </w:rPr>
        <w:t xml:space="preserve">. Za potrebe ove analize, uobzirene su samo javne zgrade koje će se moći </w:t>
      </w:r>
      <w:r w:rsidR="00135C99">
        <w:rPr>
          <w:lang w:val="bs-Latn-BA"/>
        </w:rPr>
        <w:t xml:space="preserve">karakterizirati </w:t>
      </w:r>
      <w:r>
        <w:rPr>
          <w:lang w:val="bs-Latn-BA"/>
        </w:rPr>
        <w:t xml:space="preserve">kao nZEB, kako je prikazano u Tabeli </w:t>
      </w:r>
      <w:r w:rsidR="00BA69EA">
        <w:rPr>
          <w:lang w:val="bs-Latn-BA"/>
        </w:rPr>
        <w:t>6</w:t>
      </w:r>
      <w:r>
        <w:rPr>
          <w:lang w:val="bs-Latn-BA"/>
        </w:rPr>
        <w:t xml:space="preserve">.25. </w:t>
      </w:r>
      <w:r w:rsidR="00135C99">
        <w:rPr>
          <w:lang w:val="bs-Latn-BA"/>
        </w:rPr>
        <w:lastRenderedPageBreak/>
        <w:t>Obzirom da još uvijek ne postoje propisane procedure i standardi</w:t>
      </w:r>
      <w:r w:rsidR="00134FCE">
        <w:rPr>
          <w:lang w:val="bs-Latn-BA"/>
        </w:rPr>
        <w:t xml:space="preserve"> </w:t>
      </w:r>
      <w:r w:rsidR="00135C99">
        <w:rPr>
          <w:lang w:val="bs-Latn-BA"/>
        </w:rPr>
        <w:t>za nZEB zgrade u FBiH, p</w:t>
      </w:r>
      <w:r>
        <w:rPr>
          <w:lang w:val="bs-Latn-BA"/>
        </w:rPr>
        <w:t xml:space="preserve">rikazani podaci o broju i tipovima zgrada kategorije nZEB </w:t>
      </w:r>
      <w:r w:rsidR="00135C99">
        <w:rPr>
          <w:lang w:val="bs-Latn-BA"/>
        </w:rPr>
        <w:t>su dati kao pretpostavka.</w:t>
      </w:r>
    </w:p>
    <w:p w14:paraId="34169FB7" w14:textId="55A29712" w:rsidR="00BA69EA" w:rsidRDefault="00BA69EA" w:rsidP="00BA69EA">
      <w:pPr>
        <w:pStyle w:val="Caption"/>
        <w:keepNext/>
      </w:pPr>
      <w:bookmarkStart w:id="142" w:name="_Toc133499571"/>
      <w:r>
        <w:t xml:space="preserve">Tabela </w:t>
      </w:r>
      <w:fldSimple w:instr=" STYLEREF 1 \s ">
        <w:r w:rsidR="004A246B">
          <w:rPr>
            <w:noProof/>
          </w:rPr>
          <w:t>6</w:t>
        </w:r>
      </w:fldSimple>
      <w:r w:rsidR="004A246B">
        <w:t>.</w:t>
      </w:r>
      <w:r w:rsidR="00000000">
        <w:fldChar w:fldCharType="begin"/>
      </w:r>
      <w:r w:rsidR="00000000">
        <w:instrText xml:space="preserve"> SEQ Tabela \* ARABIC \s 1 </w:instrText>
      </w:r>
      <w:r w:rsidR="00000000">
        <w:fldChar w:fldCharType="separate"/>
      </w:r>
      <w:r w:rsidR="004A246B">
        <w:rPr>
          <w:noProof/>
        </w:rPr>
        <w:t>26</w:t>
      </w:r>
      <w:r w:rsidR="00000000">
        <w:rPr>
          <w:noProof/>
        </w:rPr>
        <w:fldChar w:fldCharType="end"/>
      </w:r>
      <w:r>
        <w:t xml:space="preserve"> </w:t>
      </w:r>
      <w:r w:rsidRPr="004E1F77">
        <w:rPr>
          <w:rFonts w:eastAsia="Calibri"/>
          <w:color w:val="000000"/>
        </w:rPr>
        <w:t xml:space="preserve">Postojeće i ciljne karakteristike </w:t>
      </w:r>
      <w:r>
        <w:rPr>
          <w:rFonts w:eastAsia="Calibri"/>
          <w:color w:val="000000"/>
        </w:rPr>
        <w:t>kategorije nZEB zgrada u</w:t>
      </w:r>
      <w:r w:rsidRPr="004E1F77">
        <w:rPr>
          <w:rFonts w:eastAsia="Calibri"/>
          <w:color w:val="000000"/>
        </w:rPr>
        <w:t xml:space="preserve"> FBiH (godišnja </w:t>
      </w:r>
      <w:r w:rsidR="00E9234C">
        <w:rPr>
          <w:rFonts w:eastAsia="Calibri"/>
          <w:color w:val="000000"/>
        </w:rPr>
        <w:t>obnova</w:t>
      </w:r>
      <w:r w:rsidR="00E9234C" w:rsidRPr="004E1F77">
        <w:rPr>
          <w:rFonts w:eastAsia="Calibri"/>
          <w:color w:val="000000"/>
        </w:rPr>
        <w:t xml:space="preserve"> </w:t>
      </w:r>
      <w:r w:rsidRPr="004E1F77">
        <w:rPr>
          <w:rFonts w:eastAsia="Calibri"/>
          <w:color w:val="000000"/>
        </w:rPr>
        <w:t>2,5 % korisne grijane površine</w:t>
      </w:r>
      <w:r>
        <w:rPr>
          <w:rFonts w:eastAsia="Calibri"/>
          <w:color w:val="000000"/>
        </w:rPr>
        <w:t xml:space="preserve"> javnih zgrada</w:t>
      </w:r>
      <w:r w:rsidRPr="004E1F77">
        <w:rPr>
          <w:rFonts w:eastAsia="Calibri"/>
          <w:color w:val="000000"/>
        </w:rPr>
        <w:t>)</w:t>
      </w:r>
      <w:bookmarkEnd w:id="142"/>
    </w:p>
    <w:tbl>
      <w:tblPr>
        <w:tblStyle w:val="57"/>
        <w:tblW w:w="9027" w:type="dxa"/>
        <w:tblLayout w:type="fixed"/>
        <w:tblLook w:val="04A0" w:firstRow="1" w:lastRow="0" w:firstColumn="1" w:lastColumn="0" w:noHBand="0" w:noVBand="1"/>
      </w:tblPr>
      <w:tblGrid>
        <w:gridCol w:w="4141"/>
        <w:gridCol w:w="1041"/>
        <w:gridCol w:w="1459"/>
        <w:gridCol w:w="1345"/>
        <w:gridCol w:w="1041"/>
      </w:tblGrid>
      <w:tr w:rsidR="00066C30" w:rsidRPr="004E1F77" w14:paraId="3FC51D76" w14:textId="77777777" w:rsidTr="00066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0DA3C001" w14:textId="77777777" w:rsidR="00066C30" w:rsidRPr="004E1F77" w:rsidRDefault="00066C30" w:rsidP="000B085B">
            <w:pPr>
              <w:rPr>
                <w:rFonts w:eastAsia="Calibri"/>
                <w:lang w:val="bs-Latn-BA"/>
              </w:rPr>
            </w:pPr>
            <w:r w:rsidRPr="004E1F77">
              <w:rPr>
                <w:rFonts w:eastAsia="Calibri"/>
                <w:lang w:val="bs-Latn-BA"/>
              </w:rPr>
              <w:t xml:space="preserve">Karakteristike </w:t>
            </w:r>
            <w:r>
              <w:rPr>
                <w:rFonts w:eastAsia="Calibri"/>
                <w:lang w:val="bs-Latn-BA"/>
              </w:rPr>
              <w:t>kategorije nZEB</w:t>
            </w:r>
          </w:p>
        </w:tc>
        <w:tc>
          <w:tcPr>
            <w:tcW w:w="1041" w:type="dxa"/>
          </w:tcPr>
          <w:p w14:paraId="5E09A6E0"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 xml:space="preserve">2020. </w:t>
            </w:r>
          </w:p>
          <w:p w14:paraId="3353C847"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godina</w:t>
            </w:r>
          </w:p>
        </w:tc>
        <w:tc>
          <w:tcPr>
            <w:tcW w:w="1459" w:type="dxa"/>
          </w:tcPr>
          <w:p w14:paraId="30370AA9"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 xml:space="preserve">2030. </w:t>
            </w:r>
          </w:p>
          <w:p w14:paraId="4AA0B815"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godina</w:t>
            </w:r>
          </w:p>
        </w:tc>
        <w:tc>
          <w:tcPr>
            <w:tcW w:w="1345" w:type="dxa"/>
          </w:tcPr>
          <w:p w14:paraId="12C2CA6F"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 xml:space="preserve">2040. </w:t>
            </w:r>
          </w:p>
          <w:p w14:paraId="55DCBEC4"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godina</w:t>
            </w:r>
          </w:p>
        </w:tc>
        <w:tc>
          <w:tcPr>
            <w:tcW w:w="1041" w:type="dxa"/>
          </w:tcPr>
          <w:p w14:paraId="108F591F"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 xml:space="preserve">2050. </w:t>
            </w:r>
          </w:p>
          <w:p w14:paraId="665AADA9" w14:textId="77777777" w:rsidR="00066C30" w:rsidRPr="004E1F77" w:rsidRDefault="00066C30" w:rsidP="000B085B">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4E1F77">
              <w:rPr>
                <w:rFonts w:eastAsia="Calibri"/>
                <w:lang w:val="bs-Latn-BA"/>
              </w:rPr>
              <w:t xml:space="preserve">godina </w:t>
            </w:r>
          </w:p>
        </w:tc>
      </w:tr>
      <w:tr w:rsidR="00066C30" w:rsidRPr="004E1F77" w14:paraId="1370F3DD" w14:textId="77777777" w:rsidTr="00066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08081562" w14:textId="77777777" w:rsidR="00066C30" w:rsidRPr="00BA69EA" w:rsidRDefault="00066C30" w:rsidP="000B085B">
            <w:pPr>
              <w:rPr>
                <w:rFonts w:eastAsia="Calibri"/>
                <w:color w:val="auto"/>
                <w:lang w:val="bs-Latn-BA"/>
              </w:rPr>
            </w:pPr>
            <w:r w:rsidRPr="00BA69EA">
              <w:rPr>
                <w:color w:val="auto"/>
                <w:lang w:val="bs-Latn-BA"/>
              </w:rPr>
              <w:t xml:space="preserve">Broj novoizgrađenih nZEB zgrada </w:t>
            </w:r>
          </w:p>
        </w:tc>
        <w:tc>
          <w:tcPr>
            <w:tcW w:w="1041" w:type="dxa"/>
          </w:tcPr>
          <w:p w14:paraId="3928F817" w14:textId="77777777" w:rsidR="00066C30" w:rsidRPr="00BA69EA" w:rsidRDefault="00066C30" w:rsidP="000B085B">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BA69EA">
              <w:rPr>
                <w:color w:val="auto"/>
              </w:rPr>
              <w:t>0</w:t>
            </w:r>
          </w:p>
        </w:tc>
        <w:tc>
          <w:tcPr>
            <w:tcW w:w="1459" w:type="dxa"/>
          </w:tcPr>
          <w:p w14:paraId="73C259A0" w14:textId="77777777" w:rsidR="00066C30" w:rsidRPr="00BA69EA" w:rsidRDefault="00066C30" w:rsidP="000B085B">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BA69EA">
              <w:rPr>
                <w:color w:val="auto"/>
              </w:rPr>
              <w:t>0</w:t>
            </w:r>
          </w:p>
        </w:tc>
        <w:tc>
          <w:tcPr>
            <w:tcW w:w="1345" w:type="dxa"/>
          </w:tcPr>
          <w:p w14:paraId="01F55613" w14:textId="0FDEE6C1" w:rsidR="00066C30" w:rsidRPr="00BA69EA" w:rsidRDefault="00066C30" w:rsidP="000B085B">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BA69EA">
              <w:rPr>
                <w:color w:val="auto"/>
              </w:rPr>
              <w:t>34</w:t>
            </w:r>
            <w:r w:rsidR="000415ED">
              <w:rPr>
                <w:color w:val="auto"/>
              </w:rPr>
              <w:t>2</w:t>
            </w:r>
          </w:p>
        </w:tc>
        <w:tc>
          <w:tcPr>
            <w:tcW w:w="1041" w:type="dxa"/>
          </w:tcPr>
          <w:p w14:paraId="3BF3CFA0" w14:textId="77777777" w:rsidR="00066C30" w:rsidRPr="00BA69EA" w:rsidRDefault="00066C30" w:rsidP="000B085B">
            <w:pPr>
              <w:jc w:val="right"/>
              <w:cnfStyle w:val="000000100000" w:firstRow="0" w:lastRow="0" w:firstColumn="0" w:lastColumn="0" w:oddVBand="0" w:evenVBand="0" w:oddHBand="1" w:evenHBand="0" w:firstRowFirstColumn="0" w:firstRowLastColumn="0" w:lastRowFirstColumn="0" w:lastRowLastColumn="0"/>
              <w:rPr>
                <w:rFonts w:eastAsia="Calibri"/>
                <w:color w:val="auto"/>
                <w:lang w:val="bs-Latn-BA"/>
              </w:rPr>
            </w:pPr>
            <w:r w:rsidRPr="00BA69EA">
              <w:rPr>
                <w:color w:val="auto"/>
              </w:rPr>
              <w:t>683</w:t>
            </w:r>
          </w:p>
        </w:tc>
      </w:tr>
      <w:tr w:rsidR="00066C30" w:rsidRPr="004E1F77" w14:paraId="161B8B77" w14:textId="77777777" w:rsidTr="00066C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6F481B61" w14:textId="75472ABD" w:rsidR="00066C30" w:rsidRPr="00BA69EA" w:rsidRDefault="00066C30" w:rsidP="000B085B">
            <w:pPr>
              <w:rPr>
                <w:rFonts w:eastAsia="Calibri"/>
                <w:color w:val="auto"/>
                <w:lang w:val="bs-Latn-BA"/>
              </w:rPr>
            </w:pPr>
            <w:r w:rsidRPr="00BA69EA">
              <w:rPr>
                <w:color w:val="auto"/>
                <w:lang w:val="bs-Latn-BA"/>
              </w:rPr>
              <w:t xml:space="preserve">Broj nZEB zgrada nakon </w:t>
            </w:r>
            <w:r w:rsidR="006A5773">
              <w:rPr>
                <w:color w:val="auto"/>
                <w:lang w:val="bs-Latn-BA"/>
              </w:rPr>
              <w:t>obnove</w:t>
            </w:r>
          </w:p>
        </w:tc>
        <w:tc>
          <w:tcPr>
            <w:tcW w:w="1041" w:type="dxa"/>
          </w:tcPr>
          <w:p w14:paraId="3C4F5DFC" w14:textId="77777777" w:rsidR="00066C30" w:rsidRPr="00BA69EA" w:rsidRDefault="00066C30" w:rsidP="000B085B">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BA69EA">
              <w:rPr>
                <w:color w:val="auto"/>
              </w:rPr>
              <w:t>0</w:t>
            </w:r>
          </w:p>
        </w:tc>
        <w:tc>
          <w:tcPr>
            <w:tcW w:w="1459" w:type="dxa"/>
          </w:tcPr>
          <w:p w14:paraId="4BD56F3A" w14:textId="77777777" w:rsidR="00066C30" w:rsidRPr="00BA69EA" w:rsidRDefault="00066C30" w:rsidP="000B085B">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BA69EA">
              <w:rPr>
                <w:color w:val="auto"/>
              </w:rPr>
              <w:t>0</w:t>
            </w:r>
          </w:p>
        </w:tc>
        <w:tc>
          <w:tcPr>
            <w:tcW w:w="1345" w:type="dxa"/>
          </w:tcPr>
          <w:p w14:paraId="5618E660" w14:textId="463F9071" w:rsidR="00066C30" w:rsidRPr="00BA69EA" w:rsidRDefault="00066C30" w:rsidP="000B085B">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BA69EA">
              <w:rPr>
                <w:color w:val="auto"/>
              </w:rPr>
              <w:t>1.</w:t>
            </w:r>
            <w:r w:rsidR="000415ED" w:rsidRPr="00BA69EA">
              <w:rPr>
                <w:color w:val="auto"/>
              </w:rPr>
              <w:t>1</w:t>
            </w:r>
            <w:r w:rsidR="005C18F0">
              <w:rPr>
                <w:color w:val="auto"/>
              </w:rPr>
              <w:t>9</w:t>
            </w:r>
            <w:r w:rsidR="000415ED" w:rsidRPr="00BA69EA">
              <w:rPr>
                <w:color w:val="auto"/>
              </w:rPr>
              <w:t>0</w:t>
            </w:r>
          </w:p>
        </w:tc>
        <w:tc>
          <w:tcPr>
            <w:tcW w:w="1041" w:type="dxa"/>
          </w:tcPr>
          <w:p w14:paraId="144AD6B5" w14:textId="0F951B97" w:rsidR="00066C30" w:rsidRPr="00BA69EA" w:rsidRDefault="00066C30" w:rsidP="000B085B">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BA69EA">
              <w:rPr>
                <w:color w:val="auto"/>
              </w:rPr>
              <w:t>2.</w:t>
            </w:r>
            <w:r w:rsidR="000415ED" w:rsidRPr="00BA69EA">
              <w:rPr>
                <w:color w:val="auto"/>
              </w:rPr>
              <w:t>3</w:t>
            </w:r>
            <w:r w:rsidR="005C18F0">
              <w:rPr>
                <w:color w:val="auto"/>
              </w:rPr>
              <w:t>8</w:t>
            </w:r>
            <w:r w:rsidR="000415ED" w:rsidRPr="00BA69EA">
              <w:rPr>
                <w:color w:val="auto"/>
              </w:rPr>
              <w:t>0</w:t>
            </w:r>
          </w:p>
        </w:tc>
      </w:tr>
    </w:tbl>
    <w:p w14:paraId="35CD70BD" w14:textId="77777777" w:rsidR="007736EC" w:rsidRDefault="007736EC" w:rsidP="007736EC">
      <w:pPr>
        <w:pStyle w:val="Heading1"/>
        <w:numPr>
          <w:ilvl w:val="0"/>
          <w:numId w:val="0"/>
        </w:numPr>
        <w:rPr>
          <w:lang w:val="bs-Latn-BA"/>
        </w:rPr>
      </w:pPr>
    </w:p>
    <w:p w14:paraId="0C443296" w14:textId="77777777" w:rsidR="007736EC" w:rsidRDefault="007736EC">
      <w:pPr>
        <w:rPr>
          <w:rFonts w:ascii="Arial" w:eastAsiaTheme="majorEastAsia" w:hAnsi="Arial" w:cstheme="majorBidi"/>
          <w:b/>
          <w:caps/>
          <w:color w:val="00592E"/>
          <w:sz w:val="28"/>
          <w:szCs w:val="32"/>
          <w:lang w:val="bs-Latn-BA"/>
        </w:rPr>
      </w:pPr>
      <w:r>
        <w:rPr>
          <w:lang w:val="bs-Latn-BA"/>
        </w:rPr>
        <w:br w:type="page"/>
      </w:r>
    </w:p>
    <w:p w14:paraId="5892CD98" w14:textId="256AC63F" w:rsidR="00EA5824" w:rsidRDefault="0023631D" w:rsidP="00B254A7">
      <w:pPr>
        <w:pStyle w:val="Heading1"/>
        <w:numPr>
          <w:ilvl w:val="0"/>
          <w:numId w:val="33"/>
        </w:numPr>
        <w:rPr>
          <w:lang w:val="bs-Latn-BA"/>
        </w:rPr>
      </w:pPr>
      <w:bookmarkStart w:id="143" w:name="_Toc134011773"/>
      <w:r w:rsidRPr="008924E0">
        <w:rPr>
          <w:lang w:val="bs-Latn-BA"/>
        </w:rPr>
        <w:lastRenderedPageBreak/>
        <w:t>P</w:t>
      </w:r>
      <w:r w:rsidR="0087301F">
        <w:rPr>
          <w:lang w:val="bs-Latn-BA"/>
        </w:rPr>
        <w:t>rioriteti i mjere</w:t>
      </w:r>
      <w:bookmarkEnd w:id="143"/>
    </w:p>
    <w:p w14:paraId="13657801" w14:textId="77777777" w:rsidR="00A77633" w:rsidRPr="008924E0" w:rsidRDefault="00A77633" w:rsidP="00A77633">
      <w:pPr>
        <w:pStyle w:val="Heading2"/>
        <w:numPr>
          <w:ilvl w:val="0"/>
          <w:numId w:val="0"/>
        </w:numPr>
        <w:ind w:left="1440" w:hanging="1440"/>
        <w:rPr>
          <w:lang w:val="bs-Latn-BA"/>
        </w:rPr>
      </w:pPr>
      <w:bookmarkStart w:id="144" w:name="_Toc134011774"/>
      <w:r w:rsidRPr="008924E0">
        <w:rPr>
          <w:lang w:val="bs-Latn-BA"/>
        </w:rPr>
        <w:t xml:space="preserve">Prioritet 1.1. </w:t>
      </w:r>
      <w:r w:rsidRPr="003A72F7">
        <w:rPr>
          <w:lang w:val="bs-Latn-BA"/>
        </w:rPr>
        <w:t>Transformirati postojeći fond zgrada FBiH u energijski visokoefikasan</w:t>
      </w:r>
      <w:bookmarkEnd w:id="144"/>
    </w:p>
    <w:p w14:paraId="36B98206" w14:textId="22C516D0" w:rsidR="00A77633" w:rsidRPr="008924E0" w:rsidRDefault="00A77633" w:rsidP="005D2C94">
      <w:pPr>
        <w:spacing w:after="120" w:line="276" w:lineRule="auto"/>
        <w:rPr>
          <w:color w:val="000000"/>
          <w:lang w:val="bs-Latn-BA"/>
        </w:rPr>
      </w:pPr>
      <w:r w:rsidRPr="008924E0">
        <w:rPr>
          <w:color w:val="000000"/>
          <w:lang w:val="bs-Latn-BA"/>
        </w:rPr>
        <w:t xml:space="preserve">Potpisivanjem Ugovora o Energetskoj zajednici (EnZ), Bosna i Hercegovina se </w:t>
      </w:r>
      <w:r w:rsidR="00F03625">
        <w:rPr>
          <w:color w:val="000000"/>
          <w:lang w:val="bs-Latn-BA"/>
        </w:rPr>
        <w:t>obvez</w:t>
      </w:r>
      <w:r w:rsidRPr="008924E0">
        <w:rPr>
          <w:color w:val="000000"/>
          <w:lang w:val="bs-Latn-BA"/>
        </w:rPr>
        <w:t xml:space="preserve">ala na preuzimanje temeljnih odrednica energetskog zakonodavstva EU tzv. </w:t>
      </w:r>
      <w:r w:rsidRPr="008924E0">
        <w:rPr>
          <w:i/>
          <w:iCs/>
          <w:color w:val="000000"/>
          <w:lang w:val="bs-Latn-BA"/>
        </w:rPr>
        <w:t>Acquis communautaire</w:t>
      </w:r>
      <w:r w:rsidRPr="008924E0">
        <w:rPr>
          <w:color w:val="000000"/>
          <w:lang w:val="bs-Latn-BA"/>
        </w:rPr>
        <w:t xml:space="preserve">, odnosno harmoniziranje pravnog okvira u našoj državi  sa pravnom stečevinom EU u energetskom sektoru. Između ostalog, Ugovor o uspostavljanju EnZ zahtijeva od ugovornih strana donošenje  mjera razvoja sektora energijske efikasnosti (EE), uzimajući u obzir sigurnost snabdijevanja energijom, zaštitu okoliša, socijalnu povezanost i regionalni razvoj . </w:t>
      </w:r>
    </w:p>
    <w:p w14:paraId="05BDFAD9" w14:textId="77777777" w:rsidR="00A77633" w:rsidRPr="008924E0" w:rsidRDefault="00A77633" w:rsidP="005D2C94">
      <w:pPr>
        <w:spacing w:after="120" w:line="276" w:lineRule="auto"/>
        <w:rPr>
          <w:lang w:val="bs-Latn-BA"/>
        </w:rPr>
      </w:pPr>
      <w:r>
        <w:rPr>
          <w:color w:val="000000"/>
          <w:lang w:val="bs-Latn-BA"/>
        </w:rPr>
        <w:t>Oblast energijske efikasnosti u BiH je</w:t>
      </w:r>
      <w:r w:rsidRPr="008924E0">
        <w:rPr>
          <w:color w:val="000000"/>
          <w:lang w:val="bs-Latn-BA"/>
        </w:rPr>
        <w:t xml:space="preserve"> regulirana na nivou entiteta FBiH i RS.</w:t>
      </w:r>
      <w:r w:rsidRPr="008924E0">
        <w:rPr>
          <w:lang w:val="bs-Latn-BA"/>
        </w:rPr>
        <w:t xml:space="preserve"> </w:t>
      </w:r>
      <w:r w:rsidRPr="008924E0">
        <w:rPr>
          <w:color w:val="000000"/>
          <w:lang w:val="bs-Latn-BA"/>
        </w:rPr>
        <w:t>U tom smislu, kontinuirana transpozicija ažuriranih EU direktiva  vezanih za EE u zakonodavstvo FBiH je primarna u kontekstu energijske obnove zgrada u FBiH.</w:t>
      </w:r>
    </w:p>
    <w:p w14:paraId="644D0210" w14:textId="1A3AF5C4" w:rsidR="00A77633" w:rsidRPr="008924E0" w:rsidRDefault="00A77633" w:rsidP="005D2C94">
      <w:pPr>
        <w:spacing w:after="120" w:line="276" w:lineRule="auto"/>
        <w:rPr>
          <w:lang w:val="bs-Latn-BA"/>
        </w:rPr>
      </w:pPr>
      <w:r w:rsidRPr="008924E0">
        <w:rPr>
          <w:color w:val="000000"/>
          <w:lang w:val="bs-Latn-BA"/>
        </w:rPr>
        <w:t xml:space="preserve">Obzirom da se zakonodavstvo EU kontinuirano razvija, i pravni okvir Energetske zajednice podložan je stalnoj reviziji. </w:t>
      </w:r>
    </w:p>
    <w:p w14:paraId="79551898" w14:textId="3750A092" w:rsidR="00A77633" w:rsidRPr="008924E0" w:rsidRDefault="00A77633" w:rsidP="005D2C94">
      <w:pPr>
        <w:spacing w:after="120" w:line="276" w:lineRule="auto"/>
        <w:rPr>
          <w:lang w:val="bs-Latn-BA"/>
        </w:rPr>
      </w:pPr>
      <w:r w:rsidRPr="008924E0">
        <w:rPr>
          <w:lang w:val="bs-Latn-BA"/>
        </w:rPr>
        <w:t xml:space="preserve">Provođenje efikasne energijske obnove, moguće je samo u slučaju uspostavljenog institucionalnog i pravnog okvira, potpune harmonizacija propisa relevantnih za EE i obnovu zgrada na svim nivoima vlasti u FBiH, digitalnu transformaciju javne uprave i uspostavljanje integriranog informacionog sistema u zgradarstvu. Stoga je od suštinskog značaja u što kraćem roku započeti otvoreni dijalog sa svim </w:t>
      </w:r>
      <w:r>
        <w:rPr>
          <w:lang w:val="bs-Latn-BA"/>
        </w:rPr>
        <w:t>su</w:t>
      </w:r>
      <w:r w:rsidRPr="008924E0">
        <w:rPr>
          <w:lang w:val="bs-Latn-BA"/>
        </w:rPr>
        <w:t xml:space="preserve">dionicima procesa obnove u cilju rješavanja otvorenih pitanja. Na nivou FBiH treba osigurati dosljednu provedbu usvojenih propisa, kao i preuzetih međunarodnih </w:t>
      </w:r>
      <w:r w:rsidR="00F03625">
        <w:rPr>
          <w:lang w:val="bs-Latn-BA"/>
        </w:rPr>
        <w:t>obvez</w:t>
      </w:r>
      <w:r w:rsidRPr="008924E0">
        <w:rPr>
          <w:lang w:val="bs-Latn-BA"/>
        </w:rPr>
        <w:t xml:space="preserve">a BiH kao države. </w:t>
      </w:r>
    </w:p>
    <w:p w14:paraId="509D77ED" w14:textId="62F31626" w:rsidR="00A77633" w:rsidRPr="008924E0" w:rsidRDefault="00A77633" w:rsidP="005D2C94">
      <w:pPr>
        <w:spacing w:after="120" w:line="276" w:lineRule="auto"/>
        <w:rPr>
          <w:color w:val="000000"/>
          <w:lang w:val="bs-Latn-BA"/>
        </w:rPr>
      </w:pPr>
      <w:r w:rsidRPr="008924E0">
        <w:rPr>
          <w:lang w:val="bs-Latn-BA"/>
        </w:rPr>
        <w:t>Također je važno detektirati i otkloniti sve regulatorne prepreke, kao i prepreke za tranziciju u sektorima koji su vezani za zgradarstvo</w:t>
      </w:r>
      <w:r w:rsidR="00F910AF">
        <w:rPr>
          <w:lang w:val="bs-Latn-BA"/>
        </w:rPr>
        <w:t xml:space="preserve">, </w:t>
      </w:r>
      <w:r w:rsidRPr="008924E0">
        <w:rPr>
          <w:lang w:val="bs-Latn-BA"/>
        </w:rPr>
        <w:t xml:space="preserve">od javne uprave do sudionika u građevinskoj industriji i naučnih institucija. </w:t>
      </w:r>
    </w:p>
    <w:tbl>
      <w:tblPr>
        <w:tblW w:w="9535"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045"/>
        <w:gridCol w:w="990"/>
        <w:gridCol w:w="1805"/>
        <w:gridCol w:w="2695"/>
      </w:tblGrid>
      <w:tr w:rsidR="00A77633" w:rsidRPr="0011408D" w14:paraId="6ED507B7" w14:textId="77777777" w:rsidTr="007736EC">
        <w:trPr>
          <w:jc w:val="center"/>
        </w:trPr>
        <w:tc>
          <w:tcPr>
            <w:tcW w:w="4045" w:type="dxa"/>
            <w:shd w:val="clear" w:color="auto" w:fill="006432"/>
            <w:vAlign w:val="center"/>
          </w:tcPr>
          <w:p w14:paraId="440EB0EA" w14:textId="77777777" w:rsidR="00A77633" w:rsidRPr="0011408D" w:rsidRDefault="00A77633" w:rsidP="007736EC">
            <w:pPr>
              <w:spacing w:after="0"/>
              <w:jc w:val="left"/>
              <w:rPr>
                <w:b/>
                <w:bCs/>
                <w:color w:val="FFFFFF" w:themeColor="background1"/>
                <w:sz w:val="20"/>
                <w:szCs w:val="20"/>
                <w:lang w:val="bs-Latn-BA"/>
              </w:rPr>
            </w:pPr>
            <w:r w:rsidRPr="0011408D">
              <w:rPr>
                <w:b/>
                <w:bCs/>
                <w:color w:val="FFFFFF" w:themeColor="background1"/>
                <w:sz w:val="20"/>
                <w:szCs w:val="20"/>
                <w:lang w:val="bs-Latn-BA"/>
              </w:rPr>
              <w:t>Indikatori Prioriteta 1.1.</w:t>
            </w:r>
          </w:p>
        </w:tc>
        <w:tc>
          <w:tcPr>
            <w:tcW w:w="990" w:type="dxa"/>
            <w:shd w:val="clear" w:color="auto" w:fill="006432"/>
            <w:vAlign w:val="center"/>
          </w:tcPr>
          <w:p w14:paraId="02A5D77B" w14:textId="2F5553D9" w:rsidR="00A77633" w:rsidRPr="0011408D" w:rsidRDefault="00A77633" w:rsidP="007F1ECE">
            <w:pPr>
              <w:spacing w:after="0"/>
              <w:jc w:val="left"/>
              <w:rPr>
                <w:b/>
                <w:bCs/>
                <w:color w:val="FFFFFF" w:themeColor="background1"/>
                <w:sz w:val="20"/>
                <w:szCs w:val="20"/>
                <w:lang w:val="bs-Latn-BA"/>
              </w:rPr>
            </w:pPr>
            <w:r w:rsidRPr="0011408D">
              <w:rPr>
                <w:b/>
                <w:bCs/>
                <w:color w:val="FFFFFF" w:themeColor="background1"/>
                <w:sz w:val="20"/>
                <w:szCs w:val="20"/>
                <w:lang w:val="bs-Latn-BA"/>
              </w:rPr>
              <w:t>Izvor</w:t>
            </w:r>
          </w:p>
        </w:tc>
        <w:tc>
          <w:tcPr>
            <w:tcW w:w="1805" w:type="dxa"/>
            <w:shd w:val="clear" w:color="auto" w:fill="006432"/>
            <w:vAlign w:val="center"/>
          </w:tcPr>
          <w:p w14:paraId="2F482E53" w14:textId="77777777" w:rsidR="00A77633" w:rsidRPr="0011408D" w:rsidRDefault="00A77633" w:rsidP="007F1ECE">
            <w:pPr>
              <w:spacing w:after="0"/>
              <w:jc w:val="left"/>
              <w:rPr>
                <w:b/>
                <w:bCs/>
                <w:color w:val="FFFFFF" w:themeColor="background1"/>
                <w:sz w:val="20"/>
                <w:szCs w:val="20"/>
                <w:lang w:val="bs-Latn-BA"/>
              </w:rPr>
            </w:pPr>
            <w:r w:rsidRPr="0011408D">
              <w:rPr>
                <w:b/>
                <w:bCs/>
                <w:color w:val="FFFFFF" w:themeColor="background1"/>
                <w:sz w:val="20"/>
                <w:szCs w:val="20"/>
                <w:lang w:val="bs-Latn-BA"/>
              </w:rPr>
              <w:t>Polazna vrijednost</w:t>
            </w:r>
          </w:p>
        </w:tc>
        <w:tc>
          <w:tcPr>
            <w:tcW w:w="2695" w:type="dxa"/>
            <w:shd w:val="clear" w:color="auto" w:fill="006432"/>
            <w:vAlign w:val="center"/>
          </w:tcPr>
          <w:p w14:paraId="7F25F92C" w14:textId="4AAFF69B" w:rsidR="00A77633" w:rsidRPr="0011408D" w:rsidRDefault="00A77633" w:rsidP="007F1ECE">
            <w:pPr>
              <w:spacing w:after="0"/>
              <w:jc w:val="left"/>
              <w:rPr>
                <w:b/>
                <w:bCs/>
                <w:color w:val="FFFFFF" w:themeColor="background1"/>
                <w:sz w:val="20"/>
                <w:szCs w:val="20"/>
                <w:lang w:val="bs-Latn-BA"/>
              </w:rPr>
            </w:pPr>
            <w:r w:rsidRPr="0011408D">
              <w:rPr>
                <w:b/>
                <w:bCs/>
                <w:color w:val="FFFFFF" w:themeColor="background1"/>
                <w:sz w:val="20"/>
                <w:szCs w:val="20"/>
                <w:lang w:val="bs-Latn-BA"/>
              </w:rPr>
              <w:t>Ciljna vrijednost</w:t>
            </w:r>
          </w:p>
        </w:tc>
      </w:tr>
      <w:tr w:rsidR="00A77633" w:rsidRPr="0011408D" w14:paraId="6E969F0C" w14:textId="77777777" w:rsidTr="00E03EE8">
        <w:trPr>
          <w:jc w:val="center"/>
        </w:trPr>
        <w:tc>
          <w:tcPr>
            <w:tcW w:w="4045" w:type="dxa"/>
            <w:shd w:val="clear" w:color="auto" w:fill="F2F2F2" w:themeFill="background1" w:themeFillShade="F2"/>
          </w:tcPr>
          <w:p w14:paraId="7D95E5B2" w14:textId="77777777" w:rsidR="00A77633" w:rsidRPr="0011408D" w:rsidRDefault="00A77633" w:rsidP="00122946">
            <w:pPr>
              <w:spacing w:after="0"/>
              <w:jc w:val="left"/>
              <w:rPr>
                <w:sz w:val="20"/>
                <w:szCs w:val="20"/>
              </w:rPr>
            </w:pPr>
            <w:r w:rsidRPr="0011408D">
              <w:rPr>
                <w:sz w:val="20"/>
                <w:szCs w:val="20"/>
              </w:rPr>
              <w:t xml:space="preserve">Status </w:t>
            </w:r>
            <w:proofErr w:type="spellStart"/>
            <w:r w:rsidRPr="0011408D">
              <w:rPr>
                <w:sz w:val="20"/>
                <w:szCs w:val="20"/>
              </w:rPr>
              <w:t>usklađenosti</w:t>
            </w:r>
            <w:proofErr w:type="spellEnd"/>
            <w:r w:rsidRPr="0011408D">
              <w:rPr>
                <w:sz w:val="20"/>
                <w:szCs w:val="20"/>
              </w:rPr>
              <w:t xml:space="preserve"> </w:t>
            </w:r>
            <w:proofErr w:type="spellStart"/>
            <w:r w:rsidRPr="0011408D">
              <w:rPr>
                <w:sz w:val="20"/>
                <w:szCs w:val="20"/>
              </w:rPr>
              <w:t>postojeće</w:t>
            </w:r>
            <w:proofErr w:type="spellEnd"/>
            <w:r w:rsidRPr="0011408D">
              <w:rPr>
                <w:sz w:val="20"/>
                <w:szCs w:val="20"/>
              </w:rPr>
              <w:t xml:space="preserve"> legislative u </w:t>
            </w:r>
            <w:proofErr w:type="spellStart"/>
            <w:r w:rsidRPr="0011408D">
              <w:rPr>
                <w:sz w:val="20"/>
                <w:szCs w:val="20"/>
              </w:rPr>
              <w:t>oblasti</w:t>
            </w:r>
            <w:proofErr w:type="spellEnd"/>
            <w:r w:rsidRPr="0011408D">
              <w:rPr>
                <w:sz w:val="20"/>
                <w:szCs w:val="20"/>
              </w:rPr>
              <w:t xml:space="preserve"> EE u FBiH </w:t>
            </w:r>
            <w:proofErr w:type="spellStart"/>
            <w:r w:rsidRPr="0011408D">
              <w:rPr>
                <w:sz w:val="20"/>
                <w:szCs w:val="20"/>
              </w:rPr>
              <w:t>sa</w:t>
            </w:r>
            <w:proofErr w:type="spellEnd"/>
            <w:r w:rsidRPr="0011408D">
              <w:rPr>
                <w:sz w:val="20"/>
                <w:szCs w:val="20"/>
              </w:rPr>
              <w:t xml:space="preserve"> EU </w:t>
            </w:r>
            <w:proofErr w:type="spellStart"/>
            <w:r w:rsidRPr="0011408D">
              <w:rPr>
                <w:sz w:val="20"/>
                <w:szCs w:val="20"/>
              </w:rPr>
              <w:t>direktivama</w:t>
            </w:r>
            <w:proofErr w:type="spellEnd"/>
          </w:p>
        </w:tc>
        <w:tc>
          <w:tcPr>
            <w:tcW w:w="990" w:type="dxa"/>
            <w:shd w:val="clear" w:color="auto" w:fill="F2F2F2" w:themeFill="background1" w:themeFillShade="F2"/>
          </w:tcPr>
          <w:p w14:paraId="7A99E55B" w14:textId="77777777" w:rsidR="00A77633" w:rsidRPr="0011408D" w:rsidRDefault="00A77633" w:rsidP="00122946">
            <w:pPr>
              <w:spacing w:after="0"/>
              <w:jc w:val="left"/>
              <w:rPr>
                <w:sz w:val="20"/>
                <w:szCs w:val="20"/>
                <w:lang w:val="bs-Latn-BA"/>
              </w:rPr>
            </w:pPr>
            <w:r w:rsidRPr="0011408D">
              <w:rPr>
                <w:sz w:val="20"/>
                <w:szCs w:val="20"/>
              </w:rPr>
              <w:t>n/a</w:t>
            </w:r>
          </w:p>
        </w:tc>
        <w:tc>
          <w:tcPr>
            <w:tcW w:w="1805" w:type="dxa"/>
            <w:shd w:val="clear" w:color="auto" w:fill="F2F2F2" w:themeFill="background1" w:themeFillShade="F2"/>
          </w:tcPr>
          <w:p w14:paraId="7D00D276" w14:textId="77777777" w:rsidR="00A77633" w:rsidRPr="0011408D" w:rsidRDefault="00A77633" w:rsidP="00122946">
            <w:pPr>
              <w:widowControl w:val="0"/>
              <w:pBdr>
                <w:top w:val="nil"/>
                <w:left w:val="nil"/>
                <w:bottom w:val="nil"/>
                <w:right w:val="nil"/>
                <w:between w:val="nil"/>
              </w:pBdr>
              <w:spacing w:after="0"/>
              <w:ind w:right="447"/>
              <w:jc w:val="left"/>
              <w:rPr>
                <w:rFonts w:cstheme="minorHAnsi"/>
                <w:sz w:val="20"/>
                <w:szCs w:val="20"/>
              </w:rPr>
            </w:pPr>
            <w:proofErr w:type="spellStart"/>
            <w:r w:rsidRPr="0011408D">
              <w:rPr>
                <w:sz w:val="20"/>
                <w:szCs w:val="20"/>
              </w:rPr>
              <w:t>Djelomična</w:t>
            </w:r>
            <w:proofErr w:type="spellEnd"/>
            <w:r w:rsidRPr="0011408D">
              <w:rPr>
                <w:sz w:val="20"/>
                <w:szCs w:val="20"/>
              </w:rPr>
              <w:t xml:space="preserve"> </w:t>
            </w:r>
            <w:proofErr w:type="spellStart"/>
            <w:r w:rsidRPr="0011408D">
              <w:rPr>
                <w:sz w:val="20"/>
                <w:szCs w:val="20"/>
              </w:rPr>
              <w:t>usklađenost</w:t>
            </w:r>
            <w:proofErr w:type="spellEnd"/>
            <w:r w:rsidRPr="0011408D">
              <w:rPr>
                <w:sz w:val="20"/>
                <w:szCs w:val="20"/>
              </w:rPr>
              <w:t xml:space="preserve"> (60%)</w:t>
            </w:r>
          </w:p>
        </w:tc>
        <w:tc>
          <w:tcPr>
            <w:tcW w:w="2695" w:type="dxa"/>
            <w:shd w:val="clear" w:color="auto" w:fill="F2F2F2" w:themeFill="background1" w:themeFillShade="F2"/>
          </w:tcPr>
          <w:p w14:paraId="2396E331" w14:textId="77777777" w:rsidR="00A77633" w:rsidRPr="0011408D" w:rsidRDefault="00A77633" w:rsidP="00122946">
            <w:pPr>
              <w:spacing w:after="0"/>
              <w:jc w:val="left"/>
              <w:rPr>
                <w:rFonts w:cstheme="minorHAnsi"/>
                <w:sz w:val="20"/>
                <w:szCs w:val="20"/>
              </w:rPr>
            </w:pPr>
            <w:proofErr w:type="spellStart"/>
            <w:r w:rsidRPr="0011408D">
              <w:rPr>
                <w:sz w:val="20"/>
                <w:szCs w:val="20"/>
              </w:rPr>
              <w:t>Potpuna</w:t>
            </w:r>
            <w:proofErr w:type="spellEnd"/>
            <w:r w:rsidRPr="0011408D">
              <w:rPr>
                <w:sz w:val="20"/>
                <w:szCs w:val="20"/>
              </w:rPr>
              <w:t xml:space="preserve"> </w:t>
            </w:r>
            <w:proofErr w:type="spellStart"/>
            <w:r w:rsidRPr="0011408D">
              <w:rPr>
                <w:sz w:val="20"/>
                <w:szCs w:val="20"/>
              </w:rPr>
              <w:t>usklađenost</w:t>
            </w:r>
            <w:proofErr w:type="spellEnd"/>
            <w:r w:rsidRPr="0011408D">
              <w:rPr>
                <w:sz w:val="20"/>
                <w:szCs w:val="20"/>
              </w:rPr>
              <w:t xml:space="preserve"> (100%)</w:t>
            </w:r>
          </w:p>
        </w:tc>
      </w:tr>
      <w:tr w:rsidR="00A77633" w:rsidRPr="0011408D" w14:paraId="094CAE98" w14:textId="77777777" w:rsidTr="00E03EE8">
        <w:trPr>
          <w:jc w:val="center"/>
        </w:trPr>
        <w:tc>
          <w:tcPr>
            <w:tcW w:w="4045" w:type="dxa"/>
            <w:shd w:val="clear" w:color="auto" w:fill="F2F2F2" w:themeFill="background1" w:themeFillShade="F2"/>
          </w:tcPr>
          <w:p w14:paraId="23607DCE" w14:textId="77777777" w:rsidR="00A77633" w:rsidRPr="0011408D" w:rsidRDefault="00A77633" w:rsidP="00122946">
            <w:pPr>
              <w:spacing w:after="0"/>
              <w:jc w:val="left"/>
              <w:rPr>
                <w:sz w:val="20"/>
                <w:szCs w:val="20"/>
                <w:lang w:val="bs-Latn-BA"/>
              </w:rPr>
            </w:pPr>
            <w:r w:rsidRPr="001972F5">
              <w:rPr>
                <w:sz w:val="20"/>
                <w:szCs w:val="20"/>
                <w:lang w:val="fi-FI"/>
              </w:rPr>
              <w:t>Status usklađenosti postojeće legislative u oblasti EE na svim nivoima vlasti u FBiH</w:t>
            </w:r>
          </w:p>
        </w:tc>
        <w:tc>
          <w:tcPr>
            <w:tcW w:w="990" w:type="dxa"/>
            <w:shd w:val="clear" w:color="auto" w:fill="F2F2F2" w:themeFill="background1" w:themeFillShade="F2"/>
          </w:tcPr>
          <w:p w14:paraId="47C717C9" w14:textId="77777777" w:rsidR="00A77633" w:rsidRPr="0011408D" w:rsidRDefault="00A77633" w:rsidP="00122946">
            <w:pPr>
              <w:spacing w:after="0"/>
              <w:jc w:val="left"/>
              <w:rPr>
                <w:sz w:val="20"/>
                <w:szCs w:val="20"/>
                <w:lang w:val="bs-Latn-BA"/>
              </w:rPr>
            </w:pPr>
            <w:r w:rsidRPr="0011408D">
              <w:rPr>
                <w:sz w:val="20"/>
                <w:szCs w:val="20"/>
                <w:lang w:val="bs-Latn-BA"/>
              </w:rPr>
              <w:t>n/a</w:t>
            </w:r>
          </w:p>
        </w:tc>
        <w:tc>
          <w:tcPr>
            <w:tcW w:w="1805" w:type="dxa"/>
            <w:shd w:val="clear" w:color="auto" w:fill="F2F2F2" w:themeFill="background1" w:themeFillShade="F2"/>
            <w:vAlign w:val="center"/>
          </w:tcPr>
          <w:p w14:paraId="3BE84C97" w14:textId="77777777" w:rsidR="00A77633" w:rsidRPr="0011408D" w:rsidRDefault="00A77633" w:rsidP="00122946">
            <w:pPr>
              <w:widowControl w:val="0"/>
              <w:pBdr>
                <w:top w:val="nil"/>
                <w:left w:val="nil"/>
                <w:bottom w:val="nil"/>
                <w:right w:val="nil"/>
                <w:between w:val="nil"/>
              </w:pBdr>
              <w:spacing w:after="0"/>
              <w:ind w:right="447"/>
              <w:jc w:val="left"/>
              <w:rPr>
                <w:rFonts w:cstheme="minorHAnsi"/>
                <w:sz w:val="20"/>
                <w:szCs w:val="20"/>
              </w:rPr>
            </w:pPr>
            <w:proofErr w:type="spellStart"/>
            <w:r w:rsidRPr="0011408D">
              <w:rPr>
                <w:rFonts w:cstheme="minorHAnsi"/>
                <w:sz w:val="20"/>
                <w:szCs w:val="20"/>
              </w:rPr>
              <w:t>Djelomična</w:t>
            </w:r>
            <w:proofErr w:type="spellEnd"/>
            <w:r w:rsidRPr="0011408D">
              <w:rPr>
                <w:rFonts w:cstheme="minorHAnsi"/>
                <w:sz w:val="20"/>
                <w:szCs w:val="20"/>
              </w:rPr>
              <w:t xml:space="preserve"> </w:t>
            </w:r>
            <w:proofErr w:type="spellStart"/>
            <w:r w:rsidRPr="0011408D">
              <w:rPr>
                <w:rFonts w:cstheme="minorHAnsi"/>
                <w:sz w:val="20"/>
                <w:szCs w:val="20"/>
              </w:rPr>
              <w:t>usklađenost</w:t>
            </w:r>
            <w:proofErr w:type="spellEnd"/>
          </w:p>
          <w:p w14:paraId="59CF1D23" w14:textId="77777777" w:rsidR="00A77633" w:rsidRPr="0011408D" w:rsidRDefault="00A77633" w:rsidP="00122946">
            <w:pPr>
              <w:spacing w:after="0"/>
              <w:jc w:val="left"/>
              <w:rPr>
                <w:sz w:val="20"/>
                <w:szCs w:val="20"/>
                <w:lang w:val="bs-Latn-BA"/>
              </w:rPr>
            </w:pPr>
            <w:r w:rsidRPr="0011408D">
              <w:rPr>
                <w:rFonts w:cstheme="minorHAnsi"/>
                <w:sz w:val="20"/>
                <w:szCs w:val="20"/>
              </w:rPr>
              <w:t>(40%)</w:t>
            </w:r>
          </w:p>
        </w:tc>
        <w:tc>
          <w:tcPr>
            <w:tcW w:w="2695" w:type="dxa"/>
            <w:shd w:val="clear" w:color="auto" w:fill="F2F2F2" w:themeFill="background1" w:themeFillShade="F2"/>
            <w:vAlign w:val="center"/>
          </w:tcPr>
          <w:p w14:paraId="799DB136" w14:textId="77777777" w:rsidR="00A77633" w:rsidRPr="0011408D" w:rsidRDefault="00A77633" w:rsidP="00122946">
            <w:pPr>
              <w:spacing w:after="0"/>
              <w:jc w:val="left"/>
              <w:rPr>
                <w:rFonts w:cstheme="minorHAnsi"/>
                <w:sz w:val="20"/>
                <w:szCs w:val="20"/>
              </w:rPr>
            </w:pPr>
            <w:proofErr w:type="spellStart"/>
            <w:r w:rsidRPr="0011408D">
              <w:rPr>
                <w:rFonts w:cstheme="minorHAnsi"/>
                <w:sz w:val="20"/>
                <w:szCs w:val="20"/>
              </w:rPr>
              <w:t>Potpuna</w:t>
            </w:r>
            <w:proofErr w:type="spellEnd"/>
            <w:r w:rsidRPr="0011408D">
              <w:rPr>
                <w:rFonts w:cstheme="minorHAnsi"/>
                <w:sz w:val="20"/>
                <w:szCs w:val="20"/>
              </w:rPr>
              <w:t xml:space="preserve"> </w:t>
            </w:r>
            <w:proofErr w:type="spellStart"/>
            <w:r w:rsidRPr="0011408D">
              <w:rPr>
                <w:rFonts w:cstheme="minorHAnsi"/>
                <w:sz w:val="20"/>
                <w:szCs w:val="20"/>
              </w:rPr>
              <w:t>usklađenost</w:t>
            </w:r>
            <w:proofErr w:type="spellEnd"/>
          </w:p>
          <w:p w14:paraId="31A45B3B" w14:textId="77777777" w:rsidR="00A77633" w:rsidRPr="0011408D" w:rsidRDefault="00A77633" w:rsidP="00122946">
            <w:pPr>
              <w:spacing w:after="0"/>
              <w:jc w:val="left"/>
              <w:rPr>
                <w:sz w:val="20"/>
                <w:szCs w:val="20"/>
                <w:lang w:val="bs-Latn-BA"/>
              </w:rPr>
            </w:pPr>
            <w:r w:rsidRPr="0011408D">
              <w:rPr>
                <w:rFonts w:cstheme="minorHAnsi"/>
                <w:sz w:val="20"/>
                <w:szCs w:val="20"/>
              </w:rPr>
              <w:t>(100%)</w:t>
            </w:r>
          </w:p>
        </w:tc>
      </w:tr>
      <w:tr w:rsidR="00A77633" w:rsidRPr="0011408D" w14:paraId="0DEBAFE5" w14:textId="77777777" w:rsidTr="00E03EE8">
        <w:trPr>
          <w:jc w:val="center"/>
        </w:trPr>
        <w:tc>
          <w:tcPr>
            <w:tcW w:w="4045" w:type="dxa"/>
            <w:shd w:val="clear" w:color="auto" w:fill="F2F2F2" w:themeFill="background1" w:themeFillShade="F2"/>
            <w:vAlign w:val="center"/>
          </w:tcPr>
          <w:p w14:paraId="5DD2AD9F" w14:textId="77777777" w:rsidR="00A77633" w:rsidRPr="0011408D" w:rsidRDefault="00A77633" w:rsidP="00122946">
            <w:pPr>
              <w:spacing w:after="0"/>
              <w:jc w:val="left"/>
              <w:rPr>
                <w:sz w:val="20"/>
                <w:szCs w:val="20"/>
              </w:rPr>
            </w:pPr>
            <w:proofErr w:type="spellStart"/>
            <w:r w:rsidRPr="0011408D">
              <w:rPr>
                <w:sz w:val="20"/>
                <w:szCs w:val="20"/>
              </w:rPr>
              <w:t>Broj</w:t>
            </w:r>
            <w:proofErr w:type="spellEnd"/>
            <w:r w:rsidRPr="0011408D">
              <w:rPr>
                <w:sz w:val="20"/>
                <w:szCs w:val="20"/>
              </w:rPr>
              <w:t xml:space="preserve"> </w:t>
            </w:r>
            <w:proofErr w:type="spellStart"/>
            <w:r w:rsidRPr="0011408D">
              <w:rPr>
                <w:sz w:val="20"/>
                <w:szCs w:val="20"/>
              </w:rPr>
              <w:t>zgrada</w:t>
            </w:r>
            <w:proofErr w:type="spellEnd"/>
            <w:r w:rsidRPr="0011408D">
              <w:rPr>
                <w:sz w:val="20"/>
                <w:szCs w:val="20"/>
              </w:rPr>
              <w:t xml:space="preserve"> </w:t>
            </w:r>
            <w:proofErr w:type="spellStart"/>
            <w:r w:rsidRPr="0011408D">
              <w:rPr>
                <w:sz w:val="20"/>
                <w:szCs w:val="20"/>
              </w:rPr>
              <w:t>individualnog</w:t>
            </w:r>
            <w:proofErr w:type="spellEnd"/>
            <w:r w:rsidRPr="0011408D">
              <w:rPr>
                <w:sz w:val="20"/>
                <w:szCs w:val="20"/>
              </w:rPr>
              <w:t xml:space="preserve"> </w:t>
            </w:r>
            <w:proofErr w:type="spellStart"/>
            <w:r w:rsidRPr="0011408D">
              <w:rPr>
                <w:sz w:val="20"/>
                <w:szCs w:val="20"/>
              </w:rPr>
              <w:t>stanovanja</w:t>
            </w:r>
            <w:proofErr w:type="spellEnd"/>
            <w:r w:rsidRPr="0011408D">
              <w:rPr>
                <w:sz w:val="20"/>
                <w:szCs w:val="20"/>
              </w:rPr>
              <w:t xml:space="preserve"> </w:t>
            </w:r>
            <w:proofErr w:type="spellStart"/>
            <w:r w:rsidRPr="0011408D">
              <w:rPr>
                <w:sz w:val="20"/>
                <w:szCs w:val="20"/>
              </w:rPr>
              <w:t>obuhvaćenih</w:t>
            </w:r>
            <w:proofErr w:type="spellEnd"/>
            <w:r w:rsidRPr="0011408D">
              <w:rPr>
                <w:sz w:val="20"/>
                <w:szCs w:val="20"/>
              </w:rPr>
              <w:t xml:space="preserve"> </w:t>
            </w:r>
            <w:proofErr w:type="spellStart"/>
            <w:r w:rsidRPr="0011408D">
              <w:rPr>
                <w:sz w:val="20"/>
                <w:szCs w:val="20"/>
              </w:rPr>
              <w:t>energijskom</w:t>
            </w:r>
            <w:proofErr w:type="spellEnd"/>
            <w:r w:rsidRPr="0011408D">
              <w:rPr>
                <w:sz w:val="20"/>
                <w:szCs w:val="20"/>
              </w:rPr>
              <w:t xml:space="preserve"> </w:t>
            </w:r>
            <w:proofErr w:type="spellStart"/>
            <w:r w:rsidRPr="0011408D">
              <w:rPr>
                <w:sz w:val="20"/>
                <w:szCs w:val="20"/>
              </w:rPr>
              <w:t>obnovom</w:t>
            </w:r>
            <w:proofErr w:type="spellEnd"/>
          </w:p>
        </w:tc>
        <w:tc>
          <w:tcPr>
            <w:tcW w:w="990" w:type="dxa"/>
            <w:shd w:val="clear" w:color="auto" w:fill="F2F2F2" w:themeFill="background1" w:themeFillShade="F2"/>
            <w:vAlign w:val="center"/>
          </w:tcPr>
          <w:p w14:paraId="765B93A3" w14:textId="77777777" w:rsidR="00A77633" w:rsidRPr="0011408D" w:rsidRDefault="00A77633" w:rsidP="00122946">
            <w:pPr>
              <w:spacing w:after="0"/>
              <w:jc w:val="left"/>
              <w:rPr>
                <w:sz w:val="20"/>
                <w:szCs w:val="20"/>
                <w:lang w:val="bs-Latn-BA"/>
              </w:rPr>
            </w:pPr>
            <w:r w:rsidRPr="0011408D">
              <w:rPr>
                <w:sz w:val="20"/>
                <w:szCs w:val="20"/>
                <w:lang w:val="bs-Latn-BA"/>
              </w:rPr>
              <w:t>n/a</w:t>
            </w:r>
          </w:p>
        </w:tc>
        <w:tc>
          <w:tcPr>
            <w:tcW w:w="1805" w:type="dxa"/>
            <w:shd w:val="clear" w:color="auto" w:fill="F2F2F2" w:themeFill="background1" w:themeFillShade="F2"/>
            <w:vAlign w:val="center"/>
          </w:tcPr>
          <w:p w14:paraId="323BBD1E" w14:textId="77777777" w:rsidR="00A77633" w:rsidRPr="0011408D" w:rsidRDefault="00A77633" w:rsidP="00122946">
            <w:pPr>
              <w:widowControl w:val="0"/>
              <w:pBdr>
                <w:top w:val="nil"/>
                <w:left w:val="nil"/>
                <w:bottom w:val="nil"/>
                <w:right w:val="nil"/>
                <w:between w:val="nil"/>
              </w:pBdr>
              <w:spacing w:after="0"/>
              <w:ind w:right="447"/>
              <w:jc w:val="left"/>
              <w:rPr>
                <w:rFonts w:cstheme="minorHAnsi"/>
                <w:sz w:val="20"/>
                <w:szCs w:val="20"/>
              </w:rPr>
            </w:pPr>
            <w:r w:rsidRPr="0011408D">
              <w:rPr>
                <w:sz w:val="20"/>
                <w:szCs w:val="20"/>
                <w:lang w:val="bs-Latn-BA"/>
              </w:rPr>
              <w:t>0</w:t>
            </w:r>
          </w:p>
        </w:tc>
        <w:tc>
          <w:tcPr>
            <w:tcW w:w="2695" w:type="dxa"/>
            <w:shd w:val="clear" w:color="auto" w:fill="F2F2F2" w:themeFill="background1" w:themeFillShade="F2"/>
            <w:vAlign w:val="center"/>
          </w:tcPr>
          <w:p w14:paraId="38D2E6C4" w14:textId="77777777" w:rsidR="00A77633" w:rsidRPr="0011408D" w:rsidRDefault="00A77633" w:rsidP="00122946">
            <w:pPr>
              <w:spacing w:after="0"/>
              <w:jc w:val="left"/>
              <w:rPr>
                <w:rFonts w:cstheme="minorHAnsi"/>
                <w:sz w:val="20"/>
                <w:szCs w:val="20"/>
              </w:rPr>
            </w:pPr>
            <w:r w:rsidRPr="0011408D">
              <w:rPr>
                <w:sz w:val="20"/>
                <w:szCs w:val="20"/>
              </w:rPr>
              <w:t>154.016</w:t>
            </w:r>
          </w:p>
        </w:tc>
      </w:tr>
      <w:tr w:rsidR="00A77633" w:rsidRPr="0011408D" w14:paraId="17DD6BF9" w14:textId="77777777" w:rsidTr="00E03EE8">
        <w:trPr>
          <w:jc w:val="center"/>
        </w:trPr>
        <w:tc>
          <w:tcPr>
            <w:tcW w:w="4045" w:type="dxa"/>
            <w:shd w:val="clear" w:color="auto" w:fill="F2F2F2" w:themeFill="background1" w:themeFillShade="F2"/>
            <w:vAlign w:val="center"/>
          </w:tcPr>
          <w:p w14:paraId="25C78AA2" w14:textId="77777777" w:rsidR="00A77633" w:rsidRPr="0011408D" w:rsidRDefault="00A77633" w:rsidP="00122946">
            <w:pPr>
              <w:spacing w:after="0"/>
              <w:jc w:val="left"/>
              <w:rPr>
                <w:sz w:val="20"/>
                <w:szCs w:val="20"/>
              </w:rPr>
            </w:pPr>
            <w:proofErr w:type="spellStart"/>
            <w:r w:rsidRPr="0011408D">
              <w:rPr>
                <w:sz w:val="20"/>
                <w:szCs w:val="20"/>
              </w:rPr>
              <w:t>Broj</w:t>
            </w:r>
            <w:proofErr w:type="spellEnd"/>
            <w:r w:rsidRPr="0011408D">
              <w:rPr>
                <w:sz w:val="20"/>
                <w:szCs w:val="20"/>
              </w:rPr>
              <w:t xml:space="preserve"> </w:t>
            </w:r>
            <w:proofErr w:type="spellStart"/>
            <w:r w:rsidRPr="0011408D">
              <w:rPr>
                <w:sz w:val="20"/>
                <w:szCs w:val="20"/>
              </w:rPr>
              <w:t>zgrada</w:t>
            </w:r>
            <w:proofErr w:type="spellEnd"/>
            <w:r w:rsidRPr="0011408D">
              <w:rPr>
                <w:sz w:val="20"/>
                <w:szCs w:val="20"/>
              </w:rPr>
              <w:t xml:space="preserve"> </w:t>
            </w:r>
            <w:proofErr w:type="spellStart"/>
            <w:r w:rsidRPr="0011408D">
              <w:rPr>
                <w:sz w:val="20"/>
                <w:szCs w:val="20"/>
              </w:rPr>
              <w:t>kolektivnog</w:t>
            </w:r>
            <w:proofErr w:type="spellEnd"/>
            <w:r w:rsidRPr="0011408D">
              <w:rPr>
                <w:sz w:val="20"/>
                <w:szCs w:val="20"/>
              </w:rPr>
              <w:t xml:space="preserve"> </w:t>
            </w:r>
            <w:proofErr w:type="spellStart"/>
            <w:r w:rsidRPr="0011408D">
              <w:rPr>
                <w:sz w:val="20"/>
                <w:szCs w:val="20"/>
              </w:rPr>
              <w:t>stanovanja</w:t>
            </w:r>
            <w:proofErr w:type="spellEnd"/>
            <w:r w:rsidRPr="0011408D">
              <w:rPr>
                <w:sz w:val="20"/>
                <w:szCs w:val="20"/>
              </w:rPr>
              <w:t xml:space="preserve"> </w:t>
            </w:r>
            <w:proofErr w:type="spellStart"/>
            <w:r w:rsidRPr="0011408D">
              <w:rPr>
                <w:sz w:val="20"/>
                <w:szCs w:val="20"/>
              </w:rPr>
              <w:t>obuhvaćenih</w:t>
            </w:r>
            <w:proofErr w:type="spellEnd"/>
            <w:r w:rsidRPr="0011408D">
              <w:rPr>
                <w:sz w:val="20"/>
                <w:szCs w:val="20"/>
              </w:rPr>
              <w:t xml:space="preserve"> </w:t>
            </w:r>
            <w:proofErr w:type="spellStart"/>
            <w:r w:rsidRPr="0011408D">
              <w:rPr>
                <w:sz w:val="20"/>
                <w:szCs w:val="20"/>
              </w:rPr>
              <w:t>energijskom</w:t>
            </w:r>
            <w:proofErr w:type="spellEnd"/>
            <w:r w:rsidRPr="0011408D">
              <w:rPr>
                <w:sz w:val="20"/>
                <w:szCs w:val="20"/>
              </w:rPr>
              <w:t xml:space="preserve"> </w:t>
            </w:r>
            <w:proofErr w:type="spellStart"/>
            <w:r w:rsidRPr="0011408D">
              <w:rPr>
                <w:sz w:val="20"/>
                <w:szCs w:val="20"/>
              </w:rPr>
              <w:t>obnovom</w:t>
            </w:r>
            <w:proofErr w:type="spellEnd"/>
          </w:p>
        </w:tc>
        <w:tc>
          <w:tcPr>
            <w:tcW w:w="990" w:type="dxa"/>
            <w:shd w:val="clear" w:color="auto" w:fill="F2F2F2" w:themeFill="background1" w:themeFillShade="F2"/>
            <w:vAlign w:val="center"/>
          </w:tcPr>
          <w:p w14:paraId="731E234B" w14:textId="77777777" w:rsidR="00A77633" w:rsidRPr="0011408D" w:rsidRDefault="00A77633" w:rsidP="00122946">
            <w:pPr>
              <w:spacing w:after="0"/>
              <w:jc w:val="left"/>
              <w:rPr>
                <w:sz w:val="20"/>
                <w:szCs w:val="20"/>
                <w:lang w:val="bs-Latn-BA"/>
              </w:rPr>
            </w:pPr>
            <w:r w:rsidRPr="0011408D">
              <w:rPr>
                <w:sz w:val="20"/>
                <w:szCs w:val="20"/>
                <w:lang w:val="bs-Latn-BA"/>
              </w:rPr>
              <w:t>n/a</w:t>
            </w:r>
          </w:p>
        </w:tc>
        <w:tc>
          <w:tcPr>
            <w:tcW w:w="1805" w:type="dxa"/>
            <w:shd w:val="clear" w:color="auto" w:fill="F2F2F2" w:themeFill="background1" w:themeFillShade="F2"/>
            <w:vAlign w:val="center"/>
          </w:tcPr>
          <w:p w14:paraId="663CE828" w14:textId="77777777" w:rsidR="00A77633" w:rsidRPr="0011408D" w:rsidRDefault="00A77633" w:rsidP="00122946">
            <w:pPr>
              <w:widowControl w:val="0"/>
              <w:pBdr>
                <w:top w:val="nil"/>
                <w:left w:val="nil"/>
                <w:bottom w:val="nil"/>
                <w:right w:val="nil"/>
                <w:between w:val="nil"/>
              </w:pBdr>
              <w:spacing w:after="0"/>
              <w:ind w:right="447"/>
              <w:jc w:val="left"/>
              <w:rPr>
                <w:rFonts w:cstheme="minorHAnsi"/>
                <w:sz w:val="20"/>
                <w:szCs w:val="20"/>
              </w:rPr>
            </w:pPr>
            <w:r w:rsidRPr="0011408D">
              <w:rPr>
                <w:sz w:val="20"/>
                <w:szCs w:val="20"/>
                <w:lang w:val="bs-Latn-BA"/>
              </w:rPr>
              <w:t>0</w:t>
            </w:r>
          </w:p>
        </w:tc>
        <w:tc>
          <w:tcPr>
            <w:tcW w:w="2695" w:type="dxa"/>
            <w:shd w:val="clear" w:color="auto" w:fill="F2F2F2" w:themeFill="background1" w:themeFillShade="F2"/>
            <w:vAlign w:val="center"/>
          </w:tcPr>
          <w:p w14:paraId="49A346BC" w14:textId="77777777" w:rsidR="00A77633" w:rsidRPr="0011408D" w:rsidRDefault="00A77633" w:rsidP="00122946">
            <w:pPr>
              <w:spacing w:after="0"/>
              <w:jc w:val="left"/>
              <w:rPr>
                <w:rFonts w:cstheme="minorHAnsi"/>
                <w:sz w:val="20"/>
                <w:szCs w:val="20"/>
              </w:rPr>
            </w:pPr>
            <w:r w:rsidRPr="0011408D">
              <w:rPr>
                <w:sz w:val="20"/>
                <w:szCs w:val="20"/>
                <w:lang w:val="bs-Latn-BA"/>
              </w:rPr>
              <w:t>23.616</w:t>
            </w:r>
          </w:p>
        </w:tc>
      </w:tr>
      <w:tr w:rsidR="00A77633" w:rsidRPr="0011408D" w14:paraId="15EC907A" w14:textId="77777777" w:rsidTr="00E03EE8">
        <w:trPr>
          <w:jc w:val="center"/>
        </w:trPr>
        <w:tc>
          <w:tcPr>
            <w:tcW w:w="4045" w:type="dxa"/>
            <w:shd w:val="clear" w:color="auto" w:fill="F2F2F2" w:themeFill="background1" w:themeFillShade="F2"/>
            <w:vAlign w:val="center"/>
          </w:tcPr>
          <w:p w14:paraId="2483E27C" w14:textId="77777777" w:rsidR="00A77633" w:rsidRPr="0011408D" w:rsidRDefault="00A77633" w:rsidP="00122946">
            <w:pPr>
              <w:spacing w:after="0"/>
              <w:jc w:val="left"/>
              <w:rPr>
                <w:sz w:val="20"/>
                <w:szCs w:val="20"/>
              </w:rPr>
            </w:pPr>
            <w:proofErr w:type="spellStart"/>
            <w:r w:rsidRPr="0011408D">
              <w:rPr>
                <w:sz w:val="20"/>
                <w:szCs w:val="20"/>
              </w:rPr>
              <w:t>Broj</w:t>
            </w:r>
            <w:proofErr w:type="spellEnd"/>
            <w:r w:rsidRPr="0011408D">
              <w:rPr>
                <w:sz w:val="20"/>
                <w:szCs w:val="20"/>
              </w:rPr>
              <w:t xml:space="preserve"> </w:t>
            </w:r>
            <w:proofErr w:type="spellStart"/>
            <w:r w:rsidRPr="0011408D">
              <w:rPr>
                <w:sz w:val="20"/>
                <w:szCs w:val="20"/>
              </w:rPr>
              <w:t>javnih</w:t>
            </w:r>
            <w:proofErr w:type="spellEnd"/>
            <w:r w:rsidRPr="0011408D">
              <w:rPr>
                <w:sz w:val="20"/>
                <w:szCs w:val="20"/>
              </w:rPr>
              <w:t xml:space="preserve"> </w:t>
            </w:r>
            <w:proofErr w:type="spellStart"/>
            <w:r w:rsidRPr="0011408D">
              <w:rPr>
                <w:sz w:val="20"/>
                <w:szCs w:val="20"/>
              </w:rPr>
              <w:t>zgrada</w:t>
            </w:r>
            <w:proofErr w:type="spellEnd"/>
            <w:r w:rsidRPr="0011408D">
              <w:rPr>
                <w:sz w:val="20"/>
                <w:szCs w:val="20"/>
              </w:rPr>
              <w:t xml:space="preserve"> </w:t>
            </w:r>
            <w:proofErr w:type="spellStart"/>
            <w:r w:rsidRPr="0011408D">
              <w:rPr>
                <w:sz w:val="20"/>
                <w:szCs w:val="20"/>
              </w:rPr>
              <w:t>obuhvaćenih</w:t>
            </w:r>
            <w:proofErr w:type="spellEnd"/>
            <w:r w:rsidRPr="0011408D">
              <w:rPr>
                <w:sz w:val="20"/>
                <w:szCs w:val="20"/>
              </w:rPr>
              <w:t xml:space="preserve"> </w:t>
            </w:r>
            <w:proofErr w:type="spellStart"/>
            <w:r w:rsidRPr="0011408D">
              <w:rPr>
                <w:sz w:val="20"/>
                <w:szCs w:val="20"/>
              </w:rPr>
              <w:t>energijskom</w:t>
            </w:r>
            <w:proofErr w:type="spellEnd"/>
            <w:r w:rsidRPr="0011408D">
              <w:rPr>
                <w:sz w:val="20"/>
                <w:szCs w:val="20"/>
              </w:rPr>
              <w:t xml:space="preserve"> </w:t>
            </w:r>
            <w:proofErr w:type="spellStart"/>
            <w:r w:rsidRPr="0011408D">
              <w:rPr>
                <w:sz w:val="20"/>
                <w:szCs w:val="20"/>
              </w:rPr>
              <w:t>obnovom</w:t>
            </w:r>
            <w:proofErr w:type="spellEnd"/>
          </w:p>
        </w:tc>
        <w:tc>
          <w:tcPr>
            <w:tcW w:w="990" w:type="dxa"/>
            <w:shd w:val="clear" w:color="auto" w:fill="F2F2F2" w:themeFill="background1" w:themeFillShade="F2"/>
            <w:vAlign w:val="center"/>
          </w:tcPr>
          <w:p w14:paraId="72947D45" w14:textId="77777777" w:rsidR="00A77633" w:rsidRPr="0011408D" w:rsidRDefault="00A77633" w:rsidP="00122946">
            <w:pPr>
              <w:spacing w:after="0"/>
              <w:jc w:val="left"/>
              <w:rPr>
                <w:sz w:val="20"/>
                <w:szCs w:val="20"/>
                <w:lang w:val="bs-Latn-BA"/>
              </w:rPr>
            </w:pPr>
            <w:r w:rsidRPr="0011408D">
              <w:rPr>
                <w:sz w:val="20"/>
                <w:szCs w:val="20"/>
                <w:lang w:val="bs-Latn-BA"/>
              </w:rPr>
              <w:t>n/a</w:t>
            </w:r>
          </w:p>
        </w:tc>
        <w:tc>
          <w:tcPr>
            <w:tcW w:w="1805" w:type="dxa"/>
            <w:shd w:val="clear" w:color="auto" w:fill="F2F2F2" w:themeFill="background1" w:themeFillShade="F2"/>
            <w:vAlign w:val="center"/>
          </w:tcPr>
          <w:p w14:paraId="4596B22F" w14:textId="77777777" w:rsidR="00A77633" w:rsidRPr="0011408D" w:rsidRDefault="00A77633" w:rsidP="00122946">
            <w:pPr>
              <w:widowControl w:val="0"/>
              <w:pBdr>
                <w:top w:val="nil"/>
                <w:left w:val="nil"/>
                <w:bottom w:val="nil"/>
                <w:right w:val="nil"/>
                <w:between w:val="nil"/>
              </w:pBdr>
              <w:spacing w:after="0"/>
              <w:ind w:right="447"/>
              <w:jc w:val="left"/>
              <w:rPr>
                <w:rFonts w:cstheme="minorHAnsi"/>
                <w:sz w:val="20"/>
                <w:szCs w:val="20"/>
              </w:rPr>
            </w:pPr>
            <w:r w:rsidRPr="0011408D">
              <w:rPr>
                <w:sz w:val="20"/>
                <w:szCs w:val="20"/>
                <w:lang w:val="bs-Latn-BA"/>
              </w:rPr>
              <w:t>0</w:t>
            </w:r>
          </w:p>
        </w:tc>
        <w:tc>
          <w:tcPr>
            <w:tcW w:w="2695" w:type="dxa"/>
            <w:shd w:val="clear" w:color="auto" w:fill="F2F2F2" w:themeFill="background1" w:themeFillShade="F2"/>
            <w:vAlign w:val="center"/>
          </w:tcPr>
          <w:p w14:paraId="413E8120" w14:textId="77777777" w:rsidR="00A77633" w:rsidRPr="0011408D" w:rsidRDefault="00A77633" w:rsidP="00122946">
            <w:pPr>
              <w:spacing w:after="0"/>
              <w:jc w:val="left"/>
              <w:rPr>
                <w:rFonts w:cstheme="minorHAnsi"/>
                <w:sz w:val="20"/>
                <w:szCs w:val="20"/>
              </w:rPr>
            </w:pPr>
            <w:r w:rsidRPr="0011408D">
              <w:rPr>
                <w:sz w:val="20"/>
                <w:szCs w:val="20"/>
              </w:rPr>
              <w:t>3.689</w:t>
            </w:r>
          </w:p>
        </w:tc>
      </w:tr>
      <w:tr w:rsidR="00A77633" w:rsidRPr="0011408D" w14:paraId="1FB500AE" w14:textId="77777777" w:rsidTr="00E03EE8">
        <w:trPr>
          <w:jc w:val="center"/>
        </w:trPr>
        <w:tc>
          <w:tcPr>
            <w:tcW w:w="4045" w:type="dxa"/>
            <w:shd w:val="clear" w:color="auto" w:fill="F2F2F2" w:themeFill="background1" w:themeFillShade="F2"/>
            <w:vAlign w:val="center"/>
          </w:tcPr>
          <w:p w14:paraId="2F6F68B8" w14:textId="77777777" w:rsidR="00A77633" w:rsidRPr="0011408D" w:rsidRDefault="00A77633" w:rsidP="00122946">
            <w:pPr>
              <w:spacing w:after="0"/>
              <w:jc w:val="left"/>
              <w:rPr>
                <w:sz w:val="20"/>
                <w:szCs w:val="20"/>
              </w:rPr>
            </w:pPr>
            <w:proofErr w:type="spellStart"/>
            <w:r w:rsidRPr="0011408D">
              <w:rPr>
                <w:sz w:val="20"/>
                <w:szCs w:val="20"/>
              </w:rPr>
              <w:t>Broj</w:t>
            </w:r>
            <w:proofErr w:type="spellEnd"/>
            <w:r w:rsidRPr="0011408D">
              <w:rPr>
                <w:sz w:val="20"/>
                <w:szCs w:val="20"/>
              </w:rPr>
              <w:t xml:space="preserve"> </w:t>
            </w:r>
            <w:proofErr w:type="spellStart"/>
            <w:r w:rsidRPr="0011408D">
              <w:rPr>
                <w:sz w:val="20"/>
                <w:szCs w:val="20"/>
              </w:rPr>
              <w:t>komercijalnih</w:t>
            </w:r>
            <w:proofErr w:type="spellEnd"/>
            <w:r w:rsidRPr="0011408D">
              <w:rPr>
                <w:sz w:val="20"/>
                <w:szCs w:val="20"/>
              </w:rPr>
              <w:t xml:space="preserve"> </w:t>
            </w:r>
            <w:proofErr w:type="spellStart"/>
            <w:r w:rsidRPr="0011408D">
              <w:rPr>
                <w:sz w:val="20"/>
                <w:szCs w:val="20"/>
              </w:rPr>
              <w:t>zgrada</w:t>
            </w:r>
            <w:proofErr w:type="spellEnd"/>
            <w:r w:rsidRPr="0011408D">
              <w:rPr>
                <w:sz w:val="20"/>
                <w:szCs w:val="20"/>
              </w:rPr>
              <w:t xml:space="preserve"> </w:t>
            </w:r>
            <w:proofErr w:type="spellStart"/>
            <w:r w:rsidRPr="0011408D">
              <w:rPr>
                <w:sz w:val="20"/>
                <w:szCs w:val="20"/>
              </w:rPr>
              <w:t>obuhvaćenih</w:t>
            </w:r>
            <w:proofErr w:type="spellEnd"/>
            <w:r w:rsidRPr="0011408D">
              <w:rPr>
                <w:sz w:val="20"/>
                <w:szCs w:val="20"/>
              </w:rPr>
              <w:t xml:space="preserve"> </w:t>
            </w:r>
            <w:proofErr w:type="spellStart"/>
            <w:r w:rsidRPr="0011408D">
              <w:rPr>
                <w:sz w:val="20"/>
                <w:szCs w:val="20"/>
              </w:rPr>
              <w:t>energijskom</w:t>
            </w:r>
            <w:proofErr w:type="spellEnd"/>
            <w:r w:rsidRPr="0011408D">
              <w:rPr>
                <w:sz w:val="20"/>
                <w:szCs w:val="20"/>
              </w:rPr>
              <w:t xml:space="preserve"> </w:t>
            </w:r>
            <w:proofErr w:type="spellStart"/>
            <w:r w:rsidRPr="0011408D">
              <w:rPr>
                <w:sz w:val="20"/>
                <w:szCs w:val="20"/>
              </w:rPr>
              <w:t>obnovom</w:t>
            </w:r>
            <w:proofErr w:type="spellEnd"/>
          </w:p>
        </w:tc>
        <w:tc>
          <w:tcPr>
            <w:tcW w:w="990" w:type="dxa"/>
            <w:shd w:val="clear" w:color="auto" w:fill="F2F2F2" w:themeFill="background1" w:themeFillShade="F2"/>
            <w:vAlign w:val="center"/>
          </w:tcPr>
          <w:p w14:paraId="601130DC" w14:textId="77777777" w:rsidR="00A77633" w:rsidRPr="0011408D" w:rsidRDefault="00A77633" w:rsidP="00122946">
            <w:pPr>
              <w:spacing w:after="0"/>
              <w:jc w:val="left"/>
              <w:rPr>
                <w:sz w:val="20"/>
                <w:szCs w:val="20"/>
                <w:lang w:val="bs-Latn-BA"/>
              </w:rPr>
            </w:pPr>
            <w:r w:rsidRPr="0011408D">
              <w:rPr>
                <w:sz w:val="20"/>
                <w:szCs w:val="20"/>
                <w:lang w:val="bs-Latn-BA"/>
              </w:rPr>
              <w:t>n/a</w:t>
            </w:r>
          </w:p>
        </w:tc>
        <w:tc>
          <w:tcPr>
            <w:tcW w:w="1805" w:type="dxa"/>
            <w:shd w:val="clear" w:color="auto" w:fill="F2F2F2" w:themeFill="background1" w:themeFillShade="F2"/>
            <w:vAlign w:val="center"/>
          </w:tcPr>
          <w:p w14:paraId="0E8C55D8" w14:textId="77777777" w:rsidR="00A77633" w:rsidRPr="0011408D" w:rsidRDefault="00A77633" w:rsidP="00122946">
            <w:pPr>
              <w:widowControl w:val="0"/>
              <w:pBdr>
                <w:top w:val="nil"/>
                <w:left w:val="nil"/>
                <w:bottom w:val="nil"/>
                <w:right w:val="nil"/>
                <w:between w:val="nil"/>
              </w:pBdr>
              <w:spacing w:after="0"/>
              <w:ind w:right="447"/>
              <w:jc w:val="left"/>
              <w:rPr>
                <w:rFonts w:cstheme="minorHAnsi"/>
                <w:sz w:val="20"/>
                <w:szCs w:val="20"/>
              </w:rPr>
            </w:pPr>
            <w:r w:rsidRPr="0011408D">
              <w:rPr>
                <w:sz w:val="20"/>
                <w:szCs w:val="20"/>
                <w:lang w:val="bs-Latn-BA"/>
              </w:rPr>
              <w:t>0</w:t>
            </w:r>
          </w:p>
        </w:tc>
        <w:tc>
          <w:tcPr>
            <w:tcW w:w="2695" w:type="dxa"/>
            <w:shd w:val="clear" w:color="auto" w:fill="F2F2F2" w:themeFill="background1" w:themeFillShade="F2"/>
            <w:vAlign w:val="center"/>
          </w:tcPr>
          <w:p w14:paraId="38C604DA" w14:textId="77777777" w:rsidR="00A77633" w:rsidRPr="0011408D" w:rsidRDefault="00A77633" w:rsidP="00122946">
            <w:pPr>
              <w:spacing w:after="0"/>
              <w:jc w:val="left"/>
              <w:rPr>
                <w:rFonts w:cstheme="minorHAnsi"/>
                <w:sz w:val="20"/>
                <w:szCs w:val="20"/>
              </w:rPr>
            </w:pPr>
            <w:r w:rsidRPr="0011408D">
              <w:rPr>
                <w:sz w:val="20"/>
                <w:szCs w:val="20"/>
              </w:rPr>
              <w:t>4.827</w:t>
            </w:r>
          </w:p>
        </w:tc>
      </w:tr>
      <w:tr w:rsidR="00A77633" w:rsidRPr="0011408D" w14:paraId="72EC30AE" w14:textId="77777777" w:rsidTr="00E03EE8">
        <w:trPr>
          <w:jc w:val="center"/>
        </w:trPr>
        <w:tc>
          <w:tcPr>
            <w:tcW w:w="4045" w:type="dxa"/>
            <w:shd w:val="clear" w:color="auto" w:fill="F2F2F2" w:themeFill="background1" w:themeFillShade="F2"/>
          </w:tcPr>
          <w:p w14:paraId="7DE7D2BF" w14:textId="77777777" w:rsidR="00A77633" w:rsidRPr="0011408D" w:rsidRDefault="00A77633" w:rsidP="00122946">
            <w:pPr>
              <w:spacing w:after="0"/>
              <w:jc w:val="left"/>
              <w:rPr>
                <w:sz w:val="20"/>
                <w:szCs w:val="20"/>
              </w:rPr>
            </w:pPr>
            <w:r w:rsidRPr="0011408D">
              <w:rPr>
                <w:sz w:val="20"/>
                <w:szCs w:val="20"/>
              </w:rPr>
              <w:t xml:space="preserve">Status </w:t>
            </w:r>
            <w:proofErr w:type="spellStart"/>
            <w:r w:rsidRPr="0011408D">
              <w:rPr>
                <w:sz w:val="20"/>
                <w:szCs w:val="20"/>
              </w:rPr>
              <w:t>procedura</w:t>
            </w:r>
            <w:proofErr w:type="spellEnd"/>
            <w:r w:rsidRPr="0011408D">
              <w:rPr>
                <w:sz w:val="20"/>
                <w:szCs w:val="20"/>
              </w:rPr>
              <w:t xml:space="preserve"> za </w:t>
            </w:r>
            <w:proofErr w:type="spellStart"/>
            <w:r w:rsidRPr="0011408D">
              <w:rPr>
                <w:sz w:val="20"/>
                <w:szCs w:val="20"/>
              </w:rPr>
              <w:t>nZEB</w:t>
            </w:r>
            <w:proofErr w:type="spellEnd"/>
          </w:p>
        </w:tc>
        <w:tc>
          <w:tcPr>
            <w:tcW w:w="990" w:type="dxa"/>
            <w:shd w:val="clear" w:color="auto" w:fill="F2F2F2" w:themeFill="background1" w:themeFillShade="F2"/>
          </w:tcPr>
          <w:p w14:paraId="418CEACA" w14:textId="77777777" w:rsidR="00A77633" w:rsidRPr="0011408D" w:rsidRDefault="00A77633" w:rsidP="00122946">
            <w:pPr>
              <w:spacing w:after="0"/>
              <w:jc w:val="left"/>
              <w:rPr>
                <w:sz w:val="20"/>
                <w:szCs w:val="20"/>
                <w:lang w:val="bs-Latn-BA"/>
              </w:rPr>
            </w:pPr>
            <w:r w:rsidRPr="0011408D">
              <w:rPr>
                <w:sz w:val="20"/>
                <w:szCs w:val="20"/>
              </w:rPr>
              <w:t>n/a</w:t>
            </w:r>
          </w:p>
        </w:tc>
        <w:tc>
          <w:tcPr>
            <w:tcW w:w="1805" w:type="dxa"/>
            <w:shd w:val="clear" w:color="auto" w:fill="F2F2F2" w:themeFill="background1" w:themeFillShade="F2"/>
          </w:tcPr>
          <w:p w14:paraId="56181588" w14:textId="77777777" w:rsidR="00A77633" w:rsidRPr="0011408D" w:rsidRDefault="00A77633" w:rsidP="00122946">
            <w:pPr>
              <w:widowControl w:val="0"/>
              <w:pBdr>
                <w:top w:val="nil"/>
                <w:left w:val="nil"/>
                <w:bottom w:val="nil"/>
                <w:right w:val="nil"/>
                <w:between w:val="nil"/>
              </w:pBdr>
              <w:spacing w:after="0"/>
              <w:ind w:right="447"/>
              <w:jc w:val="left"/>
              <w:rPr>
                <w:sz w:val="20"/>
                <w:szCs w:val="20"/>
                <w:lang w:val="bs-Latn-BA"/>
              </w:rPr>
            </w:pPr>
            <w:proofErr w:type="spellStart"/>
            <w:r w:rsidRPr="0011408D">
              <w:rPr>
                <w:sz w:val="20"/>
                <w:szCs w:val="20"/>
              </w:rPr>
              <w:t>Nisu</w:t>
            </w:r>
            <w:proofErr w:type="spellEnd"/>
            <w:r w:rsidRPr="0011408D">
              <w:rPr>
                <w:sz w:val="20"/>
                <w:szCs w:val="20"/>
              </w:rPr>
              <w:t xml:space="preserve"> </w:t>
            </w:r>
            <w:proofErr w:type="spellStart"/>
            <w:r w:rsidRPr="0011408D">
              <w:rPr>
                <w:sz w:val="20"/>
                <w:szCs w:val="20"/>
              </w:rPr>
              <w:t>donesene</w:t>
            </w:r>
            <w:proofErr w:type="spellEnd"/>
          </w:p>
        </w:tc>
        <w:tc>
          <w:tcPr>
            <w:tcW w:w="2695" w:type="dxa"/>
            <w:shd w:val="clear" w:color="auto" w:fill="F2F2F2" w:themeFill="background1" w:themeFillShade="F2"/>
          </w:tcPr>
          <w:p w14:paraId="74FEED8D" w14:textId="77777777" w:rsidR="00A77633" w:rsidRPr="0011408D" w:rsidRDefault="00A77633" w:rsidP="00122946">
            <w:pPr>
              <w:spacing w:after="0"/>
              <w:jc w:val="left"/>
              <w:rPr>
                <w:sz w:val="20"/>
                <w:szCs w:val="20"/>
              </w:rPr>
            </w:pPr>
            <w:proofErr w:type="spellStart"/>
            <w:r w:rsidRPr="0011408D">
              <w:rPr>
                <w:sz w:val="20"/>
                <w:szCs w:val="20"/>
              </w:rPr>
              <w:t>Usvojene</w:t>
            </w:r>
            <w:proofErr w:type="spellEnd"/>
          </w:p>
        </w:tc>
      </w:tr>
    </w:tbl>
    <w:p w14:paraId="6A148A28" w14:textId="77777777" w:rsidR="00A77633" w:rsidRDefault="00A77633" w:rsidP="00A77633">
      <w:pPr>
        <w:rPr>
          <w:color w:val="000000"/>
          <w:lang w:val="bs-Latn-BA"/>
        </w:rPr>
      </w:pPr>
    </w:p>
    <w:p w14:paraId="3104FF9E" w14:textId="77777777" w:rsidR="00A77633" w:rsidRPr="008924E0" w:rsidRDefault="00A77633" w:rsidP="00A77633">
      <w:pPr>
        <w:pStyle w:val="Heading2"/>
        <w:numPr>
          <w:ilvl w:val="0"/>
          <w:numId w:val="0"/>
        </w:numPr>
        <w:ind w:left="1260" w:hanging="1260"/>
        <w:rPr>
          <w:sz w:val="22"/>
          <w:szCs w:val="22"/>
          <w:lang w:val="bs-Latn-BA"/>
        </w:rPr>
      </w:pPr>
      <w:bookmarkStart w:id="145" w:name="_Toc134011775"/>
      <w:r w:rsidRPr="008924E0">
        <w:rPr>
          <w:sz w:val="22"/>
          <w:szCs w:val="22"/>
          <w:lang w:val="bs-Latn-BA"/>
        </w:rPr>
        <w:lastRenderedPageBreak/>
        <w:t xml:space="preserve">Mjera  1.1.1. </w:t>
      </w:r>
      <w:r w:rsidRPr="003A72F7">
        <w:rPr>
          <w:sz w:val="22"/>
          <w:szCs w:val="22"/>
          <w:lang w:val="bs-Latn-BA"/>
        </w:rPr>
        <w:t>Unaprijediti regulatorni okvir u cilju ostvarivanja potpune harmonizacije s pravnom stečevinom EU u oblasti EE koji će omogućiti energijsku obnovu zgrada</w:t>
      </w:r>
      <w:bookmarkEnd w:id="145"/>
    </w:p>
    <w:p w14:paraId="27CF1722" w14:textId="709C9504" w:rsidR="00A77633" w:rsidRPr="008924E0" w:rsidRDefault="00A77633" w:rsidP="005D2C94">
      <w:pPr>
        <w:spacing w:after="120" w:line="276" w:lineRule="auto"/>
        <w:rPr>
          <w:color w:val="000000"/>
          <w:lang w:val="bs-Latn-BA"/>
        </w:rPr>
      </w:pPr>
      <w:r w:rsidRPr="008924E0">
        <w:rPr>
          <w:color w:val="000000"/>
          <w:lang w:val="bs-Latn-BA"/>
        </w:rPr>
        <w:t>Osnovno polazište za oblast energijske efikasnosti u Federaciji Bosne i Hercegovine je Zakon o energijskoj efikasnosti u Federaciji BiH (</w:t>
      </w:r>
      <w:r w:rsidR="000E3D79" w:rsidRPr="000E3D79">
        <w:rPr>
          <w:color w:val="000000"/>
          <w:lang w:val="bs-Latn-BA"/>
        </w:rPr>
        <w:t xml:space="preserve">„Službene novine Federacije BiH“, broj </w:t>
      </w:r>
      <w:r w:rsidRPr="008924E0">
        <w:rPr>
          <w:color w:val="000000"/>
          <w:lang w:val="bs-Latn-BA"/>
        </w:rPr>
        <w:t xml:space="preserve">22/17) kao i međunarodno preuzete </w:t>
      </w:r>
      <w:r w:rsidR="00F03625">
        <w:rPr>
          <w:color w:val="000000"/>
          <w:lang w:val="bs-Latn-BA"/>
        </w:rPr>
        <w:t>obvez</w:t>
      </w:r>
      <w:r w:rsidRPr="008924E0">
        <w:rPr>
          <w:color w:val="000000"/>
          <w:lang w:val="bs-Latn-BA"/>
        </w:rPr>
        <w:t>e kroz Ugovor o uspostavi Energetske zajednice (</w:t>
      </w:r>
      <w:r w:rsidR="000E3D79">
        <w:rPr>
          <w:color w:val="000000"/>
          <w:lang w:val="bs-Latn-BA"/>
        </w:rPr>
        <w:t>„</w:t>
      </w:r>
      <w:r w:rsidRPr="008924E0">
        <w:rPr>
          <w:color w:val="000000"/>
          <w:lang w:val="bs-Latn-BA"/>
        </w:rPr>
        <w:t>Sl</w:t>
      </w:r>
      <w:r w:rsidR="000E3D79">
        <w:rPr>
          <w:color w:val="000000"/>
          <w:lang w:val="bs-Latn-BA"/>
        </w:rPr>
        <w:t>užbeni li</w:t>
      </w:r>
      <w:r w:rsidRPr="008924E0">
        <w:rPr>
          <w:color w:val="000000"/>
          <w:lang w:val="bs-Latn-BA"/>
        </w:rPr>
        <w:t>st BiH</w:t>
      </w:r>
      <w:r w:rsidR="000E3D79">
        <w:rPr>
          <w:color w:val="000000"/>
          <w:lang w:val="bs-Latn-BA"/>
        </w:rPr>
        <w:t>“, broj</w:t>
      </w:r>
      <w:r w:rsidRPr="008924E0">
        <w:rPr>
          <w:color w:val="000000"/>
          <w:lang w:val="bs-Latn-BA"/>
        </w:rPr>
        <w:t xml:space="preserve"> 9/06, međunarodni ugovori). Zakon o energijskoj efikasnosti FBiH uspostavljen je radi transpozicije propisa i direktiva EU</w:t>
      </w:r>
      <w:r>
        <w:rPr>
          <w:color w:val="000000"/>
          <w:lang w:val="bs-Latn-BA"/>
        </w:rPr>
        <w:t xml:space="preserve"> koje se odnose na oblast energijske efikasnosti</w:t>
      </w:r>
      <w:r w:rsidRPr="008924E0">
        <w:rPr>
          <w:color w:val="000000"/>
          <w:lang w:val="bs-Latn-BA"/>
        </w:rPr>
        <w:t xml:space="preserve">, ali taj proces je do sada samo djelimično ostvaren. </w:t>
      </w:r>
    </w:p>
    <w:p w14:paraId="4EB738CF" w14:textId="1BBC7DB9" w:rsidR="00A77633" w:rsidRPr="003A72F7" w:rsidRDefault="00A77633" w:rsidP="005D2C94">
      <w:pPr>
        <w:spacing w:after="120" w:line="276" w:lineRule="auto"/>
        <w:ind w:left="1" w:right="32"/>
        <w:rPr>
          <w:color w:val="FF0000"/>
          <w:lang w:val="bs-Latn-BA"/>
        </w:rPr>
      </w:pPr>
      <w:r w:rsidRPr="008924E0">
        <w:rPr>
          <w:color w:val="000000"/>
          <w:lang w:val="bs-Latn-BA"/>
        </w:rPr>
        <w:t xml:space="preserve">Izmjene i dopune postojeće legislative u oblasti EE u FBiH neophodne su kako bi se ispunile </w:t>
      </w:r>
      <w:r w:rsidR="00F03625">
        <w:rPr>
          <w:color w:val="000000"/>
          <w:lang w:val="bs-Latn-BA"/>
        </w:rPr>
        <w:t>obvez</w:t>
      </w:r>
      <w:r w:rsidRPr="008924E0">
        <w:rPr>
          <w:color w:val="000000"/>
          <w:lang w:val="bs-Latn-BA"/>
        </w:rPr>
        <w:t xml:space="preserve">e prema EnZ, ali i stvorili preduvjeti za provođenje energijske obnove zgrada u FBiH. Za ispunjenje </w:t>
      </w:r>
      <w:r w:rsidR="00F03625">
        <w:rPr>
          <w:color w:val="000000"/>
          <w:lang w:val="bs-Latn-BA"/>
        </w:rPr>
        <w:t>obvez</w:t>
      </w:r>
      <w:r w:rsidRPr="008924E0">
        <w:rPr>
          <w:color w:val="000000"/>
          <w:lang w:val="bs-Latn-BA"/>
        </w:rPr>
        <w:t xml:space="preserve">a preuzetih potpisivanjem Ugovora o uspostavljanju EnZ u ime BiH odgovorno je Ministarstvo vanjske trgovine i ekonomskih odnosa BiH, koje zajedno sa relevantnim entitetskim ministarstvima sarađuje s tijelima EnZ, te  kroz redovne nacionalne izvještaje, izvještava EnZ o napretku BiH odnosno o napretku transpozicije </w:t>
      </w:r>
      <w:r w:rsidRPr="008924E0">
        <w:rPr>
          <w:lang w:val="bs-Latn-BA"/>
        </w:rPr>
        <w:t xml:space="preserve">ažuriranih EU direktiva  vezanih za EE u zakonodavstvo FBiH i RS. U kontekstu procesa </w:t>
      </w:r>
      <w:r w:rsidRPr="008924E0">
        <w:rPr>
          <w:color w:val="000000"/>
          <w:lang w:val="bs-Latn-BA"/>
        </w:rPr>
        <w:t>energijske obnove zgrada u FBiH,</w:t>
      </w:r>
      <w:r w:rsidRPr="008924E0">
        <w:rPr>
          <w:lang w:val="bs-Latn-BA"/>
        </w:rPr>
        <w:t xml:space="preserve">  primarna </w:t>
      </w:r>
      <w:r w:rsidRPr="008924E0">
        <w:rPr>
          <w:color w:val="000000"/>
          <w:lang w:val="bs-Latn-BA"/>
        </w:rPr>
        <w:t xml:space="preserve">je izrada i usvajanje strateških dokumenata relevantnih za ovaj proces. </w:t>
      </w:r>
    </w:p>
    <w:p w14:paraId="660B45A6" w14:textId="7AE17AEB" w:rsidR="00A77633" w:rsidRPr="008924E0" w:rsidRDefault="00A77633" w:rsidP="005D2C94">
      <w:pPr>
        <w:spacing w:after="120" w:line="276" w:lineRule="auto"/>
        <w:ind w:right="32"/>
        <w:rPr>
          <w:lang w:val="bs-Latn-BA"/>
        </w:rPr>
      </w:pPr>
      <w:r>
        <w:rPr>
          <w:lang w:val="bs-Latn-BA"/>
        </w:rPr>
        <w:t>Obnova</w:t>
      </w:r>
      <w:r w:rsidRPr="008924E0">
        <w:rPr>
          <w:lang w:val="bs-Latn-BA"/>
        </w:rPr>
        <w:t xml:space="preserve"> zgrada po principima energijske efikasnosti u FBiH uglavnom se provodi u okviru pojedinačnih projekata/programa stranih organizacija i </w:t>
      </w:r>
      <w:r w:rsidR="007B690C">
        <w:rPr>
          <w:lang w:val="bs-Latn-BA"/>
        </w:rPr>
        <w:t>financ</w:t>
      </w:r>
      <w:r w:rsidRPr="008924E0">
        <w:rPr>
          <w:lang w:val="bs-Latn-BA"/>
        </w:rPr>
        <w:t>ijskih institucija. Iskustvo je pokazalo da sporost u implementaciji projekata EE upravo je uzrokovana činjenicom da  propisi relevantni za zgradarstvo, stambenu politiku, upravljanje i održavanje zgrada, javne nabavke itd. nisu u potpunosti usaglašeni sa Zakonom o EE u FBiH na svim nivoima vlasti u FBiH. Dodatni problem predstavlja i činjenica da neki strateški dokumenti na višim nivoima relevantni za proces obnove zgrada u FBiH, još uvijek nisu usvojeni.</w:t>
      </w:r>
    </w:p>
    <w:p w14:paraId="597BD316" w14:textId="77777777" w:rsidR="00A77633" w:rsidRPr="008924E0" w:rsidRDefault="00A77633" w:rsidP="005D2C94">
      <w:pPr>
        <w:spacing w:after="120" w:line="276" w:lineRule="auto"/>
        <w:ind w:right="32"/>
        <w:rPr>
          <w:lang w:val="bs-Latn-BA"/>
        </w:rPr>
      </w:pPr>
      <w:r w:rsidRPr="008924E0">
        <w:rPr>
          <w:lang w:val="bs-Latn-BA"/>
        </w:rPr>
        <w:t xml:space="preserve">Kao posebno pitanje za uspješno provođenje obnove zgrada, nameće se rješavanje višedecenijske problematike nelegalno izgrađenih zgrada u FBiH. Stoga je neophodno usvajanje sistemskog pristupa u rješavanju ovog problema  na nivou svih kantona u FBiH, jer najveći procenat nelegalno izgrađenih zgrada koje su u funkciji, upravo su individualne stambene zgrade, koje uglavnom koriste fosilna goriva kao primarni energent za grijanje. </w:t>
      </w:r>
    </w:p>
    <w:p w14:paraId="7E5DCE67" w14:textId="22A5A79E" w:rsidR="00A77633" w:rsidRPr="008924E0" w:rsidRDefault="00A77633" w:rsidP="005D2C94">
      <w:pPr>
        <w:widowControl w:val="0"/>
        <w:pBdr>
          <w:top w:val="nil"/>
          <w:left w:val="nil"/>
          <w:bottom w:val="nil"/>
          <w:right w:val="nil"/>
          <w:between w:val="nil"/>
        </w:pBdr>
        <w:spacing w:after="120" w:line="276" w:lineRule="auto"/>
        <w:rPr>
          <w:lang w:val="bs-Latn-BA"/>
        </w:rPr>
      </w:pPr>
      <w:r w:rsidRPr="008924E0">
        <w:rPr>
          <w:lang w:val="bs-Latn-BA"/>
        </w:rPr>
        <w:t xml:space="preserve">Zakon o EE u FBiH jasno propisuje </w:t>
      </w:r>
      <w:r w:rsidR="00F03625">
        <w:rPr>
          <w:lang w:val="bs-Latn-BA"/>
        </w:rPr>
        <w:t>obvez</w:t>
      </w:r>
      <w:r w:rsidRPr="008924E0">
        <w:rPr>
          <w:lang w:val="bs-Latn-BA"/>
        </w:rPr>
        <w:t xml:space="preserve">u za vlasnike zgrada u pogledu pribavljanja EC odnosno provođenja DEA. Činjenica je da se važeći propisi u oblasti EE u FBiH ne primjenjuju u svim kantonima i općinama jer za to nisu stvoreni preduvjeti. Cilj ove mjere je potpuna primjena važećih propisa vezano za </w:t>
      </w:r>
      <w:r w:rsidR="00F03625">
        <w:rPr>
          <w:lang w:val="bs-Latn-BA"/>
        </w:rPr>
        <w:t>obvez</w:t>
      </w:r>
      <w:r w:rsidRPr="008924E0">
        <w:rPr>
          <w:lang w:val="bs-Latn-BA"/>
        </w:rPr>
        <w:t>u pribavljanja energijskog certifikata i provođenje detaljnih energijskih audita u FBiH (</w:t>
      </w:r>
      <w:r w:rsidRPr="008924E0">
        <w:rPr>
          <w:color w:val="000000"/>
          <w:lang w:val="bs-Latn-BA"/>
        </w:rPr>
        <w:t xml:space="preserve">Uredba o </w:t>
      </w:r>
      <w:r w:rsidR="00540A41">
        <w:rPr>
          <w:color w:val="000000"/>
          <w:lang w:val="bs-Latn-BA"/>
        </w:rPr>
        <w:t>uvjet</w:t>
      </w:r>
      <w:r w:rsidRPr="008924E0">
        <w:rPr>
          <w:color w:val="000000"/>
          <w:lang w:val="bs-Latn-BA"/>
        </w:rPr>
        <w:t>ima za davanje i oduzimanje ovlaštenja za provođenje energijskih audita i certificiranje zgrada (</w:t>
      </w:r>
      <w:r w:rsidR="000E3D79" w:rsidRPr="000E3D79">
        <w:rPr>
          <w:color w:val="000000"/>
          <w:lang w:val="bs-Latn-BA"/>
        </w:rPr>
        <w:t xml:space="preserve">„Službene novine Federacije BiH“, broj </w:t>
      </w:r>
      <w:r w:rsidRPr="008924E0">
        <w:rPr>
          <w:color w:val="000000"/>
          <w:lang w:val="bs-Latn-BA"/>
        </w:rPr>
        <w:t xml:space="preserve">87/18), kao i propisa vezano za </w:t>
      </w:r>
      <w:r w:rsidR="00F03625">
        <w:rPr>
          <w:color w:val="000000"/>
          <w:lang w:val="bs-Latn-BA"/>
        </w:rPr>
        <w:t>obvez</w:t>
      </w:r>
      <w:r w:rsidRPr="008924E0">
        <w:rPr>
          <w:color w:val="000000"/>
          <w:lang w:val="bs-Latn-BA"/>
        </w:rPr>
        <w:t>u provođenja redovnih energijskih audita sistema grijanja i sistema klimatizacije u FBiH (Pravilnik o redovnom energijskom auditu sistema grijanja i sistema klimatizacije (</w:t>
      </w:r>
      <w:r w:rsidR="000E3D79" w:rsidRPr="000E3D79">
        <w:rPr>
          <w:color w:val="000000"/>
          <w:lang w:val="bs-Latn-BA"/>
        </w:rPr>
        <w:t xml:space="preserve">„Službene novine Federacije BiH“, </w:t>
      </w:r>
      <w:r w:rsidRPr="008924E0">
        <w:rPr>
          <w:color w:val="000000"/>
          <w:lang w:val="bs-Latn-BA"/>
        </w:rPr>
        <w:t>br. 72/19, 67/22).</w:t>
      </w:r>
    </w:p>
    <w:p w14:paraId="6FC43655" w14:textId="77777777" w:rsidR="00A77633" w:rsidRPr="008924E0" w:rsidRDefault="00A77633" w:rsidP="005D2C94">
      <w:pPr>
        <w:spacing w:after="120" w:line="276" w:lineRule="auto"/>
        <w:ind w:left="1" w:right="32"/>
        <w:rPr>
          <w:lang w:val="bs-Latn-BA"/>
        </w:rPr>
      </w:pPr>
      <w:r w:rsidRPr="008924E0">
        <w:rPr>
          <w:lang w:val="bs-Latn-BA"/>
        </w:rPr>
        <w:t>Svakako, kao preduvjet za implementaciju ove mjere, potrebno je izvršiti usklađivanje legislative relevantne za  provođenje procesa energijske obnove na federalnom, kantonalnom, i općinskom nivou.</w:t>
      </w:r>
    </w:p>
    <w:p w14:paraId="556550E4" w14:textId="77777777" w:rsidR="00A77633" w:rsidRPr="001972F5" w:rsidRDefault="00A77633" w:rsidP="005D2C94">
      <w:pPr>
        <w:spacing w:after="120" w:line="276" w:lineRule="auto"/>
        <w:ind w:left="1" w:right="32"/>
        <w:rPr>
          <w:lang w:val="fi-FI"/>
        </w:rPr>
      </w:pPr>
      <w:r w:rsidRPr="001972F5">
        <w:rPr>
          <w:lang w:val="fi-FI"/>
        </w:rPr>
        <w:t>Aktivnosti planirane u sklopu ove mjere su:</w:t>
      </w:r>
    </w:p>
    <w:p w14:paraId="2ADD17F7" w14:textId="77777777" w:rsidR="00A77633" w:rsidRPr="00374EE6" w:rsidRDefault="00A77633" w:rsidP="00581C1C">
      <w:pPr>
        <w:pStyle w:val="ListParagraph"/>
        <w:numPr>
          <w:ilvl w:val="0"/>
          <w:numId w:val="59"/>
        </w:numPr>
        <w:spacing w:after="120" w:line="276" w:lineRule="auto"/>
        <w:ind w:right="32"/>
      </w:pPr>
      <w:r w:rsidRPr="00374EE6">
        <w:lastRenderedPageBreak/>
        <w:t>Izmjene i dopune postojeće legislative u oblasti EE u FBiH, kao i izrada strateških dokumenata relevantnih za obnovu zgrada</w:t>
      </w:r>
      <w:r>
        <w:t xml:space="preserve">, </w:t>
      </w:r>
      <w:r w:rsidRPr="00374EE6">
        <w:t>što podrazumijeva:</w:t>
      </w:r>
    </w:p>
    <w:p w14:paraId="7EED3019" w14:textId="77777777" w:rsidR="00A77633" w:rsidRPr="00DC4966" w:rsidRDefault="00A77633" w:rsidP="00581C1C">
      <w:pPr>
        <w:pStyle w:val="ListParagraph"/>
        <w:numPr>
          <w:ilvl w:val="0"/>
          <w:numId w:val="60"/>
        </w:numPr>
        <w:spacing w:after="120" w:line="276" w:lineRule="auto"/>
        <w:ind w:left="1089" w:right="32"/>
      </w:pPr>
      <w:r w:rsidRPr="00DC4966">
        <w:t>Izmjene i dopune postojeće legislative u oblasti EE u FBiH, prevashodno u skladu sa direktivom 2010/31/EU o energijskim karakteristikama zgrada (EPBD), direktivom 2012/27/EU o energijskoj efikasnosti (EED) i Uredbom 2017/1369/EU o utvrđivanju okvira za označavanje energijske efikasnost</w:t>
      </w:r>
      <w:r>
        <w:t>;</w:t>
      </w:r>
    </w:p>
    <w:p w14:paraId="6C5B3953" w14:textId="77777777" w:rsidR="00A77633" w:rsidRPr="00DC4966" w:rsidRDefault="00A77633" w:rsidP="00581C1C">
      <w:pPr>
        <w:pStyle w:val="ListParagraph"/>
        <w:numPr>
          <w:ilvl w:val="0"/>
          <w:numId w:val="60"/>
        </w:numPr>
        <w:spacing w:after="120" w:line="276" w:lineRule="auto"/>
        <w:ind w:left="1089" w:right="32"/>
      </w:pPr>
      <w:r w:rsidRPr="00DC4966">
        <w:t>Donošenje svih podzakonskih akata koji reguliraju određene oblasti propisane u okviru Zakona o energijskoj efikasnosti u FBiH</w:t>
      </w:r>
      <w:r>
        <w:t>;</w:t>
      </w:r>
    </w:p>
    <w:p w14:paraId="02B303F1" w14:textId="77777777" w:rsidR="00A77633" w:rsidRPr="00DC4966" w:rsidRDefault="00A77633" w:rsidP="00581C1C">
      <w:pPr>
        <w:pStyle w:val="ListParagraph"/>
        <w:numPr>
          <w:ilvl w:val="0"/>
          <w:numId w:val="60"/>
        </w:numPr>
        <w:spacing w:after="120" w:line="276" w:lineRule="auto"/>
        <w:ind w:left="1089" w:right="32"/>
      </w:pPr>
      <w:r w:rsidRPr="00DC4966">
        <w:t>Donošenje pravilnika o ugovaranju i realizaciji energijskih usluga/energijskih performansi (ESCO)</w:t>
      </w:r>
      <w:r>
        <w:t>;</w:t>
      </w:r>
    </w:p>
    <w:p w14:paraId="28AADF7D" w14:textId="77777777" w:rsidR="00A77633" w:rsidRPr="00DC4966" w:rsidRDefault="00A77633" w:rsidP="00581C1C">
      <w:pPr>
        <w:pStyle w:val="ListParagraph"/>
        <w:numPr>
          <w:ilvl w:val="0"/>
          <w:numId w:val="60"/>
        </w:numPr>
        <w:spacing w:after="120" w:line="276" w:lineRule="auto"/>
        <w:ind w:left="1089" w:right="32"/>
      </w:pPr>
      <w:r w:rsidRPr="00DC4966">
        <w:t>Donošenje propisa vezanih za obligacione šeme energijske efikasnosti</w:t>
      </w:r>
      <w:r>
        <w:t>;</w:t>
      </w:r>
    </w:p>
    <w:p w14:paraId="3E4C74F6" w14:textId="77777777" w:rsidR="00A77633" w:rsidRPr="00DC4966" w:rsidRDefault="00A77633" w:rsidP="00581C1C">
      <w:pPr>
        <w:pStyle w:val="ListParagraph"/>
        <w:numPr>
          <w:ilvl w:val="0"/>
          <w:numId w:val="60"/>
        </w:numPr>
        <w:spacing w:after="120" w:line="276" w:lineRule="auto"/>
        <w:ind w:left="1089" w:right="32"/>
      </w:pPr>
      <w:r w:rsidRPr="00DC4966">
        <w:t>Donošenje pravilnika o mjerenju stvarne potrošnje energije u sistemima daljinskog grijanja, hlađenja i snabdijevanja potrošnom toplom vodom</w:t>
      </w:r>
      <w:r>
        <w:t>;</w:t>
      </w:r>
    </w:p>
    <w:p w14:paraId="162FD4D7" w14:textId="77777777" w:rsidR="00A77633" w:rsidRPr="00DC4966" w:rsidRDefault="00A77633" w:rsidP="00581C1C">
      <w:pPr>
        <w:pStyle w:val="ListParagraph"/>
        <w:numPr>
          <w:ilvl w:val="0"/>
          <w:numId w:val="60"/>
        </w:numPr>
        <w:spacing w:after="120" w:line="276" w:lineRule="auto"/>
        <w:ind w:left="1089" w:right="32"/>
      </w:pPr>
      <w:r w:rsidRPr="00DC4966">
        <w:t>Donošenje propisa o energijskom označavanju i ekodizajnu,</w:t>
      </w:r>
    </w:p>
    <w:p w14:paraId="4404FCEB" w14:textId="77777777" w:rsidR="00A77633" w:rsidRDefault="00A77633" w:rsidP="00581C1C">
      <w:pPr>
        <w:pStyle w:val="ListParagraph"/>
        <w:numPr>
          <w:ilvl w:val="0"/>
          <w:numId w:val="60"/>
        </w:numPr>
        <w:spacing w:after="120" w:line="276" w:lineRule="auto"/>
        <w:ind w:left="1089" w:right="32"/>
      </w:pPr>
      <w:r w:rsidRPr="00DC4966">
        <w:t>Izrada i usvajanje strateških dokumenata relevantnih za obnovu zgrada</w:t>
      </w:r>
      <w:r>
        <w:t>;</w:t>
      </w:r>
    </w:p>
    <w:p w14:paraId="0E67A1C9" w14:textId="77777777" w:rsidR="00A77633" w:rsidRPr="00026272" w:rsidRDefault="00A77633" w:rsidP="00581C1C">
      <w:pPr>
        <w:pStyle w:val="ListParagraph"/>
        <w:numPr>
          <w:ilvl w:val="0"/>
          <w:numId w:val="60"/>
        </w:numPr>
        <w:spacing w:after="120" w:line="276" w:lineRule="auto"/>
        <w:ind w:left="1089" w:right="32"/>
      </w:pPr>
      <w:r w:rsidRPr="00026272">
        <w:t>Integr</w:t>
      </w:r>
      <w:r>
        <w:t>iranje</w:t>
      </w:r>
      <w:r w:rsidRPr="00026272">
        <w:t xml:space="preserve"> standarda i principa rodne ravnopravnosti, društvene jednakosti i pitanja siromaštva u ključne politike, strategije i programe u oblasti </w:t>
      </w:r>
      <w:r>
        <w:t>EE.</w:t>
      </w:r>
    </w:p>
    <w:p w14:paraId="38B64A67" w14:textId="77777777" w:rsidR="00A77633" w:rsidRDefault="00A77633" w:rsidP="00581C1C">
      <w:pPr>
        <w:pStyle w:val="ListParagraph"/>
        <w:numPr>
          <w:ilvl w:val="0"/>
          <w:numId w:val="59"/>
        </w:numPr>
        <w:spacing w:after="120" w:line="276" w:lineRule="auto"/>
      </w:pPr>
      <w:r w:rsidRPr="00DC4966">
        <w:t>Kontinuirana harmonizacija propisa relevantnih za EE i obnovu zgrada na svim nivoima vlasti u FBiH</w:t>
      </w:r>
      <w:r>
        <w:t>, što podrazumijeva:</w:t>
      </w:r>
    </w:p>
    <w:p w14:paraId="4451159A" w14:textId="77777777" w:rsidR="00A77633" w:rsidRPr="00DC4966" w:rsidRDefault="00A77633" w:rsidP="00581C1C">
      <w:pPr>
        <w:pStyle w:val="ListParagraph"/>
        <w:numPr>
          <w:ilvl w:val="0"/>
          <w:numId w:val="62"/>
        </w:numPr>
        <w:spacing w:after="120" w:line="276" w:lineRule="auto"/>
        <w:ind w:left="1089" w:right="32"/>
      </w:pPr>
      <w:r w:rsidRPr="00DC4966">
        <w:t>Uspostavljanje Agencije EE na nivou FBiH;</w:t>
      </w:r>
    </w:p>
    <w:p w14:paraId="75B69A05" w14:textId="77777777" w:rsidR="00A77633" w:rsidRPr="00DC4966" w:rsidRDefault="00A77633" w:rsidP="00581C1C">
      <w:pPr>
        <w:pStyle w:val="ListParagraph"/>
        <w:numPr>
          <w:ilvl w:val="0"/>
          <w:numId w:val="62"/>
        </w:numPr>
        <w:spacing w:after="120" w:line="276" w:lineRule="auto"/>
        <w:ind w:left="1089" w:right="32"/>
      </w:pPr>
      <w:r>
        <w:t>Usvajanje</w:t>
      </w:r>
      <w:r w:rsidRPr="00DC4966">
        <w:t xml:space="preserve"> novog zakona o prostornom uređenju u nadležnosti FBiH koji će tretirati oblast energijske efikasnosti u skladu sa Zakonom o EE u FBiH;</w:t>
      </w:r>
    </w:p>
    <w:p w14:paraId="793FB34A" w14:textId="77777777" w:rsidR="00A77633" w:rsidRPr="00DC4966" w:rsidRDefault="00A77633" w:rsidP="00581C1C">
      <w:pPr>
        <w:pStyle w:val="ListParagraph"/>
        <w:numPr>
          <w:ilvl w:val="0"/>
          <w:numId w:val="62"/>
        </w:numPr>
        <w:spacing w:after="120" w:line="276" w:lineRule="auto"/>
        <w:ind w:left="1089" w:right="32"/>
      </w:pPr>
      <w:r w:rsidRPr="00DC4966">
        <w:t>Uvođenje odredbi Zakona o EE u FBiH u kantonalne zakone o građenju;</w:t>
      </w:r>
    </w:p>
    <w:p w14:paraId="1BCE194B" w14:textId="77777777" w:rsidR="00A77633" w:rsidRPr="00DC4966" w:rsidRDefault="00A77633" w:rsidP="00581C1C">
      <w:pPr>
        <w:pStyle w:val="ListParagraph"/>
        <w:numPr>
          <w:ilvl w:val="0"/>
          <w:numId w:val="62"/>
        </w:numPr>
        <w:spacing w:after="120" w:line="276" w:lineRule="auto"/>
        <w:ind w:left="1089" w:right="32"/>
      </w:pPr>
      <w:r w:rsidRPr="00DC4966">
        <w:t>Usaglašavanje Zakona o obligacionim odnosima sa Zakonom o EE;</w:t>
      </w:r>
    </w:p>
    <w:p w14:paraId="4CAD0C04" w14:textId="77777777" w:rsidR="00A77633" w:rsidRPr="00DC4966" w:rsidRDefault="00A77633" w:rsidP="00581C1C">
      <w:pPr>
        <w:pStyle w:val="ListParagraph"/>
        <w:numPr>
          <w:ilvl w:val="0"/>
          <w:numId w:val="62"/>
        </w:numPr>
        <w:spacing w:after="120" w:line="276" w:lineRule="auto"/>
        <w:ind w:left="1089" w:right="32"/>
      </w:pPr>
      <w:r w:rsidRPr="00DC4966">
        <w:t>Usaglašavanje Zakona o stvarnim pravima sa Zakonom o EE;</w:t>
      </w:r>
    </w:p>
    <w:p w14:paraId="25B2D104" w14:textId="3BC949F3" w:rsidR="00A77633" w:rsidRPr="00DC4966" w:rsidRDefault="00A77633" w:rsidP="00581C1C">
      <w:pPr>
        <w:pStyle w:val="ListParagraph"/>
        <w:numPr>
          <w:ilvl w:val="0"/>
          <w:numId w:val="62"/>
        </w:numPr>
        <w:spacing w:after="120" w:line="276" w:lineRule="auto"/>
        <w:ind w:left="1089" w:right="32"/>
      </w:pPr>
      <w:r w:rsidRPr="00DC4966">
        <w:t xml:space="preserve">Uspostavljanje registra nelegalno izgrađenih zgrada na nivou općina (adresa, namjena, period gradnje, površina, spratnost, arhitektonsko-građevinske i energijske karakteristike, energent koji se koristi za grijanje), sa </w:t>
      </w:r>
      <w:r w:rsidR="00F03625">
        <w:t>obvez</w:t>
      </w:r>
      <w:r w:rsidRPr="00DC4966">
        <w:t>om dostavljanja podataka kantonalnim ministarstvima prostornog uređenja u svrhu objedinjavanja istih;</w:t>
      </w:r>
    </w:p>
    <w:p w14:paraId="58095EF1" w14:textId="77777777" w:rsidR="00A77633" w:rsidRPr="00DC4966" w:rsidRDefault="00A77633" w:rsidP="00581C1C">
      <w:pPr>
        <w:pStyle w:val="ListParagraph"/>
        <w:numPr>
          <w:ilvl w:val="0"/>
          <w:numId w:val="61"/>
        </w:numPr>
        <w:spacing w:after="120" w:line="276" w:lineRule="auto"/>
        <w:ind w:left="1089" w:right="32"/>
      </w:pPr>
      <w:r w:rsidRPr="00DC4966">
        <w:t>Usvajanje procedure za legalizaciju nelegalno izgrađenih zgrada na nivou svih kantona u FBiH;</w:t>
      </w:r>
    </w:p>
    <w:p w14:paraId="7A8C313E" w14:textId="77777777" w:rsidR="00A77633" w:rsidRPr="00DC4966" w:rsidRDefault="00A77633" w:rsidP="00581C1C">
      <w:pPr>
        <w:pStyle w:val="ListParagraph"/>
        <w:numPr>
          <w:ilvl w:val="0"/>
          <w:numId w:val="61"/>
        </w:numPr>
        <w:spacing w:after="120" w:line="276" w:lineRule="auto"/>
        <w:ind w:left="1089" w:right="32"/>
      </w:pPr>
      <w:r w:rsidRPr="00DC4966">
        <w:t xml:space="preserve">Donošenje zakona o upraviteljima za zgrade kolektivnog stanovanja na nivou svih kantona; </w:t>
      </w:r>
    </w:p>
    <w:p w14:paraId="6F4A14BA" w14:textId="77777777" w:rsidR="00A77633" w:rsidRPr="00DC4966" w:rsidRDefault="00A77633" w:rsidP="00581C1C">
      <w:pPr>
        <w:pStyle w:val="ListParagraph"/>
        <w:numPr>
          <w:ilvl w:val="0"/>
          <w:numId w:val="61"/>
        </w:numPr>
        <w:spacing w:after="120" w:line="276" w:lineRule="auto"/>
        <w:ind w:left="1089" w:right="32"/>
      </w:pPr>
      <w:r w:rsidRPr="00DC4966">
        <w:t xml:space="preserve">Donošenje zakona o javno-privatnom partnerstvu na nivou FBiH; </w:t>
      </w:r>
    </w:p>
    <w:p w14:paraId="080A117E" w14:textId="77777777" w:rsidR="00A77633" w:rsidRPr="00DC4966" w:rsidRDefault="00A77633" w:rsidP="00581C1C">
      <w:pPr>
        <w:pStyle w:val="ListParagraph"/>
        <w:numPr>
          <w:ilvl w:val="0"/>
          <w:numId w:val="61"/>
        </w:numPr>
        <w:spacing w:after="120" w:line="276" w:lineRule="auto"/>
        <w:ind w:left="1089" w:right="32"/>
      </w:pPr>
      <w:r w:rsidRPr="00DC4966">
        <w:t>Usaglašavanje akcionih planova na nivou kantona i programa poboljšanja energijske efikasnosti na nivou svih općina/gradova;</w:t>
      </w:r>
    </w:p>
    <w:p w14:paraId="054DD43C" w14:textId="77777777" w:rsidR="00A77633" w:rsidRPr="00DC4966" w:rsidRDefault="00A77633" w:rsidP="00581C1C">
      <w:pPr>
        <w:pStyle w:val="ListParagraph"/>
        <w:numPr>
          <w:ilvl w:val="0"/>
          <w:numId w:val="61"/>
        </w:numPr>
        <w:spacing w:after="120" w:line="276" w:lineRule="auto"/>
        <w:ind w:left="1089" w:right="32"/>
      </w:pPr>
      <w:r w:rsidRPr="00DC4966">
        <w:lastRenderedPageBreak/>
        <w:t>Uspostavljanje procedure za sprovođenje analize korištenja alternativnih energijskih sistema pri izdavanju građevinskih dozvola za objekte;</w:t>
      </w:r>
    </w:p>
    <w:p w14:paraId="15D3C3E3" w14:textId="77777777" w:rsidR="00A77633" w:rsidRPr="00DC4966" w:rsidRDefault="00A77633" w:rsidP="005D2C94">
      <w:pPr>
        <w:pStyle w:val="ListParagraph"/>
        <w:spacing w:after="120" w:line="276" w:lineRule="auto"/>
        <w:ind w:left="1089" w:right="32"/>
      </w:pPr>
      <w:r w:rsidRPr="00DC4966">
        <w:t>Usagla</w:t>
      </w:r>
      <w:r>
        <w:t>šavanje</w:t>
      </w:r>
      <w:r w:rsidRPr="00DC4966">
        <w:t xml:space="preserve"> sistem</w:t>
      </w:r>
      <w:r>
        <w:t>a</w:t>
      </w:r>
      <w:r w:rsidRPr="00DC4966">
        <w:t xml:space="preserve"> za prikupljanje i obradu podataka, osiguranje kvaliteta i kontrolu ulaznih podataka, sistem izvještavanja i praćenja i don</w:t>
      </w:r>
      <w:r>
        <w:t>ošenje</w:t>
      </w:r>
      <w:r w:rsidRPr="00DC4966">
        <w:t xml:space="preserve"> odgovarajuć</w:t>
      </w:r>
      <w:r>
        <w:t>e</w:t>
      </w:r>
      <w:r w:rsidRPr="00DC4966">
        <w:t xml:space="preserve"> legislative;</w:t>
      </w:r>
      <w:r>
        <w:t>.</w:t>
      </w:r>
    </w:p>
    <w:p w14:paraId="780E96E1" w14:textId="77777777" w:rsidR="00A77633" w:rsidRPr="002412E5" w:rsidRDefault="00A77633" w:rsidP="00581C1C">
      <w:pPr>
        <w:pStyle w:val="ListParagraph"/>
        <w:numPr>
          <w:ilvl w:val="0"/>
          <w:numId w:val="61"/>
        </w:numPr>
        <w:spacing w:after="120" w:line="276" w:lineRule="auto"/>
        <w:ind w:left="1089" w:right="32"/>
      </w:pPr>
      <w:r w:rsidRPr="002412E5">
        <w:t>Integriranje kriterija EE u postupke javnih nabavki.</w:t>
      </w:r>
    </w:p>
    <w:p w14:paraId="62BF3783" w14:textId="77777777" w:rsidR="00A77633" w:rsidRPr="00374EE6" w:rsidRDefault="00A77633" w:rsidP="00581C1C">
      <w:pPr>
        <w:pStyle w:val="ListParagraph"/>
        <w:numPr>
          <w:ilvl w:val="0"/>
          <w:numId w:val="59"/>
        </w:numPr>
        <w:spacing w:after="120" w:line="276" w:lineRule="auto"/>
        <w:ind w:right="32"/>
      </w:pPr>
      <w:r w:rsidRPr="00374EE6">
        <w:t>Potpuna primjena važećih propisa u oblasti EE u FBiH</w:t>
      </w:r>
      <w:r>
        <w:t>,</w:t>
      </w:r>
      <w:r w:rsidRPr="00374EE6">
        <w:t xml:space="preserve"> što podrazumijeva:</w:t>
      </w:r>
    </w:p>
    <w:p w14:paraId="5CC18D81" w14:textId="4B60BF36" w:rsidR="00A77633" w:rsidRDefault="00F03625" w:rsidP="00581C1C">
      <w:pPr>
        <w:pStyle w:val="ListParagraph"/>
        <w:numPr>
          <w:ilvl w:val="0"/>
          <w:numId w:val="63"/>
        </w:numPr>
        <w:spacing w:after="120" w:line="276" w:lineRule="auto"/>
        <w:ind w:left="1089"/>
      </w:pPr>
      <w:r>
        <w:t>Obvez</w:t>
      </w:r>
      <w:r w:rsidR="00A77633">
        <w:t>u</w:t>
      </w:r>
      <w:r w:rsidR="00A77633" w:rsidRPr="008924E0">
        <w:t xml:space="preserve"> pribavljanja EC i provođenja DEA za stambene i nestambene zgrade (u skladu sa važećim propisima u oblasti EE u FBiH);</w:t>
      </w:r>
    </w:p>
    <w:p w14:paraId="085E83CE" w14:textId="2DCBB7E6" w:rsidR="00A77633" w:rsidRDefault="00F03625" w:rsidP="00581C1C">
      <w:pPr>
        <w:pStyle w:val="ListParagraph"/>
        <w:numPr>
          <w:ilvl w:val="0"/>
          <w:numId w:val="63"/>
        </w:numPr>
        <w:spacing w:after="120" w:line="276" w:lineRule="auto"/>
        <w:ind w:left="1089"/>
      </w:pPr>
      <w:r>
        <w:t>Obvez</w:t>
      </w:r>
      <w:r w:rsidR="00A77633" w:rsidRPr="002412E5">
        <w:t>u provođenja redovnog EA sistema grijanja i sistema klimatizacije (u skladu sa važećim propisima u oblasti EE u FBiH).</w:t>
      </w:r>
    </w:p>
    <w:p w14:paraId="2CF32591" w14:textId="77777777" w:rsidR="00A77633" w:rsidRPr="00DD2143" w:rsidRDefault="00A77633" w:rsidP="005D2C94">
      <w:pPr>
        <w:spacing w:after="120" w:line="276" w:lineRule="auto"/>
      </w:pPr>
      <w:proofErr w:type="spellStart"/>
      <w:r w:rsidRPr="00DD2143">
        <w:t>Implementacija</w:t>
      </w:r>
      <w:proofErr w:type="spellEnd"/>
      <w:r w:rsidRPr="00DD2143">
        <w:t xml:space="preserve"> </w:t>
      </w:r>
      <w:proofErr w:type="spellStart"/>
      <w:r w:rsidRPr="00DD2143">
        <w:t>ove</w:t>
      </w:r>
      <w:proofErr w:type="spellEnd"/>
      <w:r w:rsidRPr="00DD2143">
        <w:t xml:space="preserve"> </w:t>
      </w:r>
      <w:proofErr w:type="spellStart"/>
      <w:r w:rsidRPr="00DD2143">
        <w:t>mjere</w:t>
      </w:r>
      <w:proofErr w:type="spellEnd"/>
      <w:r w:rsidRPr="00DD2143">
        <w:t xml:space="preserve"> </w:t>
      </w:r>
      <w:proofErr w:type="spellStart"/>
      <w:r w:rsidRPr="00DD2143">
        <w:t>rezultirat</w:t>
      </w:r>
      <w:proofErr w:type="spellEnd"/>
      <w:r w:rsidRPr="00DD2143">
        <w:t xml:space="preserve"> </w:t>
      </w:r>
      <w:proofErr w:type="spellStart"/>
      <w:r w:rsidRPr="00DD2143">
        <w:t>će</w:t>
      </w:r>
      <w:proofErr w:type="spellEnd"/>
      <w:r w:rsidRPr="00DD2143">
        <w:t>:</w:t>
      </w:r>
    </w:p>
    <w:p w14:paraId="06F4FA34" w14:textId="0C776DA2" w:rsidR="00A77633" w:rsidRPr="00DD2143" w:rsidRDefault="00A77633" w:rsidP="00581C1C">
      <w:pPr>
        <w:pStyle w:val="ListParagraph"/>
        <w:numPr>
          <w:ilvl w:val="0"/>
          <w:numId w:val="78"/>
        </w:numPr>
        <w:spacing w:after="120" w:line="276" w:lineRule="auto"/>
        <w:rPr>
          <w:b/>
          <w:bCs/>
        </w:rPr>
      </w:pPr>
      <w:r w:rsidRPr="00DD2143">
        <w:t xml:space="preserve">ispunjavanjem </w:t>
      </w:r>
      <w:r w:rsidR="00F03625">
        <w:t>obvez</w:t>
      </w:r>
      <w:r w:rsidRPr="00DD2143">
        <w:t>a preuzetih potpisivanjem Ugovora o En</w:t>
      </w:r>
      <w:r>
        <w:t>Z</w:t>
      </w:r>
      <w:r w:rsidRPr="00DD2143">
        <w:t xml:space="preserve">, čime se BiH </w:t>
      </w:r>
      <w:r w:rsidR="00F03625">
        <w:t>obvez</w:t>
      </w:r>
      <w:r w:rsidRPr="00DD2143">
        <w:t>ala na preuzimanje temeljnih odrednica energetskog zakonodavstva EU</w:t>
      </w:r>
      <w:r>
        <w:t>;</w:t>
      </w:r>
    </w:p>
    <w:p w14:paraId="7F2F5E26" w14:textId="1B8CC27F" w:rsidR="00A77633" w:rsidRPr="00D97A15" w:rsidRDefault="00A77633" w:rsidP="00581C1C">
      <w:pPr>
        <w:pStyle w:val="ListParagraph"/>
        <w:numPr>
          <w:ilvl w:val="0"/>
          <w:numId w:val="78"/>
        </w:numPr>
        <w:spacing w:after="120" w:line="276" w:lineRule="auto"/>
      </w:pPr>
      <w:r w:rsidRPr="00D97A15">
        <w:t xml:space="preserve">stvaranjem preduvjeta za pristup </w:t>
      </w:r>
      <w:r w:rsidR="007B690C">
        <w:t>financ</w:t>
      </w:r>
      <w:r w:rsidRPr="00D97A15">
        <w:t>ijskim sredstvima za energijsku obnovu zgrada kroz EU programe namijenjene EE u zgradarstvu, dostupne za BiH</w:t>
      </w:r>
      <w:r>
        <w:t>;</w:t>
      </w:r>
    </w:p>
    <w:p w14:paraId="573BE006" w14:textId="77777777" w:rsidR="00A77633" w:rsidRDefault="00A77633" w:rsidP="00581C1C">
      <w:pPr>
        <w:pStyle w:val="ListParagraph"/>
        <w:numPr>
          <w:ilvl w:val="0"/>
          <w:numId w:val="78"/>
        </w:numPr>
        <w:spacing w:after="120" w:line="276" w:lineRule="auto"/>
      </w:pPr>
      <w:r>
        <w:t>sistematičnom i efikasnom obnovom zgrada.</w:t>
      </w:r>
    </w:p>
    <w:p w14:paraId="2F0E28B6" w14:textId="77777777" w:rsidR="00A77633" w:rsidRPr="008924E0" w:rsidRDefault="00A77633" w:rsidP="00A77633">
      <w:pPr>
        <w:pStyle w:val="Heading2"/>
        <w:numPr>
          <w:ilvl w:val="0"/>
          <w:numId w:val="0"/>
        </w:numPr>
        <w:ind w:left="1260" w:hanging="1260"/>
        <w:rPr>
          <w:sz w:val="22"/>
          <w:szCs w:val="22"/>
          <w:lang w:val="bs-Latn-BA"/>
        </w:rPr>
      </w:pPr>
      <w:bookmarkStart w:id="146" w:name="_Toc134011776"/>
      <w:r w:rsidRPr="008924E0">
        <w:rPr>
          <w:sz w:val="22"/>
          <w:szCs w:val="22"/>
          <w:lang w:val="bs-Latn-BA"/>
        </w:rPr>
        <w:t>Mjera 1.</w:t>
      </w:r>
      <w:r>
        <w:rPr>
          <w:sz w:val="22"/>
          <w:szCs w:val="22"/>
          <w:lang w:val="bs-Latn-BA"/>
        </w:rPr>
        <w:t>1</w:t>
      </w:r>
      <w:r w:rsidRPr="008924E0">
        <w:rPr>
          <w:sz w:val="22"/>
          <w:szCs w:val="22"/>
          <w:lang w:val="bs-Latn-BA"/>
        </w:rPr>
        <w:t>.</w:t>
      </w:r>
      <w:r>
        <w:rPr>
          <w:sz w:val="22"/>
          <w:szCs w:val="22"/>
          <w:lang w:val="bs-Latn-BA"/>
        </w:rPr>
        <w:t>2</w:t>
      </w:r>
      <w:r w:rsidRPr="008924E0">
        <w:rPr>
          <w:sz w:val="22"/>
          <w:szCs w:val="22"/>
          <w:lang w:val="bs-Latn-BA"/>
        </w:rPr>
        <w:t xml:space="preserve">. </w:t>
      </w:r>
      <w:r w:rsidRPr="007F1FF2">
        <w:rPr>
          <w:sz w:val="22"/>
          <w:szCs w:val="22"/>
          <w:lang w:val="bs-Latn-BA"/>
        </w:rPr>
        <w:t>Jačati institucionalne kapacitete na svim nivoima vlasti i međusektorsku saradnju u cilju provođenja energijske obnove zgrada</w:t>
      </w:r>
      <w:bookmarkEnd w:id="146"/>
    </w:p>
    <w:p w14:paraId="4D3CA27C" w14:textId="0F03F281" w:rsidR="00A77633" w:rsidRPr="008924E0" w:rsidRDefault="00A77633" w:rsidP="005D2C94">
      <w:pPr>
        <w:spacing w:after="120" w:line="276" w:lineRule="auto"/>
        <w:ind w:right="32"/>
        <w:rPr>
          <w:lang w:val="bs-Latn-BA"/>
        </w:rPr>
      </w:pPr>
      <w:r w:rsidRPr="008924E0">
        <w:rPr>
          <w:lang w:val="bs-Latn-BA"/>
        </w:rPr>
        <w:t xml:space="preserve">Efikasna implementacija Strategije obnove značajno ovisi o podršci institucija kako bi se planirale odgovarajuće mjere, uspostavio efikasan mehanizam za </w:t>
      </w:r>
      <w:r w:rsidR="007B690C">
        <w:rPr>
          <w:lang w:val="bs-Latn-BA"/>
        </w:rPr>
        <w:t>financ</w:t>
      </w:r>
      <w:r w:rsidRPr="008924E0">
        <w:rPr>
          <w:lang w:val="bs-Latn-BA"/>
        </w:rPr>
        <w:t>iranje, pratila realizacija i efekti postignuti primjenom mjera energijske efikasnosti. Potrebna je uspostava novih i jačanje</w:t>
      </w:r>
      <w:r w:rsidR="00F910AF">
        <w:rPr>
          <w:lang w:val="bs-Latn-BA"/>
        </w:rPr>
        <w:t xml:space="preserve"> postojećih</w:t>
      </w:r>
      <w:r w:rsidRPr="008924E0">
        <w:rPr>
          <w:lang w:val="bs-Latn-BA"/>
        </w:rPr>
        <w:t xml:space="preserve"> kapaciteta institucija zaduženih za energijsku efikasnost u FBiH, tj. njihovo kadrovsko i materijalno-tehničko opremanje.</w:t>
      </w:r>
    </w:p>
    <w:p w14:paraId="2A325D1E" w14:textId="77777777" w:rsidR="00A77633" w:rsidRPr="008924E0" w:rsidRDefault="00A77633" w:rsidP="005D2C94">
      <w:pPr>
        <w:spacing w:after="120" w:line="276" w:lineRule="auto"/>
        <w:ind w:right="32"/>
        <w:rPr>
          <w:lang w:val="bs-Latn-BA"/>
        </w:rPr>
      </w:pPr>
      <w:r w:rsidRPr="008924E0">
        <w:rPr>
          <w:lang w:val="bs-Latn-BA"/>
        </w:rPr>
        <w:t xml:space="preserve">Na nivou FBiH potrebno je uspostavljanje Agencije za energijsku efikasnost kako bi se vršila koordinacija u izradi planova za ostvarivanje ciljeva EE, te identificiranje i rješavanje prepreka koje sprečavaju mogućnosti primjene mjera za poboljšanje energijske efikasnosti. </w:t>
      </w:r>
    </w:p>
    <w:p w14:paraId="692B1B37" w14:textId="0D13FB0F" w:rsidR="00A77633" w:rsidRPr="008924E0" w:rsidRDefault="00A77633" w:rsidP="005D2C94">
      <w:pPr>
        <w:spacing w:after="120" w:line="276" w:lineRule="auto"/>
        <w:ind w:right="32"/>
        <w:rPr>
          <w:lang w:val="bs-Latn-BA"/>
        </w:rPr>
      </w:pPr>
      <w:r w:rsidRPr="008924E0">
        <w:rPr>
          <w:lang w:val="bs-Latn-BA"/>
        </w:rPr>
        <w:t>Potrebno je raditi na edukaciji postojećeg kadra kako bi institucije bile u mogućnosti da samostalno sa svojim ljudskim resursima implementiraju akcione planove i prate njihovu implementaciju dostavljanjem  informacija u informacioni sistem za energijsku efikasnost. To zahtijeva i  informatičko opremanje općina i kantona.</w:t>
      </w:r>
    </w:p>
    <w:p w14:paraId="35C00C96" w14:textId="77777777" w:rsidR="00A77633" w:rsidRPr="008924E0" w:rsidRDefault="00A77633" w:rsidP="005D2C94">
      <w:pPr>
        <w:spacing w:after="120" w:line="276" w:lineRule="auto"/>
        <w:ind w:right="32"/>
        <w:rPr>
          <w:lang w:val="bs-Latn-BA"/>
        </w:rPr>
      </w:pPr>
      <w:r w:rsidRPr="008924E0">
        <w:rPr>
          <w:lang w:val="bs-Latn-BA"/>
        </w:rPr>
        <w:t xml:space="preserve">Ova mjera predviđa uspostavu efektivnog upravljačkog i organizacionog okvira informatizacije i digitalizacije na nivou federalnih, kantonalnih i lokalnih organa uprave. Digitalnu transformaciju javne uprave potrebno je provesti u skladu sa politikama i strategijom razvoja informacionog društva u BiH, što će omogućiti ravnomjeran i koordiniran razvoj e-uprave, usaglašen sa pravcima i ciljevima Strateškog </w:t>
      </w:r>
      <w:r w:rsidRPr="008924E0">
        <w:rPr>
          <w:lang w:val="bs-Latn-BA"/>
        </w:rPr>
        <w:lastRenderedPageBreak/>
        <w:t>okvira za reformu javne uprave i standardima sigurnosti i zaštite podataka. Na taj način će FBiH pratiti trendove razvoja Digitalne agende EU.</w:t>
      </w:r>
    </w:p>
    <w:p w14:paraId="23AF96C8" w14:textId="77777777" w:rsidR="00A77633" w:rsidRPr="008924E0" w:rsidRDefault="00A77633" w:rsidP="005D2C94">
      <w:pPr>
        <w:spacing w:after="120" w:line="276" w:lineRule="auto"/>
        <w:ind w:right="32"/>
        <w:rPr>
          <w:lang w:val="bs-Latn-BA"/>
        </w:rPr>
      </w:pPr>
      <w:r w:rsidRPr="008924E0">
        <w:rPr>
          <w:lang w:val="bs-Latn-BA"/>
        </w:rPr>
        <w:t>Potrebno je poboljšanje efikasnosti statistike FBiH modernizacijom statističkih procesa upotrebom savremenih tehnika, tehnologija i korištenjem naprednih IT rješenja. Dodatno, potrebno je intenzivirati korištenje administrativnih, sudskih i drugih sekundarnih izvora podataka, te razmotriti izradu plana uspostavljanja registra stanovništva. Neophodno je promovirati i jačati povjerenje javnosti u statistiku, što će posljedično ojačati saradnju sa davaocima i korisnicima podataka. Nužno je promoviranje šire upotrebe statističkih podataka među korisnicima, uz pojednostavljen pristup i pretraživanje statističkih podataka i informacija. Izvještavanje o kvalitetu je integralni dio politike osiguranja kvaliteta u statističkim institucijama. Neophodno je obogaćivanje postojećih i kreiranje i dizajn novih diseminacionih baza za statistička istraživanja.</w:t>
      </w:r>
    </w:p>
    <w:p w14:paraId="22384AA7" w14:textId="31246FA3" w:rsidR="00A77633" w:rsidRPr="008924E0" w:rsidRDefault="00A77633" w:rsidP="005D2C94">
      <w:pPr>
        <w:spacing w:after="120" w:line="276" w:lineRule="auto"/>
        <w:ind w:right="32"/>
        <w:rPr>
          <w:lang w:val="bs-Latn-BA"/>
        </w:rPr>
      </w:pPr>
      <w:r w:rsidRPr="008924E0">
        <w:rPr>
          <w:lang w:val="bs-Latn-BA"/>
        </w:rPr>
        <w:t>Potrebno je dodatno jačati razvojne timove na nivou kantona i jedinice lokalne samouprave za pisanje i implementaciju projekata IPA fondova stalnom organizacijom treninga, kao i planirati sredstva za su</w:t>
      </w:r>
      <w:r w:rsidR="007B690C">
        <w:rPr>
          <w:lang w:val="bs-Latn-BA"/>
        </w:rPr>
        <w:t>financ</w:t>
      </w:r>
      <w:r w:rsidRPr="008924E0">
        <w:rPr>
          <w:lang w:val="bs-Latn-BA"/>
        </w:rPr>
        <w:t xml:space="preserve">iranje IPA projekata u nerazvijenim općinama koje imaju problem sa obezbjeđenjem učešća u </w:t>
      </w:r>
      <w:r w:rsidR="007B690C">
        <w:rPr>
          <w:lang w:val="bs-Latn-BA"/>
        </w:rPr>
        <w:t>financ</w:t>
      </w:r>
      <w:r w:rsidRPr="008924E0">
        <w:rPr>
          <w:lang w:val="bs-Latn-BA"/>
        </w:rPr>
        <w:t xml:space="preserve">iranju. </w:t>
      </w:r>
    </w:p>
    <w:p w14:paraId="6494B3E5" w14:textId="4A6A5703" w:rsidR="00A77633" w:rsidRPr="008924E0" w:rsidRDefault="00A77633" w:rsidP="005D2C94">
      <w:pPr>
        <w:spacing w:after="120" w:line="276" w:lineRule="auto"/>
        <w:ind w:right="32"/>
        <w:rPr>
          <w:lang w:val="bs-Latn-BA"/>
        </w:rPr>
      </w:pPr>
      <w:r w:rsidRPr="008924E0">
        <w:rPr>
          <w:lang w:val="bs-Latn-BA"/>
        </w:rPr>
        <w:t>S ciljem dobivanja sredstava iz EU fondova, nužno je osigurati brže rješavanje imovinsko pravnih odnosa (su</w:t>
      </w:r>
      <w:r w:rsidR="007B690C">
        <w:rPr>
          <w:lang w:val="bs-Latn-BA"/>
        </w:rPr>
        <w:t>financ</w:t>
      </w:r>
      <w:r w:rsidRPr="008924E0">
        <w:rPr>
          <w:lang w:val="bs-Latn-BA"/>
        </w:rPr>
        <w:t>iranje legalizacije poljoprivrednih objekata, te postojećih i potencijalnih turističkih objekata).</w:t>
      </w:r>
    </w:p>
    <w:p w14:paraId="37C6401E" w14:textId="77777777" w:rsidR="00A77633" w:rsidRPr="007F1FF2" w:rsidRDefault="00A77633" w:rsidP="005D2C94">
      <w:pPr>
        <w:spacing w:after="120" w:line="276" w:lineRule="auto"/>
        <w:ind w:right="32"/>
        <w:rPr>
          <w:color w:val="FF0000"/>
          <w:lang w:val="bs-Latn-BA"/>
        </w:rPr>
      </w:pPr>
      <w:r w:rsidRPr="008924E0">
        <w:rPr>
          <w:lang w:val="bs-Latn-BA"/>
        </w:rPr>
        <w:t>Na osnovu Direktive 2012/72/EU i Odluke 2015/08/MC-EnC Ministarskog vijeća Energetske zajednice Strategija bi se trebala ažurirati svake tri godine i ista se treba slati Sekretarijatu Energetske zajednice kao dio Nacionalnih akcionih planova za ener</w:t>
      </w:r>
      <w:r>
        <w:rPr>
          <w:lang w:val="bs-Latn-BA"/>
        </w:rPr>
        <w:t>gij</w:t>
      </w:r>
      <w:r w:rsidRPr="008924E0">
        <w:rPr>
          <w:lang w:val="bs-Latn-BA"/>
        </w:rPr>
        <w:t>sku efikasnost. Osim ažuriranja Strategije potrebno je raditi na njenom konstantnom praćenju i redovnom izvještavanju. Federalno ministarstvo energije, rudarstva i industrije će pratiti provođenje ove Strategije i podnijeti izveštaj o njenoj realizaciji na usvajanje Vladi FBiH najkasnije do 30. aprila u tekućoj godini za prethodnu godinu. U proces praćenja je potrebno uključiti općine i kantone. Potrebno je dakle raditi na dodatnoj edukaciji i jačanju ljudskog kadra koji bi bili uključeni u proces praćenja  Strategije obnove.</w:t>
      </w:r>
    </w:p>
    <w:p w14:paraId="4B969644" w14:textId="77777777" w:rsidR="00A77633" w:rsidRDefault="00A77633" w:rsidP="005D2C94">
      <w:pPr>
        <w:pBdr>
          <w:top w:val="nil"/>
          <w:left w:val="nil"/>
          <w:bottom w:val="nil"/>
          <w:right w:val="nil"/>
          <w:between w:val="nil"/>
        </w:pBdr>
        <w:spacing w:after="120" w:line="276" w:lineRule="auto"/>
        <w:rPr>
          <w:lang w:val="bs-Latn-BA"/>
        </w:rPr>
      </w:pPr>
      <w:r w:rsidRPr="008924E0">
        <w:rPr>
          <w:lang w:val="bs-Latn-BA"/>
        </w:rPr>
        <w:t xml:space="preserve">U skladu sa razvojnim pravcima Okvira za realizaciju ciljeva održivog razvoja u BiH koji se odnose na </w:t>
      </w:r>
      <w:r w:rsidRPr="008924E0">
        <w:rPr>
          <w:color w:val="000000"/>
          <w:lang w:val="bs-Latn-BA"/>
        </w:rPr>
        <w:t>dobru upravu i upravljanje javnim sektorom i pametni rast,</w:t>
      </w:r>
      <w:r w:rsidRPr="008924E0">
        <w:rPr>
          <w:lang w:val="bs-Latn-BA"/>
        </w:rPr>
        <w:t xml:space="preserve"> kao i digitalnu transformaciju</w:t>
      </w:r>
      <w:r>
        <w:rPr>
          <w:lang w:val="bs-Latn-BA"/>
        </w:rPr>
        <w:t>,</w:t>
      </w:r>
      <w:r w:rsidRPr="008924E0">
        <w:rPr>
          <w:lang w:val="bs-Latn-BA"/>
        </w:rPr>
        <w:t xml:space="preserve"> posebna pažnja se treba posvetiti  uspostavljanju integriranog informacionog sistema svih postojećih i novoizgrađenih zgrada na području FBiH. Ovaj informacioni sistem će sadržavati podatke o broju zgrada, namjeni, klimatskoj regiji, bruto i neto površini kao i korisnoj grijanoj površini zgrada u FBiH. Baze podataka redovno će se održavati kako bi se postigla usaglašenost realnog stanja i statističkih podataka.</w:t>
      </w:r>
    </w:p>
    <w:p w14:paraId="6B0F8099" w14:textId="481C1CE2" w:rsidR="00A77633" w:rsidRDefault="00A77633" w:rsidP="005D2C94">
      <w:pPr>
        <w:pBdr>
          <w:top w:val="nil"/>
          <w:left w:val="nil"/>
          <w:bottom w:val="nil"/>
          <w:right w:val="nil"/>
          <w:between w:val="nil"/>
        </w:pBdr>
        <w:spacing w:after="120" w:line="276" w:lineRule="auto"/>
        <w:rPr>
          <w:lang w:val="bs-Latn-BA"/>
        </w:rPr>
      </w:pPr>
      <w:r w:rsidRPr="008924E0">
        <w:rPr>
          <w:lang w:val="bs-Latn-BA"/>
        </w:rPr>
        <w:t xml:space="preserve">Cilj mjere je jačanje lokalnih kapaciteta građevinske operative i proizvođača opreme, s ciljem stvaranja preduvjeta za efikasnu provedbu energijske obnove zgrada. Ovo podrazumijeva  korištenja svih raspoloživih lokalnih resursa, kako u vidu materijala i opreme, tako i </w:t>
      </w:r>
      <w:r w:rsidR="008352D9">
        <w:rPr>
          <w:lang w:val="bs-Latn-BA"/>
        </w:rPr>
        <w:t>angažiranih</w:t>
      </w:r>
      <w:r w:rsidRPr="008924E0">
        <w:rPr>
          <w:lang w:val="bs-Latn-BA"/>
        </w:rPr>
        <w:t xml:space="preserve"> konsultanata i inženjera različitih profila, kao i kvalificirane radne snage. Kroz proces obnove sektora zgradarstva stvaraju se mogućnosti za kreiranje novih radnih mjesta u građevinskim, konsultantskim, projektantskim i drugim granama privrede, što dovodi do ekonomskog razvoja i prosperiteta FBiH.</w:t>
      </w:r>
    </w:p>
    <w:p w14:paraId="4CC55BE0" w14:textId="77777777" w:rsidR="00A77633" w:rsidRDefault="00A77633" w:rsidP="005D2C94">
      <w:pPr>
        <w:spacing w:after="120" w:line="276" w:lineRule="auto"/>
        <w:rPr>
          <w:lang w:val="bs-Latn-BA"/>
        </w:rPr>
      </w:pPr>
      <w:r w:rsidRPr="008924E0">
        <w:rPr>
          <w:lang w:val="bs-Latn-BA"/>
        </w:rPr>
        <w:lastRenderedPageBreak/>
        <w:t xml:space="preserve">Potrebno je poticati i stimulirati zajedničke projekte podizanja svijesti o EE, zaštiti okoliša i razvoja zelenih radnih mjesta od strane civilnog društva i privrednih subjekata, te organizirati kampanje i stimulirati debate o politikama u ovoj oblasti, po ugledu na postojeće inicijative </w:t>
      </w:r>
    </w:p>
    <w:p w14:paraId="4A62889A" w14:textId="77777777" w:rsidR="00A77633" w:rsidRPr="008924E0" w:rsidRDefault="00A77633" w:rsidP="005D2C94">
      <w:pPr>
        <w:spacing w:after="120" w:line="276" w:lineRule="auto"/>
        <w:rPr>
          <w:lang w:val="bs-Latn-BA"/>
        </w:rPr>
      </w:pPr>
      <w:r w:rsidRPr="008924E0">
        <w:rPr>
          <w:lang w:val="bs-Latn-BA"/>
        </w:rPr>
        <w:t>Podizanje svijesti i pružanje osnovnih informacija ciljnim grupama iz svih sektora finalne potrošnje o značaju EE, neophodno je  u cilju njihovog motiviranja na provođenje EE mjera i aktivnog uključivanja u proces energijske obnove zgrada.</w:t>
      </w:r>
    </w:p>
    <w:p w14:paraId="411F48D2" w14:textId="77777777" w:rsidR="00A77633" w:rsidRPr="008924E0" w:rsidRDefault="00A77633" w:rsidP="005D2C94">
      <w:pPr>
        <w:spacing w:after="120" w:line="276" w:lineRule="auto"/>
        <w:rPr>
          <w:lang w:val="bs-Latn-BA"/>
        </w:rPr>
      </w:pPr>
      <w:r w:rsidRPr="008924E0">
        <w:rPr>
          <w:lang w:val="bs-Latn-BA"/>
        </w:rPr>
        <w:t>Nadalje, sticanje novih i povećanje postojećih stručnih znanja i kompetencija uposlenika nadležnih organa uprave, uslužnog sektora korisnika javnih i komercijalnih zgrada, inžinjera projektanata, izvođačkih građevinskih i mašinskih preduzeća, itd. preduvjet je za efikasnu i kvalitetnu obnovu zgrada.</w:t>
      </w:r>
    </w:p>
    <w:p w14:paraId="68398810" w14:textId="77777777" w:rsidR="00A77633" w:rsidRPr="008924E0" w:rsidRDefault="00A77633" w:rsidP="005D2C94">
      <w:pPr>
        <w:spacing w:after="120" w:line="276" w:lineRule="auto"/>
        <w:rPr>
          <w:lang w:val="bs-Latn-BA"/>
        </w:rPr>
      </w:pPr>
      <w:r w:rsidRPr="008924E0">
        <w:rPr>
          <w:lang w:val="bs-Latn-BA"/>
        </w:rPr>
        <w:t>Također je potrebno osigurati sistemsko povećanje znanja novih generacija kroz sistem redovnog obrazovanja, o neophodnosti racionalnog upravljanja energijom radi zaštite okoliša, sigurnosti snabdijevanja energijom i osiguranja održivog razvoja, i primjeni EE kao efikasnog mehanizma za ispunjenje ovih ciljeva.</w:t>
      </w:r>
    </w:p>
    <w:p w14:paraId="0225BD9C" w14:textId="77777777" w:rsidR="00A77633" w:rsidRPr="008924E0" w:rsidRDefault="00A77633" w:rsidP="005D2C94">
      <w:pPr>
        <w:spacing w:after="120" w:line="276" w:lineRule="auto"/>
        <w:ind w:right="32"/>
        <w:rPr>
          <w:lang w:val="bs-Latn-BA"/>
        </w:rPr>
      </w:pPr>
      <w:r w:rsidRPr="008924E0">
        <w:rPr>
          <w:lang w:val="bs-Latn-BA"/>
        </w:rPr>
        <w:t xml:space="preserve">Cilj ove mjere je promovirati benefite EE i Strategije obnove kroz  konsultacije svih dionika procesa obnove sektora zgradarstva, kroz inicijativu „Otvoreni dijalog partnera“. Uspostavom Otvorenog dijaloga partnera stvorit će se baza stručnjaka spremnih na zajednički dijalog i doprinos dekarbonizaciji fonda zgrada do 2050. godine. Otvoreni dijalozi partnera okupljaju predstavnike javne i lokalne uprave, akademske zajednice i stručne javnosti, građevinskog i energetskog sektora te pratećih industrija na tematskim radionicama koje će  organizirati FMPU. </w:t>
      </w:r>
    </w:p>
    <w:p w14:paraId="7CE7BD72" w14:textId="613BADD4" w:rsidR="00A77633" w:rsidRPr="008924E0" w:rsidRDefault="00A77633" w:rsidP="005D2C94">
      <w:pPr>
        <w:spacing w:after="120" w:line="276" w:lineRule="auto"/>
        <w:ind w:left="1" w:right="32"/>
        <w:rPr>
          <w:lang w:val="bs-Latn-BA"/>
        </w:rPr>
      </w:pPr>
      <w:r w:rsidRPr="008924E0">
        <w:rPr>
          <w:lang w:val="bs-Latn-BA"/>
        </w:rPr>
        <w:t xml:space="preserve">Uspostavljanjem „One stop shop“, omogućit će se jednostavni pristup informacijama o energijskoj obnovi i mogućnostima </w:t>
      </w:r>
      <w:r w:rsidR="007B690C">
        <w:rPr>
          <w:lang w:val="bs-Latn-BA"/>
        </w:rPr>
        <w:t>financ</w:t>
      </w:r>
      <w:r w:rsidRPr="008924E0">
        <w:rPr>
          <w:lang w:val="bs-Latn-BA"/>
        </w:rPr>
        <w:t xml:space="preserve">iranja, kao i promocija EE za sve građane. Ovi punktovi će se bazirati na savjetovanju u svim fazama procesa obnove, dok se </w:t>
      </w:r>
      <w:r w:rsidR="007B690C">
        <w:rPr>
          <w:lang w:val="bs-Latn-BA"/>
        </w:rPr>
        <w:t>financ</w:t>
      </w:r>
      <w:r w:rsidRPr="008924E0">
        <w:rPr>
          <w:lang w:val="bs-Latn-BA"/>
        </w:rPr>
        <w:t>iranje takve usluge provodi iz proračuna jedinica lokalne samouprave. Modeli „One-stop-shop“ punktova mogu biti fleksibilni i prilagodljivi – optimalno ih je organizirati kroz FZO, kantonalne i lokalne energijske agencije, koje u okviru svojih aktivnosti mogu pružiti i ovaj oblik usluge korisnicima. Ključno je na jednom mjestu objediniti informaciju o mogućnostima ušteda, potrebnim koracima i mogućim izvorima sufinanciranja i drugih oblika potpore projektima energijske obnove.</w:t>
      </w:r>
    </w:p>
    <w:p w14:paraId="615BABF6" w14:textId="77777777" w:rsidR="00A77633" w:rsidRPr="001972F5" w:rsidRDefault="00A77633" w:rsidP="005D2C94">
      <w:pPr>
        <w:spacing w:after="120" w:line="276" w:lineRule="auto"/>
        <w:ind w:right="32"/>
        <w:rPr>
          <w:lang w:val="fi-FI"/>
        </w:rPr>
      </w:pPr>
      <w:r w:rsidRPr="001972F5">
        <w:rPr>
          <w:lang w:val="fi-FI"/>
        </w:rPr>
        <w:t>Aktivnosti planirane u sklopu ove mjere su:</w:t>
      </w:r>
    </w:p>
    <w:p w14:paraId="14E0DC5A" w14:textId="77777777" w:rsidR="00A77633" w:rsidRPr="005E3DE2" w:rsidRDefault="00A77633" w:rsidP="00581C1C">
      <w:pPr>
        <w:pStyle w:val="ListParagraph"/>
        <w:numPr>
          <w:ilvl w:val="0"/>
          <w:numId w:val="64"/>
        </w:numPr>
        <w:spacing w:after="120" w:line="276" w:lineRule="auto"/>
        <w:ind w:right="32"/>
      </w:pPr>
      <w:r w:rsidRPr="005E3DE2">
        <w:t>Jačanje institucionalnih kapaciteta na svim nivoima vlasti u FBiH, što podrazumijeva:</w:t>
      </w:r>
    </w:p>
    <w:p w14:paraId="11723653" w14:textId="77777777" w:rsidR="00A77633" w:rsidRPr="00346D76" w:rsidRDefault="00A77633" w:rsidP="00581C1C">
      <w:pPr>
        <w:pStyle w:val="ListParagraph"/>
        <w:numPr>
          <w:ilvl w:val="0"/>
          <w:numId w:val="68"/>
        </w:numPr>
        <w:spacing w:after="120" w:line="276" w:lineRule="auto"/>
        <w:ind w:left="1071" w:right="32"/>
      </w:pPr>
      <w:r>
        <w:t>U</w:t>
      </w:r>
      <w:r w:rsidRPr="00346D76">
        <w:t>spostavljanje Agencije za energijsku efikasnost kako bi se vršila koordinacija u izradi planova za ostvarivanje ciljeva energijske efikasnosti, te identificiranje i rješavanje prepreka koje sprečavaju primjen</w:t>
      </w:r>
      <w:r>
        <w:t>u</w:t>
      </w:r>
      <w:r w:rsidRPr="00346D76">
        <w:t xml:space="preserve"> mjera za poboljšanje energijske efikasnosti</w:t>
      </w:r>
      <w:r>
        <w:t>;</w:t>
      </w:r>
      <w:r w:rsidRPr="00346D76">
        <w:t xml:space="preserve"> </w:t>
      </w:r>
    </w:p>
    <w:p w14:paraId="659AC885" w14:textId="77777777" w:rsidR="00A77633" w:rsidRPr="00346D76" w:rsidRDefault="00A77633" w:rsidP="00581C1C">
      <w:pPr>
        <w:pStyle w:val="ListParagraph"/>
        <w:numPr>
          <w:ilvl w:val="0"/>
          <w:numId w:val="68"/>
        </w:numPr>
        <w:spacing w:after="120" w:line="276" w:lineRule="auto"/>
        <w:ind w:left="1071" w:right="32"/>
      </w:pPr>
      <w:r>
        <w:t>E</w:t>
      </w:r>
      <w:r w:rsidRPr="00346D76">
        <w:t>dukacij</w:t>
      </w:r>
      <w:r>
        <w:t>u</w:t>
      </w:r>
      <w:r w:rsidRPr="00346D76">
        <w:t xml:space="preserve"> postojećeg kadra kako bi institucije bile u mogućnosti da samostalno sa svojim ljudskim resursima implementiraju akcione planove i prate njihovu implementaciju dostavljanjem  informacija</w:t>
      </w:r>
      <w:r>
        <w:t>/podataka</w:t>
      </w:r>
      <w:r w:rsidRPr="00346D76">
        <w:t xml:space="preserve"> u informacioni sistem za energijsku efikasnost</w:t>
      </w:r>
      <w:r>
        <w:t>;</w:t>
      </w:r>
      <w:r w:rsidRPr="00346D76">
        <w:t xml:space="preserve"> </w:t>
      </w:r>
    </w:p>
    <w:p w14:paraId="7E0B8342" w14:textId="77777777" w:rsidR="00A77633" w:rsidRPr="00346D76" w:rsidRDefault="00A77633" w:rsidP="00581C1C">
      <w:pPr>
        <w:pStyle w:val="ListParagraph"/>
        <w:numPr>
          <w:ilvl w:val="0"/>
          <w:numId w:val="68"/>
        </w:numPr>
        <w:spacing w:after="120" w:line="276" w:lineRule="auto"/>
        <w:ind w:left="1071" w:right="32"/>
      </w:pPr>
      <w:r>
        <w:t>U</w:t>
      </w:r>
      <w:r w:rsidRPr="00346D76">
        <w:t>spostav</w:t>
      </w:r>
      <w:r>
        <w:t>u</w:t>
      </w:r>
      <w:r w:rsidRPr="00346D76">
        <w:t xml:space="preserve"> efektivnog upravljačkog i organizacionog okvira informatizacije i digitalizacije na nivou federalnih, kantonalnih i lokalnih organa uprave</w:t>
      </w:r>
      <w:r>
        <w:t>;</w:t>
      </w:r>
      <w:r w:rsidRPr="00346D76">
        <w:t xml:space="preserve"> </w:t>
      </w:r>
    </w:p>
    <w:p w14:paraId="1AB77F3A" w14:textId="798CE4B0" w:rsidR="00A77633" w:rsidRPr="00346D76" w:rsidRDefault="00A77633" w:rsidP="00581C1C">
      <w:pPr>
        <w:pStyle w:val="ListParagraph"/>
        <w:numPr>
          <w:ilvl w:val="0"/>
          <w:numId w:val="68"/>
        </w:numPr>
        <w:spacing w:after="120" w:line="276" w:lineRule="auto"/>
        <w:ind w:left="1071" w:right="32"/>
      </w:pPr>
      <w:r>
        <w:lastRenderedPageBreak/>
        <w:t>P</w:t>
      </w:r>
      <w:r w:rsidRPr="00346D76">
        <w:t>oboljšanje efikasnosti statistike FBiH modernizacijom statističkih procesa upotrebom savremenih tehnika, tehnologija i korištenjem naprednih IT rješenja</w:t>
      </w:r>
      <w:r w:rsidR="00F910AF">
        <w:t>;</w:t>
      </w:r>
    </w:p>
    <w:p w14:paraId="0C989E7A" w14:textId="77777777" w:rsidR="00A77633" w:rsidRDefault="00A77633" w:rsidP="00581C1C">
      <w:pPr>
        <w:pStyle w:val="ListParagraph"/>
        <w:numPr>
          <w:ilvl w:val="0"/>
          <w:numId w:val="68"/>
        </w:numPr>
        <w:spacing w:after="120" w:line="276" w:lineRule="auto"/>
        <w:ind w:left="1071" w:right="32"/>
      </w:pPr>
      <w:r>
        <w:t>Jačanje</w:t>
      </w:r>
      <w:r w:rsidRPr="00346D76">
        <w:t xml:space="preserve"> razvojn</w:t>
      </w:r>
      <w:r>
        <w:t>ih</w:t>
      </w:r>
      <w:r w:rsidRPr="00346D76">
        <w:t xml:space="preserve"> timov</w:t>
      </w:r>
      <w:r>
        <w:t>a</w:t>
      </w:r>
      <w:r w:rsidRPr="00346D76">
        <w:t xml:space="preserve"> na nivou kantona i </w:t>
      </w:r>
      <w:r>
        <w:t>jedinica lokalne samouprave</w:t>
      </w:r>
      <w:r w:rsidRPr="00346D76">
        <w:t xml:space="preserve"> za pisanje i implementaciju projekata </w:t>
      </w:r>
      <w:r>
        <w:t xml:space="preserve">podržanih kroz </w:t>
      </w:r>
      <w:r w:rsidRPr="00346D76">
        <w:t>IPA fondov</w:t>
      </w:r>
      <w:r>
        <w:t>e, permanentnom</w:t>
      </w:r>
      <w:r w:rsidRPr="00346D76">
        <w:t xml:space="preserve"> organizacijom treninga</w:t>
      </w:r>
      <w:r>
        <w:t>;</w:t>
      </w:r>
    </w:p>
    <w:p w14:paraId="56046FF5" w14:textId="2D2E24EE" w:rsidR="00A77633" w:rsidRDefault="00A77633" w:rsidP="00581C1C">
      <w:pPr>
        <w:pStyle w:val="ListParagraph"/>
        <w:numPr>
          <w:ilvl w:val="0"/>
          <w:numId w:val="69"/>
        </w:numPr>
        <w:spacing w:after="120" w:line="276" w:lineRule="auto"/>
        <w:ind w:left="1071" w:right="32"/>
      </w:pPr>
      <w:r>
        <w:t>P</w:t>
      </w:r>
      <w:r w:rsidRPr="00346D76">
        <w:t>lanira</w:t>
      </w:r>
      <w:r w:rsidR="00F910AF">
        <w:t>nje</w:t>
      </w:r>
      <w:r w:rsidRPr="00346D76">
        <w:t xml:space="preserve"> sredstva za su</w:t>
      </w:r>
      <w:r w:rsidR="007B690C">
        <w:t>financ</w:t>
      </w:r>
      <w:r w:rsidRPr="00346D76">
        <w:t xml:space="preserve">iranje IPA projekata u nerazvijenim općinama koje imaju problem sa obezbjeđenjem učešća u </w:t>
      </w:r>
      <w:r w:rsidR="007B690C">
        <w:t>financ</w:t>
      </w:r>
      <w:r w:rsidRPr="00346D76">
        <w:t>iranju</w:t>
      </w:r>
      <w:r>
        <w:t>;</w:t>
      </w:r>
    </w:p>
    <w:p w14:paraId="0347E858" w14:textId="7C1FB2E3" w:rsidR="00A77633" w:rsidRDefault="00A77633" w:rsidP="00581C1C">
      <w:pPr>
        <w:pStyle w:val="ListParagraph"/>
        <w:numPr>
          <w:ilvl w:val="0"/>
          <w:numId w:val="69"/>
        </w:numPr>
        <w:spacing w:after="120" w:line="276" w:lineRule="auto"/>
        <w:ind w:left="1071" w:right="32"/>
      </w:pPr>
      <w:r>
        <w:t>Brže</w:t>
      </w:r>
      <w:r w:rsidRPr="00346D76">
        <w:t xml:space="preserve"> rješavanje imovinsko pravnih odnosa (su</w:t>
      </w:r>
      <w:r w:rsidR="007B690C">
        <w:t>financ</w:t>
      </w:r>
      <w:r w:rsidRPr="00346D76">
        <w:t>iranje legalizacije poljoprivrednih objekata, te postojećih i potencijalnih turističkih objekata), s ciljem dobivanja sredstava iz EU fondova</w:t>
      </w:r>
      <w:r>
        <w:t>.</w:t>
      </w:r>
    </w:p>
    <w:p w14:paraId="78A91F61" w14:textId="77777777" w:rsidR="00A77633" w:rsidRPr="00B247F8" w:rsidRDefault="00A77633" w:rsidP="00581C1C">
      <w:pPr>
        <w:pStyle w:val="ListParagraph"/>
        <w:numPr>
          <w:ilvl w:val="0"/>
          <w:numId w:val="64"/>
        </w:numPr>
        <w:spacing w:after="120" w:line="276" w:lineRule="auto"/>
        <w:ind w:right="32"/>
      </w:pPr>
      <w:r w:rsidRPr="00B247F8">
        <w:t>Uspostavljanje i održavanje sveobuhvatnog i integriranog informacionog sistema u sektoru zgradarstva, što podrazumijeva:</w:t>
      </w:r>
    </w:p>
    <w:p w14:paraId="0B25BAEA" w14:textId="09E2E956" w:rsidR="00A77633" w:rsidRPr="008924E0" w:rsidRDefault="00A77633" w:rsidP="00581C1C">
      <w:pPr>
        <w:pStyle w:val="ListParagraph"/>
        <w:numPr>
          <w:ilvl w:val="0"/>
          <w:numId w:val="65"/>
        </w:numPr>
        <w:spacing w:after="120" w:line="276" w:lineRule="auto"/>
        <w:ind w:left="1071" w:right="32"/>
      </w:pPr>
      <w:r w:rsidRPr="008924E0">
        <w:t>Unapr</w:t>
      </w:r>
      <w:r>
        <w:t>ije</w:t>
      </w:r>
      <w:r w:rsidRPr="008924E0">
        <w:t>đenje procedura prikupljanja i organiziranja podataka o fondu zgrada, kao i usklađivanje baza podataka nižih nivoa (kantoni i općine</w:t>
      </w:r>
      <w:r w:rsidR="006E2A24">
        <w:t>/gradovi</w:t>
      </w:r>
      <w:r w:rsidRPr="008924E0">
        <w:t>) sa bazom na nivou FBiH</w:t>
      </w:r>
      <w:r>
        <w:t>;</w:t>
      </w:r>
    </w:p>
    <w:p w14:paraId="418051FD" w14:textId="77777777" w:rsidR="00A77633" w:rsidRPr="008924E0" w:rsidRDefault="00A77633" w:rsidP="00581C1C">
      <w:pPr>
        <w:pStyle w:val="ListParagraph"/>
        <w:numPr>
          <w:ilvl w:val="0"/>
          <w:numId w:val="65"/>
        </w:numPr>
        <w:spacing w:after="120" w:line="276" w:lineRule="auto"/>
        <w:ind w:left="1071" w:right="32"/>
      </w:pPr>
      <w:r w:rsidRPr="008924E0">
        <w:t xml:space="preserve">Uspostavljanje inventara zgrada (jedinstven šifrarnik zgrada sa identifikacionim brojem (ID) po svakom objektu), uključujući stambene i nestambene zgrade, što bi omogućilo </w:t>
      </w:r>
      <w:r>
        <w:t xml:space="preserve">realno </w:t>
      </w:r>
      <w:r w:rsidRPr="008924E0">
        <w:t>planiranje renoviranja zgrada u skladu sa tipom i starošću zgrada, te praćenje stvarne potrošnje energije i ušteda nakon implementacije mjera EE;</w:t>
      </w:r>
    </w:p>
    <w:p w14:paraId="72D62C7A" w14:textId="77777777" w:rsidR="00A77633" w:rsidRPr="008924E0" w:rsidRDefault="00A77633" w:rsidP="00581C1C">
      <w:pPr>
        <w:pStyle w:val="ListParagraph"/>
        <w:numPr>
          <w:ilvl w:val="0"/>
          <w:numId w:val="65"/>
        </w:numPr>
        <w:spacing w:after="120" w:line="276" w:lineRule="auto"/>
        <w:ind w:left="1071" w:right="32"/>
      </w:pPr>
      <w:r w:rsidRPr="008924E0">
        <w:t>Pojednostavljenje procedure za ishodovanje građevinskih dozvola  (izdavanja elektronskih dozvola);</w:t>
      </w:r>
    </w:p>
    <w:p w14:paraId="1D752ECC" w14:textId="25D4AF6A" w:rsidR="00A77633" w:rsidRDefault="00A77633" w:rsidP="00581C1C">
      <w:pPr>
        <w:pStyle w:val="ListParagraph"/>
        <w:numPr>
          <w:ilvl w:val="0"/>
          <w:numId w:val="65"/>
        </w:numPr>
        <w:spacing w:after="120" w:line="276" w:lineRule="auto"/>
        <w:ind w:left="1071"/>
      </w:pPr>
      <w:r>
        <w:t>Uspostavljanje e</w:t>
      </w:r>
      <w:r w:rsidRPr="008924E0">
        <w:t>fikasnij</w:t>
      </w:r>
      <w:r>
        <w:t>e</w:t>
      </w:r>
      <w:r w:rsidRPr="008924E0">
        <w:t xml:space="preserve"> komunikacij</w:t>
      </w:r>
      <w:r>
        <w:t>e</w:t>
      </w:r>
      <w:r w:rsidRPr="008924E0">
        <w:t xml:space="preserve"> između općina</w:t>
      </w:r>
      <w:r w:rsidR="006E2A24">
        <w:t>/gradova</w:t>
      </w:r>
      <w:r w:rsidRPr="008924E0">
        <w:t>, kantona i nadležnih institucija na nivou FBiH.</w:t>
      </w:r>
    </w:p>
    <w:p w14:paraId="3390FFEF" w14:textId="77777777" w:rsidR="00A77633" w:rsidRPr="00B247F8" w:rsidRDefault="00A77633" w:rsidP="00581C1C">
      <w:pPr>
        <w:pStyle w:val="ListParagraph"/>
        <w:numPr>
          <w:ilvl w:val="0"/>
          <w:numId w:val="64"/>
        </w:numPr>
        <w:spacing w:after="120" w:line="276" w:lineRule="auto"/>
      </w:pPr>
      <w:r w:rsidRPr="00B247F8">
        <w:t>Jačanje lokalnih kapaciteta građevinske operative i proizvođača opreme s ciljem stvaranja preduvjeta za efikasnu provedbu energijske obnove zgrada, što podrazumijeva:</w:t>
      </w:r>
    </w:p>
    <w:p w14:paraId="5CB733A9" w14:textId="77777777" w:rsidR="00A77633" w:rsidRPr="00123CFB" w:rsidRDefault="00A77633" w:rsidP="00581C1C">
      <w:pPr>
        <w:pStyle w:val="ListParagraph"/>
        <w:numPr>
          <w:ilvl w:val="0"/>
          <w:numId w:val="66"/>
        </w:numPr>
        <w:spacing w:after="120" w:line="276" w:lineRule="auto"/>
        <w:ind w:left="1071"/>
      </w:pPr>
      <w:r w:rsidRPr="00123CFB">
        <w:t>Izradu planova za obrazovanje kadra potrebnog na tržištu rada;</w:t>
      </w:r>
    </w:p>
    <w:p w14:paraId="7B45D14D" w14:textId="77777777" w:rsidR="00A77633" w:rsidRPr="00123CFB" w:rsidRDefault="00A77633" w:rsidP="00581C1C">
      <w:pPr>
        <w:pStyle w:val="ListParagraph"/>
        <w:numPr>
          <w:ilvl w:val="0"/>
          <w:numId w:val="66"/>
        </w:numPr>
        <w:spacing w:after="120" w:line="276" w:lineRule="auto"/>
        <w:ind w:left="1071"/>
      </w:pPr>
      <w:r w:rsidRPr="00123CFB">
        <w:t>Izradu programa prekvalifikacije radnika za deficitarna zanimanja;</w:t>
      </w:r>
    </w:p>
    <w:p w14:paraId="407B814A" w14:textId="77777777" w:rsidR="00A77633" w:rsidRPr="00123CFB" w:rsidRDefault="00A77633" w:rsidP="00581C1C">
      <w:pPr>
        <w:pStyle w:val="ListParagraph"/>
        <w:numPr>
          <w:ilvl w:val="0"/>
          <w:numId w:val="66"/>
        </w:numPr>
        <w:spacing w:after="120" w:line="276" w:lineRule="auto"/>
        <w:ind w:left="1071"/>
      </w:pPr>
      <w:r w:rsidRPr="00123CFB">
        <w:t xml:space="preserve">Pokretanje programa umrežavanja i promocije industrija sa deficitarnom radnom snagom; </w:t>
      </w:r>
    </w:p>
    <w:p w14:paraId="5D1BD9B5" w14:textId="77777777" w:rsidR="00A77633" w:rsidRPr="00123CFB" w:rsidRDefault="00A77633" w:rsidP="00581C1C">
      <w:pPr>
        <w:pStyle w:val="ListParagraph"/>
        <w:numPr>
          <w:ilvl w:val="0"/>
          <w:numId w:val="66"/>
        </w:numPr>
        <w:spacing w:after="120" w:line="276" w:lineRule="auto"/>
        <w:ind w:left="1071"/>
      </w:pPr>
      <w:r w:rsidRPr="00123CFB">
        <w:t>Unapređenje radnog zakonodavstva u pravcu omogućavanja stručnog osposobljavanja i pripreme za rad za nezaposlene osobe bez obzira na nivo obrazovanja;</w:t>
      </w:r>
    </w:p>
    <w:p w14:paraId="107BEF31" w14:textId="77777777" w:rsidR="00A77633" w:rsidRPr="00123CFB" w:rsidRDefault="00A77633" w:rsidP="00581C1C">
      <w:pPr>
        <w:pStyle w:val="ListParagraph"/>
        <w:numPr>
          <w:ilvl w:val="0"/>
          <w:numId w:val="66"/>
        </w:numPr>
        <w:spacing w:after="120" w:line="276" w:lineRule="auto"/>
        <w:ind w:left="1071"/>
      </w:pPr>
      <w:r w:rsidRPr="00123CFB">
        <w:t>Pojednostavljenje procedure za registraciju proizvodnih kompanija (posebno MSP);</w:t>
      </w:r>
    </w:p>
    <w:p w14:paraId="7D93D6A1" w14:textId="77777777" w:rsidR="00A77633" w:rsidRPr="00123CFB" w:rsidRDefault="00A77633" w:rsidP="00581C1C">
      <w:pPr>
        <w:pStyle w:val="ListParagraph"/>
        <w:numPr>
          <w:ilvl w:val="0"/>
          <w:numId w:val="66"/>
        </w:numPr>
        <w:spacing w:after="120" w:line="276" w:lineRule="auto"/>
        <w:ind w:left="1071"/>
      </w:pPr>
      <w:r w:rsidRPr="00123CFB">
        <w:t>Donošenje propisa vezano za obligacione šeme u FBiH koje predstavljaju odličan mehanizam za poticanje privrede i sektora MSP;</w:t>
      </w:r>
    </w:p>
    <w:p w14:paraId="2B9DE8A8" w14:textId="77777777" w:rsidR="00A77633" w:rsidRPr="00123CFB" w:rsidRDefault="00A77633" w:rsidP="00581C1C">
      <w:pPr>
        <w:pStyle w:val="ListParagraph"/>
        <w:numPr>
          <w:ilvl w:val="0"/>
          <w:numId w:val="66"/>
        </w:numPr>
        <w:spacing w:after="120" w:line="276" w:lineRule="auto"/>
        <w:ind w:left="1071"/>
      </w:pPr>
      <w:r w:rsidRPr="00123CFB">
        <w:t>Subvencioniranje provođenja energijskih audita, uvođenje standarda ISO 50001 i ISO 14001, aktivnosti „ekologizacije” i „zelene ekonomije“, i upotreba inovativnih čistih tehnologija u sektoru MSP u skladu s konceptom održivog razvoja;</w:t>
      </w:r>
    </w:p>
    <w:p w14:paraId="63F34CC5" w14:textId="5E4B9500" w:rsidR="00A77633" w:rsidRPr="00123CFB" w:rsidRDefault="00A77633" w:rsidP="00581C1C">
      <w:pPr>
        <w:pStyle w:val="ListParagraph"/>
        <w:numPr>
          <w:ilvl w:val="0"/>
          <w:numId w:val="66"/>
        </w:numPr>
        <w:spacing w:after="120" w:line="276" w:lineRule="auto"/>
        <w:ind w:left="1071" w:hanging="270"/>
      </w:pPr>
      <w:r w:rsidRPr="00123CFB">
        <w:lastRenderedPageBreak/>
        <w:t xml:space="preserve">Uvođenje namjenske kreditne linije za MSP od strane Razvojne banke FBiH (RB), koja ima  ima važnu ulogu u </w:t>
      </w:r>
      <w:r w:rsidR="007B690C">
        <w:t>financ</w:t>
      </w:r>
      <w:r w:rsidRPr="00123CFB">
        <w:t>iranju projekata EE i podršci razvoju MSP (po uzoru na razvojne i brojne komercijalne banke koje svoje plasmane usmjeravaju na „čiste tehnologije“)</w:t>
      </w:r>
    </w:p>
    <w:p w14:paraId="07D5164F" w14:textId="77777777" w:rsidR="00A77633" w:rsidRPr="005E3DE2" w:rsidRDefault="00A77633" w:rsidP="00581C1C">
      <w:pPr>
        <w:pStyle w:val="ListParagraph"/>
        <w:numPr>
          <w:ilvl w:val="0"/>
          <w:numId w:val="64"/>
        </w:numPr>
        <w:spacing w:after="120" w:line="276" w:lineRule="auto"/>
      </w:pPr>
      <w:r w:rsidRPr="005E3DE2">
        <w:t>Promocija značaja EE u sektoru zgradarstva i modaliteti konsultacija, što podrazumijeva:</w:t>
      </w:r>
    </w:p>
    <w:p w14:paraId="14C58807" w14:textId="77777777" w:rsidR="00A77633" w:rsidRPr="00123CFB" w:rsidRDefault="00A77633" w:rsidP="00581C1C">
      <w:pPr>
        <w:pStyle w:val="ListParagraph"/>
        <w:numPr>
          <w:ilvl w:val="1"/>
          <w:numId w:val="67"/>
        </w:numPr>
        <w:spacing w:after="120" w:line="276" w:lineRule="auto"/>
        <w:ind w:left="1071" w:right="32"/>
      </w:pPr>
      <w:r w:rsidRPr="00123CFB">
        <w:t>Organiziranje seminara, edukacija, konferencija, okruglih stolova,  javnih promocija projekata EE, medijskih kampanja za građane itd.;</w:t>
      </w:r>
    </w:p>
    <w:p w14:paraId="79003846" w14:textId="77777777" w:rsidR="00A77633" w:rsidRPr="00123CFB" w:rsidRDefault="00A77633" w:rsidP="00581C1C">
      <w:pPr>
        <w:pStyle w:val="ListParagraph"/>
        <w:numPr>
          <w:ilvl w:val="0"/>
          <w:numId w:val="67"/>
        </w:numPr>
        <w:spacing w:after="120" w:line="276" w:lineRule="auto"/>
        <w:ind w:left="1071" w:right="32"/>
      </w:pPr>
      <w:r w:rsidRPr="00123CFB">
        <w:t>Uvođenje tema energijske efikasnosti i održivog razvoja u sistem redovnog obrazovanja kako bi učenici usvojili osnovna znanja o značaju EE;</w:t>
      </w:r>
    </w:p>
    <w:p w14:paraId="62EA6C26" w14:textId="64382309" w:rsidR="00A77633" w:rsidRPr="00123CFB" w:rsidRDefault="00A77633" w:rsidP="00F910AF">
      <w:pPr>
        <w:pStyle w:val="ListParagraph"/>
        <w:numPr>
          <w:ilvl w:val="0"/>
          <w:numId w:val="67"/>
        </w:numPr>
        <w:spacing w:after="120" w:line="276" w:lineRule="auto"/>
        <w:ind w:left="1071" w:right="32"/>
      </w:pPr>
      <w:r w:rsidRPr="00123CFB">
        <w:t>Uspostavljanje „one stop shop“ punktova na nivou općina</w:t>
      </w:r>
      <w:r w:rsidR="006E2A24">
        <w:t>/gradova</w:t>
      </w:r>
      <w:r w:rsidRPr="00123CFB">
        <w:t xml:space="preserve"> s ciljem</w:t>
      </w:r>
      <w:r w:rsidR="00F910AF">
        <w:t xml:space="preserve"> </w:t>
      </w:r>
      <w:r w:rsidRPr="00123CFB">
        <w:t>motiviranja građana i ubrzavanja procesa energijske obnove kroz lokalno dostupne informacije o uštedama koje se mogu ostvariti kroz mjere EE,  podršku vlasnicima zgrada u dobivanju informacija o financiranju mjera EE, te  cjelokupnom procesu provođenja energijske obnove;</w:t>
      </w:r>
    </w:p>
    <w:p w14:paraId="5643C791" w14:textId="77777777" w:rsidR="00A77633" w:rsidRPr="00123CFB" w:rsidRDefault="00A77633" w:rsidP="00581C1C">
      <w:pPr>
        <w:pStyle w:val="ListParagraph"/>
        <w:numPr>
          <w:ilvl w:val="0"/>
          <w:numId w:val="67"/>
        </w:numPr>
        <w:spacing w:after="120" w:line="276" w:lineRule="auto"/>
        <w:ind w:left="1071" w:right="32"/>
      </w:pPr>
      <w:r w:rsidRPr="00123CFB">
        <w:t xml:space="preserve">Značajnije uključivanje upravitelja zgrada u proces obnove kroz informiranje građana o mogućnostima ušteda i načinu provedbe energijske obnove (upravitelji zgrada su ključni integratori provedbe inicijativa za dekarbonizaciju zgrada kolektivnog stanovanja); </w:t>
      </w:r>
    </w:p>
    <w:p w14:paraId="014BF6BF" w14:textId="77777777" w:rsidR="00A77633" w:rsidRPr="00123CFB" w:rsidRDefault="00A77633" w:rsidP="00581C1C">
      <w:pPr>
        <w:pStyle w:val="ListParagraph"/>
        <w:numPr>
          <w:ilvl w:val="0"/>
          <w:numId w:val="67"/>
        </w:numPr>
        <w:spacing w:after="120" w:line="276" w:lineRule="auto"/>
        <w:ind w:left="1071" w:right="32"/>
      </w:pPr>
      <w:r w:rsidRPr="00123CFB">
        <w:t>Uspostavljanje Centra za podršku pametnim gradovima i Zelenog savjeta.</w:t>
      </w:r>
    </w:p>
    <w:p w14:paraId="5A45B488" w14:textId="77777777" w:rsidR="00A77633" w:rsidRDefault="00A77633" w:rsidP="005D2C94">
      <w:pPr>
        <w:spacing w:after="120" w:line="276" w:lineRule="auto"/>
        <w:ind w:right="32"/>
      </w:pPr>
      <w:proofErr w:type="spellStart"/>
      <w:r>
        <w:t>Implementacija</w:t>
      </w:r>
      <w:proofErr w:type="spellEnd"/>
      <w:r>
        <w:t xml:space="preserve"> </w:t>
      </w:r>
      <w:proofErr w:type="spellStart"/>
      <w:r>
        <w:t>ove</w:t>
      </w:r>
      <w:proofErr w:type="spellEnd"/>
      <w:r>
        <w:t xml:space="preserve"> </w:t>
      </w:r>
      <w:proofErr w:type="spellStart"/>
      <w:r>
        <w:t>mjere</w:t>
      </w:r>
      <w:proofErr w:type="spellEnd"/>
      <w:r>
        <w:t xml:space="preserve"> </w:t>
      </w:r>
      <w:proofErr w:type="spellStart"/>
      <w:r>
        <w:t>rezultirat</w:t>
      </w:r>
      <w:proofErr w:type="spellEnd"/>
      <w:r>
        <w:t xml:space="preserve"> </w:t>
      </w:r>
      <w:proofErr w:type="spellStart"/>
      <w:r>
        <w:t>će</w:t>
      </w:r>
      <w:proofErr w:type="spellEnd"/>
      <w:r>
        <w:t>:</w:t>
      </w:r>
    </w:p>
    <w:p w14:paraId="3F2BB99F" w14:textId="77777777" w:rsidR="00A77633" w:rsidRDefault="00A77633" w:rsidP="00581C1C">
      <w:pPr>
        <w:pStyle w:val="ListParagraph"/>
        <w:numPr>
          <w:ilvl w:val="0"/>
          <w:numId w:val="79"/>
        </w:numPr>
        <w:spacing w:after="120" w:line="276" w:lineRule="auto"/>
      </w:pPr>
      <w:r w:rsidRPr="00173A58">
        <w:t>funkcionalnij</w:t>
      </w:r>
      <w:r>
        <w:t>om</w:t>
      </w:r>
      <w:r w:rsidRPr="00173A58">
        <w:t xml:space="preserve"> i efikasnij</w:t>
      </w:r>
      <w:r>
        <w:t>om</w:t>
      </w:r>
      <w:r w:rsidRPr="00173A58">
        <w:t xml:space="preserve"> javn</w:t>
      </w:r>
      <w:r>
        <w:t>om</w:t>
      </w:r>
      <w:r w:rsidRPr="00173A58">
        <w:t xml:space="preserve"> uprav</w:t>
      </w:r>
      <w:r>
        <w:t>om</w:t>
      </w:r>
      <w:r w:rsidRPr="00173A58">
        <w:t xml:space="preserve"> na svim nivoima u FBiH</w:t>
      </w:r>
      <w:r>
        <w:t>;</w:t>
      </w:r>
    </w:p>
    <w:p w14:paraId="0B7CE381" w14:textId="77777777" w:rsidR="00A77633" w:rsidRPr="007E53AE" w:rsidRDefault="00A77633" w:rsidP="00581C1C">
      <w:pPr>
        <w:pStyle w:val="ListParagraph"/>
        <w:numPr>
          <w:ilvl w:val="0"/>
          <w:numId w:val="79"/>
        </w:numPr>
        <w:spacing w:after="120" w:line="276" w:lineRule="auto"/>
      </w:pPr>
      <w:r w:rsidRPr="007E53AE">
        <w:t>uspostavljanjem evidencije energijskih karakteristika svih zgrada u FBiH;</w:t>
      </w:r>
    </w:p>
    <w:p w14:paraId="51307E11" w14:textId="77777777" w:rsidR="00A77633" w:rsidRPr="007E53AE" w:rsidRDefault="00A77633" w:rsidP="00581C1C">
      <w:pPr>
        <w:pStyle w:val="ListParagraph"/>
        <w:numPr>
          <w:ilvl w:val="0"/>
          <w:numId w:val="79"/>
        </w:numPr>
        <w:spacing w:after="120" w:line="276" w:lineRule="auto"/>
        <w:ind w:right="32"/>
      </w:pPr>
      <w:r w:rsidRPr="007E53AE">
        <w:t>većom dostupnosti informacijama vezano za značaj i proces energijske obnove;</w:t>
      </w:r>
    </w:p>
    <w:p w14:paraId="4C61207A" w14:textId="77777777" w:rsidR="00A77633" w:rsidRPr="00DD2143" w:rsidRDefault="00A77633" w:rsidP="00581C1C">
      <w:pPr>
        <w:pStyle w:val="ListParagraph"/>
        <w:numPr>
          <w:ilvl w:val="0"/>
          <w:numId w:val="79"/>
        </w:numPr>
        <w:spacing w:after="120" w:line="276" w:lineRule="auto"/>
        <w:ind w:right="32"/>
      </w:pPr>
      <w:r w:rsidRPr="00DD2143">
        <w:t>osnaživanjem lokalne proizvodnje građevinskih materijala i opreme;</w:t>
      </w:r>
    </w:p>
    <w:p w14:paraId="4527BB0B" w14:textId="77777777" w:rsidR="00A77633" w:rsidRPr="007E53AE" w:rsidRDefault="00A77633" w:rsidP="00581C1C">
      <w:pPr>
        <w:pStyle w:val="ListParagraph"/>
        <w:numPr>
          <w:ilvl w:val="0"/>
          <w:numId w:val="79"/>
        </w:numPr>
        <w:spacing w:after="120" w:line="276" w:lineRule="auto"/>
        <w:ind w:right="32"/>
      </w:pPr>
      <w:r w:rsidRPr="007E53AE">
        <w:t>kreiranjem novih radnih mjesta u građevinskim, konsultantskim, projektantskim i drugim granama privrede;</w:t>
      </w:r>
    </w:p>
    <w:p w14:paraId="203F5CDB" w14:textId="77777777" w:rsidR="00A77633" w:rsidRPr="00DD2143" w:rsidRDefault="00A77633" w:rsidP="00581C1C">
      <w:pPr>
        <w:pStyle w:val="ListParagraph"/>
        <w:numPr>
          <w:ilvl w:val="0"/>
          <w:numId w:val="79"/>
        </w:numPr>
        <w:spacing w:after="120" w:line="276" w:lineRule="auto"/>
      </w:pPr>
      <w:r w:rsidRPr="007E53AE">
        <w:t>intenzivnijoj i bržoj energijskoj obnovi zgrada;</w:t>
      </w:r>
    </w:p>
    <w:p w14:paraId="39D9F874" w14:textId="77777777" w:rsidR="00A77633" w:rsidRPr="00DD2143" w:rsidRDefault="00A77633" w:rsidP="00581C1C">
      <w:pPr>
        <w:pStyle w:val="ListParagraph"/>
        <w:numPr>
          <w:ilvl w:val="0"/>
          <w:numId w:val="79"/>
        </w:numPr>
        <w:spacing w:after="120" w:line="276" w:lineRule="auto"/>
        <w:ind w:right="32"/>
      </w:pPr>
      <w:r w:rsidRPr="00DD2143">
        <w:t>porastom prihoda na nivou FBiH kao i porastom BDP/GDP;</w:t>
      </w:r>
    </w:p>
    <w:p w14:paraId="7A1D4B23" w14:textId="14A01956" w:rsidR="00A77633" w:rsidRPr="00DD2143" w:rsidRDefault="00A77633" w:rsidP="00581C1C">
      <w:pPr>
        <w:pStyle w:val="ListParagraph"/>
        <w:numPr>
          <w:ilvl w:val="0"/>
          <w:numId w:val="79"/>
        </w:numPr>
        <w:spacing w:after="120" w:line="276" w:lineRule="auto"/>
        <w:ind w:right="32"/>
      </w:pPr>
      <w:r w:rsidRPr="00DD2143">
        <w:t>održiv</w:t>
      </w:r>
      <w:r w:rsidR="00F910AF">
        <w:t>om</w:t>
      </w:r>
      <w:r w:rsidRPr="00DD2143">
        <w:t xml:space="preserve"> ekonomskom rastu FBiH.</w:t>
      </w:r>
    </w:p>
    <w:p w14:paraId="50D8651D" w14:textId="33625D7D" w:rsidR="00A77633" w:rsidRPr="0084392D" w:rsidRDefault="00A77633" w:rsidP="00A77633">
      <w:pPr>
        <w:pStyle w:val="Heading2"/>
        <w:numPr>
          <w:ilvl w:val="0"/>
          <w:numId w:val="0"/>
        </w:numPr>
        <w:ind w:left="1260" w:hanging="1260"/>
        <w:rPr>
          <w:sz w:val="22"/>
          <w:szCs w:val="22"/>
          <w:lang w:val="bs-Latn-BA"/>
        </w:rPr>
      </w:pPr>
      <w:bookmarkStart w:id="147" w:name="_Toc134011777"/>
      <w:r w:rsidRPr="008924E0">
        <w:rPr>
          <w:sz w:val="22"/>
          <w:szCs w:val="22"/>
          <w:lang w:val="bs-Latn-BA"/>
        </w:rPr>
        <w:t>Mjera 1.</w:t>
      </w:r>
      <w:r>
        <w:rPr>
          <w:sz w:val="22"/>
          <w:szCs w:val="22"/>
          <w:lang w:val="bs-Latn-BA"/>
        </w:rPr>
        <w:t>1</w:t>
      </w:r>
      <w:r w:rsidRPr="008924E0">
        <w:rPr>
          <w:sz w:val="22"/>
          <w:szCs w:val="22"/>
          <w:lang w:val="bs-Latn-BA"/>
        </w:rPr>
        <w:t>.</w:t>
      </w:r>
      <w:r>
        <w:rPr>
          <w:sz w:val="22"/>
          <w:szCs w:val="22"/>
          <w:lang w:val="bs-Latn-BA"/>
        </w:rPr>
        <w:t>3</w:t>
      </w:r>
      <w:r w:rsidRPr="008924E0">
        <w:rPr>
          <w:sz w:val="22"/>
          <w:szCs w:val="22"/>
          <w:lang w:val="bs-Latn-BA"/>
        </w:rPr>
        <w:t xml:space="preserve">. </w:t>
      </w:r>
      <w:r w:rsidRPr="0084392D">
        <w:rPr>
          <w:sz w:val="22"/>
          <w:szCs w:val="22"/>
          <w:lang w:val="bs-Latn-BA"/>
        </w:rPr>
        <w:t>Uspostav</w:t>
      </w:r>
      <w:r w:rsidR="00063F0F">
        <w:rPr>
          <w:sz w:val="22"/>
          <w:szCs w:val="22"/>
          <w:lang w:val="bs-Latn-BA"/>
        </w:rPr>
        <w:t>iti</w:t>
      </w:r>
      <w:r w:rsidRPr="0084392D">
        <w:rPr>
          <w:sz w:val="22"/>
          <w:szCs w:val="22"/>
          <w:lang w:val="bs-Latn-BA"/>
        </w:rPr>
        <w:t xml:space="preserve"> održiv</w:t>
      </w:r>
      <w:r w:rsidR="00063F0F">
        <w:rPr>
          <w:sz w:val="22"/>
          <w:szCs w:val="22"/>
          <w:lang w:val="bs-Latn-BA"/>
        </w:rPr>
        <w:t>i</w:t>
      </w:r>
      <w:r w:rsidRPr="0084392D">
        <w:rPr>
          <w:sz w:val="22"/>
          <w:szCs w:val="22"/>
          <w:lang w:val="bs-Latn-BA"/>
        </w:rPr>
        <w:t xml:space="preserve"> </w:t>
      </w:r>
      <w:r w:rsidR="007B690C">
        <w:rPr>
          <w:sz w:val="22"/>
          <w:szCs w:val="22"/>
          <w:lang w:val="bs-Latn-BA"/>
        </w:rPr>
        <w:t>financ</w:t>
      </w:r>
      <w:r w:rsidRPr="0084392D">
        <w:rPr>
          <w:sz w:val="22"/>
          <w:szCs w:val="22"/>
          <w:lang w:val="bs-Latn-BA"/>
        </w:rPr>
        <w:t>ijsk</w:t>
      </w:r>
      <w:r w:rsidR="00063F0F">
        <w:rPr>
          <w:sz w:val="22"/>
          <w:szCs w:val="22"/>
          <w:lang w:val="bs-Latn-BA"/>
        </w:rPr>
        <w:t>i</w:t>
      </w:r>
      <w:r w:rsidRPr="0084392D">
        <w:rPr>
          <w:sz w:val="22"/>
          <w:szCs w:val="22"/>
          <w:lang w:val="bs-Latn-BA"/>
        </w:rPr>
        <w:t xml:space="preserve"> okvir koji </w:t>
      </w:r>
      <w:r w:rsidR="00CC4490">
        <w:rPr>
          <w:sz w:val="22"/>
          <w:szCs w:val="22"/>
          <w:lang w:val="bs-Latn-BA"/>
        </w:rPr>
        <w:t>će omogućiti</w:t>
      </w:r>
      <w:r w:rsidR="00063F0F">
        <w:rPr>
          <w:sz w:val="22"/>
          <w:szCs w:val="22"/>
          <w:lang w:val="bs-Latn-BA"/>
        </w:rPr>
        <w:t xml:space="preserve"> </w:t>
      </w:r>
      <w:r w:rsidRPr="0084392D">
        <w:rPr>
          <w:sz w:val="22"/>
          <w:szCs w:val="22"/>
          <w:lang w:val="bs-Latn-BA"/>
        </w:rPr>
        <w:t xml:space="preserve">podsticaj i kontinuirano </w:t>
      </w:r>
      <w:r w:rsidR="007B690C">
        <w:rPr>
          <w:sz w:val="22"/>
          <w:szCs w:val="22"/>
          <w:lang w:val="bs-Latn-BA"/>
        </w:rPr>
        <w:t>financ</w:t>
      </w:r>
      <w:r w:rsidRPr="0084392D">
        <w:rPr>
          <w:sz w:val="22"/>
          <w:szCs w:val="22"/>
          <w:lang w:val="bs-Latn-BA"/>
        </w:rPr>
        <w:t>iranje obnove sektora zgradarstva</w:t>
      </w:r>
      <w:bookmarkEnd w:id="147"/>
    </w:p>
    <w:p w14:paraId="18ABFCDA" w14:textId="226D9794" w:rsidR="00A77633" w:rsidRPr="008924E0" w:rsidRDefault="00A77633" w:rsidP="005D2C94">
      <w:pPr>
        <w:spacing w:after="120" w:line="276" w:lineRule="auto"/>
        <w:rPr>
          <w:color w:val="000000"/>
          <w:lang w:val="bs-Latn-BA"/>
        </w:rPr>
      </w:pPr>
      <w:r w:rsidRPr="008924E0">
        <w:rPr>
          <w:lang w:val="bs-Latn-BA"/>
        </w:rPr>
        <w:t xml:space="preserve">Direktiva 2012/27/EU propisuje podršku razvoju tržišta energijskih usluga, razvoju novih </w:t>
      </w:r>
      <w:r w:rsidR="007B690C">
        <w:rPr>
          <w:lang w:val="bs-Latn-BA"/>
        </w:rPr>
        <w:t>financ</w:t>
      </w:r>
      <w:r w:rsidRPr="008924E0">
        <w:rPr>
          <w:lang w:val="bs-Latn-BA"/>
        </w:rPr>
        <w:t xml:space="preserve">ijskih mehanizama i poticaja te institucionalnih, </w:t>
      </w:r>
      <w:r w:rsidR="007B690C">
        <w:rPr>
          <w:lang w:val="bs-Latn-BA"/>
        </w:rPr>
        <w:t>financ</w:t>
      </w:r>
      <w:r w:rsidRPr="008924E0">
        <w:rPr>
          <w:lang w:val="bs-Latn-BA"/>
        </w:rPr>
        <w:t xml:space="preserve">ijskih i pravnih okvira za uklanjanje postojećih tržišnih prepreka i nedostataka koji </w:t>
      </w:r>
      <w:r>
        <w:rPr>
          <w:lang w:val="bs-Latn-BA"/>
        </w:rPr>
        <w:t>onemogućavaju</w:t>
      </w:r>
      <w:r w:rsidRPr="008924E0">
        <w:rPr>
          <w:lang w:val="bs-Latn-BA"/>
        </w:rPr>
        <w:t xml:space="preserve"> efikasniju krajnju potrošnju energije.</w:t>
      </w:r>
      <w:r w:rsidRPr="008924E0">
        <w:rPr>
          <w:color w:val="000000"/>
          <w:lang w:val="bs-Latn-BA"/>
        </w:rPr>
        <w:t xml:space="preserve"> </w:t>
      </w:r>
    </w:p>
    <w:p w14:paraId="190FFF94" w14:textId="5185918C" w:rsidR="00A77633" w:rsidRPr="008924E0" w:rsidRDefault="00A77633" w:rsidP="005D2C94">
      <w:pPr>
        <w:spacing w:after="120" w:line="276" w:lineRule="auto"/>
        <w:rPr>
          <w:lang w:val="bs-Latn-BA"/>
        </w:rPr>
      </w:pPr>
      <w:r w:rsidRPr="008924E0">
        <w:rPr>
          <w:color w:val="000000"/>
          <w:lang w:val="bs-Latn-BA"/>
        </w:rPr>
        <w:t xml:space="preserve">Proces obnove zgrada i ispunjavanje strateškog cilja da postojeći fond zgrada u FBiH do 2050. godine bude energijski visokoefikasan i dekarboniziran,  </w:t>
      </w:r>
      <w:r w:rsidRPr="008924E0">
        <w:rPr>
          <w:lang w:val="bs-Latn-BA"/>
        </w:rPr>
        <w:t xml:space="preserve">zahtijeva sveobuhvatan i sistemski pristup kojim će se osigurati dugoročni  održivi mehanizmi </w:t>
      </w:r>
      <w:r w:rsidR="007B690C">
        <w:rPr>
          <w:lang w:val="bs-Latn-BA"/>
        </w:rPr>
        <w:t>financ</w:t>
      </w:r>
      <w:r w:rsidRPr="008924E0">
        <w:rPr>
          <w:lang w:val="bs-Latn-BA"/>
        </w:rPr>
        <w:t xml:space="preserve">iranja za investitore iz javnog i privatnog sektora. Vlada FBiH odnosno </w:t>
      </w:r>
      <w:r w:rsidRPr="008924E0">
        <w:rPr>
          <w:lang w:val="bs-Latn-BA"/>
        </w:rPr>
        <w:lastRenderedPageBreak/>
        <w:t xml:space="preserve">resorna ministarstava </w:t>
      </w:r>
      <w:r>
        <w:rPr>
          <w:lang w:val="bs-Latn-BA"/>
        </w:rPr>
        <w:t>i</w:t>
      </w:r>
      <w:r w:rsidRPr="008924E0">
        <w:rPr>
          <w:lang w:val="bs-Latn-BA"/>
        </w:rPr>
        <w:t xml:space="preserve"> nadležne institucije imaju zadatak pružiti podršku u kreiranju ambijenta i stvaranju preduvjeta za  povoljniju investicijsku klimu za implementaciju investicija definiranih u okviru Strategije obnove. Ovo se prevashodno odnosi na makroekonomsku stabilnost, efikasnu javnu upravu, pravnu sigurnost, konkurentnost  tržišta i postojanje odgovarajućih </w:t>
      </w:r>
      <w:r w:rsidR="007B690C">
        <w:rPr>
          <w:lang w:val="bs-Latn-BA"/>
        </w:rPr>
        <w:t>financ</w:t>
      </w:r>
      <w:r w:rsidRPr="008924E0">
        <w:rPr>
          <w:lang w:val="bs-Latn-BA"/>
        </w:rPr>
        <w:t xml:space="preserve">ijskih poticaja za kapitalne investicije u oblasti EE. </w:t>
      </w:r>
    </w:p>
    <w:p w14:paraId="15CC9614" w14:textId="4DB3C984" w:rsidR="00A77633" w:rsidRPr="008924E0" w:rsidRDefault="00A77633" w:rsidP="005D2C94">
      <w:pPr>
        <w:spacing w:after="120" w:line="276" w:lineRule="auto"/>
        <w:rPr>
          <w:lang w:val="bs-Latn-BA"/>
        </w:rPr>
      </w:pPr>
      <w:r w:rsidRPr="008924E0">
        <w:rPr>
          <w:lang w:val="bs-Latn-BA"/>
        </w:rPr>
        <w:t xml:space="preserve">Imajući u vidu procjenjene investicije u okviru Strategije obnove, trenutno raspoloživi  izvori </w:t>
      </w:r>
      <w:r w:rsidR="007B690C">
        <w:rPr>
          <w:lang w:val="bs-Latn-BA"/>
        </w:rPr>
        <w:t>financ</w:t>
      </w:r>
      <w:r w:rsidRPr="008924E0">
        <w:rPr>
          <w:lang w:val="bs-Latn-BA"/>
        </w:rPr>
        <w:t xml:space="preserve">iranja u FBiH, uključujući ograničena budžetska sredstva, nisu dostatna za provođenje ovog procesa prema planiranoj dinamici do 2050. godine.  Stoga je potrebno budžete institucija na nivou  FBiH, kantona i lokalne samouprave rasteretiti uvođenjem novih i inovativnih mehanizama </w:t>
      </w:r>
      <w:r w:rsidR="007B690C">
        <w:rPr>
          <w:lang w:val="bs-Latn-BA"/>
        </w:rPr>
        <w:t>financ</w:t>
      </w:r>
      <w:r w:rsidRPr="008924E0">
        <w:rPr>
          <w:lang w:val="bs-Latn-BA"/>
        </w:rPr>
        <w:t>iranja koji će biti dostupni javnim i privatnim investitorima.</w:t>
      </w:r>
    </w:p>
    <w:p w14:paraId="64A6316A" w14:textId="016D008B" w:rsidR="00A77633" w:rsidRPr="00DD2143" w:rsidRDefault="00A77633" w:rsidP="005D2C94">
      <w:pPr>
        <w:spacing w:after="120" w:line="276" w:lineRule="auto"/>
        <w:rPr>
          <w:lang w:val="bs-Latn-BA"/>
        </w:rPr>
      </w:pPr>
      <w:r w:rsidRPr="008924E0">
        <w:rPr>
          <w:lang w:val="bs-Latn-BA"/>
        </w:rPr>
        <w:t xml:space="preserve">Paket </w:t>
      </w:r>
      <w:r w:rsidR="007B690C">
        <w:rPr>
          <w:lang w:val="bs-Latn-BA"/>
        </w:rPr>
        <w:t>financ</w:t>
      </w:r>
      <w:r w:rsidRPr="008924E0">
        <w:rPr>
          <w:lang w:val="bs-Latn-BA"/>
        </w:rPr>
        <w:t xml:space="preserve">ijskih i fiskalnih </w:t>
      </w:r>
      <w:r w:rsidRPr="007E53AE">
        <w:rPr>
          <w:lang w:val="bs-Latn-BA"/>
        </w:rPr>
        <w:t xml:space="preserve">mehanizama koji kombinira tržišne i javne instrumente prepoznat je kao najadekvatniji model </w:t>
      </w:r>
      <w:r w:rsidR="007B690C">
        <w:rPr>
          <w:lang w:val="bs-Latn-BA"/>
        </w:rPr>
        <w:t>financ</w:t>
      </w:r>
      <w:r w:rsidRPr="007E53AE">
        <w:rPr>
          <w:lang w:val="bs-Latn-BA"/>
        </w:rPr>
        <w:t xml:space="preserve">iranja Strategije obnove. Naravno mora se voditi računa o tome da dodjelom bespovratnih sredstava, ne dođe do istiskivanje privatnih investicija kod projekata komercijalne prirode. Detaljni modeli </w:t>
      </w:r>
      <w:r w:rsidR="007B690C">
        <w:rPr>
          <w:lang w:val="bs-Latn-BA"/>
        </w:rPr>
        <w:t>financ</w:t>
      </w:r>
      <w:r w:rsidRPr="007E53AE">
        <w:rPr>
          <w:lang w:val="bs-Latn-BA"/>
        </w:rPr>
        <w:t xml:space="preserve">iranja, koji uključuju izvore i mehanizme </w:t>
      </w:r>
      <w:r w:rsidR="007B690C">
        <w:rPr>
          <w:lang w:val="bs-Latn-BA"/>
        </w:rPr>
        <w:t>financ</w:t>
      </w:r>
      <w:r w:rsidRPr="007E53AE">
        <w:rPr>
          <w:lang w:val="bs-Latn-BA"/>
        </w:rPr>
        <w:t>iranja kao i modele nabavke, ovise  o namjeni zgrade i detaljno će se razraditi u zasebnim programima energijske obnove.</w:t>
      </w:r>
      <w:r w:rsidRPr="00DD2143">
        <w:rPr>
          <w:lang w:val="bs-Latn-BA"/>
        </w:rPr>
        <w:t xml:space="preserve"> U nastavku je dat pregled postojećih izvora financijskih sredstava za financiranje energijske efikasnosti u FBiH, te dodatnih izvora koje je neophodno uvesti kako bi se obezbijedio potreban iznos financijskih sredstava:   </w:t>
      </w:r>
    </w:p>
    <w:p w14:paraId="56C29988" w14:textId="77777777" w:rsidR="00A77633" w:rsidRPr="00DD2143" w:rsidRDefault="00A77633" w:rsidP="00581C1C">
      <w:pPr>
        <w:pStyle w:val="ListParagraph"/>
        <w:numPr>
          <w:ilvl w:val="0"/>
          <w:numId w:val="76"/>
        </w:numPr>
        <w:spacing w:after="120" w:line="276" w:lineRule="auto"/>
      </w:pPr>
      <w:r w:rsidRPr="00DD2143">
        <w:t>Međunarodni izvori: Uključuju sredstava međunarodnih financijskih institucija (IFI)  kao što su EBRD, IFC, KfW, WB, itd. koje plasiraju sredstva putem različitih posrednika, čime snižavaju vlastite operativne troškove što im u konačnici omogućava da plasiraju sredstva po nižim kamatnim stopama u odnosu na komercijalne banke. Mogući posrednici u plasmanu sredstava međunarodnih financijskih institucija u FBiH su domaće komercijalne banke, Fond za zaštitu okoliša FBiH ili Agencija za energetsku efikasnost FBiH nakon njenog uspostavljanja.</w:t>
      </w:r>
    </w:p>
    <w:p w14:paraId="0288D113" w14:textId="77777777" w:rsidR="00A77633" w:rsidRPr="00DD2143" w:rsidRDefault="00A77633" w:rsidP="00581C1C">
      <w:pPr>
        <w:pStyle w:val="ListParagraph"/>
        <w:numPr>
          <w:ilvl w:val="0"/>
          <w:numId w:val="76"/>
        </w:numPr>
        <w:spacing w:after="120" w:line="276" w:lineRule="auto"/>
      </w:pPr>
      <w:r w:rsidRPr="00DD2143">
        <w:t>EU fondovi: Uključuju sredstva iz EU fondova, koja EU plasira u formi granta fizičkim i/ili pravnim licima kroz različite programe u svrhu implementacije aktivnosti od strateškog značaja za EU, zemlju članicu EU ili zemlju koja je u procesu pristupa EU.</w:t>
      </w:r>
    </w:p>
    <w:p w14:paraId="55C97123" w14:textId="42FEB866" w:rsidR="00A77633" w:rsidRPr="00DD2143" w:rsidRDefault="00A77633" w:rsidP="00581C1C">
      <w:pPr>
        <w:pStyle w:val="ListParagraph"/>
        <w:numPr>
          <w:ilvl w:val="0"/>
          <w:numId w:val="76"/>
        </w:numPr>
        <w:spacing w:after="120" w:line="276" w:lineRule="auto"/>
      </w:pPr>
      <w:r w:rsidRPr="00DD2143">
        <w:t>Budžetski izvori: Uključuju sredstva iz budžeta općina, kantona i FBiH, stoga je potrebno uvesti sistemsku alokaciju sredstava za financiranje obnove zgrada iz budžeta FBiH, kantona i općina, te povećati izdvajanja u odnosu na trenutno stanje. F</w:t>
      </w:r>
      <w:r w:rsidR="006E2A24">
        <w:t xml:space="preserve">ederacija </w:t>
      </w:r>
      <w:r w:rsidRPr="00DD2143">
        <w:t xml:space="preserve">BiH, kantoni i općine treba da u vlastitim budžetima povećaju portfolio za financiranje obnove zgrada na uštrb ostalih izdvajanja. Također, FBiH, kantoni i općine mogu obezbijediti dodatna sredstva za financiranje obnove zgrada kroz emisiju zelenih obveznica. Princip emitovanja zelenih obveznica se suštinski ne razlikuje od emitovanja uobičajenih obveznica. Ključna razlika je da na zelenim obveznicama stoji klauzula o garanciji da će prikupljeni novac biti uložen u projekte zaštite okoliša. Činjenica da će novac kroz emisiju zelenih obveznica biti uložen u projekte zaštite okoliša privlači velike europske i svjetske fondove koji se bave zaštitom okoliša, te iznos novca prikupljenog kroz emisiju zelenih obveznica ima kontinuiran rast na globalnom nivou. </w:t>
      </w:r>
    </w:p>
    <w:p w14:paraId="2C061E24" w14:textId="5B947871" w:rsidR="00A77633" w:rsidRPr="00DD2143" w:rsidRDefault="00A77633" w:rsidP="00581C1C">
      <w:pPr>
        <w:pStyle w:val="ListParagraph"/>
        <w:numPr>
          <w:ilvl w:val="0"/>
          <w:numId w:val="76"/>
        </w:numPr>
        <w:spacing w:after="120" w:line="276" w:lineRule="auto"/>
        <w:rPr>
          <w:rFonts w:eastAsia="Times New Roman" w:cs="Cambria"/>
          <w:bCs/>
        </w:rPr>
      </w:pPr>
      <w:r w:rsidRPr="00DD2143">
        <w:rPr>
          <w:rFonts w:cs="Cambria"/>
          <w:bCs/>
        </w:rPr>
        <w:t>Naknade i takse:</w:t>
      </w:r>
      <w:r w:rsidR="007736EC">
        <w:rPr>
          <w:rFonts w:cs="Cambria"/>
          <w:bCs/>
        </w:rPr>
        <w:t xml:space="preserve"> </w:t>
      </w:r>
      <w:r w:rsidRPr="00DD2143">
        <w:rPr>
          <w:rFonts w:eastAsia="Times New Roman" w:cs="Cambria"/>
          <w:bCs/>
        </w:rPr>
        <w:t>Trenutno u FBiH postoje naknade za zaštitu zraka koje plaćaju zagađivači okoliša (za emisije SO</w:t>
      </w:r>
      <w:r w:rsidRPr="00DD2143">
        <w:rPr>
          <w:rFonts w:eastAsia="Times New Roman" w:cs="Cambria"/>
          <w:bCs/>
          <w:vertAlign w:val="subscript"/>
        </w:rPr>
        <w:t>2</w:t>
      </w:r>
      <w:r w:rsidRPr="00DD2143">
        <w:rPr>
          <w:rFonts w:eastAsia="Times New Roman" w:cs="Cambria"/>
          <w:bCs/>
        </w:rPr>
        <w:t>, NO</w:t>
      </w:r>
      <w:r w:rsidRPr="00DD2143">
        <w:rPr>
          <w:rFonts w:eastAsia="Times New Roman" w:cs="Cambria"/>
          <w:bCs/>
          <w:vertAlign w:val="subscript"/>
        </w:rPr>
        <w:t>2</w:t>
      </w:r>
      <w:r w:rsidRPr="00DD2143">
        <w:rPr>
          <w:rFonts w:eastAsia="Times New Roman" w:cs="Cambria"/>
          <w:bCs/>
        </w:rPr>
        <w:t xml:space="preserve"> i čvrstih čestica u zrak). Ova sredstva prikuplja Fond za zaštitu okoliša FBiH. </w:t>
      </w:r>
      <w:r w:rsidRPr="00DD2143">
        <w:rPr>
          <w:rFonts w:eastAsia="Times New Roman" w:cs="Cambria"/>
          <w:bCs/>
        </w:rPr>
        <w:lastRenderedPageBreak/>
        <w:t>Također postoje naknade i za zaštitu okoliša koje naplaćuje Fond za zaštitu okoliša FBiH i uključuju posebnu naknadu za okoliš pri svakoj registraciji motornih vozila koja se može usmjeriti za financiranje energijske efikasnosti, te naknade za plastične kese tregerice, upravljanje ambalažom i ambalažnim otpadom, upravljanje elektroničkim otpadom, i naknadu na osnovu Zakona o vodama koje se ne mogu direktno usmjeriti u mjere energijske efikasnosti. Zatim uvođenje CO</w:t>
      </w:r>
      <w:r w:rsidRPr="00DD2143">
        <w:rPr>
          <w:rFonts w:eastAsia="Times New Roman" w:cs="Cambria"/>
          <w:bCs/>
          <w:vertAlign w:val="subscript"/>
        </w:rPr>
        <w:t>2</w:t>
      </w:r>
      <w:r w:rsidRPr="00DD2143">
        <w:rPr>
          <w:rFonts w:eastAsia="Times New Roman" w:cs="Cambria"/>
          <w:bCs/>
        </w:rPr>
        <w:t xml:space="preserve"> taksi i energijskih taksi kojim će se obezbijediti dodatna sredstva za financiranje energijske efikasnosti, a koje bi naplaćivao Fond za zaštitu okoliša FBiH. U nastavku je dat pregled taksi:</w:t>
      </w:r>
    </w:p>
    <w:p w14:paraId="01BF0E11" w14:textId="77777777" w:rsidR="00A77633" w:rsidRPr="00DD2143" w:rsidRDefault="00A77633" w:rsidP="00581C1C">
      <w:pPr>
        <w:pStyle w:val="ListParagraph"/>
        <w:numPr>
          <w:ilvl w:val="1"/>
          <w:numId w:val="76"/>
        </w:numPr>
        <w:spacing w:after="120" w:line="276" w:lineRule="auto"/>
        <w:rPr>
          <w:rFonts w:cs="Cambria"/>
          <w:bCs/>
        </w:rPr>
      </w:pPr>
      <w:r w:rsidRPr="00DD2143">
        <w:rPr>
          <w:rFonts w:cs="Cambria"/>
          <w:bCs/>
        </w:rPr>
        <w:t>CO</w:t>
      </w:r>
      <w:r w:rsidRPr="00DD2143">
        <w:rPr>
          <w:rFonts w:cs="Cambria"/>
          <w:bCs/>
          <w:vertAlign w:val="subscript"/>
        </w:rPr>
        <w:t>2</w:t>
      </w:r>
      <w:r w:rsidRPr="00DD2143">
        <w:rPr>
          <w:rFonts w:cs="Cambria"/>
          <w:bCs/>
        </w:rPr>
        <w:t xml:space="preserve"> takse: uvođenje CO</w:t>
      </w:r>
      <w:r w:rsidRPr="00DD2143">
        <w:rPr>
          <w:rFonts w:cs="Cambria"/>
          <w:bCs/>
          <w:vertAlign w:val="subscript"/>
        </w:rPr>
        <w:t xml:space="preserve">2 </w:t>
      </w:r>
      <w:r w:rsidRPr="00DD2143">
        <w:rPr>
          <w:rFonts w:cs="Cambria"/>
          <w:bCs/>
        </w:rPr>
        <w:t>takse velikim industrijskim potrošačima energije, prema propisanim kriterijima emisije CO</w:t>
      </w:r>
      <w:r w:rsidRPr="00DD2143">
        <w:rPr>
          <w:rFonts w:cs="Cambria"/>
          <w:bCs/>
          <w:vertAlign w:val="subscript"/>
        </w:rPr>
        <w:t>2</w:t>
      </w:r>
      <w:r w:rsidRPr="00DD2143">
        <w:rPr>
          <w:rFonts w:cs="Cambria"/>
          <w:bCs/>
        </w:rPr>
        <w:t>, uz mogućnost smanjenja takse ukoliko veliki industrijski potrošači energije investiraju u mjere energijske efikasnosti, te uvođenje CO</w:t>
      </w:r>
      <w:r w:rsidRPr="00DD2143">
        <w:rPr>
          <w:rFonts w:cs="Cambria"/>
          <w:bCs/>
          <w:vertAlign w:val="subscript"/>
        </w:rPr>
        <w:t>2</w:t>
      </w:r>
      <w:r w:rsidRPr="00DD2143">
        <w:rPr>
          <w:rFonts w:cs="Cambria"/>
          <w:bCs/>
        </w:rPr>
        <w:t xml:space="preserve"> takse kod registracije motornih vozila prema nivou emisije CO</w:t>
      </w:r>
      <w:r w:rsidRPr="00DD2143">
        <w:rPr>
          <w:rFonts w:cs="Cambria"/>
          <w:bCs/>
          <w:vertAlign w:val="subscript"/>
        </w:rPr>
        <w:t>2</w:t>
      </w:r>
      <w:r w:rsidRPr="00DD2143">
        <w:rPr>
          <w:rFonts w:cs="Cambria"/>
          <w:bCs/>
        </w:rPr>
        <w:t>;</w:t>
      </w:r>
    </w:p>
    <w:p w14:paraId="198B647D" w14:textId="77777777" w:rsidR="00A77633" w:rsidRPr="00DD2143" w:rsidRDefault="00A77633" w:rsidP="00581C1C">
      <w:pPr>
        <w:pStyle w:val="ListParagraph"/>
        <w:numPr>
          <w:ilvl w:val="1"/>
          <w:numId w:val="76"/>
        </w:numPr>
        <w:spacing w:after="120" w:line="276" w:lineRule="auto"/>
        <w:rPr>
          <w:rFonts w:cs="Cambria"/>
          <w:bCs/>
        </w:rPr>
      </w:pPr>
      <w:r w:rsidRPr="00DD2143">
        <w:rPr>
          <w:rFonts w:cs="Cambria"/>
          <w:bCs/>
        </w:rPr>
        <w:t xml:space="preserve">Energijske takse: </w:t>
      </w:r>
    </w:p>
    <w:p w14:paraId="139ADFBD" w14:textId="77777777" w:rsidR="00A77633" w:rsidRPr="00DD2143" w:rsidRDefault="00A77633" w:rsidP="00581C1C">
      <w:pPr>
        <w:pStyle w:val="ListParagraph"/>
        <w:numPr>
          <w:ilvl w:val="2"/>
          <w:numId w:val="77"/>
        </w:numPr>
        <w:spacing w:after="120" w:line="276" w:lineRule="auto"/>
        <w:rPr>
          <w:rFonts w:cs="Cambria"/>
          <w:bCs/>
        </w:rPr>
      </w:pPr>
      <w:r w:rsidRPr="00DD2143">
        <w:rPr>
          <w:rFonts w:cs="Cambria"/>
          <w:bCs/>
        </w:rPr>
        <w:t>Uvođenje naknada na potrošnju električne energije u domaćinstvima, ali u kombinaciji sa potporom socijalno ugroženim kategorijama;</w:t>
      </w:r>
    </w:p>
    <w:p w14:paraId="3786155A" w14:textId="77777777" w:rsidR="00A77633" w:rsidRPr="00DD2143" w:rsidRDefault="00A77633" w:rsidP="00581C1C">
      <w:pPr>
        <w:pStyle w:val="ListParagraph"/>
        <w:numPr>
          <w:ilvl w:val="2"/>
          <w:numId w:val="77"/>
        </w:numPr>
        <w:spacing w:after="120" w:line="276" w:lineRule="auto"/>
        <w:rPr>
          <w:rFonts w:cs="Cambria"/>
          <w:bCs/>
        </w:rPr>
      </w:pPr>
      <w:r w:rsidRPr="00DD2143">
        <w:rPr>
          <w:rFonts w:cs="Cambria"/>
          <w:bCs/>
        </w:rPr>
        <w:t>Uvođenje naknada na potrošnju električne energije za mala i srednja preduzeća i industriju, ukoliko to ne utiče na konkurentnost izvoza;</w:t>
      </w:r>
    </w:p>
    <w:p w14:paraId="2DEDE04F" w14:textId="77777777" w:rsidR="00A77633" w:rsidRPr="00DD2143" w:rsidRDefault="00A77633" w:rsidP="00581C1C">
      <w:pPr>
        <w:pStyle w:val="ListParagraph"/>
        <w:numPr>
          <w:ilvl w:val="2"/>
          <w:numId w:val="77"/>
        </w:numPr>
        <w:spacing w:after="120" w:line="276" w:lineRule="auto"/>
        <w:rPr>
          <w:rFonts w:cs="Cambria"/>
          <w:bCs/>
        </w:rPr>
      </w:pPr>
      <w:r w:rsidRPr="00DD2143">
        <w:rPr>
          <w:rFonts w:cs="Cambria"/>
          <w:bCs/>
        </w:rPr>
        <w:t>Uvođenje naknada za proizvodnju električne energije iz naftnih proizvoda (posebno "prljave" proizvode kao što su teško loživo ulje, ili bunker goriva) i uglja;</w:t>
      </w:r>
    </w:p>
    <w:p w14:paraId="19C2FC89" w14:textId="77777777" w:rsidR="00A77633" w:rsidRPr="00DD2143" w:rsidRDefault="00A77633" w:rsidP="00581C1C">
      <w:pPr>
        <w:pStyle w:val="ListParagraph"/>
        <w:numPr>
          <w:ilvl w:val="2"/>
          <w:numId w:val="77"/>
        </w:numPr>
        <w:spacing w:after="120" w:line="276" w:lineRule="auto"/>
        <w:rPr>
          <w:rFonts w:cs="Cambria"/>
          <w:bCs/>
        </w:rPr>
      </w:pPr>
      <w:r w:rsidRPr="00DD2143">
        <w:rPr>
          <w:rFonts w:cs="Cambria"/>
          <w:bCs/>
        </w:rPr>
        <w:t>Uvođenje naknada na potrošnju toplotne energije iz sistema daljinskog grijanja, prema vrsti energenta korištenog za proizvodnju toplotne energije;</w:t>
      </w:r>
    </w:p>
    <w:p w14:paraId="685ED255" w14:textId="77777777" w:rsidR="00A77633" w:rsidRPr="00DD2143" w:rsidRDefault="00A77633" w:rsidP="00581C1C">
      <w:pPr>
        <w:pStyle w:val="ListParagraph"/>
        <w:numPr>
          <w:ilvl w:val="2"/>
          <w:numId w:val="77"/>
        </w:numPr>
        <w:spacing w:after="120" w:line="276" w:lineRule="auto"/>
        <w:rPr>
          <w:rFonts w:cs="Cambria"/>
          <w:bCs/>
        </w:rPr>
      </w:pPr>
      <w:r w:rsidRPr="00DD2143">
        <w:rPr>
          <w:rFonts w:cs="Cambria"/>
          <w:bCs/>
        </w:rPr>
        <w:t>Uvođenje naknada za energiju u prometu nekretninama, s obzirom na energetsku klasu objekata.</w:t>
      </w:r>
    </w:p>
    <w:p w14:paraId="18B7FA6C" w14:textId="3ACB273E" w:rsidR="00A77633" w:rsidRPr="00DD2143" w:rsidRDefault="00A77633" w:rsidP="00581C1C">
      <w:pPr>
        <w:pStyle w:val="ListParagraph"/>
        <w:numPr>
          <w:ilvl w:val="0"/>
          <w:numId w:val="77"/>
        </w:numPr>
        <w:spacing w:after="120" w:line="276" w:lineRule="auto"/>
        <w:rPr>
          <w:rFonts w:cs="Cambria"/>
          <w:bCs/>
        </w:rPr>
      </w:pPr>
      <w:r w:rsidRPr="00DD2143">
        <w:rPr>
          <w:rFonts w:cs="Cambria"/>
          <w:bCs/>
        </w:rPr>
        <w:t xml:space="preserve">Obligacione šeme za energijsku efikasnost: EEO šeme su instrumenti politike koji zahtijevaju od </w:t>
      </w:r>
      <w:r w:rsidR="00F03625">
        <w:rPr>
          <w:rFonts w:cs="Cambria"/>
          <w:bCs/>
        </w:rPr>
        <w:t>obvez</w:t>
      </w:r>
      <w:r w:rsidRPr="00DD2143">
        <w:rPr>
          <w:rFonts w:cs="Cambria"/>
          <w:bCs/>
        </w:rPr>
        <w:t xml:space="preserve">anih strana (distributeri i/ili snabdjevači energije) da postignu određene uštede energije na strani svojih kupaca. Prema okvirnom modelu EEO u FBiH, snadbjevaći i distributeri električne i toplotne energije naplaćuju novac od svojih krajnjih korisnika po osnovu EEO, a zatim prikupljeni novac investiraju u unaprjeđenje energijske efikasnosti na objektima njihovih krajnjih korisnika u skladu sa strateškim ciljevima definiranim odstrane nadležnih organa FBiH. </w:t>
      </w:r>
    </w:p>
    <w:p w14:paraId="650EB828" w14:textId="77777777" w:rsidR="00A77633" w:rsidRPr="00DD2143" w:rsidRDefault="00A77633" w:rsidP="00581C1C">
      <w:pPr>
        <w:pStyle w:val="ListParagraph"/>
        <w:numPr>
          <w:ilvl w:val="0"/>
          <w:numId w:val="77"/>
        </w:numPr>
        <w:spacing w:after="120" w:line="276" w:lineRule="auto"/>
        <w:rPr>
          <w:rFonts w:cs="Cambria"/>
          <w:bCs/>
        </w:rPr>
      </w:pPr>
      <w:r w:rsidRPr="00DD2143">
        <w:rPr>
          <w:rFonts w:cs="Cambria"/>
          <w:bCs/>
        </w:rPr>
        <w:t xml:space="preserve">Privatni kapital: Uključuje vlastiti novac građana u FBiH. Prema podacima Centralne banke BiH prosječan iznos novca koji građani FBiH štede iznosi 3.450 BAM po stanovniku što znači da  postoji potencijal za financiranje energijske efikasnosti i putem privatnog kapitala.    </w:t>
      </w:r>
    </w:p>
    <w:p w14:paraId="00BBB5D8" w14:textId="77777777" w:rsidR="00A77633" w:rsidRPr="00DD2143" w:rsidRDefault="00A77633" w:rsidP="00581C1C">
      <w:pPr>
        <w:pStyle w:val="ListParagraph"/>
        <w:numPr>
          <w:ilvl w:val="0"/>
          <w:numId w:val="77"/>
        </w:numPr>
        <w:spacing w:after="120" w:line="276" w:lineRule="auto"/>
        <w:rPr>
          <w:rFonts w:cs="Cambria"/>
          <w:bCs/>
        </w:rPr>
      </w:pPr>
      <w:r w:rsidRPr="00DD2143">
        <w:rPr>
          <w:rFonts w:cs="Cambria"/>
          <w:bCs/>
        </w:rPr>
        <w:t xml:space="preserve">ESCO: ESCO (eng. Energy Service Company) u pravilu investira u mjere energijske efikasnosti na objektima krajnjih korisnika, a povrat novca i željenu zaradu ostvaruje putem ostvarenih ušteda. Stoga je realno očekivati da će interesovanje ESCO biti u scenarijima obnove zgrada u FBiH kroz koje se očekuje ostvarenje većih ušteda, odnosno najveće interesovanje u visoko ambicioznom scenariju obnove a najmanje u laganom scenariju obnove. </w:t>
      </w:r>
    </w:p>
    <w:p w14:paraId="3C3BD4BE" w14:textId="52BC4A5D" w:rsidR="00A77633" w:rsidRPr="00DD2143" w:rsidRDefault="00A77633" w:rsidP="005D2C94">
      <w:pPr>
        <w:spacing w:after="120" w:line="276" w:lineRule="auto"/>
        <w:rPr>
          <w:lang w:val="bs-Latn-BA"/>
        </w:rPr>
      </w:pPr>
      <w:r w:rsidRPr="008924E0">
        <w:rPr>
          <w:lang w:val="bs-Latn-BA"/>
        </w:rPr>
        <w:lastRenderedPageBreak/>
        <w:t xml:space="preserve">Iako su </w:t>
      </w:r>
      <w:r w:rsidR="007B690C">
        <w:rPr>
          <w:lang w:val="bs-Latn-BA"/>
        </w:rPr>
        <w:t>financ</w:t>
      </w:r>
      <w:r w:rsidRPr="008924E0">
        <w:rPr>
          <w:lang w:val="bs-Latn-BA"/>
        </w:rPr>
        <w:t>ijske institucije razvile tržišne modele za povoljnije kreditiranje projekata EE</w:t>
      </w:r>
      <w:r>
        <w:rPr>
          <w:lang w:val="bs-Latn-BA"/>
        </w:rPr>
        <w:t xml:space="preserve"> </w:t>
      </w:r>
      <w:r w:rsidRPr="008924E0">
        <w:rPr>
          <w:lang w:val="bs-Latn-BA"/>
        </w:rPr>
        <w:t>(EBRD, EIB, komercijalne banke</w:t>
      </w:r>
      <w:r>
        <w:rPr>
          <w:lang w:val="bs-Latn-BA"/>
        </w:rPr>
        <w:t>)</w:t>
      </w:r>
      <w:r w:rsidRPr="008924E0">
        <w:rPr>
          <w:lang w:val="bs-Latn-BA"/>
        </w:rPr>
        <w:t xml:space="preserve">, uloga dugoročnog i održivog fonda za projekte EE u stambenom sektoru ključna je za uspješnost njihove realizacije. Cilj ove mjere </w:t>
      </w:r>
      <w:r w:rsidRPr="008924E0">
        <w:rPr>
          <w:color w:val="000000"/>
          <w:lang w:val="bs-Latn-BA"/>
        </w:rPr>
        <w:t xml:space="preserve">podrazumijeva kreiranje adekvatnijih </w:t>
      </w:r>
      <w:r w:rsidR="007B690C">
        <w:rPr>
          <w:color w:val="000000"/>
          <w:lang w:val="bs-Latn-BA"/>
        </w:rPr>
        <w:t>financ</w:t>
      </w:r>
      <w:r w:rsidRPr="008924E0">
        <w:rPr>
          <w:color w:val="000000"/>
          <w:lang w:val="bs-Latn-BA"/>
        </w:rPr>
        <w:t xml:space="preserve">ijskih modela </w:t>
      </w:r>
      <w:r w:rsidRPr="00DD2143">
        <w:rPr>
          <w:lang w:val="bs-Latn-BA"/>
        </w:rPr>
        <w:t xml:space="preserve">za efikasnije </w:t>
      </w:r>
      <w:r w:rsidR="007B690C">
        <w:rPr>
          <w:lang w:val="bs-Latn-BA"/>
        </w:rPr>
        <w:t>financ</w:t>
      </w:r>
      <w:r w:rsidRPr="00DD2143">
        <w:rPr>
          <w:lang w:val="bs-Latn-BA"/>
        </w:rPr>
        <w:t xml:space="preserve">iranje obnove stambenih zgrada u FBiH, a koji će omogućiti stalan podsticaj i kontinuirano </w:t>
      </w:r>
      <w:r w:rsidR="007B690C">
        <w:rPr>
          <w:lang w:val="bs-Latn-BA"/>
        </w:rPr>
        <w:t>financ</w:t>
      </w:r>
      <w:r w:rsidRPr="00DD2143">
        <w:rPr>
          <w:lang w:val="bs-Latn-BA"/>
        </w:rPr>
        <w:t xml:space="preserve">iranje, što bi za vlasnike stambenih jedinica i zgrada bilo motivirajuće. </w:t>
      </w:r>
    </w:p>
    <w:p w14:paraId="5E5D5C7B" w14:textId="501D8412" w:rsidR="00A77633" w:rsidRPr="008924E0" w:rsidRDefault="00A77633" w:rsidP="005D2C94">
      <w:pPr>
        <w:spacing w:after="120" w:line="276" w:lineRule="auto"/>
        <w:rPr>
          <w:color w:val="000000"/>
          <w:lang w:val="bs-Latn-BA"/>
        </w:rPr>
      </w:pPr>
      <w:r w:rsidRPr="00DD2143">
        <w:rPr>
          <w:lang w:val="bs-Latn-BA"/>
        </w:rPr>
        <w:t>Također, potrebna je</w:t>
      </w:r>
      <w:r w:rsidRPr="007E53AE">
        <w:rPr>
          <w:lang w:val="bs-Latn-BA"/>
        </w:rPr>
        <w:t xml:space="preserve"> podrška komercijalnom sektoru kroz adekvatnije </w:t>
      </w:r>
      <w:r w:rsidR="007B690C">
        <w:rPr>
          <w:lang w:val="bs-Latn-BA"/>
        </w:rPr>
        <w:t>financ</w:t>
      </w:r>
      <w:r w:rsidRPr="007E53AE">
        <w:rPr>
          <w:lang w:val="bs-Latn-BA"/>
        </w:rPr>
        <w:t>ijske proizvode</w:t>
      </w:r>
      <w:r w:rsidR="00CC4490">
        <w:rPr>
          <w:lang w:val="bs-Latn-BA"/>
        </w:rPr>
        <w:t xml:space="preserve"> što bi</w:t>
      </w:r>
      <w:r w:rsidRPr="007E53AE">
        <w:rPr>
          <w:lang w:val="bs-Latn-BA"/>
        </w:rPr>
        <w:t xml:space="preserve"> svakako bil</w:t>
      </w:r>
      <w:r w:rsidR="00CC4490">
        <w:rPr>
          <w:lang w:val="bs-Latn-BA"/>
        </w:rPr>
        <w:t>o</w:t>
      </w:r>
      <w:r w:rsidRPr="007E53AE">
        <w:rPr>
          <w:lang w:val="bs-Latn-BA"/>
        </w:rPr>
        <w:t xml:space="preserve"> podsticajn</w:t>
      </w:r>
      <w:r w:rsidR="00CC4490">
        <w:rPr>
          <w:lang w:val="bs-Latn-BA"/>
        </w:rPr>
        <w:t>o</w:t>
      </w:r>
      <w:r w:rsidRPr="007E53AE">
        <w:rPr>
          <w:lang w:val="bs-Latn-BA"/>
        </w:rPr>
        <w:t xml:space="preserve"> za sektor koji kroz </w:t>
      </w:r>
      <w:r w:rsidRPr="008924E0">
        <w:rPr>
          <w:lang w:val="bs-Latn-BA"/>
        </w:rPr>
        <w:t xml:space="preserve">poreske </w:t>
      </w:r>
      <w:r w:rsidR="00F03625">
        <w:rPr>
          <w:lang w:val="bs-Latn-BA"/>
        </w:rPr>
        <w:t>obvez</w:t>
      </w:r>
      <w:r w:rsidRPr="008924E0">
        <w:rPr>
          <w:lang w:val="bs-Latn-BA"/>
        </w:rPr>
        <w:t xml:space="preserve">e u značajnoj mjeri doprinosi budžetu FBiH, posebno </w:t>
      </w:r>
      <w:r w:rsidRPr="008924E0">
        <w:rPr>
          <w:color w:val="000000"/>
          <w:lang w:val="bs-Latn-BA"/>
        </w:rPr>
        <w:t>uslužni sektor turizma i trgovine.</w:t>
      </w:r>
    </w:p>
    <w:p w14:paraId="3EB1CFB9" w14:textId="2E86362B" w:rsidR="00A77633" w:rsidRPr="00815DA2" w:rsidRDefault="00A77633" w:rsidP="005D2C94">
      <w:pPr>
        <w:spacing w:after="120" w:line="276" w:lineRule="auto"/>
        <w:rPr>
          <w:lang w:val="bs-Latn-BA"/>
        </w:rPr>
      </w:pPr>
      <w:r w:rsidRPr="008924E0">
        <w:rPr>
          <w:lang w:val="bs-Latn-BA"/>
        </w:rPr>
        <w:t xml:space="preserve">Komercijalni sektor vođen je načelom profita i konstantnim smanjenjem operativnih troškova zbog čega svoj interes u EE pronalazi u projektima koji rezultiraju značajnim smanjenjem izdataka i omogućavaju  povrat uloženih sredstava u kratkom vremenskom okviru. Poduzetnici su u kontekstu javnih </w:t>
      </w:r>
      <w:r w:rsidR="007B690C">
        <w:rPr>
          <w:lang w:val="bs-Latn-BA"/>
        </w:rPr>
        <w:t>financ</w:t>
      </w:r>
      <w:r w:rsidRPr="008924E0">
        <w:rPr>
          <w:lang w:val="bs-Latn-BA"/>
        </w:rPr>
        <w:t xml:space="preserve">ijskih poticaja podložni ograničenjima za korištenje budžetskih sredstava odnosno fondova. Kako bi se ovom sektoru pružila podrška za </w:t>
      </w:r>
      <w:r w:rsidR="007B690C">
        <w:rPr>
          <w:lang w:val="bs-Latn-BA"/>
        </w:rPr>
        <w:t>financ</w:t>
      </w:r>
      <w:r w:rsidRPr="008924E0">
        <w:rPr>
          <w:lang w:val="bs-Latn-BA"/>
        </w:rPr>
        <w:t xml:space="preserve">iranje mjera EE i razvoju održivog turizma, bilo bi poželjno za energijsku obnovu komercijalnih zgrada razviti </w:t>
      </w:r>
      <w:r w:rsidR="007B690C">
        <w:rPr>
          <w:lang w:val="bs-Latn-BA"/>
        </w:rPr>
        <w:t>financ</w:t>
      </w:r>
      <w:r w:rsidRPr="008924E0">
        <w:rPr>
          <w:lang w:val="bs-Latn-BA"/>
        </w:rPr>
        <w:t>ijske modele pri  Razvojnoj banci FBiH (na pr. za su</w:t>
      </w:r>
      <w:r w:rsidR="007B690C">
        <w:rPr>
          <w:lang w:val="bs-Latn-BA"/>
        </w:rPr>
        <w:t>financ</w:t>
      </w:r>
      <w:r w:rsidRPr="008924E0">
        <w:rPr>
          <w:lang w:val="bs-Latn-BA"/>
        </w:rPr>
        <w:t xml:space="preserve">iranje konsultantskih usluga u pripremi projekata, poslovnih planova i adekvatno iskazivanje prihvatljivih troškova). Također RB, bi mogla pružiti podršku za </w:t>
      </w:r>
      <w:r w:rsidR="007B690C">
        <w:rPr>
          <w:lang w:val="bs-Latn-BA"/>
        </w:rPr>
        <w:t>financ</w:t>
      </w:r>
      <w:r w:rsidRPr="008924E0">
        <w:rPr>
          <w:lang w:val="bs-Latn-BA"/>
        </w:rPr>
        <w:t xml:space="preserve">iranje projekata do faze refundacije sredstava iz EU fondova. </w:t>
      </w:r>
    </w:p>
    <w:p w14:paraId="467ABB68" w14:textId="77777777" w:rsidR="00A77633" w:rsidRPr="008924E0" w:rsidRDefault="00A77633" w:rsidP="005D2C94">
      <w:pPr>
        <w:spacing w:after="120" w:line="276" w:lineRule="auto"/>
        <w:rPr>
          <w:lang w:val="bs-Latn-BA"/>
        </w:rPr>
      </w:pPr>
      <w:r w:rsidRPr="008924E0">
        <w:rPr>
          <w:lang w:val="bs-Latn-BA"/>
        </w:rPr>
        <w:t xml:space="preserve">Pomoć koja je na raspolaganju građanima FBiH, a koja se može svrstati pod mjeru ublažavanje energijskog siromaštva je subvencioniranje troškova energije i energenata za posebno ugrožene kategorije stanovništva. Vlada FBiH od 2011. godine primjenjuje Odluku o provedbi mjera za smanjenje troškova električne energije određenim kategorijama kupaca. U periodu 2011‒2019. godine za ove namjene izdvojeno je 24 miliona KM, a obuhvaćeno je 67.936 korisnika. </w:t>
      </w:r>
    </w:p>
    <w:p w14:paraId="6D745E65" w14:textId="3336BFEC" w:rsidR="00A77633" w:rsidRPr="00815DA2" w:rsidRDefault="00A77633" w:rsidP="005D2C94">
      <w:pPr>
        <w:spacing w:after="120" w:line="276" w:lineRule="auto"/>
        <w:rPr>
          <w:lang w:val="bs-Latn-BA"/>
        </w:rPr>
      </w:pPr>
      <w:r w:rsidRPr="008924E0">
        <w:rPr>
          <w:lang w:val="bs-Latn-BA"/>
        </w:rPr>
        <w:t xml:space="preserve">U kontekstu energijske obnove zgrada, cilj uspostavljanja fondova za </w:t>
      </w:r>
      <w:r w:rsidR="007B690C">
        <w:rPr>
          <w:lang w:val="bs-Latn-BA"/>
        </w:rPr>
        <w:t>financ</w:t>
      </w:r>
      <w:r w:rsidRPr="008924E0">
        <w:rPr>
          <w:lang w:val="bs-Latn-BA"/>
        </w:rPr>
        <w:t>iranje mjera za zaštitu ugroženih kategorija stanovništva na nivou svih kantona, jeste pružiti pomoć kategoriji stanovništva koja zbog niskih primanja članova domaćinstva nije u mogućnosti participirati u provođenju obnove zgrada, u implementaciji mjera EE te tako doprinijeti smanjenju neposredne potrošnje energije i posljedično smanjenje emisija CO</w:t>
      </w:r>
      <w:r w:rsidRPr="008924E0">
        <w:rPr>
          <w:vertAlign w:val="subscript"/>
          <w:lang w:val="bs-Latn-BA"/>
        </w:rPr>
        <w:t>2,</w:t>
      </w:r>
      <w:r w:rsidRPr="008924E0">
        <w:rPr>
          <w:lang w:val="bs-Latn-BA"/>
        </w:rPr>
        <w:t xml:space="preserve"> ali i osigurati potrebni toplotni komfor i  zdravije unutarnje klimatskih uvjete za korisnike.</w:t>
      </w:r>
    </w:p>
    <w:p w14:paraId="24562BD3" w14:textId="17607B10" w:rsidR="00A77633" w:rsidRPr="008924E0" w:rsidRDefault="00A77633" w:rsidP="005D2C94">
      <w:pPr>
        <w:spacing w:after="120" w:line="276" w:lineRule="auto"/>
        <w:rPr>
          <w:rFonts w:asciiTheme="minorHAnsi" w:hAnsiTheme="minorHAnsi" w:cstheme="minorHAnsi"/>
          <w:lang w:val="bs-Latn-BA"/>
        </w:rPr>
      </w:pPr>
      <w:r w:rsidRPr="008924E0">
        <w:rPr>
          <w:rFonts w:asciiTheme="minorHAnsi" w:hAnsiTheme="minorHAnsi" w:cstheme="minorHAnsi"/>
          <w:color w:val="000000"/>
          <w:lang w:val="bs-Latn-BA"/>
        </w:rPr>
        <w:t xml:space="preserve">Nacionalni spomenici su dobra od najviše vrijednosti i značaja za BiH, i entitetske vlade su između ostalog u </w:t>
      </w:r>
      <w:r w:rsidR="00F03625">
        <w:rPr>
          <w:rFonts w:asciiTheme="minorHAnsi" w:hAnsiTheme="minorHAnsi" w:cstheme="minorHAnsi"/>
          <w:color w:val="000000"/>
          <w:lang w:val="bs-Latn-BA"/>
        </w:rPr>
        <w:t>obvez</w:t>
      </w:r>
      <w:r w:rsidRPr="008924E0">
        <w:rPr>
          <w:rFonts w:asciiTheme="minorHAnsi" w:hAnsiTheme="minorHAnsi" w:cstheme="minorHAnsi"/>
          <w:color w:val="000000"/>
          <w:lang w:val="bs-Latn-BA"/>
        </w:rPr>
        <w:t xml:space="preserve">i osigurati i </w:t>
      </w:r>
      <w:r w:rsidR="007B690C">
        <w:rPr>
          <w:rFonts w:asciiTheme="minorHAnsi" w:hAnsiTheme="minorHAnsi" w:cstheme="minorHAnsi"/>
          <w:color w:val="000000"/>
          <w:lang w:val="bs-Latn-BA"/>
        </w:rPr>
        <w:t>financ</w:t>
      </w:r>
      <w:r w:rsidRPr="008924E0">
        <w:rPr>
          <w:rFonts w:asciiTheme="minorHAnsi" w:hAnsiTheme="minorHAnsi" w:cstheme="minorHAnsi"/>
          <w:color w:val="000000"/>
          <w:lang w:val="bs-Latn-BA"/>
        </w:rPr>
        <w:t xml:space="preserve">ijske mjere za zaštitu, konzervaciju, prezentaciju, rehabilitaciju nacionalnih spomenika i druge mjere potrebne za provedbu odluka Komisije. Vlada FBiH to čini i u svojim budžetima osiguravajući sredstva za ovu namjenu. Međutim, zbog činjenice da je veliki broj kulturnih dobara porušen, a da se ostala dobra nalaze uglavnom u lošem stanju usljed neodržavanja, nedostatak </w:t>
      </w:r>
      <w:r w:rsidR="007B690C">
        <w:rPr>
          <w:rFonts w:asciiTheme="minorHAnsi" w:hAnsiTheme="minorHAnsi" w:cstheme="minorHAnsi"/>
          <w:color w:val="000000"/>
          <w:lang w:val="bs-Latn-BA"/>
        </w:rPr>
        <w:t>financ</w:t>
      </w:r>
      <w:r w:rsidRPr="008924E0">
        <w:rPr>
          <w:rFonts w:asciiTheme="minorHAnsi" w:hAnsiTheme="minorHAnsi" w:cstheme="minorHAnsi"/>
          <w:color w:val="000000"/>
          <w:lang w:val="bs-Latn-BA"/>
        </w:rPr>
        <w:t>ijskih sredstava predstavlja veliki problem.</w:t>
      </w:r>
    </w:p>
    <w:p w14:paraId="18DBFD1F" w14:textId="2E157796" w:rsidR="00A77633" w:rsidRDefault="00A77633" w:rsidP="005D2C94">
      <w:pPr>
        <w:spacing w:after="120" w:line="276" w:lineRule="auto"/>
        <w:rPr>
          <w:lang w:val="bs-Latn-BA"/>
        </w:rPr>
      </w:pPr>
      <w:r w:rsidRPr="008924E0">
        <w:rPr>
          <w:lang w:val="bs-Latn-BA"/>
        </w:rPr>
        <w:t xml:space="preserve">Cilj ove mjere je uspostavljanje programa </w:t>
      </w:r>
      <w:r w:rsidR="007B690C">
        <w:rPr>
          <w:lang w:val="bs-Latn-BA"/>
        </w:rPr>
        <w:t>financ</w:t>
      </w:r>
      <w:r w:rsidRPr="008924E0">
        <w:rPr>
          <w:lang w:val="bs-Latn-BA"/>
        </w:rPr>
        <w:t>iranja provođenja mjera EE za zgrada sa statusom nacionalnih spomenika, te tako doprinijeti smanjenju neposredne potrošnje energije i posljedično smanjenje emisija CO</w:t>
      </w:r>
      <w:r w:rsidRPr="00DA1A46">
        <w:rPr>
          <w:vertAlign w:val="subscript"/>
          <w:lang w:val="bs-Latn-BA"/>
        </w:rPr>
        <w:t>2</w:t>
      </w:r>
      <w:r w:rsidRPr="008924E0">
        <w:rPr>
          <w:lang w:val="bs-Latn-BA"/>
        </w:rPr>
        <w:t xml:space="preserve"> u ovim zgradama, ali i osigurati potrebni toplotni komfor i  zdravije unutarnje klimatskih uvjete za korisnike zgrada koje su u upotrebi.</w:t>
      </w:r>
      <w:r w:rsidRPr="008924E0" w:rsidDel="008C1842">
        <w:rPr>
          <w:lang w:val="bs-Latn-BA"/>
        </w:rPr>
        <w:t xml:space="preserve"> </w:t>
      </w:r>
      <w:r w:rsidRPr="008924E0">
        <w:rPr>
          <w:lang w:val="bs-Latn-BA"/>
        </w:rPr>
        <w:t xml:space="preserve">Potrebno je uspostaviti financijski instrument ciljano za </w:t>
      </w:r>
      <w:r>
        <w:rPr>
          <w:lang w:val="bs-Latn-BA"/>
        </w:rPr>
        <w:t>energij</w:t>
      </w:r>
      <w:r w:rsidRPr="008924E0">
        <w:rPr>
          <w:lang w:val="bs-Latn-BA"/>
        </w:rPr>
        <w:t xml:space="preserve">sku obnovu ovog tipa zgrada  gdje bi uvjeti bili prilagođeni posebnostima zgrada koje </w:t>
      </w:r>
      <w:r w:rsidRPr="008924E0">
        <w:rPr>
          <w:lang w:val="bs-Latn-BA"/>
        </w:rPr>
        <w:lastRenderedPageBreak/>
        <w:t>imaju status kulturnog dobra kako bi se privukle i privatne investicije. Ovakav financijski instrument bi trebao biti dostupan svim korisnicima odnosno i privatnim i javnim vlasnicima zgrada koje imaju status kulturnog dobra.</w:t>
      </w:r>
    </w:p>
    <w:p w14:paraId="4A8A3BF8" w14:textId="77777777" w:rsidR="00A77633" w:rsidRPr="001972F5" w:rsidRDefault="00A77633" w:rsidP="005D2C94">
      <w:pPr>
        <w:spacing w:after="120" w:line="276" w:lineRule="auto"/>
        <w:rPr>
          <w:lang w:val="fi-FI"/>
        </w:rPr>
      </w:pPr>
      <w:r w:rsidRPr="001972F5">
        <w:rPr>
          <w:lang w:val="fi-FI"/>
        </w:rPr>
        <w:t>Aktivnosti planirane u sklopu ove mjere su:</w:t>
      </w:r>
    </w:p>
    <w:p w14:paraId="342B6B4B" w14:textId="77777777" w:rsidR="00A77633" w:rsidRDefault="00A77633" w:rsidP="00581C1C">
      <w:pPr>
        <w:pStyle w:val="ListParagraph"/>
        <w:numPr>
          <w:ilvl w:val="0"/>
          <w:numId w:val="70"/>
        </w:numPr>
        <w:spacing w:after="120" w:line="276" w:lineRule="auto"/>
      </w:pPr>
      <w:r w:rsidRPr="004552BC">
        <w:t>Uspostavljanje dugoročnog i održivog fonda za energijsku obnovu stambenih zgrada</w:t>
      </w:r>
      <w:r>
        <w:t>;</w:t>
      </w:r>
    </w:p>
    <w:p w14:paraId="00BFD9B1" w14:textId="05368BE7" w:rsidR="00A77633" w:rsidRPr="004552BC" w:rsidRDefault="00A77633" w:rsidP="00581C1C">
      <w:pPr>
        <w:pStyle w:val="ListParagraph"/>
        <w:numPr>
          <w:ilvl w:val="0"/>
          <w:numId w:val="70"/>
        </w:numPr>
        <w:spacing w:after="120" w:line="276" w:lineRule="auto"/>
      </w:pPr>
      <w:r w:rsidRPr="004552BC">
        <w:t xml:space="preserve">Uspostavljanje adekvatnih </w:t>
      </w:r>
      <w:r w:rsidR="007B690C">
        <w:t>financ</w:t>
      </w:r>
      <w:r w:rsidRPr="004552BC">
        <w:t>ijskih modela/proizvoda za energijsku obnovu komercijalnih zgrada</w:t>
      </w:r>
      <w:r>
        <w:t>;</w:t>
      </w:r>
    </w:p>
    <w:p w14:paraId="5B0F0CAD" w14:textId="79992A2D" w:rsidR="00A77633" w:rsidRPr="004552BC" w:rsidRDefault="00A77633" w:rsidP="00581C1C">
      <w:pPr>
        <w:pStyle w:val="ListParagraph"/>
        <w:numPr>
          <w:ilvl w:val="0"/>
          <w:numId w:val="70"/>
        </w:numPr>
        <w:spacing w:after="120" w:line="276" w:lineRule="auto"/>
      </w:pPr>
      <w:r w:rsidRPr="004552BC">
        <w:t xml:space="preserve">Razvoj i uspostavljanje fondova za </w:t>
      </w:r>
      <w:r w:rsidR="007B690C">
        <w:t>financ</w:t>
      </w:r>
      <w:r w:rsidRPr="004552BC">
        <w:t xml:space="preserve">iranje mjera za zaštitu posebno ugroženih kategorija stanovništva iz kojih će se </w:t>
      </w:r>
      <w:r w:rsidR="007B690C">
        <w:t>financ</w:t>
      </w:r>
      <w:r w:rsidRPr="004552BC">
        <w:t>irati provođenja mjera EE za ovu kategoriju stanovništva</w:t>
      </w:r>
      <w:r>
        <w:t>;</w:t>
      </w:r>
    </w:p>
    <w:p w14:paraId="6B663D96" w14:textId="445E209B" w:rsidR="00A77633" w:rsidRDefault="00A77633" w:rsidP="00581C1C">
      <w:pPr>
        <w:pStyle w:val="ListParagraph"/>
        <w:numPr>
          <w:ilvl w:val="0"/>
          <w:numId w:val="70"/>
        </w:numPr>
        <w:spacing w:after="120" w:line="276" w:lineRule="auto"/>
      </w:pPr>
      <w:r w:rsidRPr="004552BC">
        <w:t xml:space="preserve">Razvoj i uspostavljanje programa podrške za </w:t>
      </w:r>
      <w:r w:rsidR="007B690C">
        <w:t>financ</w:t>
      </w:r>
      <w:r w:rsidRPr="004552BC">
        <w:t>iranj</w:t>
      </w:r>
      <w:r>
        <w:t>e</w:t>
      </w:r>
      <w:r w:rsidRPr="004552BC">
        <w:t xml:space="preserve"> energijske obnove zgrada sa statusom nacionalnih spomenika</w:t>
      </w:r>
      <w:r>
        <w:t>.</w:t>
      </w:r>
    </w:p>
    <w:p w14:paraId="4C5588A5" w14:textId="77777777" w:rsidR="00A77633" w:rsidRPr="001972F5" w:rsidRDefault="00A77633" w:rsidP="005D2C94">
      <w:pPr>
        <w:spacing w:after="120" w:line="276" w:lineRule="auto"/>
        <w:rPr>
          <w:lang w:val="fi-FI"/>
        </w:rPr>
      </w:pPr>
      <w:r w:rsidRPr="001972F5">
        <w:rPr>
          <w:lang w:val="fi-FI"/>
        </w:rPr>
        <w:t>Gore navedene aktivnosti podrazumijevaju sljedeće:</w:t>
      </w:r>
    </w:p>
    <w:p w14:paraId="0868042D" w14:textId="12D7F7A0" w:rsidR="00A77633" w:rsidRPr="008924E0" w:rsidRDefault="00A77633" w:rsidP="00581C1C">
      <w:pPr>
        <w:pStyle w:val="ListParagraph"/>
        <w:numPr>
          <w:ilvl w:val="0"/>
          <w:numId w:val="71"/>
        </w:numPr>
        <w:spacing w:after="120" w:line="276" w:lineRule="auto"/>
        <w:ind w:left="1071" w:right="32"/>
      </w:pPr>
      <w:r w:rsidRPr="008924E0">
        <w:t>Izrad</w:t>
      </w:r>
      <w:r>
        <w:t>u</w:t>
      </w:r>
      <w:r w:rsidRPr="008924E0">
        <w:t xml:space="preserve"> </w:t>
      </w:r>
      <w:r w:rsidR="007B690C">
        <w:t>financ</w:t>
      </w:r>
      <w:r w:rsidRPr="008924E0">
        <w:t xml:space="preserve">ijskog okvira za </w:t>
      </w:r>
      <w:r w:rsidR="007B690C">
        <w:t>financ</w:t>
      </w:r>
      <w:r w:rsidRPr="008924E0">
        <w:t>iranje implementacije mjera EE u stambenom sektoru;</w:t>
      </w:r>
    </w:p>
    <w:p w14:paraId="1974EAD9" w14:textId="72666734" w:rsidR="00A77633" w:rsidRPr="008924E0" w:rsidRDefault="00A77633" w:rsidP="00581C1C">
      <w:pPr>
        <w:pStyle w:val="ListParagraph"/>
        <w:numPr>
          <w:ilvl w:val="0"/>
          <w:numId w:val="71"/>
        </w:numPr>
        <w:spacing w:after="120" w:line="276" w:lineRule="auto"/>
        <w:ind w:left="1071" w:right="32"/>
      </w:pPr>
      <w:r w:rsidRPr="008924E0">
        <w:t>Obezb</w:t>
      </w:r>
      <w:r>
        <w:t>j</w:t>
      </w:r>
      <w:r w:rsidRPr="008924E0">
        <w:t xml:space="preserve">eđivanje </w:t>
      </w:r>
      <w:r w:rsidR="007B690C">
        <w:t>financ</w:t>
      </w:r>
      <w:r w:rsidRPr="008924E0">
        <w:t>ijskih podsticaja za energijsku obnovu stambenih zgrada u okviru kantonalnih i općinskih budžeta;</w:t>
      </w:r>
    </w:p>
    <w:p w14:paraId="356238A9" w14:textId="77777777" w:rsidR="00A77633" w:rsidRPr="008924E0" w:rsidRDefault="00A77633" w:rsidP="00581C1C">
      <w:pPr>
        <w:pStyle w:val="ListParagraph"/>
        <w:numPr>
          <w:ilvl w:val="0"/>
          <w:numId w:val="71"/>
        </w:numPr>
        <w:spacing w:after="120" w:line="276" w:lineRule="auto"/>
        <w:ind w:left="1071"/>
      </w:pPr>
      <w:r w:rsidRPr="008924E0">
        <w:t>Donošenje podzakonskih akata koji uređuju vrste i procedure dodjele poticajnih mjera za pravna lica (upravitelji zgrada);</w:t>
      </w:r>
    </w:p>
    <w:p w14:paraId="14247D38" w14:textId="4DADB9E8" w:rsidR="00A77633" w:rsidRPr="008924E0" w:rsidRDefault="00A77633" w:rsidP="00581C1C">
      <w:pPr>
        <w:pStyle w:val="ListParagraph"/>
        <w:numPr>
          <w:ilvl w:val="0"/>
          <w:numId w:val="71"/>
        </w:numPr>
        <w:spacing w:after="120" w:line="276" w:lineRule="auto"/>
        <w:ind w:left="1071"/>
      </w:pPr>
      <w:r w:rsidRPr="008924E0">
        <w:t>Izmjen</w:t>
      </w:r>
      <w:r>
        <w:t>e</w:t>
      </w:r>
      <w:r w:rsidRPr="008924E0">
        <w:t xml:space="preserve"> postojećih propisa kako bi se omogućilo udruženjima etažnih vlasnika sticanje statusa pravnih lica, a time i mogućnosti obavljanja prometa i zaduživanja kod </w:t>
      </w:r>
      <w:r w:rsidR="007B690C">
        <w:t>financ</w:t>
      </w:r>
      <w:r w:rsidRPr="008924E0">
        <w:t xml:space="preserve">ijskih institucija; </w:t>
      </w:r>
    </w:p>
    <w:p w14:paraId="56E48E4E" w14:textId="77777777" w:rsidR="00A77633" w:rsidRPr="008924E0" w:rsidRDefault="00A77633" w:rsidP="00581C1C">
      <w:pPr>
        <w:pStyle w:val="ListParagraph"/>
        <w:numPr>
          <w:ilvl w:val="0"/>
          <w:numId w:val="72"/>
        </w:numPr>
        <w:spacing w:after="120" w:line="276" w:lineRule="auto"/>
        <w:ind w:left="1075"/>
      </w:pPr>
      <w:r w:rsidRPr="008924E0">
        <w:t>Izmjene i dopune Zakona o energijskoj efikasnosti, sa ciljem  stvaranja pravnog osnova za poticajne mjere za fizička lica koja implementiraju mjere energijske efikasnosti u zgradarstvu;</w:t>
      </w:r>
    </w:p>
    <w:p w14:paraId="193432AF" w14:textId="6B5DC417" w:rsidR="00A77633" w:rsidRPr="008924E0" w:rsidRDefault="00A77633" w:rsidP="00581C1C">
      <w:pPr>
        <w:pStyle w:val="ListParagraph"/>
        <w:numPr>
          <w:ilvl w:val="0"/>
          <w:numId w:val="72"/>
        </w:numPr>
        <w:spacing w:after="120" w:line="276" w:lineRule="auto"/>
        <w:ind w:left="1075"/>
      </w:pPr>
      <w:r w:rsidRPr="008924E0">
        <w:t>Prov</w:t>
      </w:r>
      <w:r>
        <w:t>ođenje</w:t>
      </w:r>
      <w:r w:rsidRPr="008924E0">
        <w:t xml:space="preserve"> tehničke pripreme koje omogućavaju naplatu realnog utroška toplotne energije u sistemu daljinskog grijanja, te </w:t>
      </w:r>
      <w:r w:rsidR="00CC4490">
        <w:t>uspostaviti</w:t>
      </w:r>
      <w:r w:rsidRPr="008924E0">
        <w:t xml:space="preserve"> zakonske </w:t>
      </w:r>
      <w:r w:rsidR="00F03625">
        <w:t>obvez</w:t>
      </w:r>
      <w:r w:rsidRPr="008924E0">
        <w:t>e vezane za uvođenje i rad ovog sistema</w:t>
      </w:r>
      <w:r>
        <w:t>;</w:t>
      </w:r>
      <w:r w:rsidRPr="008924E0">
        <w:t xml:space="preserve"> </w:t>
      </w:r>
    </w:p>
    <w:p w14:paraId="02893015" w14:textId="77777777" w:rsidR="00A77633" w:rsidRPr="008924E0" w:rsidRDefault="00A77633" w:rsidP="00581C1C">
      <w:pPr>
        <w:pStyle w:val="ListParagraph"/>
        <w:numPr>
          <w:ilvl w:val="0"/>
          <w:numId w:val="72"/>
        </w:numPr>
        <w:spacing w:after="120" w:line="276" w:lineRule="auto"/>
        <w:ind w:left="1075"/>
      </w:pPr>
      <w:r w:rsidRPr="008924E0">
        <w:t>Definira</w:t>
      </w:r>
      <w:r>
        <w:t>nje</w:t>
      </w:r>
      <w:r w:rsidRPr="008924E0">
        <w:t xml:space="preserve"> način</w:t>
      </w:r>
      <w:r>
        <w:t>a</w:t>
      </w:r>
      <w:r w:rsidRPr="008924E0">
        <w:t xml:space="preserve"> naplate troškova za energiju te način</w:t>
      </w:r>
      <w:r>
        <w:t>a</w:t>
      </w:r>
      <w:r w:rsidRPr="008924E0">
        <w:t xml:space="preserve"> dostavljanja odgovarajućih informacija o potrošnji energije krajnjim kupcima;</w:t>
      </w:r>
    </w:p>
    <w:p w14:paraId="64063433" w14:textId="77777777" w:rsidR="00A77633" w:rsidRPr="008924E0" w:rsidRDefault="00A77633" w:rsidP="00581C1C">
      <w:pPr>
        <w:pStyle w:val="ListParagraph"/>
        <w:numPr>
          <w:ilvl w:val="0"/>
          <w:numId w:val="72"/>
        </w:numPr>
        <w:spacing w:after="120" w:line="276" w:lineRule="auto"/>
        <w:ind w:left="1075"/>
      </w:pPr>
      <w:r w:rsidRPr="008924E0">
        <w:t xml:space="preserve">Donošenje pravnih propisa koji će omogućiti financiranje obnove zgrada putem sklapanja ugovora o otplati investicija u obnovu kroz ostvarene uštede u energiji </w:t>
      </w:r>
      <w:r w:rsidRPr="008924E0">
        <w:rPr>
          <w:i/>
          <w:iCs/>
        </w:rPr>
        <w:t>(eng. Energy Performance Contract)</w:t>
      </w:r>
      <w:r w:rsidRPr="008924E0">
        <w:t xml:space="preserve"> između javnih institucija/domaćinstava i ESCO </w:t>
      </w:r>
      <w:r w:rsidRPr="008924E0">
        <w:rPr>
          <w:i/>
          <w:iCs/>
        </w:rPr>
        <w:t>(eng. Energy Service Company).</w:t>
      </w:r>
      <w:r w:rsidRPr="008924E0">
        <w:t xml:space="preserve"> </w:t>
      </w:r>
    </w:p>
    <w:p w14:paraId="66249194" w14:textId="549BE91C" w:rsidR="00A77633" w:rsidRPr="008924E0" w:rsidRDefault="00A77633" w:rsidP="00581C1C">
      <w:pPr>
        <w:pStyle w:val="ListParagraph"/>
        <w:numPr>
          <w:ilvl w:val="0"/>
          <w:numId w:val="72"/>
        </w:numPr>
        <w:spacing w:after="120" w:line="276" w:lineRule="auto"/>
        <w:ind w:left="1075" w:right="32"/>
      </w:pPr>
      <w:r w:rsidRPr="008924E0">
        <w:t>Obezb</w:t>
      </w:r>
      <w:r>
        <w:t>j</w:t>
      </w:r>
      <w:r w:rsidRPr="008924E0">
        <w:t xml:space="preserve">eđivanje </w:t>
      </w:r>
      <w:r w:rsidR="007B690C">
        <w:t>financ</w:t>
      </w:r>
      <w:r w:rsidRPr="008924E0">
        <w:t xml:space="preserve">ijskih podsticaja za energijsku obnovu komercijalnih zgrada; </w:t>
      </w:r>
    </w:p>
    <w:p w14:paraId="0EE61F3A" w14:textId="77777777" w:rsidR="00A77633" w:rsidRPr="008924E0" w:rsidRDefault="00A77633" w:rsidP="00581C1C">
      <w:pPr>
        <w:pStyle w:val="ListParagraph"/>
        <w:numPr>
          <w:ilvl w:val="0"/>
          <w:numId w:val="72"/>
        </w:numPr>
        <w:spacing w:after="120" w:line="276" w:lineRule="auto"/>
        <w:ind w:left="1075" w:right="32"/>
      </w:pPr>
      <w:r w:rsidRPr="00A05CC8">
        <w:t xml:space="preserve">Definiranje politika i mjera za zaštitu </w:t>
      </w:r>
      <w:r w:rsidRPr="001C0A80">
        <w:t>posebno ugroženih kategorija stanovništva</w:t>
      </w:r>
      <w:r w:rsidRPr="008924E0">
        <w:t xml:space="preserve">; </w:t>
      </w:r>
    </w:p>
    <w:p w14:paraId="2D48BA5B" w14:textId="5C7203D9" w:rsidR="00A77633" w:rsidRPr="008924E0" w:rsidRDefault="00A77633" w:rsidP="00581C1C">
      <w:pPr>
        <w:pStyle w:val="ListParagraph"/>
        <w:numPr>
          <w:ilvl w:val="0"/>
          <w:numId w:val="72"/>
        </w:numPr>
        <w:spacing w:after="120" w:line="276" w:lineRule="auto"/>
        <w:ind w:left="1075" w:right="32"/>
      </w:pPr>
      <w:r w:rsidRPr="008924E0">
        <w:t xml:space="preserve">Razvoj i uspostavljanje fondova za </w:t>
      </w:r>
      <w:r w:rsidR="007B690C">
        <w:t>financ</w:t>
      </w:r>
      <w:r w:rsidRPr="008924E0">
        <w:t xml:space="preserve">iranje mjera za zaštitu posebno ugroženih kategorija stanovništva na nivou svih kantona koja će osim budžetskih sredstava, koristiti sredstva EU </w:t>
      </w:r>
      <w:r w:rsidRPr="008924E0">
        <w:lastRenderedPageBreak/>
        <w:t>fondova raspoloživa za BiH kroz instrumente pristupne pomoći, kako bi se potaknula energijska obnova ovakvih zgrada;</w:t>
      </w:r>
    </w:p>
    <w:p w14:paraId="5A21F712" w14:textId="3A3C2083" w:rsidR="00A77633" w:rsidRPr="008924E0" w:rsidRDefault="00A77633" w:rsidP="00581C1C">
      <w:pPr>
        <w:pStyle w:val="ListParagraph"/>
        <w:numPr>
          <w:ilvl w:val="0"/>
          <w:numId w:val="72"/>
        </w:numPr>
        <w:spacing w:after="120" w:line="276" w:lineRule="auto"/>
        <w:ind w:left="1075"/>
      </w:pPr>
      <w:r w:rsidRPr="008924E0">
        <w:t>Izmjene i dopune relevantnih zakona u smislu uvođenja dodatnih naknada i taksi (CO</w:t>
      </w:r>
      <w:r w:rsidRPr="00D00837">
        <w:rPr>
          <w:vertAlign w:val="subscript"/>
        </w:rPr>
        <w:t>2</w:t>
      </w:r>
      <w:r w:rsidRPr="008924E0">
        <w:t xml:space="preserve">  i energijske takse) kojim će se obezbijediti dodatna sredstva za </w:t>
      </w:r>
      <w:r w:rsidR="007B690C">
        <w:t>financ</w:t>
      </w:r>
      <w:r w:rsidRPr="008924E0">
        <w:t>iranje energijske efikasnosti (izvjesno je da će u budućnosti sredstva dobivena od prodaje emisijskih jedinica biti značajan izvor prihoda za suzbijanje energijskog siromaštva);</w:t>
      </w:r>
    </w:p>
    <w:p w14:paraId="6410485A" w14:textId="77777777" w:rsidR="00A77633" w:rsidRPr="00EA558B" w:rsidRDefault="00A77633" w:rsidP="00581C1C">
      <w:pPr>
        <w:pStyle w:val="ListParagraph"/>
        <w:numPr>
          <w:ilvl w:val="0"/>
          <w:numId w:val="72"/>
        </w:numPr>
        <w:spacing w:after="120" w:line="276" w:lineRule="auto"/>
        <w:ind w:left="1075"/>
      </w:pPr>
      <w:r w:rsidRPr="00EA558B">
        <w:t>Povećanje korištenja EU fondova dostupnih za BiH kroz izgradnju kapaciteta za pripremu projektnih aplikacija</w:t>
      </w:r>
      <w:r>
        <w:t>;</w:t>
      </w:r>
    </w:p>
    <w:p w14:paraId="5FB4843A" w14:textId="44A520C5" w:rsidR="00A77633" w:rsidRDefault="00A77633" w:rsidP="00581C1C">
      <w:pPr>
        <w:pStyle w:val="ListParagraph"/>
        <w:numPr>
          <w:ilvl w:val="0"/>
          <w:numId w:val="72"/>
        </w:numPr>
        <w:spacing w:after="120" w:line="276" w:lineRule="auto"/>
        <w:ind w:left="1075"/>
      </w:pPr>
      <w:r w:rsidRPr="008924E0">
        <w:t xml:space="preserve">Uspostavljanje programa </w:t>
      </w:r>
      <w:r w:rsidR="007B690C">
        <w:t>financ</w:t>
      </w:r>
      <w:r w:rsidRPr="008924E0">
        <w:t>iranja energijske obnove zgrada sa statusom nacionalnih spomenika;</w:t>
      </w:r>
    </w:p>
    <w:p w14:paraId="2B41959D" w14:textId="77777777" w:rsidR="00A77633" w:rsidRPr="007E53AE" w:rsidRDefault="00A77633" w:rsidP="00581C1C">
      <w:pPr>
        <w:pStyle w:val="ListParagraph"/>
        <w:numPr>
          <w:ilvl w:val="0"/>
          <w:numId w:val="72"/>
        </w:numPr>
        <w:spacing w:after="120" w:line="276" w:lineRule="auto"/>
        <w:ind w:left="1075"/>
      </w:pPr>
      <w:r w:rsidRPr="007E53AE">
        <w:t>Povećanje korištenja međunarodnih fondova namjenjenih za zgrade  sa statusom nacionalnih spomenika, kroz izgradnju kapaciteta za pripremu projektnih aplikacija.</w:t>
      </w:r>
    </w:p>
    <w:p w14:paraId="0E157B22" w14:textId="77777777" w:rsidR="00A77633" w:rsidRPr="007E53AE" w:rsidRDefault="00A77633" w:rsidP="005D2C94">
      <w:pPr>
        <w:spacing w:after="120" w:line="276" w:lineRule="auto"/>
        <w:ind w:right="32"/>
      </w:pPr>
      <w:proofErr w:type="spellStart"/>
      <w:r w:rsidRPr="007E53AE">
        <w:t>Implementacija</w:t>
      </w:r>
      <w:proofErr w:type="spellEnd"/>
      <w:r w:rsidRPr="007E53AE">
        <w:t xml:space="preserve"> </w:t>
      </w:r>
      <w:proofErr w:type="spellStart"/>
      <w:r w:rsidRPr="007E53AE">
        <w:t>ove</w:t>
      </w:r>
      <w:proofErr w:type="spellEnd"/>
      <w:r w:rsidRPr="007E53AE">
        <w:t xml:space="preserve"> </w:t>
      </w:r>
      <w:proofErr w:type="spellStart"/>
      <w:r w:rsidRPr="007E53AE">
        <w:t>mjere</w:t>
      </w:r>
      <w:proofErr w:type="spellEnd"/>
      <w:r w:rsidRPr="007E53AE">
        <w:t xml:space="preserve"> </w:t>
      </w:r>
      <w:proofErr w:type="spellStart"/>
      <w:r w:rsidRPr="007E53AE">
        <w:t>rezultirat</w:t>
      </w:r>
      <w:proofErr w:type="spellEnd"/>
      <w:r w:rsidRPr="007E53AE">
        <w:t xml:space="preserve"> </w:t>
      </w:r>
      <w:proofErr w:type="spellStart"/>
      <w:r w:rsidRPr="007E53AE">
        <w:t>će</w:t>
      </w:r>
      <w:proofErr w:type="spellEnd"/>
      <w:r w:rsidRPr="007E53AE">
        <w:t>:</w:t>
      </w:r>
    </w:p>
    <w:p w14:paraId="69218BAF" w14:textId="7453AE42" w:rsidR="00A77633" w:rsidRPr="00DD2143" w:rsidRDefault="007B690C" w:rsidP="00581C1C">
      <w:pPr>
        <w:pStyle w:val="ListParagraph"/>
        <w:numPr>
          <w:ilvl w:val="0"/>
          <w:numId w:val="80"/>
        </w:numPr>
        <w:spacing w:after="120" w:line="276" w:lineRule="auto"/>
      </w:pPr>
      <w:r>
        <w:t>financ</w:t>
      </w:r>
      <w:r w:rsidR="00A77633" w:rsidRPr="00DD2143">
        <w:t xml:space="preserve">ijskom podrškom energijskoj obnovi stambenih zgrada i povećanju održivih investicija; </w:t>
      </w:r>
    </w:p>
    <w:p w14:paraId="46F8AB97" w14:textId="44EDC4E9" w:rsidR="00A77633" w:rsidRPr="00DD2143" w:rsidRDefault="007B690C" w:rsidP="00581C1C">
      <w:pPr>
        <w:pStyle w:val="ListParagraph"/>
        <w:numPr>
          <w:ilvl w:val="0"/>
          <w:numId w:val="80"/>
        </w:numPr>
        <w:spacing w:after="120" w:line="276" w:lineRule="auto"/>
      </w:pPr>
      <w:r>
        <w:t>financ</w:t>
      </w:r>
      <w:r w:rsidR="00A77633" w:rsidRPr="00DD2143">
        <w:t>ijskom podrškom energijskoj obnovi komercijalnih zgrada, te razvoju održivog turizma i uslužnih djelatnosti;</w:t>
      </w:r>
    </w:p>
    <w:p w14:paraId="4CDB92BA" w14:textId="75D22BC7" w:rsidR="00A77633" w:rsidRPr="00DD2143" w:rsidRDefault="00A77633" w:rsidP="00581C1C">
      <w:pPr>
        <w:pStyle w:val="ListParagraph"/>
        <w:numPr>
          <w:ilvl w:val="0"/>
          <w:numId w:val="80"/>
        </w:numPr>
        <w:spacing w:after="120" w:line="276" w:lineRule="auto"/>
      </w:pPr>
      <w:r w:rsidRPr="00DD2143">
        <w:t xml:space="preserve"> </w:t>
      </w:r>
      <w:r w:rsidR="007B690C">
        <w:t>financ</w:t>
      </w:r>
      <w:r w:rsidRPr="00DD2143">
        <w:t>ijskom podrškom za posebno ugrožene kategorije stanovništva i smanjenjem energijskog siromaštva;</w:t>
      </w:r>
    </w:p>
    <w:p w14:paraId="1E98BF5E" w14:textId="77777777" w:rsidR="00A77633" w:rsidRPr="00DD2143" w:rsidRDefault="00A77633" w:rsidP="00581C1C">
      <w:pPr>
        <w:pStyle w:val="ListParagraph"/>
        <w:numPr>
          <w:ilvl w:val="0"/>
          <w:numId w:val="80"/>
        </w:numPr>
        <w:spacing w:after="120" w:line="276" w:lineRule="auto"/>
      </w:pPr>
      <w:r w:rsidRPr="00DD2143">
        <w:t>zaštit</w:t>
      </w:r>
      <w:r w:rsidRPr="007E53AE">
        <w:t>om</w:t>
      </w:r>
      <w:r w:rsidRPr="00DD2143">
        <w:t>, očuvanje</w:t>
      </w:r>
      <w:r w:rsidRPr="007E53AE">
        <w:t>m</w:t>
      </w:r>
      <w:r w:rsidRPr="00DD2143">
        <w:t xml:space="preserve"> i unapređenje</w:t>
      </w:r>
      <w:r w:rsidRPr="007E53AE">
        <w:t>m</w:t>
      </w:r>
      <w:r w:rsidRPr="00DD2143">
        <w:t xml:space="preserve"> zgrad</w:t>
      </w:r>
      <w:r w:rsidRPr="007E53AE">
        <w:t>a</w:t>
      </w:r>
      <w:r w:rsidRPr="00DD2143">
        <w:t xml:space="preserve"> sa statusom nacionalnih spomenika </w:t>
      </w:r>
      <w:r w:rsidRPr="007E53AE">
        <w:t>te</w:t>
      </w:r>
      <w:r w:rsidRPr="00DD2143">
        <w:t xml:space="preserve"> njihov</w:t>
      </w:r>
      <w:r w:rsidRPr="007E53AE">
        <w:t>im</w:t>
      </w:r>
      <w:r w:rsidRPr="00DD2143">
        <w:t xml:space="preserve"> dalj</w:t>
      </w:r>
      <w:r w:rsidRPr="007E53AE">
        <w:t>im</w:t>
      </w:r>
      <w:r w:rsidRPr="00DD2143">
        <w:t xml:space="preserve"> korištenj</w:t>
      </w:r>
      <w:r w:rsidRPr="007E53AE">
        <w:t>em</w:t>
      </w:r>
      <w:r w:rsidRPr="00DD2143">
        <w:t xml:space="preserve"> na održiv</w:t>
      </w:r>
      <w:r w:rsidRPr="007E53AE">
        <w:t>iji</w:t>
      </w:r>
      <w:r w:rsidRPr="00DD2143">
        <w:t xml:space="preserve"> način</w:t>
      </w:r>
      <w:r w:rsidRPr="007E53AE">
        <w:t>,</w:t>
      </w:r>
    </w:p>
    <w:p w14:paraId="64F22BCC" w14:textId="77777777" w:rsidR="00A77633" w:rsidRPr="00DD2143" w:rsidRDefault="00A77633" w:rsidP="00581C1C">
      <w:pPr>
        <w:pStyle w:val="ListParagraph"/>
        <w:numPr>
          <w:ilvl w:val="0"/>
          <w:numId w:val="80"/>
        </w:numPr>
        <w:spacing w:after="120" w:line="276" w:lineRule="auto"/>
      </w:pPr>
      <w:r w:rsidRPr="00DD2143">
        <w:t>ispunjavanjem indikativnih ciljeva unaprijeđenja energijske efikasnosti;</w:t>
      </w:r>
    </w:p>
    <w:p w14:paraId="39872938" w14:textId="77777777" w:rsidR="00A77633" w:rsidRPr="00DA432D" w:rsidRDefault="00A77633" w:rsidP="00581C1C">
      <w:pPr>
        <w:pStyle w:val="ListParagraph"/>
        <w:numPr>
          <w:ilvl w:val="0"/>
          <w:numId w:val="80"/>
        </w:numPr>
        <w:spacing w:after="120" w:line="276" w:lineRule="auto"/>
      </w:pPr>
      <w:r w:rsidRPr="007E53AE">
        <w:t>upošljavanjem</w:t>
      </w:r>
      <w:r w:rsidRPr="00DD2143">
        <w:t xml:space="preserve"> postojeće građevinske operative i nove radne snage</w:t>
      </w:r>
      <w:r>
        <w:t xml:space="preserve"> u procesu obnove</w:t>
      </w:r>
      <w:r w:rsidRPr="00DD2143">
        <w:t>, te privrednom razvoju FBiH.</w:t>
      </w:r>
    </w:p>
    <w:p w14:paraId="114529B4" w14:textId="77777777" w:rsidR="00A77633" w:rsidRPr="008924E0" w:rsidRDefault="00A77633" w:rsidP="00A77633">
      <w:pPr>
        <w:pStyle w:val="Heading2"/>
        <w:numPr>
          <w:ilvl w:val="0"/>
          <w:numId w:val="0"/>
        </w:numPr>
        <w:ind w:left="1260" w:hanging="1260"/>
        <w:rPr>
          <w:sz w:val="22"/>
          <w:szCs w:val="22"/>
          <w:lang w:val="bs-Latn-BA"/>
        </w:rPr>
      </w:pPr>
      <w:bookmarkStart w:id="148" w:name="_Toc134011778"/>
      <w:r w:rsidRPr="008924E0">
        <w:rPr>
          <w:sz w:val="22"/>
          <w:szCs w:val="22"/>
          <w:lang w:val="bs-Latn-BA"/>
        </w:rPr>
        <w:t>Mjera 1.</w:t>
      </w:r>
      <w:r>
        <w:rPr>
          <w:sz w:val="22"/>
          <w:szCs w:val="22"/>
          <w:lang w:val="bs-Latn-BA"/>
        </w:rPr>
        <w:t>1.4</w:t>
      </w:r>
      <w:r w:rsidRPr="008924E0">
        <w:rPr>
          <w:sz w:val="22"/>
          <w:szCs w:val="22"/>
          <w:lang w:val="bs-Latn-BA"/>
        </w:rPr>
        <w:t xml:space="preserve">. </w:t>
      </w:r>
      <w:r w:rsidRPr="00292900">
        <w:rPr>
          <w:sz w:val="22"/>
          <w:szCs w:val="22"/>
          <w:lang w:val="bs-Latn-BA"/>
        </w:rPr>
        <w:t>Energijski obnoviti postojeći fond zgrada</w:t>
      </w:r>
      <w:bookmarkEnd w:id="148"/>
    </w:p>
    <w:p w14:paraId="255DA87F" w14:textId="548DC709" w:rsidR="00A77633" w:rsidRPr="008924E0" w:rsidRDefault="00A77633" w:rsidP="005D2C94">
      <w:pPr>
        <w:spacing w:after="120" w:line="276" w:lineRule="auto"/>
        <w:rPr>
          <w:lang w:val="bs-Latn-BA"/>
        </w:rPr>
      </w:pPr>
      <w:r w:rsidRPr="008924E0">
        <w:rPr>
          <w:lang w:val="bs-Latn-BA"/>
        </w:rPr>
        <w:t>Generalno, fond zgrada u FBiH se može ocijeniti kao energijski neefikasan i među najlošijim u E</w:t>
      </w:r>
      <w:r>
        <w:rPr>
          <w:lang w:val="bs-Latn-BA"/>
        </w:rPr>
        <w:t>u</w:t>
      </w:r>
      <w:r w:rsidRPr="008924E0">
        <w:rPr>
          <w:lang w:val="bs-Latn-BA"/>
        </w:rPr>
        <w:t xml:space="preserve">ropi, posebno kada su u pitanju stambene zgrade. </w:t>
      </w:r>
      <w:r w:rsidR="00F64EC0">
        <w:rPr>
          <w:lang w:val="bs-Latn-BA"/>
        </w:rPr>
        <w:t>plinova</w:t>
      </w:r>
      <w:r w:rsidRPr="008924E0">
        <w:rPr>
          <w:lang w:val="bs-Latn-BA"/>
        </w:rPr>
        <w:t>Energijske karakteristike javnih zgrada u najvećoj mjeri ne zadovoljavaju dopuštene vrijednosti specifične potrebne energije za grijanje, te se</w:t>
      </w:r>
      <w:r w:rsidR="009F3597">
        <w:rPr>
          <w:lang w:val="bs-Latn-BA"/>
        </w:rPr>
        <w:t xml:space="preserve"> i</w:t>
      </w:r>
      <w:r w:rsidRPr="008924E0">
        <w:rPr>
          <w:lang w:val="bs-Latn-BA"/>
        </w:rPr>
        <w:t xml:space="preserve"> fond javnih zgrada u FBiH može ocijeniti kao energijski neefikasan.</w:t>
      </w:r>
    </w:p>
    <w:p w14:paraId="1515DC44" w14:textId="4833A409" w:rsidR="00A77633" w:rsidRPr="008924E0" w:rsidRDefault="00A77633" w:rsidP="005D2C94">
      <w:pPr>
        <w:spacing w:after="120" w:line="276" w:lineRule="auto"/>
        <w:rPr>
          <w:lang w:val="bs-Latn-BA"/>
        </w:rPr>
      </w:pPr>
      <w:r w:rsidRPr="008924E0">
        <w:rPr>
          <w:lang w:val="bs-Latn-BA"/>
        </w:rPr>
        <w:t xml:space="preserve">Direktiva 2010/31/EU o energijskim karakteristikama zgrada (EPBD) potvrđuje </w:t>
      </w:r>
      <w:r w:rsidR="00F03625">
        <w:rPr>
          <w:lang w:val="bs-Latn-BA"/>
        </w:rPr>
        <w:t>obvez</w:t>
      </w:r>
      <w:r w:rsidRPr="008924E0">
        <w:rPr>
          <w:lang w:val="bs-Latn-BA"/>
        </w:rPr>
        <w:t xml:space="preserve">u izrade dugoročne strategije obnove zgrada s naglaskom da se strategijom moraju utvrditi ciljevi da do 2050. godine cijeli građevinski fond zgrada postane energijski visokefikasan i dekarboniziran, te da se kroz troškovno efikasne mjere omogući da sve zgrade budu zgrade gotovo nulte energije. </w:t>
      </w:r>
      <w:bookmarkStart w:id="149" w:name="_Hlk126071984"/>
    </w:p>
    <w:p w14:paraId="02AFE52A" w14:textId="77777777" w:rsidR="00A77633" w:rsidRPr="008924E0" w:rsidRDefault="00A77633" w:rsidP="005D2C94">
      <w:pPr>
        <w:spacing w:after="120" w:line="276" w:lineRule="auto"/>
        <w:ind w:right="29"/>
        <w:rPr>
          <w:lang w:val="bs-Latn-BA"/>
        </w:rPr>
      </w:pPr>
      <w:r w:rsidRPr="008924E0">
        <w:rPr>
          <w:lang w:val="bs-Latn-BA"/>
        </w:rPr>
        <w:t xml:space="preserve">Strategija obnove zgrada, prilika je za provođenje sveobuhvatne obnove koja obuhvata optimalne mjere poboljšanja postojećeg stanja zgrade te osim mjera EE uključuje i mjere poput povećanja sigurnosti u slučaju požara, mjere za osiguravanje zdravih unutarnjih klimatskih uvjeta, mjere za unapređenje </w:t>
      </w:r>
      <w:r w:rsidRPr="008924E0">
        <w:rPr>
          <w:lang w:val="bs-Latn-BA"/>
        </w:rPr>
        <w:lastRenderedPageBreak/>
        <w:t xml:space="preserve">mehaničke otpornosti i stabilnosti zgrade, posebno u smislu smanjenja rizika povezanih s djelovanjem potresa. </w:t>
      </w:r>
      <w:bookmarkEnd w:id="149"/>
      <w:r w:rsidRPr="008924E0">
        <w:rPr>
          <w:lang w:val="bs-Latn-BA"/>
        </w:rPr>
        <w:t>Cilj ove mjere je omogućiti energijsku obnovu stambenih zgrada na području FBiH, donošenjem okvirnog programa koji će definirati metodologiju, sadržaj i nosioce pripreme planova energijske obnove stambenih zgrada, a koji će biti doneseni i provedeni na nivou svih kantona u FBiH.</w:t>
      </w:r>
    </w:p>
    <w:p w14:paraId="30F7222C" w14:textId="14B1317E" w:rsidR="00A77633" w:rsidRPr="008924E0" w:rsidRDefault="00A77633" w:rsidP="005D2C94">
      <w:pPr>
        <w:spacing w:after="120" w:line="276" w:lineRule="auto"/>
        <w:ind w:left="1" w:right="32"/>
        <w:rPr>
          <w:lang w:val="bs-Latn-BA"/>
        </w:rPr>
      </w:pPr>
      <w:r w:rsidRPr="008924E0">
        <w:rPr>
          <w:lang w:val="bs-Latn-BA"/>
        </w:rPr>
        <w:t xml:space="preserve">Obzirom da je stambena politika u nadležnosti kantona, okvirni program ponudit će između ostalog podatke o očekivanim rezultatima obnove stambenih zgrada po kantonima (preuzete iz Strategije obnove), te dati detaljne instrukcije kantonalnim ministarstvima prostornog uređenja za pripremu planova energijske obnove individualnih i zgrada kolektivnog stanovanja, i njihovu provedbu na nivou svih kantona. </w:t>
      </w:r>
      <w:r>
        <w:rPr>
          <w:lang w:val="bs-Latn-BA"/>
        </w:rPr>
        <w:t>O</w:t>
      </w:r>
      <w:r w:rsidRPr="008924E0">
        <w:rPr>
          <w:lang w:val="bs-Latn-BA"/>
        </w:rPr>
        <w:t xml:space="preserve">va mjera će omogućiti energijsku obnovu stambenih zgrada individualnog i kolektivnog stanovanja, uz donošenje i provedbu plana koji će definirati i detaljnije razraditi obim radova, dinamiku i način </w:t>
      </w:r>
      <w:r w:rsidR="007B690C">
        <w:rPr>
          <w:lang w:val="bs-Latn-BA"/>
        </w:rPr>
        <w:t>financ</w:t>
      </w:r>
      <w:r w:rsidRPr="008924E0">
        <w:rPr>
          <w:lang w:val="bs-Latn-BA"/>
        </w:rPr>
        <w:t>iranja implementacije mjera EE kao što su: toplinska izolacija vanjskih zidova objekta, toplinska izolacija krova/stropa  prema negrijanom potkrovlju, toplinska izolacija podova na tlu, zamjena vanjske stolarije sa stolarijom boljih energijskih karakteristika, instalacija termostatskih i hidrauličkih balansnih ventila kao i u zamjenu energijski neefikasnih sistema/uređaja za grijanje i hlađenje, gdje je to primjenjivo.</w:t>
      </w:r>
    </w:p>
    <w:p w14:paraId="13E6C862" w14:textId="44DA6458" w:rsidR="00A77633" w:rsidRPr="008924E0" w:rsidRDefault="00A77633" w:rsidP="005D2C94">
      <w:pPr>
        <w:spacing w:after="120" w:line="276" w:lineRule="auto"/>
        <w:ind w:left="1" w:right="32"/>
        <w:rPr>
          <w:lang w:val="bs-Latn-BA"/>
        </w:rPr>
      </w:pPr>
      <w:r w:rsidRPr="008924E0">
        <w:rPr>
          <w:lang w:val="bs-Latn-BA"/>
        </w:rPr>
        <w:t xml:space="preserve">Iako su se dosadašnje aktivnosti na energijskoj obnovi zgrada u FBiH uglavnom fokusirale na javne zgrade upravo zbog činjenice da su sredstva stranih  donatora prvenstveno bila usmjerena na javni sektor, cilj ove mjere je omogućiti energijsku obnovu svih javnih zgrada, uz donošenje i provedbu programa koji će definirati i detaljno razraditi obim radova, dinamiku i način </w:t>
      </w:r>
      <w:r w:rsidR="007B690C">
        <w:rPr>
          <w:lang w:val="bs-Latn-BA"/>
        </w:rPr>
        <w:t>financ</w:t>
      </w:r>
      <w:r w:rsidRPr="008924E0">
        <w:rPr>
          <w:lang w:val="bs-Latn-BA"/>
        </w:rPr>
        <w:t>iranja implementacije mjera EE</w:t>
      </w:r>
      <w:r>
        <w:rPr>
          <w:lang w:val="bs-Latn-BA"/>
        </w:rPr>
        <w:t>.</w:t>
      </w:r>
    </w:p>
    <w:p w14:paraId="17A20C47" w14:textId="77777777" w:rsidR="00A77633" w:rsidRPr="008924E0" w:rsidRDefault="00A77633" w:rsidP="005D2C94">
      <w:pPr>
        <w:spacing w:after="120" w:line="276" w:lineRule="auto"/>
        <w:ind w:right="32"/>
        <w:rPr>
          <w:lang w:val="bs-Latn-BA"/>
        </w:rPr>
      </w:pPr>
      <w:r w:rsidRPr="008924E0">
        <w:rPr>
          <w:lang w:val="bs-Latn-BA"/>
        </w:rPr>
        <w:t>Komercijalne zgrade u ukupnoj površini nestambenog fonda, sudjeluju sa gotovo 60%. Iako se radi o zgradama čiji vlasnici prepoznaju značaj održive gradnje i zelenih investicija, tačna evidencija ovih zgrada nije uspostavljenja na nivou kantona/općina, pa tako nisu raspoloživi ni podaci o njihovim energijskim karakteristikama.  Upravo iz tog razloga, neophodno je donošenje okvirnog programa koji će definirati metodologiju, sadržaj i nosioce pripreme planova energijske obnove komercijalnih zgrada, a koji će biti doneseni i provedeni na nivou svih kantona u FBiH.</w:t>
      </w:r>
      <w:r>
        <w:rPr>
          <w:lang w:val="bs-Latn-BA"/>
        </w:rPr>
        <w:t xml:space="preserve"> </w:t>
      </w:r>
      <w:r w:rsidRPr="008924E0">
        <w:rPr>
          <w:lang w:val="bs-Latn-BA"/>
        </w:rPr>
        <w:t>Okvirni program ponudit će između ostalog podatke o očekivanim rezultatima obnove komercijalnih zgrada po kantonima (preuzete iz Strategije obnove), te dati detaljne instrukcije kantonalnim ministarstvima prostornog uređenja da u saradnji sa kantonalnim ministarstvima privrede  pripreme planove energijske obnove komercijalnih zgrada, i provedbu ih na nivou svih kantona.</w:t>
      </w:r>
    </w:p>
    <w:p w14:paraId="3EBDCDDE" w14:textId="16FE041A" w:rsidR="00A77633" w:rsidRPr="007F4F23" w:rsidRDefault="00A77633" w:rsidP="005D2C94">
      <w:pPr>
        <w:spacing w:after="120" w:line="276" w:lineRule="auto"/>
        <w:rPr>
          <w:rFonts w:asciiTheme="minorHAnsi" w:hAnsiTheme="minorHAnsi" w:cstheme="minorHAnsi"/>
          <w:color w:val="000000"/>
          <w:lang w:val="bs-Latn-BA"/>
        </w:rPr>
      </w:pPr>
      <w:r w:rsidRPr="008924E0">
        <w:rPr>
          <w:rFonts w:asciiTheme="minorHAnsi" w:hAnsiTheme="minorHAnsi" w:cstheme="minorHAnsi"/>
          <w:color w:val="000000"/>
          <w:lang w:val="bs-Latn-BA"/>
        </w:rPr>
        <w:t>Nacionalni spomenici su dobra od najviše vrijednosti i značaja za državu Bosnu i Hercegovinu</w:t>
      </w:r>
      <w:r>
        <w:rPr>
          <w:rFonts w:asciiTheme="minorHAnsi" w:hAnsiTheme="minorHAnsi" w:cstheme="minorHAnsi"/>
          <w:color w:val="000000"/>
          <w:lang w:val="bs-Latn-BA"/>
        </w:rPr>
        <w:t xml:space="preserve">, </w:t>
      </w:r>
      <w:r w:rsidRPr="007F4F23">
        <w:rPr>
          <w:rFonts w:asciiTheme="minorHAnsi" w:hAnsiTheme="minorHAnsi" w:cstheme="minorHAnsi"/>
          <w:color w:val="000000"/>
          <w:lang w:val="bs-Latn-BA"/>
        </w:rPr>
        <w:t xml:space="preserve">koja su od strane  Komisije za očuvanje nacionalnih spomenika proglašena nacionalnim spomenikom u skladu sa čl. V i VI Aneksa 8. Općeg okvirnog sporazuma za mir u Bosni i Hercegovini, kao i dobra upisana na Privremenu listu nacionalnih spomenika Bosne i Hercegovine (“Službeni </w:t>
      </w:r>
      <w:r w:rsidR="00357E19">
        <w:rPr>
          <w:rFonts w:asciiTheme="minorHAnsi" w:hAnsiTheme="minorHAnsi" w:cstheme="minorHAnsi"/>
          <w:color w:val="000000"/>
          <w:lang w:val="bs-Latn-BA"/>
        </w:rPr>
        <w:t>list</w:t>
      </w:r>
      <w:r w:rsidRPr="007F4F23">
        <w:rPr>
          <w:rFonts w:asciiTheme="minorHAnsi" w:hAnsiTheme="minorHAnsi" w:cstheme="minorHAnsi"/>
          <w:color w:val="000000"/>
          <w:lang w:val="bs-Latn-BA"/>
        </w:rPr>
        <w:t xml:space="preserve"> BiH“, broj 33/02).</w:t>
      </w:r>
      <w:r>
        <w:rPr>
          <w:rFonts w:asciiTheme="minorHAnsi" w:hAnsiTheme="minorHAnsi" w:cstheme="minorHAnsi"/>
          <w:color w:val="000000"/>
          <w:lang w:val="bs-Latn-BA"/>
        </w:rPr>
        <w:t xml:space="preserve"> </w:t>
      </w:r>
      <w:r w:rsidRPr="007F4F23">
        <w:rPr>
          <w:rFonts w:asciiTheme="minorHAnsi" w:hAnsiTheme="minorHAnsi" w:cstheme="minorHAnsi"/>
          <w:color w:val="000000"/>
          <w:lang w:val="bs-Latn-BA"/>
        </w:rPr>
        <w:t>Odluke o utvrđivanju nacionalnog spomenika donosi Komisija za očuvanje nacionalnih spomenika BiH na osnovi Pravilnika o kriterijima vrednovanja, podjele i kategorizacije nacionalnih spomenika.</w:t>
      </w:r>
      <w:r>
        <w:rPr>
          <w:rFonts w:asciiTheme="minorHAnsi" w:hAnsiTheme="minorHAnsi" w:cstheme="minorHAnsi"/>
          <w:color w:val="000000"/>
          <w:lang w:val="bs-Latn-BA"/>
        </w:rPr>
        <w:t xml:space="preserve"> </w:t>
      </w:r>
      <w:r w:rsidRPr="007F4F23">
        <w:rPr>
          <w:rFonts w:asciiTheme="minorHAnsi" w:hAnsiTheme="minorHAnsi" w:cstheme="minorHAnsi"/>
          <w:color w:val="000000"/>
          <w:lang w:val="bs-Latn-BA"/>
        </w:rPr>
        <w:t>Nacionalni spomenici uživaju najviši stepen pravne zaštite utvrđene posebnim zakonima u Federaciji Bosne i Hercegovine.</w:t>
      </w:r>
      <w:r>
        <w:rPr>
          <w:rFonts w:asciiTheme="minorHAnsi" w:hAnsiTheme="minorHAnsi" w:cstheme="minorHAnsi"/>
          <w:color w:val="000000"/>
          <w:lang w:val="bs-Latn-BA"/>
        </w:rPr>
        <w:t xml:space="preserve"> </w:t>
      </w:r>
      <w:r w:rsidRPr="007F4F23">
        <w:rPr>
          <w:rFonts w:asciiTheme="minorHAnsi" w:hAnsiTheme="minorHAnsi" w:cstheme="minorHAnsi"/>
          <w:color w:val="000000"/>
          <w:lang w:val="bs-Latn-BA"/>
        </w:rPr>
        <w:t>Nadležn</w:t>
      </w:r>
      <w:r>
        <w:rPr>
          <w:rFonts w:asciiTheme="minorHAnsi" w:hAnsiTheme="minorHAnsi" w:cstheme="minorHAnsi"/>
          <w:color w:val="000000"/>
          <w:lang w:val="bs-Latn-BA"/>
        </w:rPr>
        <w:t xml:space="preserve">im </w:t>
      </w:r>
      <w:r w:rsidRPr="007F4F23">
        <w:rPr>
          <w:rFonts w:asciiTheme="minorHAnsi" w:hAnsiTheme="minorHAnsi" w:cstheme="minorHAnsi"/>
          <w:color w:val="000000"/>
          <w:lang w:val="bs-Latn-BA"/>
        </w:rPr>
        <w:t xml:space="preserve"> tijel</w:t>
      </w:r>
      <w:r>
        <w:rPr>
          <w:rFonts w:asciiTheme="minorHAnsi" w:hAnsiTheme="minorHAnsi" w:cstheme="minorHAnsi"/>
          <w:color w:val="000000"/>
          <w:lang w:val="bs-Latn-BA"/>
        </w:rPr>
        <w:t>ima</w:t>
      </w:r>
      <w:r w:rsidRPr="007F4F23">
        <w:rPr>
          <w:rFonts w:asciiTheme="minorHAnsi" w:hAnsiTheme="minorHAnsi" w:cstheme="minorHAnsi"/>
          <w:color w:val="000000"/>
          <w:lang w:val="bs-Latn-BA"/>
        </w:rPr>
        <w:t xml:space="preserve"> Federacije, kantona i gradske i općinske službe </w:t>
      </w:r>
      <w:r>
        <w:rPr>
          <w:rFonts w:asciiTheme="minorHAnsi" w:hAnsiTheme="minorHAnsi" w:cstheme="minorHAnsi"/>
          <w:color w:val="000000"/>
          <w:lang w:val="bs-Latn-BA"/>
        </w:rPr>
        <w:t>nisu dozvoljene</w:t>
      </w:r>
      <w:r w:rsidRPr="007F4F23">
        <w:rPr>
          <w:rFonts w:asciiTheme="minorHAnsi" w:hAnsiTheme="minorHAnsi" w:cstheme="minorHAnsi"/>
          <w:color w:val="000000"/>
          <w:lang w:val="bs-Latn-BA"/>
        </w:rPr>
        <w:t xml:space="preserve"> bilo kakv</w:t>
      </w:r>
      <w:r>
        <w:rPr>
          <w:rFonts w:asciiTheme="minorHAnsi" w:hAnsiTheme="minorHAnsi" w:cstheme="minorHAnsi"/>
          <w:color w:val="000000"/>
          <w:lang w:val="bs-Latn-BA"/>
        </w:rPr>
        <w:t>e</w:t>
      </w:r>
      <w:r w:rsidRPr="007F4F23">
        <w:rPr>
          <w:rFonts w:asciiTheme="minorHAnsi" w:hAnsiTheme="minorHAnsi" w:cstheme="minorHAnsi"/>
          <w:color w:val="000000"/>
          <w:lang w:val="bs-Latn-BA"/>
        </w:rPr>
        <w:t xml:space="preserve"> radnj</w:t>
      </w:r>
      <w:r>
        <w:rPr>
          <w:rFonts w:asciiTheme="minorHAnsi" w:hAnsiTheme="minorHAnsi" w:cstheme="minorHAnsi"/>
          <w:color w:val="000000"/>
          <w:lang w:val="bs-Latn-BA"/>
        </w:rPr>
        <w:t>e</w:t>
      </w:r>
      <w:r w:rsidRPr="007F4F23">
        <w:rPr>
          <w:rFonts w:asciiTheme="minorHAnsi" w:hAnsiTheme="minorHAnsi" w:cstheme="minorHAnsi"/>
          <w:color w:val="000000"/>
          <w:lang w:val="bs-Latn-BA"/>
        </w:rPr>
        <w:t xml:space="preserve"> koje mogu oštetiti nacionalne spomenike ili dovesti u pitanje njihovu zaštitu i rehabilitaciju. </w:t>
      </w:r>
    </w:p>
    <w:p w14:paraId="128FA1D5" w14:textId="3940947E" w:rsidR="00A77633" w:rsidRPr="00DD2143" w:rsidRDefault="00A77633" w:rsidP="005D2C94">
      <w:pPr>
        <w:spacing w:after="120" w:line="276" w:lineRule="auto"/>
        <w:rPr>
          <w:rFonts w:asciiTheme="minorHAnsi" w:hAnsiTheme="minorHAnsi" w:cstheme="minorHAnsi"/>
          <w:color w:val="000000"/>
          <w:lang w:val="bs-Latn-BA"/>
        </w:rPr>
      </w:pPr>
      <w:r w:rsidRPr="007F4F23">
        <w:rPr>
          <w:rFonts w:asciiTheme="minorHAnsi" w:hAnsiTheme="minorHAnsi" w:cstheme="minorHAnsi"/>
          <w:color w:val="000000"/>
          <w:lang w:val="bs-Latn-BA"/>
        </w:rPr>
        <w:t xml:space="preserve">Odobrenja za zaštitu, konzervaciju, prezentaciju i rehabilitaciju nacionalnih spomenika na prostoru u granicama nacionalnog spomenika koje su utvrđene odlukom Komisije izdaje Federalno ministarstvo </w:t>
      </w:r>
      <w:r w:rsidRPr="007F4F23">
        <w:rPr>
          <w:rFonts w:asciiTheme="minorHAnsi" w:hAnsiTheme="minorHAnsi" w:cstheme="minorHAnsi"/>
          <w:color w:val="000000"/>
          <w:lang w:val="bs-Latn-BA"/>
        </w:rPr>
        <w:lastRenderedPageBreak/>
        <w:t>prostornog uređenja u skladu sa odredbama Zakona o prostornom planiranju i korištenju zemljišta na nivou Federacije Bosne i Hercegovine.</w:t>
      </w:r>
      <w:r>
        <w:rPr>
          <w:rFonts w:asciiTheme="minorHAnsi" w:hAnsiTheme="minorHAnsi" w:cstheme="minorHAnsi"/>
          <w:color w:val="000000"/>
          <w:lang w:val="bs-Latn-BA"/>
        </w:rPr>
        <w:t xml:space="preserve"> </w:t>
      </w:r>
      <w:r w:rsidRPr="007F4F23">
        <w:rPr>
          <w:rFonts w:asciiTheme="minorHAnsi" w:hAnsiTheme="minorHAnsi" w:cstheme="minorHAnsi"/>
          <w:color w:val="000000"/>
          <w:lang w:val="bs-Latn-BA"/>
        </w:rPr>
        <w:t xml:space="preserve">Federacija je dužna osigurati pravne, naučne, tehničke, administrativne i </w:t>
      </w:r>
      <w:r w:rsidR="007B690C">
        <w:rPr>
          <w:rFonts w:asciiTheme="minorHAnsi" w:hAnsiTheme="minorHAnsi" w:cstheme="minorHAnsi"/>
          <w:color w:val="000000"/>
          <w:lang w:val="bs-Latn-BA"/>
        </w:rPr>
        <w:t>financ</w:t>
      </w:r>
      <w:r w:rsidRPr="007F4F23">
        <w:rPr>
          <w:rFonts w:asciiTheme="minorHAnsi" w:hAnsiTheme="minorHAnsi" w:cstheme="minorHAnsi"/>
          <w:color w:val="000000"/>
          <w:lang w:val="bs-Latn-BA"/>
        </w:rPr>
        <w:t>ijske mjere za zaštitu, konzervaciju, prezentaciju i rehabilitaciju nacionalnih spomenika.</w:t>
      </w:r>
    </w:p>
    <w:p w14:paraId="2B40163D" w14:textId="77777777" w:rsidR="00A77633" w:rsidRPr="008924E0" w:rsidRDefault="00A77633" w:rsidP="005D2C94">
      <w:pPr>
        <w:spacing w:after="120" w:line="276" w:lineRule="auto"/>
        <w:rPr>
          <w:lang w:val="bs-Latn-BA"/>
        </w:rPr>
      </w:pPr>
      <w:r w:rsidRPr="008924E0">
        <w:rPr>
          <w:lang w:val="bs-Latn-BA"/>
        </w:rPr>
        <w:t>Zgrade sa statusom nacionalnih spomenika u FBiH  (265 zgrada i 13 graditeljskih cjelina) predstavljaju specifičnu kategoriju zgrada koje su zbog svog značaja izuzetno kompleksne i zahtjevne u smislu energijske obnove. Za izdavanje odobrenja za intervencije</w:t>
      </w:r>
      <w:r>
        <w:rPr>
          <w:lang w:val="bs-Latn-BA"/>
        </w:rPr>
        <w:t xml:space="preserve"> (izvođenje radova i druge zahvate)</w:t>
      </w:r>
      <w:r w:rsidRPr="008924E0">
        <w:rPr>
          <w:lang w:val="bs-Latn-BA"/>
        </w:rPr>
        <w:t xml:space="preserve"> na nacionalnim spomenicima isključivo su nadležna entitetska ministarstva</w:t>
      </w:r>
      <w:r>
        <w:rPr>
          <w:lang w:val="bs-Latn-BA"/>
        </w:rPr>
        <w:t>.</w:t>
      </w:r>
    </w:p>
    <w:p w14:paraId="54A1DBEE" w14:textId="77777777" w:rsidR="00A77633" w:rsidRPr="008924E0" w:rsidRDefault="00A77633" w:rsidP="005D2C94">
      <w:pPr>
        <w:spacing w:after="120" w:line="276" w:lineRule="auto"/>
        <w:ind w:right="32"/>
        <w:rPr>
          <w:lang w:val="bs-Latn-BA"/>
        </w:rPr>
      </w:pPr>
      <w:r w:rsidRPr="008924E0">
        <w:rPr>
          <w:lang w:val="bs-Latn-BA"/>
        </w:rPr>
        <w:t xml:space="preserve">Sve navedeno, ukazuje na činjenicu da je neophodna kvalitetna priprema, primjena najboljih praksi iz EU i konstruktivna međusobna saradnja svih relevantnih institucija, stručne javnosti i akademske zajednice za izradu Smjernica energijske obnove zgrada sa statusom nacionalnih spomenika na području FBiH. </w:t>
      </w:r>
    </w:p>
    <w:p w14:paraId="607F1506" w14:textId="77777777" w:rsidR="00A77633" w:rsidRPr="008924E0" w:rsidRDefault="00A77633" w:rsidP="005D2C94">
      <w:pPr>
        <w:spacing w:after="120" w:line="276" w:lineRule="auto"/>
        <w:ind w:left="1" w:right="32"/>
        <w:rPr>
          <w:lang w:val="bs-Latn-BA"/>
        </w:rPr>
      </w:pPr>
      <w:r w:rsidRPr="008924E0">
        <w:rPr>
          <w:lang w:val="bs-Latn-BA"/>
        </w:rPr>
        <w:t xml:space="preserve">Ovom mjerom uspostavit će se sistem u okviru kojeg će se voditi evidencija o svim zgradama sa statusom nacionalnih spomenika na nivou FBiH, kako bi se omogućila lakša identifikacija i tretiranje istih posebnim programima </w:t>
      </w:r>
      <w:r>
        <w:rPr>
          <w:lang w:val="bs-Latn-BA"/>
        </w:rPr>
        <w:t>obnove</w:t>
      </w:r>
      <w:r w:rsidRPr="008924E0">
        <w:rPr>
          <w:lang w:val="bs-Latn-BA"/>
        </w:rPr>
        <w:t>. Registar zgrada sa statusom nacionalnih spomenika treba da sadrži informacije o namjeni, godini izgradnje, građevinskim i energijskim karakteristikama ovojnice, termotehničkim sistemima unutar zgrade i potrošnji energije. Također, potrebno je provesti detaljne energijske audite uz konsultacije sa institucijama nadležnim za zgrade sa statusom nacionalnih spomenika, a u cilju identifikacije zgrada sa značajnijim potencijalima za uštedu energije koje će se smatrati prioritetnim u procesu energijske obnove. Kroz Smjernice će biti tretirane i graditeljske cjeline sa jednom ili više zgrada.</w:t>
      </w:r>
    </w:p>
    <w:p w14:paraId="06565FAD" w14:textId="35B95A7D" w:rsidR="00A77633" w:rsidRPr="008924E0" w:rsidRDefault="00A77633" w:rsidP="005D2C94">
      <w:pPr>
        <w:spacing w:after="120" w:line="276" w:lineRule="auto"/>
        <w:ind w:left="1" w:right="32"/>
        <w:rPr>
          <w:lang w:val="bs-Latn-BA"/>
        </w:rPr>
      </w:pPr>
      <w:r>
        <w:rPr>
          <w:lang w:val="bs-Latn-BA"/>
        </w:rPr>
        <w:t>Nadalje, potrebno</w:t>
      </w:r>
      <w:r w:rsidRPr="008924E0">
        <w:rPr>
          <w:lang w:val="bs-Latn-BA"/>
        </w:rPr>
        <w:t xml:space="preserve"> je donošenje i provedba plana energijske obnove zgrada koje imaju status zaštićene kulturne baštine na nivou svih kantona u FBiH, kako bi se  definirao obim radova, dinamika i način </w:t>
      </w:r>
      <w:r w:rsidR="007B690C">
        <w:rPr>
          <w:lang w:val="bs-Latn-BA"/>
        </w:rPr>
        <w:t>financ</w:t>
      </w:r>
      <w:r w:rsidRPr="008924E0">
        <w:rPr>
          <w:lang w:val="bs-Latn-BA"/>
        </w:rPr>
        <w:t>iranja ove kategorije zgrada. Obzirom da su ove zgrade u nadležnosti Kantonalnih zavoda za zaštitu kulturno-historijskog i prirodnog naslijeđa, potrebno je identificirati zgrade koje imaju značajan potencijala za uštedu energije, te prema instrukcijama zavoda provesti njihovu obnovu.</w:t>
      </w:r>
    </w:p>
    <w:p w14:paraId="3AA110D1" w14:textId="4F17D168" w:rsidR="00A77633" w:rsidRDefault="00A77633" w:rsidP="005D2C94">
      <w:pPr>
        <w:spacing w:after="120" w:line="276" w:lineRule="auto"/>
        <w:ind w:left="1" w:right="32"/>
        <w:rPr>
          <w:lang w:val="bs-Latn-BA"/>
        </w:rPr>
      </w:pPr>
      <w:r w:rsidRPr="008924E0">
        <w:rPr>
          <w:lang w:val="bs-Latn-BA"/>
        </w:rPr>
        <w:t xml:space="preserve">Podaci o perspektivnoj i neperspektivnoj imovini, ukazuju na to da se radi o značajnom fondu zgrada u nadležnosti države odnosno Ministarstva odbrane BiH koji se može ocijeniti kao fond koji zahtjeva energijsku </w:t>
      </w:r>
      <w:r>
        <w:rPr>
          <w:lang w:val="bs-Latn-BA"/>
        </w:rPr>
        <w:t>obnovu</w:t>
      </w:r>
      <w:r w:rsidRPr="008924E0">
        <w:rPr>
          <w:lang w:val="bs-Latn-BA"/>
        </w:rPr>
        <w:t xml:space="preserve">. Cilj ove mjere je da se omogući energijska obnova svih vojnih zgrada na području FBiH, a uz donošenje i  provedbu posebnog programa koji će definirati i detaljnije razraditi obim radova, dinamiku i način </w:t>
      </w:r>
      <w:r w:rsidR="007B690C">
        <w:rPr>
          <w:lang w:val="bs-Latn-BA"/>
        </w:rPr>
        <w:t>financ</w:t>
      </w:r>
      <w:r w:rsidRPr="008924E0">
        <w:rPr>
          <w:lang w:val="bs-Latn-BA"/>
        </w:rPr>
        <w:t>iranja implementacije mjera EE kao što su: toplinska izolacija vanjskih zidova objekta, toplinska izolacija krova/stropa  prema negrijanom potkrovlju, toplinska izolacija podova na tlu, zamjena vanjske stolarije sa stolarijom boljih energijskih karakteristika, instalacija termostatskih i hidrauličkih balansnih ventila kao i u zamjenu energijski neefikasnih sistema/uređaja za grijanje i hlađenje, gdje je to primjenjivo.</w:t>
      </w:r>
    </w:p>
    <w:p w14:paraId="500EF8C4" w14:textId="77777777" w:rsidR="00A77633" w:rsidRPr="001972F5" w:rsidRDefault="00A77633" w:rsidP="005D2C94">
      <w:pPr>
        <w:spacing w:after="120" w:line="276" w:lineRule="auto"/>
        <w:ind w:left="1" w:right="32"/>
        <w:rPr>
          <w:lang w:val="fi-FI"/>
        </w:rPr>
      </w:pPr>
      <w:r w:rsidRPr="001972F5">
        <w:rPr>
          <w:lang w:val="fi-FI"/>
        </w:rPr>
        <w:t>Aktivnosti planirane u sklopu ove mjere su:</w:t>
      </w:r>
    </w:p>
    <w:p w14:paraId="696A650C" w14:textId="77777777" w:rsidR="00A77633" w:rsidRPr="00EA0D99" w:rsidRDefault="00A77633" w:rsidP="00581C1C">
      <w:pPr>
        <w:pStyle w:val="ListParagraph"/>
        <w:numPr>
          <w:ilvl w:val="0"/>
          <w:numId w:val="73"/>
        </w:numPr>
        <w:spacing w:after="120" w:line="276" w:lineRule="auto"/>
        <w:ind w:right="32"/>
      </w:pPr>
      <w:r w:rsidRPr="00EA0D99">
        <w:t>Donošenje programa/smjernica/planova energijske obnove za zgrade na području FBiH, što podrazumijeva:</w:t>
      </w:r>
    </w:p>
    <w:p w14:paraId="31B36224" w14:textId="77777777" w:rsidR="00A77633" w:rsidRPr="00EA0D99" w:rsidRDefault="00A77633" w:rsidP="005D2C94">
      <w:pPr>
        <w:pStyle w:val="ListParagraph"/>
        <w:numPr>
          <w:ilvl w:val="0"/>
          <w:numId w:val="50"/>
        </w:numPr>
        <w:spacing w:after="120" w:line="276" w:lineRule="auto"/>
        <w:ind w:right="32"/>
      </w:pPr>
      <w:r w:rsidRPr="00EA0D99">
        <w:t>Izradu i usvajanje „Okvirnog programa energijske obnove stambenih zgrada period do 2030. godine“ na nivou FBiH, te kontinuirano ažuriranje istog (izrada dokumenta je u toku);</w:t>
      </w:r>
    </w:p>
    <w:p w14:paraId="49C8BE51" w14:textId="77777777" w:rsidR="00A77633" w:rsidRPr="00EA0D99" w:rsidRDefault="00A77633" w:rsidP="005D2C94">
      <w:pPr>
        <w:pStyle w:val="ListParagraph"/>
        <w:numPr>
          <w:ilvl w:val="0"/>
          <w:numId w:val="50"/>
        </w:numPr>
        <w:spacing w:after="120" w:line="276" w:lineRule="auto"/>
        <w:ind w:right="32"/>
      </w:pPr>
      <w:r w:rsidRPr="00EA0D99">
        <w:lastRenderedPageBreak/>
        <w:t>Izradu i usvajanje „Okvirnog programa energijske obnove komercijalnih zgrada na području FBiH za period do 2030. godine“ na nivou FBiH, te kontinuirano ažuriranje istog;</w:t>
      </w:r>
    </w:p>
    <w:p w14:paraId="353A0EF4" w14:textId="77777777" w:rsidR="00A77633" w:rsidRPr="00EA0D99" w:rsidRDefault="00A77633" w:rsidP="005D2C94">
      <w:pPr>
        <w:pStyle w:val="ListParagraph"/>
        <w:numPr>
          <w:ilvl w:val="0"/>
          <w:numId w:val="50"/>
        </w:numPr>
        <w:spacing w:after="120" w:line="276" w:lineRule="auto"/>
      </w:pPr>
      <w:r w:rsidRPr="00EA0D99">
        <w:t>Izradu i usvajanje „Programa energijske obnove javnih zgrada na području FBiH za period do 2030. godine“ , te kontinuirano ažuriranje istog;</w:t>
      </w:r>
    </w:p>
    <w:p w14:paraId="0F5C8534" w14:textId="77777777" w:rsidR="00A77633" w:rsidRPr="00EA0D99" w:rsidRDefault="00A77633" w:rsidP="005D2C94">
      <w:pPr>
        <w:pStyle w:val="ListParagraph"/>
        <w:numPr>
          <w:ilvl w:val="0"/>
          <w:numId w:val="50"/>
        </w:numPr>
        <w:spacing w:after="120" w:line="276" w:lineRule="auto"/>
        <w:ind w:right="32"/>
      </w:pPr>
      <w:r w:rsidRPr="00EA0D99">
        <w:t>Izradu i usvajanje „Smjernica energijske obnove zgrada sa statusom nacionalnih spomenika za period do 2030. godine“ na nivou FBiH, te kontinuirano ažuriranje istih;</w:t>
      </w:r>
    </w:p>
    <w:p w14:paraId="6B6ED835" w14:textId="77777777" w:rsidR="00A77633" w:rsidRPr="00EA0D99" w:rsidRDefault="00A77633" w:rsidP="005D2C94">
      <w:pPr>
        <w:pStyle w:val="ListParagraph"/>
        <w:numPr>
          <w:ilvl w:val="0"/>
          <w:numId w:val="50"/>
        </w:numPr>
        <w:spacing w:after="120" w:line="276" w:lineRule="auto"/>
        <w:ind w:right="32"/>
      </w:pPr>
      <w:r w:rsidRPr="00EA0D99">
        <w:t>Izradu i usvajanje „Plana energijske obnove stambenih zgrada za period do 2030. godine“ na nivoima svih kantona, te kontinuirano ažuriranje istog;</w:t>
      </w:r>
    </w:p>
    <w:p w14:paraId="16694B90" w14:textId="77777777" w:rsidR="00A77633" w:rsidRPr="00EA0D99" w:rsidRDefault="00A77633" w:rsidP="005D2C94">
      <w:pPr>
        <w:pStyle w:val="ListParagraph"/>
        <w:numPr>
          <w:ilvl w:val="0"/>
          <w:numId w:val="50"/>
        </w:numPr>
        <w:spacing w:after="120" w:line="276" w:lineRule="auto"/>
        <w:ind w:right="32"/>
      </w:pPr>
      <w:r w:rsidRPr="00EA0D99">
        <w:t>Izradu i usvajanje „Plana energijske obnove komercijalnih zgrada za period do 2030. godine“ na nivou svih kantona, te kontinuirano ažuriranje istih;</w:t>
      </w:r>
    </w:p>
    <w:p w14:paraId="608492C6" w14:textId="77777777" w:rsidR="00A77633" w:rsidRPr="00EA0D99" w:rsidRDefault="00A77633" w:rsidP="005D2C94">
      <w:pPr>
        <w:pStyle w:val="ListParagraph"/>
        <w:numPr>
          <w:ilvl w:val="0"/>
          <w:numId w:val="50"/>
        </w:numPr>
        <w:spacing w:after="120" w:line="276" w:lineRule="auto"/>
        <w:ind w:right="32"/>
      </w:pPr>
      <w:r w:rsidRPr="00EA0D99">
        <w:t>Izradu i usvajanje plana energijske obnove zgrada koje imaju status zaštićene kulturne baštine na nivou svih kantona u FBiH;</w:t>
      </w:r>
    </w:p>
    <w:p w14:paraId="58FFB05C" w14:textId="11D45B24" w:rsidR="00A77633" w:rsidRPr="00C77323" w:rsidRDefault="009F3597" w:rsidP="005D2C94">
      <w:pPr>
        <w:pStyle w:val="ListParagraph"/>
        <w:numPr>
          <w:ilvl w:val="0"/>
          <w:numId w:val="50"/>
        </w:numPr>
        <w:spacing w:after="120" w:line="276" w:lineRule="auto"/>
        <w:ind w:right="32"/>
        <w:rPr>
          <w:i/>
          <w:iCs/>
        </w:rPr>
      </w:pPr>
      <w:r>
        <w:rPr>
          <w:i/>
          <w:iCs/>
        </w:rPr>
        <w:t xml:space="preserve">*) </w:t>
      </w:r>
      <w:r w:rsidR="00A77633" w:rsidRPr="00C77323">
        <w:rPr>
          <w:i/>
          <w:iCs/>
        </w:rPr>
        <w:t>Izradu i usvajanje programa energijske obnove zgrada koje koristi Ministarstvo odbrane BiH.</w:t>
      </w:r>
    </w:p>
    <w:p w14:paraId="641DB1FB" w14:textId="77777777" w:rsidR="00A77633" w:rsidRPr="00EA0D99" w:rsidRDefault="00A77633" w:rsidP="00581C1C">
      <w:pPr>
        <w:pStyle w:val="ListParagraph"/>
        <w:numPr>
          <w:ilvl w:val="0"/>
          <w:numId w:val="73"/>
        </w:numPr>
        <w:spacing w:after="120" w:line="276" w:lineRule="auto"/>
        <w:ind w:right="32"/>
      </w:pPr>
      <w:r w:rsidRPr="00EA0D99">
        <w:t>Provedba programa/planova energijske obnove zgrada na nivou FBiH i kantona, što podrazumijeva:</w:t>
      </w:r>
    </w:p>
    <w:p w14:paraId="6241CDFC" w14:textId="77777777" w:rsidR="00A77633" w:rsidRPr="00EA0D99" w:rsidRDefault="00A77633" w:rsidP="005D2C94">
      <w:pPr>
        <w:pStyle w:val="ListParagraph"/>
        <w:numPr>
          <w:ilvl w:val="0"/>
          <w:numId w:val="50"/>
        </w:numPr>
        <w:spacing w:after="120" w:line="276" w:lineRule="auto"/>
        <w:ind w:left="720" w:right="32"/>
      </w:pPr>
      <w:r w:rsidRPr="00EA0D99">
        <w:t>Usklađivanje Zakona o EE u FBiH sa propisima relevantnim za obnovu fonda zgrada (Zakon o stvarnim pravima, Zakon o obligacionim odnosima, Zakon o zajedničkim dijelovima zgrade, Zakon o stambenim odnosima);</w:t>
      </w:r>
    </w:p>
    <w:p w14:paraId="11883AA8" w14:textId="58C11BF5" w:rsidR="00A77633" w:rsidRPr="00EA0D99" w:rsidRDefault="00A77633" w:rsidP="005D2C94">
      <w:pPr>
        <w:pStyle w:val="ListParagraph"/>
        <w:numPr>
          <w:ilvl w:val="0"/>
          <w:numId w:val="50"/>
        </w:numPr>
        <w:spacing w:after="120" w:line="276" w:lineRule="auto"/>
        <w:ind w:left="720" w:right="32"/>
      </w:pPr>
      <w:r w:rsidRPr="00EA0D99">
        <w:t>Uspostavljanje digitalne baze stambenih, javnih i komercijalnih zgrada na nivou općina</w:t>
      </w:r>
      <w:r w:rsidR="006E2A24">
        <w:t>/gradova</w:t>
      </w:r>
      <w:r w:rsidRPr="00EA0D99">
        <w:t>, kantona i FBiH (broj individualnih i stambenih zgrada, kvadratura, energijske karakteristike, potrošnja energije) koja će biti na raspolaganju FZO i FMPU;</w:t>
      </w:r>
    </w:p>
    <w:p w14:paraId="323EE70B" w14:textId="77777777" w:rsidR="00A77633" w:rsidRPr="00EA0D99" w:rsidRDefault="00A77633" w:rsidP="005D2C94">
      <w:pPr>
        <w:pStyle w:val="ListParagraph"/>
        <w:numPr>
          <w:ilvl w:val="0"/>
          <w:numId w:val="50"/>
        </w:numPr>
        <w:spacing w:after="120" w:line="276" w:lineRule="auto"/>
      </w:pPr>
      <w:r w:rsidRPr="00EA0D99">
        <w:t xml:space="preserve">Uspostavljanje digitalne baze svih zgrada sa statusom nacionalnih spomenika na nivou FBiH; </w:t>
      </w:r>
    </w:p>
    <w:p w14:paraId="32326AB0" w14:textId="77777777" w:rsidR="00A77633" w:rsidRDefault="00A77633" w:rsidP="005D2C94">
      <w:pPr>
        <w:pStyle w:val="ListParagraph"/>
        <w:numPr>
          <w:ilvl w:val="0"/>
          <w:numId w:val="50"/>
        </w:numPr>
        <w:spacing w:after="120" w:line="276" w:lineRule="auto"/>
        <w:ind w:left="720" w:right="32"/>
      </w:pPr>
      <w:r w:rsidRPr="00EA0D99">
        <w:t>Uspostavljanje digitalne baze svih zgrada sa statusom zaštićene kulturne baštine na nivou svih kantona koja će biti na raspolaganju FZO i FMPU;</w:t>
      </w:r>
      <w:r w:rsidRPr="00CB015F">
        <w:t xml:space="preserve"> </w:t>
      </w:r>
    </w:p>
    <w:p w14:paraId="5333A5AC" w14:textId="77777777" w:rsidR="00A77633" w:rsidRPr="00EA0D99" w:rsidRDefault="00A77633" w:rsidP="005D2C94">
      <w:pPr>
        <w:pStyle w:val="ListParagraph"/>
        <w:numPr>
          <w:ilvl w:val="0"/>
          <w:numId w:val="50"/>
        </w:numPr>
        <w:spacing w:after="120" w:line="276" w:lineRule="auto"/>
        <w:ind w:left="720" w:right="32"/>
      </w:pPr>
      <w:r w:rsidRPr="00EA0D99">
        <w:t>Uspostavljanje dugoročnog i održivog fonda za energijsku obnovu stambenih  zgrada;</w:t>
      </w:r>
    </w:p>
    <w:p w14:paraId="7F67991D" w14:textId="77777777" w:rsidR="00A77633" w:rsidRPr="00EA0D99" w:rsidRDefault="00A77633" w:rsidP="005D2C94">
      <w:pPr>
        <w:pStyle w:val="ListParagraph"/>
        <w:numPr>
          <w:ilvl w:val="0"/>
          <w:numId w:val="50"/>
        </w:numPr>
        <w:spacing w:after="120" w:line="276" w:lineRule="auto"/>
        <w:ind w:left="720" w:right="32"/>
      </w:pPr>
      <w:r w:rsidRPr="00EA0D99">
        <w:t>Uspostavljanje povoljnih kreditnih linija za  energijsku obnovu komercijalnih zgrada u okviru banaka u nadležnosti Vlade FBiH;</w:t>
      </w:r>
    </w:p>
    <w:p w14:paraId="4469E160" w14:textId="4DB6319E" w:rsidR="00A77633" w:rsidRPr="00EA0D99" w:rsidRDefault="00A77633" w:rsidP="005D2C94">
      <w:pPr>
        <w:pStyle w:val="ListParagraph"/>
        <w:numPr>
          <w:ilvl w:val="0"/>
          <w:numId w:val="50"/>
        </w:numPr>
        <w:spacing w:after="120" w:line="276" w:lineRule="auto"/>
        <w:ind w:left="720" w:right="32"/>
      </w:pPr>
      <w:r w:rsidRPr="00EA0D99">
        <w:t xml:space="preserve">Povećanje atraktivnosti i operativnosti Revolving fonda za </w:t>
      </w:r>
      <w:r w:rsidR="007B690C">
        <w:t>financ</w:t>
      </w:r>
      <w:r w:rsidRPr="00EA0D99">
        <w:t>iranje projekata energijske efikasnosti, uspostavljenog od strane FZO 2017. godine;</w:t>
      </w:r>
    </w:p>
    <w:p w14:paraId="2CF7F2D2" w14:textId="7BDA5495" w:rsidR="00A77633" w:rsidRPr="00EA0D99" w:rsidRDefault="00A77633" w:rsidP="005D2C94">
      <w:pPr>
        <w:pStyle w:val="ListParagraph"/>
        <w:numPr>
          <w:ilvl w:val="0"/>
          <w:numId w:val="50"/>
        </w:numPr>
        <w:spacing w:after="120" w:line="276" w:lineRule="auto"/>
        <w:ind w:left="720" w:right="32"/>
      </w:pPr>
      <w:r w:rsidRPr="00EA0D99">
        <w:t xml:space="preserve">Uspostavljanje povoljnih komercijalnih izvora </w:t>
      </w:r>
      <w:r w:rsidR="007B690C">
        <w:t>financ</w:t>
      </w:r>
      <w:r w:rsidRPr="00EA0D99">
        <w:t>iranja mjera energijske obnove u zgradarstvu;</w:t>
      </w:r>
    </w:p>
    <w:p w14:paraId="3F2B3F0D" w14:textId="5021C343" w:rsidR="00A77633" w:rsidRPr="00EA0D99" w:rsidRDefault="00A77633" w:rsidP="005D2C94">
      <w:pPr>
        <w:pStyle w:val="ListParagraph"/>
        <w:numPr>
          <w:ilvl w:val="0"/>
          <w:numId w:val="50"/>
        </w:numPr>
        <w:spacing w:after="120" w:line="276" w:lineRule="auto"/>
        <w:ind w:right="32"/>
      </w:pPr>
      <w:r w:rsidRPr="00EA0D99">
        <w:t>Razvoj i uspostavljanje posebnog programa za su</w:t>
      </w:r>
      <w:r w:rsidR="007B690C">
        <w:t>financ</w:t>
      </w:r>
      <w:r w:rsidRPr="00EA0D99">
        <w:t>iranje energijske obnove zgrada sa statusom nacionalnih spomenika i zaštićene kulturne baštine;</w:t>
      </w:r>
    </w:p>
    <w:p w14:paraId="791EAA9D" w14:textId="77777777" w:rsidR="00A77633" w:rsidRPr="00EA0D99" w:rsidRDefault="00A77633" w:rsidP="005D2C94">
      <w:pPr>
        <w:pStyle w:val="ListParagraph"/>
        <w:numPr>
          <w:ilvl w:val="0"/>
          <w:numId w:val="50"/>
        </w:numPr>
        <w:spacing w:after="120" w:line="276" w:lineRule="auto"/>
        <w:ind w:right="32"/>
      </w:pPr>
      <w:r w:rsidRPr="00EA0D99">
        <w:t>Osiguranje operativnost Revolving fonda za energijsku obnovu javnih zgrada (Revolving fond za EE javnih zgrada u FBiH uspostavljen 2021. godine);</w:t>
      </w:r>
    </w:p>
    <w:p w14:paraId="28844186" w14:textId="65FE7316" w:rsidR="00A77633" w:rsidRPr="00EA0D99" w:rsidRDefault="00F03625" w:rsidP="005D2C94">
      <w:pPr>
        <w:pStyle w:val="ListParagraph"/>
        <w:numPr>
          <w:ilvl w:val="0"/>
          <w:numId w:val="50"/>
        </w:numPr>
        <w:spacing w:after="120" w:line="276" w:lineRule="auto"/>
        <w:ind w:left="720" w:right="32"/>
      </w:pPr>
      <w:r>
        <w:lastRenderedPageBreak/>
        <w:t>Obvez</w:t>
      </w:r>
      <w:r w:rsidR="00A77633" w:rsidRPr="00EA0D99">
        <w:t>u pribavljanja EC za novoizgrađene i zgrade koje su podvrgnute značajnijoj obnovi, te one koje se prodaju ili izdaju, a u skladu sa važećim propisima u FBiH;</w:t>
      </w:r>
    </w:p>
    <w:p w14:paraId="74D26826" w14:textId="127AD80C" w:rsidR="00A77633" w:rsidRDefault="00F03625" w:rsidP="005D2C94">
      <w:pPr>
        <w:pStyle w:val="ListParagraph"/>
        <w:numPr>
          <w:ilvl w:val="0"/>
          <w:numId w:val="50"/>
        </w:numPr>
        <w:spacing w:after="120" w:line="276" w:lineRule="auto"/>
        <w:ind w:left="720" w:right="32"/>
      </w:pPr>
      <w:r>
        <w:t>Obvez</w:t>
      </w:r>
      <w:r w:rsidR="00A77633" w:rsidRPr="00EA0D99">
        <w:t xml:space="preserve">u provođenja detaljnog energijskog audita (DEA) i izradu Glavnog projekta (energijske obnove);  </w:t>
      </w:r>
    </w:p>
    <w:p w14:paraId="46F27C08" w14:textId="77777777" w:rsidR="00A77633" w:rsidRPr="00EA0D99" w:rsidRDefault="00A77633" w:rsidP="005D2C94">
      <w:pPr>
        <w:pStyle w:val="ListParagraph"/>
        <w:numPr>
          <w:ilvl w:val="0"/>
          <w:numId w:val="50"/>
        </w:numPr>
        <w:spacing w:after="120" w:line="276" w:lineRule="auto"/>
        <w:ind w:left="720"/>
      </w:pPr>
      <w:r w:rsidRPr="00EA0D99">
        <w:t xml:space="preserve">Provedbu energijske obnove zgrada individualnog i kolektivnog stanovanja na nivou svih kantona prema Planovima obnove;  </w:t>
      </w:r>
    </w:p>
    <w:p w14:paraId="5F8D0D0E" w14:textId="77777777" w:rsidR="00A77633" w:rsidRPr="00EA0D99" w:rsidRDefault="00A77633" w:rsidP="005D2C94">
      <w:pPr>
        <w:pStyle w:val="ListParagraph"/>
        <w:numPr>
          <w:ilvl w:val="0"/>
          <w:numId w:val="50"/>
        </w:numPr>
        <w:spacing w:after="120" w:line="276" w:lineRule="auto"/>
        <w:ind w:left="720" w:right="32"/>
      </w:pPr>
      <w:r w:rsidRPr="00EA0D99">
        <w:t>Provedbu energijske obnove komercijalnih zgrada na nivou svih kantona prema Planovima obnove;</w:t>
      </w:r>
    </w:p>
    <w:p w14:paraId="413ABD3C" w14:textId="77777777" w:rsidR="00A77633" w:rsidRPr="00EA0D99" w:rsidRDefault="00A77633" w:rsidP="005D2C94">
      <w:pPr>
        <w:pStyle w:val="ListParagraph"/>
        <w:numPr>
          <w:ilvl w:val="0"/>
          <w:numId w:val="50"/>
        </w:numPr>
        <w:spacing w:after="120" w:line="276" w:lineRule="auto"/>
        <w:ind w:left="720" w:right="32"/>
      </w:pPr>
      <w:r w:rsidRPr="00EA0D99">
        <w:t>Provedbu energijske obnove javnih zgrada na nivou FBiH prema Programu obnove;</w:t>
      </w:r>
    </w:p>
    <w:p w14:paraId="057A76E6" w14:textId="77777777" w:rsidR="00A77633" w:rsidRPr="00EA0D99" w:rsidRDefault="00A77633" w:rsidP="005D2C94">
      <w:pPr>
        <w:pStyle w:val="ListParagraph"/>
        <w:numPr>
          <w:ilvl w:val="0"/>
          <w:numId w:val="50"/>
        </w:numPr>
        <w:spacing w:after="120" w:line="276" w:lineRule="auto"/>
        <w:ind w:left="720"/>
      </w:pPr>
      <w:r w:rsidRPr="00EA0D99">
        <w:t>Provedbu energijske obnove zgrada sa statusom nacionalnih spomenika na nivou FBiH prema Smjernicama obnove;</w:t>
      </w:r>
    </w:p>
    <w:p w14:paraId="46300FB3" w14:textId="77777777" w:rsidR="00A77633" w:rsidRPr="00EA0D99" w:rsidRDefault="00A77633" w:rsidP="005D2C94">
      <w:pPr>
        <w:pStyle w:val="ListParagraph"/>
        <w:numPr>
          <w:ilvl w:val="0"/>
          <w:numId w:val="50"/>
        </w:numPr>
        <w:spacing w:after="120" w:line="276" w:lineRule="auto"/>
        <w:ind w:left="720"/>
      </w:pPr>
      <w:r w:rsidRPr="00EA0D99">
        <w:t>Provedbu energijske obnove zgrada koje imaju status zaštićene kulturne baštine na nivou svih kantona prema Planovima obnove;</w:t>
      </w:r>
    </w:p>
    <w:p w14:paraId="3CD71E12" w14:textId="1AB935CB" w:rsidR="00A77633" w:rsidRPr="00C77323" w:rsidRDefault="009F3597" w:rsidP="005D2C94">
      <w:pPr>
        <w:pStyle w:val="ListParagraph"/>
        <w:numPr>
          <w:ilvl w:val="0"/>
          <w:numId w:val="50"/>
        </w:numPr>
        <w:spacing w:after="120" w:line="276" w:lineRule="auto"/>
        <w:ind w:right="32"/>
        <w:rPr>
          <w:i/>
          <w:iCs/>
        </w:rPr>
      </w:pPr>
      <w:r>
        <w:rPr>
          <w:i/>
          <w:iCs/>
        </w:rPr>
        <w:t xml:space="preserve">*) </w:t>
      </w:r>
      <w:r w:rsidR="00A77633" w:rsidRPr="00C77323">
        <w:rPr>
          <w:i/>
          <w:iCs/>
        </w:rPr>
        <w:t>Provedbu energijske obnove zgrada koje koristi Ministarstvo  odbrane BiH prema Programu obnove;</w:t>
      </w:r>
    </w:p>
    <w:p w14:paraId="23A95C6D" w14:textId="77777777" w:rsidR="00A77633" w:rsidRPr="00EA0D99" w:rsidRDefault="00A77633" w:rsidP="005D2C94">
      <w:pPr>
        <w:pStyle w:val="ListParagraph"/>
        <w:numPr>
          <w:ilvl w:val="0"/>
          <w:numId w:val="50"/>
        </w:numPr>
        <w:spacing w:after="120" w:line="276" w:lineRule="auto"/>
        <w:ind w:left="720" w:right="32"/>
      </w:pPr>
      <w:r w:rsidRPr="00EA0D99">
        <w:t>Unaprijeđenje zgrada u pogledu smanjenja rizika od požara i rizika povezanih sa povećanom seizmičkom aktivnošću;</w:t>
      </w:r>
    </w:p>
    <w:p w14:paraId="334B8ACE" w14:textId="77777777" w:rsidR="00A77633" w:rsidRPr="00EA0D99" w:rsidRDefault="00A77633" w:rsidP="005D2C94">
      <w:pPr>
        <w:pStyle w:val="ListParagraph"/>
        <w:numPr>
          <w:ilvl w:val="0"/>
          <w:numId w:val="50"/>
        </w:numPr>
        <w:spacing w:after="120" w:line="276" w:lineRule="auto"/>
        <w:ind w:left="720" w:right="32"/>
      </w:pPr>
      <w:r w:rsidRPr="00EA0D99">
        <w:t xml:space="preserve">Uklanjanje i zamjena materijala štetnih po zdravlje ljudi i okoliš; </w:t>
      </w:r>
    </w:p>
    <w:p w14:paraId="7418C611" w14:textId="77777777" w:rsidR="00A77633" w:rsidRPr="00EA0D99" w:rsidRDefault="00A77633" w:rsidP="005D2C94">
      <w:pPr>
        <w:pStyle w:val="ListParagraph"/>
        <w:numPr>
          <w:ilvl w:val="0"/>
          <w:numId w:val="50"/>
        </w:numPr>
        <w:spacing w:after="120" w:line="276" w:lineRule="auto"/>
        <w:ind w:left="720" w:right="32"/>
      </w:pPr>
      <w:r w:rsidRPr="00EA0D99">
        <w:t>Omogućavanje zdravih unutarnjih klimatskih uvjeta;</w:t>
      </w:r>
    </w:p>
    <w:p w14:paraId="75737415" w14:textId="77777777" w:rsidR="00A77633" w:rsidRPr="00EA0D99" w:rsidRDefault="00A77633" w:rsidP="005D2C94">
      <w:pPr>
        <w:pStyle w:val="ListParagraph"/>
        <w:numPr>
          <w:ilvl w:val="0"/>
          <w:numId w:val="50"/>
        </w:numPr>
        <w:spacing w:after="120" w:line="276" w:lineRule="auto"/>
        <w:ind w:left="720" w:right="32"/>
      </w:pPr>
      <w:r w:rsidRPr="00EA0D99">
        <w:t xml:space="preserve">Uspostavljanje energijskog menadžmenta u nestambenim zgradama; </w:t>
      </w:r>
    </w:p>
    <w:p w14:paraId="693937D9" w14:textId="77777777" w:rsidR="00A77633" w:rsidRPr="00EA0D99" w:rsidRDefault="00A77633" w:rsidP="005D2C94">
      <w:pPr>
        <w:pStyle w:val="ListParagraph"/>
        <w:numPr>
          <w:ilvl w:val="0"/>
          <w:numId w:val="50"/>
        </w:numPr>
        <w:spacing w:after="120" w:line="276" w:lineRule="auto"/>
        <w:ind w:left="720" w:right="32"/>
      </w:pPr>
      <w:r w:rsidRPr="00EA0D99">
        <w:t>Preporuka za uvođenje ISO 50001 kao međunarodnog standarda za sisteme upravljanja energijom koji nije prilagođen nijednoj specifičnoj industriji/sektoru i primjenljiv je za široki spektar organizacija, institucija, javnih zgrada i kompanija svih veličina;</w:t>
      </w:r>
    </w:p>
    <w:p w14:paraId="5320612A" w14:textId="2EE0836D" w:rsidR="00A77633" w:rsidRPr="00EA0D99" w:rsidRDefault="00A77633" w:rsidP="005D2C94">
      <w:pPr>
        <w:pStyle w:val="ListParagraph"/>
        <w:numPr>
          <w:ilvl w:val="0"/>
          <w:numId w:val="50"/>
        </w:numPr>
        <w:spacing w:after="120" w:line="276" w:lineRule="auto"/>
        <w:ind w:right="32"/>
      </w:pPr>
      <w:r w:rsidRPr="00EA0D99">
        <w:t>Povećanje su</w:t>
      </w:r>
      <w:r w:rsidR="007B690C">
        <w:t>financ</w:t>
      </w:r>
      <w:r w:rsidRPr="00EA0D99">
        <w:t>iranja obnove kroz IPA projekte  odnosno korištenje  sredstava koja su na raspolaganju BiH kroz instrumente pristupne pomoći (fondovi EU), kako bi se potaknula energijska obnova ovakvih zgrada;</w:t>
      </w:r>
    </w:p>
    <w:p w14:paraId="1C3C603A" w14:textId="77777777" w:rsidR="00A77633" w:rsidRPr="00EA0D99" w:rsidRDefault="00A77633" w:rsidP="005D2C94">
      <w:pPr>
        <w:pStyle w:val="ListParagraph"/>
        <w:numPr>
          <w:ilvl w:val="0"/>
          <w:numId w:val="50"/>
        </w:numPr>
        <w:spacing w:after="120" w:line="276" w:lineRule="auto"/>
      </w:pPr>
      <w:r w:rsidRPr="00EA0D99">
        <w:t>Uspostavljanje energijskog menadžmenta u svim javnim zgradama (prema Pravilniku o informacionom sistemu energijske efikasnosti FBiH);</w:t>
      </w:r>
    </w:p>
    <w:p w14:paraId="53444DFC" w14:textId="77777777" w:rsidR="00A77633" w:rsidRDefault="00A77633" w:rsidP="005D2C94">
      <w:pPr>
        <w:pStyle w:val="ListParagraph"/>
        <w:numPr>
          <w:ilvl w:val="0"/>
          <w:numId w:val="50"/>
        </w:numPr>
        <w:spacing w:after="120" w:line="276" w:lineRule="auto"/>
        <w:ind w:right="32"/>
      </w:pPr>
      <w:r w:rsidRPr="00EA0D99">
        <w:t>Unapređenje saradnje između FMPU i institucija nadležnih za zaštitu zgrada sa statusom nacionalnih spomenika (Zavod za zaštitu spomenika FBiH i Komisija za očuvanje nacionalnih spomenika BiH);</w:t>
      </w:r>
    </w:p>
    <w:p w14:paraId="7E70B03C" w14:textId="77777777" w:rsidR="00A77633" w:rsidRDefault="00A77633" w:rsidP="005D2C94">
      <w:pPr>
        <w:pStyle w:val="ListParagraph"/>
        <w:numPr>
          <w:ilvl w:val="0"/>
          <w:numId w:val="50"/>
        </w:numPr>
        <w:spacing w:after="120" w:line="276" w:lineRule="auto"/>
        <w:ind w:left="720" w:right="32"/>
      </w:pPr>
      <w:r w:rsidRPr="00EA0D99">
        <w:t>Unaprijeđenje saradnje između Kantonalnih zavoda za zaštitu kulturno-historijskog i prirodnog naslijeđa i institucija nadležnih za zaštitu zgrada sa statusom nacionalnih spomenika (Zavod za zaštitu spomenika FBiH i Komisija za očuvanje nacionalnih spomenika BiH)</w:t>
      </w:r>
      <w:r>
        <w:t>,</w:t>
      </w:r>
    </w:p>
    <w:p w14:paraId="4425D905" w14:textId="77777777" w:rsidR="00A77633" w:rsidRPr="00292900" w:rsidRDefault="00A77633" w:rsidP="005D2C94">
      <w:pPr>
        <w:pStyle w:val="ListParagraph"/>
        <w:numPr>
          <w:ilvl w:val="0"/>
          <w:numId w:val="50"/>
        </w:numPr>
        <w:spacing w:after="120" w:line="276" w:lineRule="auto"/>
        <w:ind w:left="720" w:right="32"/>
      </w:pPr>
      <w:r w:rsidRPr="00EA0D99">
        <w:lastRenderedPageBreak/>
        <w:t>Promociju značaja EE u sektoru zgradarstva i edukacija korisnika/građana od strane FZO FBiH, te kantonanih fondova za zaštitu okoliša.</w:t>
      </w:r>
    </w:p>
    <w:p w14:paraId="4D51795C" w14:textId="4E516BAF" w:rsidR="00A77633" w:rsidRDefault="00A77633" w:rsidP="005D2C94">
      <w:pPr>
        <w:spacing w:after="120" w:line="276" w:lineRule="auto"/>
        <w:ind w:left="1" w:right="32"/>
        <w:rPr>
          <w:i/>
          <w:iCs/>
          <w:lang w:val="bs-Latn-BA"/>
        </w:rPr>
      </w:pPr>
      <w:r w:rsidRPr="00CC64F5">
        <w:rPr>
          <w:i/>
          <w:iCs/>
          <w:u w:val="single"/>
          <w:lang w:val="bs-Latn-BA"/>
        </w:rPr>
        <w:t>*</w:t>
      </w:r>
      <w:r w:rsidR="009F3597">
        <w:rPr>
          <w:i/>
          <w:iCs/>
          <w:u w:val="single"/>
          <w:lang w:val="bs-Latn-BA"/>
        </w:rPr>
        <w:t xml:space="preserve">) </w:t>
      </w:r>
      <w:r w:rsidRPr="00CC64F5">
        <w:rPr>
          <w:i/>
          <w:iCs/>
          <w:u w:val="single"/>
          <w:lang w:val="bs-Latn-BA"/>
        </w:rPr>
        <w:t>Napomena:</w:t>
      </w:r>
      <w:r w:rsidRPr="00CC64F5">
        <w:rPr>
          <w:i/>
          <w:iCs/>
          <w:lang w:val="bs-Latn-BA"/>
        </w:rPr>
        <w:t>Donošenje i provedba programa energijske obnove zgrada koje koristi Ministarstvo odbrane BiH, navedeno je kao prijedlog imajući u vidu da se dio zgrada OSBiH nalazi na teritoriji FBiH. U svakom slučaju, fond zgrada OSBiH u nadležnosti je države te će energijska obnova ovih zgrada biti provedena od strane  Ministarstva odbrane BiH.</w:t>
      </w:r>
    </w:p>
    <w:p w14:paraId="49A992DE" w14:textId="77777777" w:rsidR="00A77633" w:rsidRPr="00DA432D" w:rsidRDefault="00A77633" w:rsidP="005D2C94">
      <w:pPr>
        <w:spacing w:after="120" w:line="276" w:lineRule="auto"/>
        <w:ind w:right="32"/>
      </w:pPr>
      <w:proofErr w:type="spellStart"/>
      <w:r w:rsidRPr="00DA432D">
        <w:t>Implementacija</w:t>
      </w:r>
      <w:proofErr w:type="spellEnd"/>
      <w:r w:rsidRPr="00DA432D">
        <w:t xml:space="preserve"> </w:t>
      </w:r>
      <w:proofErr w:type="spellStart"/>
      <w:r w:rsidRPr="00DA432D">
        <w:t>ove</w:t>
      </w:r>
      <w:proofErr w:type="spellEnd"/>
      <w:r w:rsidRPr="00DA432D">
        <w:t xml:space="preserve"> </w:t>
      </w:r>
      <w:proofErr w:type="spellStart"/>
      <w:r w:rsidRPr="00DA432D">
        <w:t>mjere</w:t>
      </w:r>
      <w:proofErr w:type="spellEnd"/>
      <w:r w:rsidRPr="00DA432D">
        <w:t xml:space="preserve"> </w:t>
      </w:r>
      <w:proofErr w:type="spellStart"/>
      <w:r w:rsidRPr="00DA432D">
        <w:t>rezultirat</w:t>
      </w:r>
      <w:proofErr w:type="spellEnd"/>
      <w:r w:rsidRPr="00DA432D">
        <w:t xml:space="preserve"> </w:t>
      </w:r>
      <w:proofErr w:type="spellStart"/>
      <w:r w:rsidRPr="00DA432D">
        <w:t>će</w:t>
      </w:r>
      <w:proofErr w:type="spellEnd"/>
      <w:r w:rsidRPr="00DA432D">
        <w:t>:</w:t>
      </w:r>
    </w:p>
    <w:p w14:paraId="09741D54" w14:textId="77777777" w:rsidR="00A77633" w:rsidRDefault="00A77633" w:rsidP="00581C1C">
      <w:pPr>
        <w:pStyle w:val="ListParagraph"/>
        <w:numPr>
          <w:ilvl w:val="0"/>
          <w:numId w:val="81"/>
        </w:numPr>
        <w:spacing w:after="120" w:line="276" w:lineRule="auto"/>
        <w:ind w:right="32"/>
      </w:pPr>
      <w:r>
        <w:t>s</w:t>
      </w:r>
      <w:r w:rsidRPr="00DD2143">
        <w:t>istemskom obnovom zgrada na nivou svih kantona,</w:t>
      </w:r>
    </w:p>
    <w:p w14:paraId="4695C85A" w14:textId="77777777" w:rsidR="00A77633" w:rsidRDefault="00A77633" w:rsidP="00581C1C">
      <w:pPr>
        <w:pStyle w:val="ListParagraph"/>
        <w:numPr>
          <w:ilvl w:val="0"/>
          <w:numId w:val="81"/>
        </w:numPr>
        <w:spacing w:after="120" w:line="276" w:lineRule="auto"/>
        <w:ind w:right="32"/>
      </w:pPr>
      <w:r>
        <w:t xml:space="preserve">povećanjem </w:t>
      </w:r>
      <w:r w:rsidRPr="0080191B">
        <w:t>toplotn</w:t>
      </w:r>
      <w:r>
        <w:t>og</w:t>
      </w:r>
      <w:r w:rsidRPr="0080191B">
        <w:t xml:space="preserve"> komfor</w:t>
      </w:r>
      <w:r>
        <w:t>a</w:t>
      </w:r>
      <w:r w:rsidRPr="0080191B">
        <w:t xml:space="preserve"> i </w:t>
      </w:r>
      <w:r>
        <w:t xml:space="preserve">stvaranjem </w:t>
      </w:r>
      <w:r w:rsidRPr="0080191B">
        <w:t>bolj</w:t>
      </w:r>
      <w:r>
        <w:t>ih</w:t>
      </w:r>
      <w:r w:rsidRPr="0080191B">
        <w:t xml:space="preserve"> uvjet</w:t>
      </w:r>
      <w:r>
        <w:t>a</w:t>
      </w:r>
      <w:r w:rsidRPr="0080191B">
        <w:t xml:space="preserve"> rada/boravka u zgradama</w:t>
      </w:r>
      <w:r>
        <w:t>;</w:t>
      </w:r>
    </w:p>
    <w:p w14:paraId="7B33FE4E" w14:textId="77777777" w:rsidR="00A77633" w:rsidRDefault="00A77633" w:rsidP="00581C1C">
      <w:pPr>
        <w:pStyle w:val="ListParagraph"/>
        <w:numPr>
          <w:ilvl w:val="0"/>
          <w:numId w:val="81"/>
        </w:numPr>
        <w:spacing w:after="120" w:line="276" w:lineRule="auto"/>
        <w:ind w:right="32"/>
      </w:pPr>
      <w:r w:rsidRPr="0080191B">
        <w:t>smanjenje</w:t>
      </w:r>
      <w:r>
        <w:t>m</w:t>
      </w:r>
      <w:r w:rsidRPr="0080191B">
        <w:t xml:space="preserve"> troškova za grijanje i hlađenje na strani vlasnika</w:t>
      </w:r>
      <w:r>
        <w:t xml:space="preserve"> zgrada;</w:t>
      </w:r>
    </w:p>
    <w:p w14:paraId="14AFFFD5" w14:textId="77777777" w:rsidR="00A77633" w:rsidRDefault="00A77633" w:rsidP="00581C1C">
      <w:pPr>
        <w:pStyle w:val="ListParagraph"/>
        <w:numPr>
          <w:ilvl w:val="0"/>
          <w:numId w:val="81"/>
        </w:numPr>
        <w:spacing w:after="120" w:line="276" w:lineRule="auto"/>
        <w:ind w:right="32"/>
      </w:pPr>
      <w:r w:rsidRPr="0080191B">
        <w:t>smanjenje</w:t>
      </w:r>
      <w:r>
        <w:t>m</w:t>
      </w:r>
      <w:r w:rsidRPr="0080191B">
        <w:t xml:space="preserve"> emisija zagađujućih čestica u zrak</w:t>
      </w:r>
      <w:r>
        <w:t>;</w:t>
      </w:r>
    </w:p>
    <w:p w14:paraId="3EF64DD8" w14:textId="77777777" w:rsidR="00A77633" w:rsidRDefault="00A77633" w:rsidP="00581C1C">
      <w:pPr>
        <w:pStyle w:val="ListParagraph"/>
        <w:numPr>
          <w:ilvl w:val="0"/>
          <w:numId w:val="81"/>
        </w:numPr>
        <w:spacing w:after="120" w:line="276" w:lineRule="auto"/>
        <w:ind w:right="32"/>
      </w:pPr>
      <w:r>
        <w:t>ispunjavanjem indikativnih ciljeva unaprijeđenja energijske efikasnosti;</w:t>
      </w:r>
    </w:p>
    <w:p w14:paraId="0A152B8B" w14:textId="77777777" w:rsidR="00A77633" w:rsidRPr="0080191B" w:rsidRDefault="00A77633" w:rsidP="00581C1C">
      <w:pPr>
        <w:pStyle w:val="ListParagraph"/>
        <w:numPr>
          <w:ilvl w:val="0"/>
          <w:numId w:val="81"/>
        </w:numPr>
        <w:spacing w:after="120" w:line="276" w:lineRule="auto"/>
        <w:ind w:right="32"/>
      </w:pPr>
      <w:r>
        <w:t>upošljavanjem postojeće građevinske operative i osposobljavanjem nove radne snage u procesu obnove zgrada.</w:t>
      </w:r>
    </w:p>
    <w:p w14:paraId="69341F54" w14:textId="3269BB3B" w:rsidR="00A77633" w:rsidRDefault="00A77633" w:rsidP="00A77633">
      <w:pPr>
        <w:pStyle w:val="Heading2"/>
        <w:numPr>
          <w:ilvl w:val="0"/>
          <w:numId w:val="0"/>
        </w:numPr>
        <w:ind w:left="1350" w:hanging="1350"/>
        <w:rPr>
          <w:sz w:val="22"/>
          <w:szCs w:val="22"/>
          <w:lang w:val="bs-Latn-BA"/>
        </w:rPr>
      </w:pPr>
      <w:bookmarkStart w:id="150" w:name="_Toc134011779"/>
      <w:r w:rsidRPr="008924E0">
        <w:rPr>
          <w:sz w:val="22"/>
          <w:szCs w:val="22"/>
          <w:lang w:val="bs-Latn-BA"/>
        </w:rPr>
        <w:t>Mjera  1.</w:t>
      </w:r>
      <w:r>
        <w:rPr>
          <w:sz w:val="22"/>
          <w:szCs w:val="22"/>
          <w:lang w:val="bs-Latn-BA"/>
        </w:rPr>
        <w:t>1.5</w:t>
      </w:r>
      <w:r w:rsidRPr="008924E0">
        <w:rPr>
          <w:sz w:val="22"/>
          <w:szCs w:val="22"/>
          <w:lang w:val="bs-Latn-BA"/>
        </w:rPr>
        <w:t xml:space="preserve">. </w:t>
      </w:r>
      <w:r w:rsidRPr="008E1B36">
        <w:rPr>
          <w:sz w:val="22"/>
          <w:szCs w:val="22"/>
          <w:lang w:val="bs-Latn-BA"/>
        </w:rPr>
        <w:t>Promovira</w:t>
      </w:r>
      <w:r w:rsidR="00063F0F">
        <w:rPr>
          <w:sz w:val="22"/>
          <w:szCs w:val="22"/>
          <w:lang w:val="bs-Latn-BA"/>
        </w:rPr>
        <w:t>ti</w:t>
      </w:r>
      <w:r w:rsidRPr="008E1B36">
        <w:rPr>
          <w:sz w:val="22"/>
          <w:szCs w:val="22"/>
          <w:lang w:val="bs-Latn-BA"/>
        </w:rPr>
        <w:t xml:space="preserve"> izgradnj</w:t>
      </w:r>
      <w:r w:rsidR="00063F0F">
        <w:rPr>
          <w:sz w:val="22"/>
          <w:szCs w:val="22"/>
          <w:lang w:val="bs-Latn-BA"/>
        </w:rPr>
        <w:t>u</w:t>
      </w:r>
      <w:r w:rsidRPr="008E1B36">
        <w:rPr>
          <w:sz w:val="22"/>
          <w:szCs w:val="22"/>
          <w:lang w:val="bs-Latn-BA"/>
        </w:rPr>
        <w:t xml:space="preserve"> novih stambenih i nestambenih zgrada prema standardima propisanim za nZEB</w:t>
      </w:r>
      <w:bookmarkEnd w:id="150"/>
    </w:p>
    <w:p w14:paraId="0FA2BD53" w14:textId="72649C58" w:rsidR="00A77633" w:rsidRPr="008924E0" w:rsidRDefault="00A77633" w:rsidP="005D2C94">
      <w:pPr>
        <w:spacing w:after="120" w:line="276" w:lineRule="auto"/>
        <w:ind w:left="1" w:right="32"/>
        <w:rPr>
          <w:lang w:val="bs-Latn-BA"/>
        </w:rPr>
      </w:pPr>
      <w:r w:rsidRPr="008924E0">
        <w:rPr>
          <w:lang w:val="bs-Latn-BA"/>
        </w:rPr>
        <w:t xml:space="preserve">Prema Odluci Ministarskog vijeća Energetske Zajednice 2010/02/MC-EnC  po kojoj je EPBD direktiva postala </w:t>
      </w:r>
      <w:r w:rsidR="00F03625">
        <w:rPr>
          <w:lang w:val="bs-Latn-BA"/>
        </w:rPr>
        <w:t>obvez</w:t>
      </w:r>
      <w:r w:rsidRPr="008924E0">
        <w:rPr>
          <w:lang w:val="bs-Latn-BA"/>
        </w:rPr>
        <w:t>ujuća za države članice EnZ, u članu 9 propisani su rokovi vezano za zgrade gotovo nulte energije</w:t>
      </w:r>
      <w:r w:rsidRPr="008924E0">
        <w:rPr>
          <w:i/>
          <w:iCs/>
          <w:lang w:val="bs-Latn-BA"/>
        </w:rPr>
        <w:t xml:space="preserve"> (eng. Nearly-zero Buildings</w:t>
      </w:r>
      <w:r w:rsidRPr="008924E0">
        <w:rPr>
          <w:lang w:val="bs-Latn-BA"/>
        </w:rPr>
        <w:t xml:space="preserve"> - </w:t>
      </w:r>
      <w:r w:rsidRPr="008924E0">
        <w:rPr>
          <w:i/>
          <w:iCs/>
          <w:lang w:val="bs-Latn-BA"/>
        </w:rPr>
        <w:t>nZEB)</w:t>
      </w:r>
      <w:r w:rsidRPr="008924E0">
        <w:rPr>
          <w:lang w:val="bs-Latn-BA"/>
        </w:rPr>
        <w:t>. Prema ovom članu nakon 30. juna 2019. godine sve nove zgrade koje koriste institucije FBiH i  vlasništvo su FBiH treba da budu zgrade gotovo nulte energije, a do 30. juna 2021. godine sve nove zgrade treba da budu zgrade gotovo nulte energije.  Prema definiciji zgrada s gotovo nultom potrošnjom je zgrada koja ima vrlo visoke energijske performanse, a koja koristi vrlo niske količine energije, koja se u značajnoj mjeri dobiva energijom iz obnovljivih izvora uključujući onu koja se proizvodi na samoj zgradi ili u njenoj blizini.</w:t>
      </w:r>
    </w:p>
    <w:p w14:paraId="7145CA87" w14:textId="4EAE4619" w:rsidR="00A77633" w:rsidRDefault="00A77633" w:rsidP="005D2C94">
      <w:pPr>
        <w:spacing w:after="120" w:line="276" w:lineRule="auto"/>
        <w:ind w:left="1" w:right="32"/>
        <w:rPr>
          <w:lang w:val="bs-Latn-BA"/>
        </w:rPr>
      </w:pPr>
      <w:r w:rsidRPr="008924E0">
        <w:rPr>
          <w:lang w:val="bs-Latn-BA"/>
        </w:rPr>
        <w:t xml:space="preserve">Imajući u vidu </w:t>
      </w:r>
      <w:r w:rsidR="00F03625">
        <w:rPr>
          <w:lang w:val="bs-Latn-BA"/>
        </w:rPr>
        <w:t>obvez</w:t>
      </w:r>
      <w:r w:rsidRPr="008924E0">
        <w:rPr>
          <w:lang w:val="bs-Latn-BA"/>
        </w:rPr>
        <w:t>e i rokove FBiH u pogledu izgradnje zgrada gotovo nulte energije, potrebno je uz  konsultacije i otvoreni dijalog između  resornih ministarstava na nivou FBiH i kantona, građevinskog sektora, energetskog sektora te obrazovnih institucija, razviti definiciju zgrade s gotovo nultom potrošnjom energije adekvatnu za BiH odnosno FBiH, i donijeti procedure i standarde za ove zgrade.</w:t>
      </w:r>
    </w:p>
    <w:p w14:paraId="1D7791C9" w14:textId="77777777" w:rsidR="00A77633" w:rsidRPr="008924E0" w:rsidRDefault="00A77633" w:rsidP="005D2C94">
      <w:pPr>
        <w:spacing w:after="120" w:line="276" w:lineRule="auto"/>
        <w:ind w:left="1" w:right="32"/>
        <w:rPr>
          <w:lang w:val="bs-Latn-BA"/>
        </w:rPr>
      </w:pPr>
      <w:r w:rsidRPr="008924E0">
        <w:rPr>
          <w:lang w:val="bs-Latn-BA"/>
        </w:rPr>
        <w:t>Zakon o EE u FBiH nije usaglašen sa Direktivom u oblasti definiranja energijskih tipova zgrada, prvenstveno zgrada gotovo nulte energije</w:t>
      </w:r>
      <w:r w:rsidRPr="008924E0">
        <w:rPr>
          <w:i/>
          <w:iCs/>
          <w:lang w:val="bs-Latn-BA"/>
        </w:rPr>
        <w:t xml:space="preserve">. </w:t>
      </w:r>
      <w:r w:rsidRPr="008924E0">
        <w:rPr>
          <w:lang w:val="bs-Latn-BA"/>
        </w:rPr>
        <w:t xml:space="preserve">Cilj ove mjere je usvajanjem potrebne legislative podstaknuti izgradnju zgrada do nivoa gotovo nulte energije (nZEB) . </w:t>
      </w:r>
    </w:p>
    <w:p w14:paraId="0F207F80" w14:textId="77777777" w:rsidR="00A77633" w:rsidRPr="008924E0" w:rsidRDefault="00A77633" w:rsidP="005D2C94">
      <w:pPr>
        <w:spacing w:after="120" w:line="276" w:lineRule="auto"/>
        <w:ind w:right="32"/>
        <w:rPr>
          <w:lang w:val="bs-Latn-BA"/>
        </w:rPr>
      </w:pPr>
      <w:r w:rsidRPr="008924E0">
        <w:rPr>
          <w:lang w:val="bs-Latn-BA"/>
        </w:rPr>
        <w:t xml:space="preserve">Shodno navedenom, i činjenici da u FBiH još uvijek nisu  donesene procedure i standardi za nZEB, usvojena je realna pretpostavka da će sve nove zgrade izgrađene nakon 2030. godine, biti zgrade gotovo nulte energije odnosno izuzetno energijski efikasne, gdje je skoro nulta ili niska potrošnja energije potrebna za funkcioniranje zgrade, dobivena u velikoj mjeri iz obnovljivih izvora energije. </w:t>
      </w:r>
    </w:p>
    <w:p w14:paraId="6CC7FCCE" w14:textId="77777777" w:rsidR="00A77633" w:rsidRPr="008924E0" w:rsidRDefault="00A77633" w:rsidP="005D2C94">
      <w:pPr>
        <w:spacing w:after="120" w:line="276" w:lineRule="auto"/>
        <w:ind w:left="1" w:right="32"/>
        <w:rPr>
          <w:lang w:val="bs-Latn-BA"/>
        </w:rPr>
      </w:pPr>
      <w:r w:rsidRPr="008924E0">
        <w:rPr>
          <w:lang w:val="bs-Latn-BA"/>
        </w:rPr>
        <w:lastRenderedPageBreak/>
        <w:t>Aktivnosti planirane u sklopu ove mjere su:</w:t>
      </w:r>
    </w:p>
    <w:p w14:paraId="4F3A6A97" w14:textId="77777777" w:rsidR="00A77633" w:rsidRPr="008924E0" w:rsidRDefault="00A77633" w:rsidP="005D2C94">
      <w:pPr>
        <w:pStyle w:val="ListParagraph"/>
        <w:numPr>
          <w:ilvl w:val="0"/>
          <w:numId w:val="50"/>
        </w:numPr>
        <w:spacing w:after="120" w:line="276" w:lineRule="auto"/>
        <w:ind w:right="32"/>
      </w:pPr>
      <w:r w:rsidRPr="008924E0">
        <w:t>Izmjena i dopuna postojeće legislative u cilju donošenja procedura i standarda za izgradnju zgrada  nZEB i zgrada nulte potrošnje energije;</w:t>
      </w:r>
    </w:p>
    <w:p w14:paraId="0F17F129" w14:textId="77777777" w:rsidR="00A77633" w:rsidRPr="008924E0" w:rsidRDefault="00A77633" w:rsidP="005D2C94">
      <w:pPr>
        <w:pStyle w:val="ListParagraph"/>
        <w:numPr>
          <w:ilvl w:val="0"/>
          <w:numId w:val="50"/>
        </w:numPr>
        <w:spacing w:after="120" w:line="276" w:lineRule="auto"/>
        <w:ind w:right="32"/>
      </w:pPr>
      <w:r w:rsidRPr="008924E0">
        <w:t>Usklađivanje kantonalnih zakona o građenju sa procedurama i standardima za zgrade nZEB i zgrade nulte potrošnje energije;</w:t>
      </w:r>
    </w:p>
    <w:p w14:paraId="248B5E41" w14:textId="77777777" w:rsidR="00A77633" w:rsidRPr="008924E0" w:rsidRDefault="00A77633" w:rsidP="005D2C94">
      <w:pPr>
        <w:pStyle w:val="ListParagraph"/>
        <w:numPr>
          <w:ilvl w:val="0"/>
          <w:numId w:val="50"/>
        </w:numPr>
        <w:spacing w:after="120" w:line="276" w:lineRule="auto"/>
        <w:ind w:right="32"/>
      </w:pPr>
      <w:r w:rsidRPr="008924E0">
        <w:t xml:space="preserve">Konsultacije sa stručnom javnošću i građevinskim sektorom s ciljem stvaranje preduvjeta za izgradnju nZEB zgrada; </w:t>
      </w:r>
    </w:p>
    <w:p w14:paraId="11ABAB79" w14:textId="77777777" w:rsidR="00A77633" w:rsidRPr="008924E0" w:rsidRDefault="00A77633" w:rsidP="005D2C94">
      <w:pPr>
        <w:pStyle w:val="ListParagraph"/>
        <w:numPr>
          <w:ilvl w:val="0"/>
          <w:numId w:val="50"/>
        </w:numPr>
        <w:spacing w:after="120" w:line="276" w:lineRule="auto"/>
        <w:ind w:right="32"/>
      </w:pPr>
      <w:r w:rsidRPr="008924E0">
        <w:t>Otvoreni dijalog partnera - radionice koje će okupiti dionike tijela javne i lokalne uprave, građevinskog sektora, energetskog sektora te obrazovnih i drugih javnih institucija, kako bi se zajedničkim dijalogom razvila adekvatna nacionalna definicija zgrade s gotovo nultom potrošnjom energije i smjernice za transformaciju postojećeg fonda zgrada u EE i dekarboniziran fond zgrada do 2050. godine;</w:t>
      </w:r>
    </w:p>
    <w:p w14:paraId="01DDFBDB" w14:textId="77777777" w:rsidR="00A77633" w:rsidRPr="008924E0" w:rsidRDefault="00A77633" w:rsidP="005D2C94">
      <w:pPr>
        <w:pStyle w:val="ListParagraph"/>
        <w:numPr>
          <w:ilvl w:val="0"/>
          <w:numId w:val="50"/>
        </w:numPr>
        <w:spacing w:after="120" w:line="276" w:lineRule="auto"/>
        <w:ind w:right="32"/>
      </w:pPr>
      <w:r w:rsidRPr="008924E0">
        <w:t>Izrada smjernica o nZEB i zgradama nulte potrošnje za investitore i projektante koje će dati stručnu, preglednu i nedvosmislenu informaciju o nZEB zgradama;</w:t>
      </w:r>
    </w:p>
    <w:p w14:paraId="3C13AB32" w14:textId="77777777" w:rsidR="00A77633" w:rsidRPr="008924E0" w:rsidRDefault="00A77633" w:rsidP="005D2C94">
      <w:pPr>
        <w:pStyle w:val="ListParagraph"/>
        <w:numPr>
          <w:ilvl w:val="0"/>
          <w:numId w:val="50"/>
        </w:numPr>
        <w:spacing w:after="120" w:line="276" w:lineRule="auto"/>
        <w:ind w:right="32"/>
      </w:pPr>
      <w:r w:rsidRPr="008924E0">
        <w:t>Povećanje udjela OIE u sektoru zgradarstva;</w:t>
      </w:r>
    </w:p>
    <w:p w14:paraId="599B5E34" w14:textId="77777777" w:rsidR="00A77633" w:rsidRPr="008924E0" w:rsidRDefault="00A77633" w:rsidP="005D2C94">
      <w:pPr>
        <w:pStyle w:val="ListParagraph"/>
        <w:numPr>
          <w:ilvl w:val="0"/>
          <w:numId w:val="50"/>
        </w:numPr>
        <w:spacing w:after="120" w:line="276" w:lineRule="auto"/>
        <w:ind w:right="32"/>
      </w:pPr>
      <w:r w:rsidRPr="008924E0">
        <w:t>Primjena EUROCODES  koji pružaju zajednički pristup za projektiranje zgrada i drugih građevinskih radova i građevinskih proizvoda, kao preporučeni način usklađenosti sa osnovnim zahtjevima Direktive o građevinskim proizvodima za građevinske radove i proizvode koji nose oznaku CE, kao i tehničke specifikacije u javnim ugovorima;</w:t>
      </w:r>
    </w:p>
    <w:p w14:paraId="3879D4D9" w14:textId="15CC4712" w:rsidR="00A77633" w:rsidRPr="008924E0" w:rsidRDefault="00A77633" w:rsidP="005D2C94">
      <w:pPr>
        <w:pStyle w:val="ListParagraph"/>
        <w:numPr>
          <w:ilvl w:val="0"/>
          <w:numId w:val="50"/>
        </w:numPr>
        <w:spacing w:after="120" w:line="276" w:lineRule="auto"/>
        <w:ind w:right="32"/>
      </w:pPr>
      <w:r w:rsidRPr="008924E0">
        <w:t xml:space="preserve">Promoviranje izgradnje novih zgrada gotovo nulte energije kroz namjenske </w:t>
      </w:r>
      <w:r w:rsidR="007B690C">
        <w:t>financ</w:t>
      </w:r>
      <w:r w:rsidRPr="008924E0">
        <w:t>ijske podsticaje;</w:t>
      </w:r>
    </w:p>
    <w:p w14:paraId="27C79FF0" w14:textId="7718282F" w:rsidR="00A77633" w:rsidRPr="008924E0" w:rsidRDefault="00A77633" w:rsidP="007B690C">
      <w:pPr>
        <w:pStyle w:val="ListParagraph"/>
        <w:numPr>
          <w:ilvl w:val="0"/>
          <w:numId w:val="50"/>
        </w:numPr>
        <w:spacing w:after="120" w:line="276" w:lineRule="auto"/>
        <w:ind w:right="32"/>
      </w:pPr>
      <w:r w:rsidRPr="008924E0">
        <w:t>Podizanje svijesti o  nZEB standardima kojim će se informirati javnost o značenju energijskih certifikata te njihovom značaju u energijskoj obnovi i dokazivanju nZEB standarda od strane FZO FBiH i FMPU.</w:t>
      </w:r>
    </w:p>
    <w:p w14:paraId="304F94A1" w14:textId="77777777" w:rsidR="00A77633" w:rsidRPr="00DD2143" w:rsidRDefault="00A77633" w:rsidP="005D2C94">
      <w:pPr>
        <w:spacing w:after="120" w:line="276" w:lineRule="auto"/>
        <w:rPr>
          <w:lang w:val="bs-Latn-BA"/>
        </w:rPr>
      </w:pPr>
      <w:r w:rsidRPr="00DD2143">
        <w:rPr>
          <w:lang w:val="bs-Latn-BA"/>
        </w:rPr>
        <w:t>Implementaci</w:t>
      </w:r>
      <w:r>
        <w:rPr>
          <w:lang w:val="bs-Latn-BA"/>
        </w:rPr>
        <w:t>ja</w:t>
      </w:r>
      <w:r w:rsidRPr="00DD2143">
        <w:rPr>
          <w:lang w:val="bs-Latn-BA"/>
        </w:rPr>
        <w:t xml:space="preserve"> ove mjere rezultirat će:</w:t>
      </w:r>
    </w:p>
    <w:p w14:paraId="7805A12D" w14:textId="249D0898" w:rsidR="00A77633" w:rsidRDefault="009F3597" w:rsidP="00581C1C">
      <w:pPr>
        <w:pStyle w:val="ListParagraph"/>
        <w:numPr>
          <w:ilvl w:val="0"/>
          <w:numId w:val="82"/>
        </w:numPr>
        <w:spacing w:after="120" w:line="276" w:lineRule="auto"/>
        <w:jc w:val="left"/>
      </w:pPr>
      <w:r>
        <w:t>ubrzanoj</w:t>
      </w:r>
      <w:r w:rsidR="00A77633">
        <w:t xml:space="preserve"> dekarbonizaciji zgrada u FBiH;</w:t>
      </w:r>
    </w:p>
    <w:p w14:paraId="0B054080" w14:textId="77777777" w:rsidR="00A77633" w:rsidRDefault="00A77633" w:rsidP="00581C1C">
      <w:pPr>
        <w:pStyle w:val="ListParagraph"/>
        <w:numPr>
          <w:ilvl w:val="0"/>
          <w:numId w:val="82"/>
        </w:numPr>
        <w:spacing w:after="120" w:line="276" w:lineRule="auto"/>
        <w:jc w:val="left"/>
      </w:pPr>
      <w:r>
        <w:t>primjenom inovativnih tehničkih i tehnoloških rješenja u zgradarstvu;</w:t>
      </w:r>
    </w:p>
    <w:p w14:paraId="6388196F" w14:textId="77777777" w:rsidR="00A77633" w:rsidRDefault="00A77633" w:rsidP="00581C1C">
      <w:pPr>
        <w:pStyle w:val="ListParagraph"/>
        <w:numPr>
          <w:ilvl w:val="0"/>
          <w:numId w:val="82"/>
        </w:numPr>
        <w:spacing w:after="120" w:line="276" w:lineRule="auto"/>
      </w:pPr>
      <w:r>
        <w:t xml:space="preserve">većom sigurnosti u snabdijevanju toplotnom energijom i </w:t>
      </w:r>
      <w:r w:rsidRPr="0006171F">
        <w:t>značajno niži</w:t>
      </w:r>
      <w:r>
        <w:t>m</w:t>
      </w:r>
      <w:r w:rsidRPr="0006171F">
        <w:t xml:space="preserve"> troškovi</w:t>
      </w:r>
      <w:r>
        <w:t>ma</w:t>
      </w:r>
      <w:r w:rsidRPr="0006171F">
        <w:t xml:space="preserve"> </w:t>
      </w:r>
      <w:r>
        <w:t>režija;</w:t>
      </w:r>
    </w:p>
    <w:p w14:paraId="7744943B" w14:textId="77777777" w:rsidR="00A77633" w:rsidRPr="0006171F" w:rsidRDefault="00A77633" w:rsidP="00581C1C">
      <w:pPr>
        <w:pStyle w:val="ListParagraph"/>
        <w:numPr>
          <w:ilvl w:val="0"/>
          <w:numId w:val="82"/>
        </w:numPr>
        <w:spacing w:after="120" w:line="276" w:lineRule="auto"/>
      </w:pPr>
      <w:r>
        <w:t xml:space="preserve">održivom i </w:t>
      </w:r>
      <w:r w:rsidRPr="0006171F">
        <w:t>niskoemision</w:t>
      </w:r>
      <w:r>
        <w:t>om</w:t>
      </w:r>
      <w:r w:rsidRPr="0006171F">
        <w:t xml:space="preserve"> razvoj</w:t>
      </w:r>
      <w:r>
        <w:t>u</w:t>
      </w:r>
      <w:r w:rsidRPr="0006171F">
        <w:t xml:space="preserve"> FBiH.</w:t>
      </w:r>
    </w:p>
    <w:p w14:paraId="1CF7A4A1" w14:textId="77777777" w:rsidR="00A77633" w:rsidRDefault="00A77633" w:rsidP="00A77633">
      <w:pPr>
        <w:pStyle w:val="Heading2"/>
        <w:numPr>
          <w:ilvl w:val="0"/>
          <w:numId w:val="0"/>
        </w:numPr>
        <w:ind w:left="1350" w:hanging="1350"/>
        <w:rPr>
          <w:sz w:val="22"/>
          <w:szCs w:val="22"/>
          <w:lang w:val="bs-Latn-BA"/>
        </w:rPr>
      </w:pPr>
      <w:bookmarkStart w:id="151" w:name="_Toc134011780"/>
      <w:r w:rsidRPr="008924E0">
        <w:rPr>
          <w:sz w:val="22"/>
          <w:szCs w:val="22"/>
          <w:lang w:val="bs-Latn-BA"/>
        </w:rPr>
        <w:t>Mjera  1.</w:t>
      </w:r>
      <w:r>
        <w:rPr>
          <w:sz w:val="22"/>
          <w:szCs w:val="22"/>
          <w:lang w:val="bs-Latn-BA"/>
        </w:rPr>
        <w:t>1.6</w:t>
      </w:r>
      <w:r w:rsidRPr="008924E0">
        <w:rPr>
          <w:sz w:val="22"/>
          <w:szCs w:val="22"/>
          <w:lang w:val="bs-Latn-BA"/>
        </w:rPr>
        <w:t xml:space="preserve">. </w:t>
      </w:r>
      <w:r w:rsidRPr="00FE7AFE">
        <w:rPr>
          <w:sz w:val="22"/>
          <w:szCs w:val="22"/>
          <w:lang w:val="bs-Latn-BA"/>
        </w:rPr>
        <w:t>Podsticati primjenu novih tehnologija i pametnih rješenja u sektoru zgradarstva</w:t>
      </w:r>
      <w:bookmarkEnd w:id="151"/>
    </w:p>
    <w:p w14:paraId="63737E71" w14:textId="77777777" w:rsidR="00A77633" w:rsidRPr="008924E0" w:rsidRDefault="00A77633" w:rsidP="005D2C94">
      <w:pPr>
        <w:spacing w:after="120" w:line="276" w:lineRule="auto"/>
        <w:rPr>
          <w:color w:val="000000"/>
          <w:lang w:val="bs-Latn-BA"/>
        </w:rPr>
      </w:pPr>
      <w:r w:rsidRPr="008924E0">
        <w:rPr>
          <w:lang w:val="bs-Latn-BA"/>
        </w:rPr>
        <w:t>Napredak digitalnih tehnologija omogućava detaljno praćenje utjecaja zgrada i građevinskih proizvoda u njihovom životnom ciklusu na okoliš, privredu i društvo općenito, stoga je neophodno ove potencijale iskoristiti da bi se put prema energijski i resursno efikasnom društvu ubrzao.</w:t>
      </w:r>
    </w:p>
    <w:p w14:paraId="60C6999A" w14:textId="77777777" w:rsidR="00A77633" w:rsidRPr="008924E0" w:rsidRDefault="00A77633" w:rsidP="005D2C94">
      <w:pPr>
        <w:spacing w:after="120" w:line="276" w:lineRule="auto"/>
        <w:rPr>
          <w:color w:val="000000"/>
          <w:lang w:val="bs-Latn-BA"/>
        </w:rPr>
      </w:pPr>
      <w:r w:rsidRPr="008924E0">
        <w:rPr>
          <w:color w:val="000000"/>
          <w:lang w:val="bs-Latn-BA"/>
        </w:rPr>
        <w:lastRenderedPageBreak/>
        <w:t xml:space="preserve">U tom smislu, promoviranje pametnih tehnologija i dobro povezanih zgrada i zajednica koje su definirane dominantno na lokalnom nivou kroz strategije razvoja pametnih gradova je ključno. Razvoj pametnih gradova pretpostavlja snažno korištenje digitalnih tehnologija kako u zgradama tako i u uslugama koje se pružaju u tim zgradama, a s ciljem razvoja gradova na okolinski, ekonomski i društveno održiv način. </w:t>
      </w:r>
    </w:p>
    <w:p w14:paraId="3DFFA002" w14:textId="77777777" w:rsidR="00A77633" w:rsidRPr="008924E0" w:rsidRDefault="00A77633" w:rsidP="005D2C94">
      <w:pPr>
        <w:spacing w:after="120" w:line="276" w:lineRule="auto"/>
        <w:rPr>
          <w:color w:val="000000"/>
          <w:lang w:val="bs-Latn-BA"/>
        </w:rPr>
      </w:pPr>
      <w:r w:rsidRPr="008924E0">
        <w:rPr>
          <w:color w:val="000000"/>
          <w:lang w:val="bs-Latn-BA"/>
        </w:rPr>
        <w:t>U BiH su Sarajevo i Banja Luka primjeri gradova koji su na putu transformacije u „Pametne gradove“ (projekat podržan od strane UNDP-a), a koji se temelji na digitalnoj infrastrukturi. Projekat "Pametni gradovi – ka digitalnoj transformaciji gradova u BiH" realizira se u okviru develoPPP.de programa, i ima za cilj da podržati proaktivne jedinice lokalne samouprave u početnoj realizaciji njihove vizije digitalne transformacije u pametni grad. U ovom projektu učestvuje pet pilot jedinica lokalne samouprave – Pale, Prijedor, Tešanj, Zvornik i Zenica kojima se pruža asistencija u formulisanju vizije pametnog grada i procesu akcionog planiranja transformacije, koordinirano sa postojećim strategijama i planskim procesima.</w:t>
      </w:r>
    </w:p>
    <w:p w14:paraId="12AA3842" w14:textId="77777777" w:rsidR="00A77633" w:rsidRPr="008924E0" w:rsidRDefault="00A77633" w:rsidP="005D2C94">
      <w:pPr>
        <w:spacing w:after="120" w:line="276" w:lineRule="auto"/>
        <w:rPr>
          <w:color w:val="000000"/>
          <w:lang w:val="bs-Latn-BA"/>
        </w:rPr>
      </w:pPr>
      <w:r w:rsidRPr="008924E0">
        <w:rPr>
          <w:color w:val="000000"/>
          <w:lang w:val="bs-Latn-BA"/>
        </w:rPr>
        <w:t>U kontekstu primjene novih tehnologija i pametnih rješenja u sektoru zgradarstva, potrebno je uspostaviti centre za podršku pametnim i održivim gradovima te osigurati  sufinanciranje projekata razvoja pametnih i održivih rješenja i usluga u javnom sektoru, primjenom digitalnih tehnologija u svrhu boljeg korištenja resursa i smanjenja emisija stakleničkih plinova, a za dobrobit građana i privrednih subjekata.</w:t>
      </w:r>
    </w:p>
    <w:p w14:paraId="273CF30D" w14:textId="77777777" w:rsidR="00A77633" w:rsidRPr="008924E0" w:rsidRDefault="00A77633" w:rsidP="005D2C94">
      <w:pPr>
        <w:spacing w:after="120" w:line="276" w:lineRule="auto"/>
        <w:rPr>
          <w:lang w:val="bs-Latn-BA"/>
        </w:rPr>
      </w:pPr>
      <w:r w:rsidRPr="008924E0">
        <w:rPr>
          <w:lang w:val="bs-Latn-BA"/>
        </w:rPr>
        <w:t xml:space="preserve">Ključna skupina dionika u procesu transformacije su arhitekti, inženjeri i konsultanti koji svojim dizajnom, rješenjima i tehnologijama imaju veliki utjecaj na ugljični otisak zgrada u svim fazama njihova života. Već na samom početku planerskog procesa projektanti mogu predvidjeti inovativna rješenja za energijsku efikasnost zgrade. Također, modularnim dizajnom projektanti mogu omogućiti višenamjensku upotrebu određenih prostora te tako smanjiti potrebu za izgradnjom više zgrada različite namjene. Pri odabiru materijala projektanti trebaju poticati odabir materijala iz lokalnih i održivih izvora čija ekstrakcija ima minimalan utjecaj na okoliš i ugljične emisije. Potrebno je poticati stručnjake na implementaciju indikatora okvira Level(s): analiza životnog ciklusa </w:t>
      </w:r>
      <w:r w:rsidRPr="00357E19">
        <w:rPr>
          <w:i/>
          <w:iCs/>
          <w:lang w:val="bs-Latn-BA"/>
        </w:rPr>
        <w:t>(engl. Life Cycle Assessment LCA),</w:t>
      </w:r>
      <w:r w:rsidRPr="008924E0">
        <w:rPr>
          <w:lang w:val="bs-Latn-BA"/>
        </w:rPr>
        <w:t xml:space="preserve"> analiza životnog troška </w:t>
      </w:r>
      <w:r w:rsidRPr="00357E19">
        <w:rPr>
          <w:i/>
          <w:iCs/>
          <w:lang w:val="bs-Latn-BA"/>
        </w:rPr>
        <w:t>(engl. Life Cycle Cost LCC)</w:t>
      </w:r>
      <w:r w:rsidRPr="008924E0">
        <w:rPr>
          <w:lang w:val="bs-Latn-BA"/>
        </w:rPr>
        <w:t xml:space="preserve"> i kvaliteta unutarnjeg zraka (Indoor Air Quality IAQ). Pri procesu projektiranja stručnjaci trebaju uzeti u obzir otvorene površine uz građevinu, isplanirati održiv sistem odvodnje otpadnih voda i općenito uzeti u obzir inovativne koncepte planiranja korištenja vode u zgradi te na otvorenim površinama. </w:t>
      </w:r>
    </w:p>
    <w:p w14:paraId="6845009A" w14:textId="0B9D7761" w:rsidR="00A77633" w:rsidRPr="008924E0" w:rsidRDefault="00A77633" w:rsidP="005D2C94">
      <w:pPr>
        <w:spacing w:after="120" w:line="276" w:lineRule="auto"/>
        <w:rPr>
          <w:lang w:val="bs-Latn-BA"/>
        </w:rPr>
      </w:pPr>
      <w:r w:rsidRPr="008924E0">
        <w:rPr>
          <w:lang w:val="bs-Latn-BA"/>
        </w:rPr>
        <w:t xml:space="preserve">Proizvođači građevinskih materijala i dobavljači građevinskih tehnologija odgovorni su za ugrađeni ugIjični otisak </w:t>
      </w:r>
      <w:r w:rsidRPr="00357E19">
        <w:rPr>
          <w:i/>
          <w:iCs/>
          <w:lang w:val="bs-Latn-BA"/>
        </w:rPr>
        <w:t>(embodied carbon footprint).</w:t>
      </w:r>
      <w:r w:rsidRPr="008924E0">
        <w:rPr>
          <w:lang w:val="bs-Latn-BA"/>
        </w:rPr>
        <w:t xml:space="preserve"> Proizvođači i dobavljači su često obeshrabreni pri korištenju niskougljičnih </w:t>
      </w:r>
      <w:r w:rsidR="007736EC" w:rsidRPr="008924E0">
        <w:rPr>
          <w:lang w:val="bs-Latn-BA"/>
        </w:rPr>
        <w:t>metoda</w:t>
      </w:r>
      <w:r w:rsidRPr="008924E0">
        <w:rPr>
          <w:lang w:val="bs-Latn-BA"/>
        </w:rPr>
        <w:t xml:space="preserve"> u razvoju održivih materijala s obzirom da nisu uključeni u propise javne nabavke. Osim nedostatka zakonodavnih mjera poticanja niskougljičnih metoda, proizvođači i dobavljači suočeni su sa sistemskim izazovima dostupnosti i raspodjele ljudskih i </w:t>
      </w:r>
      <w:r w:rsidR="007B690C">
        <w:rPr>
          <w:lang w:val="bs-Latn-BA"/>
        </w:rPr>
        <w:t>financ</w:t>
      </w:r>
      <w:r w:rsidRPr="008924E0">
        <w:rPr>
          <w:lang w:val="bs-Latn-BA"/>
        </w:rPr>
        <w:t>ijskih resursa te se često odlučuju za jeftinije metode, izbjegavajući temeljit LCA pristup, čiji troškovi provođenja mogu biti preveliki, posebno za manja poduzeća. Također, dostupnost podataka kao i njihova kvaliteta je često ograničena, a sam proces analiza je složen i dugotrajan. Kvalitetne analize, poput LCA, mogu provoditi samo veliki industrijski proizvođači s obrazovanim stručnim kadrom u području LCA i LCC analiza.</w:t>
      </w:r>
    </w:p>
    <w:p w14:paraId="3A350DB4" w14:textId="77777777" w:rsidR="00A77633" w:rsidRPr="008924E0" w:rsidRDefault="00A77633" w:rsidP="005D2C94">
      <w:pPr>
        <w:spacing w:after="120" w:line="276" w:lineRule="auto"/>
        <w:rPr>
          <w:lang w:val="bs-Latn-BA"/>
        </w:rPr>
      </w:pPr>
      <w:r w:rsidRPr="008924E0">
        <w:rPr>
          <w:lang w:val="bs-Latn-BA"/>
        </w:rPr>
        <w:t xml:space="preserve">Povećanje znanja i kapaciteta u oblasti Building Information Modeling (BIM), vezano za energijsku efikasnost u zgradarstvu omogućit će povećanje energijskih svojstava zgrada primjenom različitih materijala u procesu izrade glavnog projekta ali i u procesu izrade projekata energijske obnove zgrade. </w:t>
      </w:r>
      <w:r w:rsidRPr="008924E0">
        <w:rPr>
          <w:lang w:val="bs-Latn-BA"/>
        </w:rPr>
        <w:lastRenderedPageBreak/>
        <w:t xml:space="preserve">BIM opisuje način na koji svi mogu razumjeti objekat kroz korištenje digitalnog modela, a koji se oslanja na niz podataka sastavljenih zajedničkim dizajniranjem prije, za vrijeme i nakon izgradnje. Podsticanje i jačanje kapaciteta projektantskih firmi u primjeni BIM-a u interesu je povećanja EE zgrada. </w:t>
      </w:r>
    </w:p>
    <w:p w14:paraId="205B929A" w14:textId="77777777" w:rsidR="00A77633" w:rsidRPr="00FE7AFE" w:rsidRDefault="00A77633" w:rsidP="005D2C94">
      <w:pPr>
        <w:spacing w:after="120" w:line="276" w:lineRule="auto"/>
        <w:rPr>
          <w:color w:val="FF0000"/>
          <w:lang w:val="bs-Latn-BA"/>
        </w:rPr>
      </w:pPr>
      <w:r w:rsidRPr="008924E0">
        <w:rPr>
          <w:lang w:val="bs-Latn-BA"/>
        </w:rPr>
        <w:t>Donošenje Pravilnika za obrazovanje i certificiranje građevinskih radnika koji ugrađuju dijelove zgrade koji utječu na EE u zgradarstvu od izuzetnog je značaja. Ovim Pravilnikom propisat će se, između ostalog, uvjeti i mjerila za certificiranje građevinskih radnika koji ugrađuju dijelove zgrade koji utječu na EE, stručna sprema i radno iskustvo potrebno za pristupanje Programu obrazovanja, sadržaj i način provođenja Programa i provjere znanja te stručno usavršavanje, Registar certificiranih građevinskih radnika koji ugrađuju dijelove zgrade koji utječu na EE</w:t>
      </w:r>
      <w:r>
        <w:rPr>
          <w:lang w:val="bs-Latn-BA"/>
        </w:rPr>
        <w:t>.</w:t>
      </w:r>
    </w:p>
    <w:p w14:paraId="7413DA1C" w14:textId="77777777" w:rsidR="00A77633" w:rsidRPr="008924E0" w:rsidRDefault="00A77633" w:rsidP="005D2C94">
      <w:pPr>
        <w:spacing w:after="120" w:line="276" w:lineRule="auto"/>
        <w:ind w:left="1" w:right="32"/>
        <w:rPr>
          <w:lang w:val="bs-Latn-BA"/>
        </w:rPr>
      </w:pPr>
      <w:r w:rsidRPr="008924E0">
        <w:rPr>
          <w:lang w:val="bs-Latn-BA"/>
        </w:rPr>
        <w:t xml:space="preserve">Cilj ove mjere je promocija korištenja pametnih rješenja unutar postojećih i novih objekata svih tipova i namjene, u sklopu kojih se implementiraju određene mjere energijske efikasnosti. Pametna zgrada je ona koja koristi tehnologiju kako bi omogućila efikasno i ekonomično korištenje resursa, istovremeno stvarajući sigurno i ugodno okruženje za korisnike. Pametne zgrade mogu koristiti širok spektar postojećih tehnologija i dizajnirane su ili naknadno opremljene na način koji omogućava integraciju budućeg tehnološkog razvoja. Senzori interneta stvari </w:t>
      </w:r>
      <w:r w:rsidRPr="008924E0">
        <w:rPr>
          <w:i/>
          <w:iCs/>
          <w:lang w:val="bs-Latn-BA"/>
        </w:rPr>
        <w:t>(engl. Internet of Things),</w:t>
      </w:r>
      <w:r w:rsidRPr="008924E0">
        <w:rPr>
          <w:lang w:val="bs-Latn-BA"/>
        </w:rPr>
        <w:t xml:space="preserve"> sistemi za upravljanje zgradama, umjetna inteligencija </w:t>
      </w:r>
      <w:r w:rsidRPr="008924E0">
        <w:rPr>
          <w:i/>
          <w:iCs/>
          <w:lang w:val="bs-Latn-BA"/>
        </w:rPr>
        <w:t>(engl. Artificial Intelligence - AI)</w:t>
      </w:r>
      <w:r w:rsidRPr="008924E0">
        <w:rPr>
          <w:lang w:val="bs-Latn-BA"/>
        </w:rPr>
        <w:t xml:space="preserve"> i proširena stvarnost među nekim su od mehanizama i tehnologija koji se mogu koristiti u pametnoj zgradi za kontrolu i optimizaciju njezinih performansi. U tu svrhu potrebno je sprovoditi kontinuirano stručno usavršavanje inženjera, prostornih planera, ekonomista i IT stručnjaka relevantnih za proces obnove sektora zgradarstva. Kroz programe obuke potrebno je da se educiraju navedeni stručnjaci kako bi mogli u svojim lokalnim zajednicama pružati konsultantske usluge za primjenu novih tehnologija i pametnih rješenja u procesu provođenja programa energijske obnove  zgrada, te nove tehnologije za upravljanje i praćenje energije. Jedan od primjera praćenja potrošnje energije i materijala koji se ugrađuju u objekte je moguće i korištenjem raznih softverskih rješenja (npr. BIM) tokom životnog vijeka zgrade.</w:t>
      </w:r>
    </w:p>
    <w:p w14:paraId="38A35EE8" w14:textId="77777777" w:rsidR="00A77633" w:rsidRPr="008924E0" w:rsidRDefault="00A77633" w:rsidP="005D2C94">
      <w:pPr>
        <w:spacing w:after="120" w:line="276" w:lineRule="auto"/>
        <w:rPr>
          <w:lang w:val="bs-Latn-BA"/>
        </w:rPr>
      </w:pPr>
      <w:r w:rsidRPr="008924E0">
        <w:rPr>
          <w:lang w:val="bs-Latn-BA"/>
        </w:rPr>
        <w:t xml:space="preserve">U skladu sa novim EU odredbama o uređenju </w:t>
      </w:r>
      <w:r>
        <w:rPr>
          <w:lang w:val="bs-Latn-BA"/>
        </w:rPr>
        <w:t>energij</w:t>
      </w:r>
      <w:r w:rsidRPr="008924E0">
        <w:rPr>
          <w:lang w:val="bs-Latn-BA"/>
        </w:rPr>
        <w:t xml:space="preserve">skog tržišta i okvirima za nove </w:t>
      </w:r>
      <w:r>
        <w:rPr>
          <w:lang w:val="bs-Latn-BA"/>
        </w:rPr>
        <w:t>energij</w:t>
      </w:r>
      <w:r w:rsidRPr="008924E0">
        <w:rPr>
          <w:lang w:val="bs-Latn-BA"/>
        </w:rPr>
        <w:t xml:space="preserve">ske inicijative pod kojima spadaju “zajednice obnovljivih izvora energije” </w:t>
      </w:r>
      <w:r w:rsidRPr="008924E0">
        <w:rPr>
          <w:i/>
          <w:iCs/>
          <w:lang w:val="bs-Latn-BA"/>
        </w:rPr>
        <w:t>(REC -Renewable Energy Community</w:t>
      </w:r>
      <w:r w:rsidRPr="008924E0">
        <w:rPr>
          <w:lang w:val="bs-Latn-BA"/>
        </w:rPr>
        <w:t xml:space="preserve">) i “energijske zajednice građana” </w:t>
      </w:r>
      <w:r w:rsidRPr="008924E0">
        <w:rPr>
          <w:i/>
          <w:iCs/>
          <w:lang w:val="bs-Latn-BA"/>
        </w:rPr>
        <w:t xml:space="preserve"> (CEC – Citizen Energy Community</w:t>
      </w:r>
      <w:r w:rsidRPr="008924E0">
        <w:rPr>
          <w:lang w:val="bs-Latn-BA"/>
        </w:rPr>
        <w:t>), potrebno je poticati uspostavljanje oba tipa energijskih zajednica na nivou lokalnih zajednica.</w:t>
      </w:r>
    </w:p>
    <w:p w14:paraId="6E7CB223" w14:textId="77777777" w:rsidR="00A77633" w:rsidRPr="008924E0" w:rsidRDefault="00A77633" w:rsidP="005D2C94">
      <w:pPr>
        <w:spacing w:after="120" w:line="276" w:lineRule="auto"/>
        <w:rPr>
          <w:lang w:val="bs-Latn-BA"/>
        </w:rPr>
      </w:pPr>
      <w:r w:rsidRPr="008924E0">
        <w:rPr>
          <w:lang w:val="bs-Latn-BA"/>
        </w:rPr>
        <w:t xml:space="preserve">Ovi koncepti otvaraju put za nove vrste </w:t>
      </w:r>
      <w:r>
        <w:rPr>
          <w:lang w:val="bs-Latn-BA"/>
        </w:rPr>
        <w:t>energij</w:t>
      </w:r>
      <w:r w:rsidRPr="008924E0">
        <w:rPr>
          <w:lang w:val="bs-Latn-BA"/>
        </w:rPr>
        <w:t xml:space="preserve">skih inicijativa čiji je cilj povećati decentraliziranu proizvodnju i potrošnju obnovljive energije na mjestu proizvodnje </w:t>
      </w:r>
      <w:r w:rsidRPr="008924E0">
        <w:rPr>
          <w:i/>
          <w:iCs/>
          <w:lang w:val="bs-Latn-BA"/>
        </w:rPr>
        <w:t>(eng. prosumer)</w:t>
      </w:r>
      <w:r w:rsidRPr="008924E0">
        <w:rPr>
          <w:lang w:val="bs-Latn-BA"/>
        </w:rPr>
        <w:t xml:space="preserve"> kao i posebno osnažiti ostale aktere na </w:t>
      </w:r>
      <w:r>
        <w:rPr>
          <w:lang w:val="bs-Latn-BA"/>
        </w:rPr>
        <w:t>energij</w:t>
      </w:r>
      <w:r w:rsidRPr="008924E0">
        <w:rPr>
          <w:lang w:val="bs-Latn-BA"/>
        </w:rPr>
        <w:t xml:space="preserve">skom tržištu. Prema nacrtu Zakona o korištenju obnovljivih izvora energije i efikasnoj kogeneraciji, zajednice obnovljive energije i njihovi članovi imaju pravo na: </w:t>
      </w:r>
    </w:p>
    <w:p w14:paraId="40CAC9F9" w14:textId="77777777" w:rsidR="00A77633" w:rsidRPr="008924E0" w:rsidRDefault="00A77633" w:rsidP="00581C1C">
      <w:pPr>
        <w:pStyle w:val="ListParagraph"/>
        <w:numPr>
          <w:ilvl w:val="0"/>
          <w:numId w:val="53"/>
        </w:numPr>
        <w:spacing w:after="120" w:line="276" w:lineRule="auto"/>
      </w:pPr>
      <w:r w:rsidRPr="008924E0">
        <w:t>proizvodnju, potrošnju, skladištenje, razmjenu i prodaju električne energije iz obnovljivih izvora, uključujući i kroz ugovore o otkupu energije iz obnovljivih izvora;</w:t>
      </w:r>
    </w:p>
    <w:p w14:paraId="3EB3269B" w14:textId="13472685" w:rsidR="00A77633" w:rsidRPr="008924E0" w:rsidRDefault="00F03625" w:rsidP="00581C1C">
      <w:pPr>
        <w:pStyle w:val="ListParagraph"/>
        <w:numPr>
          <w:ilvl w:val="0"/>
          <w:numId w:val="53"/>
        </w:numPr>
        <w:spacing w:after="120" w:line="276" w:lineRule="auto"/>
      </w:pPr>
      <w:r>
        <w:t>obvez</w:t>
      </w:r>
      <w:r w:rsidR="00A77633" w:rsidRPr="008924E0">
        <w:t xml:space="preserve">an otkup električne energije u cijelosti ili djelimično po garantiranoj otkupnoj cijeni za mala postrojenja u skladu sa raspoloživim tehnološkim kvotama; </w:t>
      </w:r>
    </w:p>
    <w:p w14:paraId="79DCD748" w14:textId="51B13219" w:rsidR="00A77633" w:rsidRPr="008924E0" w:rsidRDefault="00A77633" w:rsidP="00581C1C">
      <w:pPr>
        <w:pStyle w:val="ListParagraph"/>
        <w:numPr>
          <w:ilvl w:val="0"/>
          <w:numId w:val="53"/>
        </w:numPr>
        <w:spacing w:after="120" w:line="276" w:lineRule="auto"/>
      </w:pPr>
      <w:r w:rsidRPr="008924E0">
        <w:t xml:space="preserve">razmjenu, u okviru zajednice, električne energije koju proizvode proizvodne jedinice u vlasništvu te zajednice, u skladu s drugim zahtjevima, te održavanju prava i </w:t>
      </w:r>
      <w:r w:rsidR="00F03625">
        <w:t>obvez</w:t>
      </w:r>
      <w:r w:rsidRPr="008924E0">
        <w:t>a članova zajednice kao kupaca.</w:t>
      </w:r>
    </w:p>
    <w:p w14:paraId="283BD03B" w14:textId="77777777" w:rsidR="00A77633" w:rsidRPr="008924E0" w:rsidRDefault="00A77633" w:rsidP="005D2C94">
      <w:pPr>
        <w:spacing w:after="120" w:line="276" w:lineRule="auto"/>
        <w:rPr>
          <w:lang w:val="bs-Latn-BA"/>
        </w:rPr>
      </w:pPr>
      <w:r w:rsidRPr="008924E0">
        <w:rPr>
          <w:lang w:val="bs-Latn-BA"/>
        </w:rPr>
        <w:lastRenderedPageBreak/>
        <w:t>Preduvjet za funkcioniranje energijskih zajednica jeste donošenje propisa na kantonima kojima se omogućava uspostava energijskih zajednica na lokalnim nivoima (npr. u općinama ili u naseljima unutar općina i/ili mjesnih zajednica). Također, potrebno je provoditi akcije podizanje svijesti o energijskim zajednicama i njihovom načinu funkcionisanja, kako bi se podsticalo njihovo formiranje gdje je god to moguće, kroz npr. organizacije radionica na temu energijskih zajednica, koja će služiti za širenje svijesti među građanima.</w:t>
      </w:r>
    </w:p>
    <w:p w14:paraId="19B030A4" w14:textId="77777777" w:rsidR="00A77633" w:rsidRPr="001972F5" w:rsidRDefault="00A77633" w:rsidP="005D2C94">
      <w:pPr>
        <w:spacing w:after="120" w:line="276" w:lineRule="auto"/>
        <w:ind w:left="1" w:right="32"/>
        <w:rPr>
          <w:lang w:val="fi-FI"/>
        </w:rPr>
      </w:pPr>
      <w:r w:rsidRPr="001972F5">
        <w:rPr>
          <w:lang w:val="fi-FI"/>
        </w:rPr>
        <w:t>Aktivnosti planirane u sklopu ove mjere su:</w:t>
      </w:r>
    </w:p>
    <w:p w14:paraId="1746C8D1" w14:textId="77777777" w:rsidR="00A77633" w:rsidRPr="000C5221" w:rsidRDefault="00A77633" w:rsidP="00581C1C">
      <w:pPr>
        <w:pStyle w:val="ListParagraph"/>
        <w:numPr>
          <w:ilvl w:val="0"/>
          <w:numId w:val="74"/>
        </w:numPr>
        <w:spacing w:after="120" w:line="276" w:lineRule="auto"/>
        <w:ind w:right="32"/>
      </w:pPr>
      <w:r w:rsidRPr="000C5221">
        <w:t>Usvajanje politika i mjera za promoviranje vještina i obrazovanje u građevinskom sektoru i sektoru EE, namijenjenih inženjerima, prostornim planerima i ekonomistima, što podrazumijeva:</w:t>
      </w:r>
    </w:p>
    <w:p w14:paraId="1192A71C" w14:textId="77777777" w:rsidR="00A77633" w:rsidRPr="008924E0" w:rsidRDefault="00A77633" w:rsidP="005D2C94">
      <w:pPr>
        <w:pStyle w:val="ListParagraph"/>
        <w:numPr>
          <w:ilvl w:val="0"/>
          <w:numId w:val="50"/>
        </w:numPr>
        <w:spacing w:after="120" w:line="276" w:lineRule="auto"/>
        <w:ind w:right="32"/>
      </w:pPr>
      <w:r w:rsidRPr="008924E0">
        <w:t>Konsultacije sa akademskom zajednicom i stručnom javnosti u okviru otvorenih dijaloga;</w:t>
      </w:r>
    </w:p>
    <w:p w14:paraId="4221A4F4" w14:textId="77777777" w:rsidR="00A77633" w:rsidRPr="008924E0" w:rsidRDefault="00A77633" w:rsidP="005D2C94">
      <w:pPr>
        <w:pStyle w:val="ListParagraph"/>
        <w:numPr>
          <w:ilvl w:val="0"/>
          <w:numId w:val="50"/>
        </w:numPr>
        <w:spacing w:after="120" w:line="276" w:lineRule="auto"/>
        <w:ind w:right="32"/>
      </w:pPr>
      <w:r>
        <w:t>Organiziranje s</w:t>
      </w:r>
      <w:r w:rsidRPr="008924E0">
        <w:t>eminar</w:t>
      </w:r>
      <w:r>
        <w:t>a</w:t>
      </w:r>
      <w:r w:rsidRPr="008924E0">
        <w:t>, edukacij</w:t>
      </w:r>
      <w:r>
        <w:t>a</w:t>
      </w:r>
      <w:r w:rsidRPr="008924E0">
        <w:t>, konferencij</w:t>
      </w:r>
      <w:r>
        <w:t>a</w:t>
      </w:r>
      <w:r w:rsidRPr="008924E0">
        <w:t>, okrugli</w:t>
      </w:r>
      <w:r>
        <w:t>h</w:t>
      </w:r>
      <w:r w:rsidRPr="008924E0">
        <w:t xml:space="preserve"> stolov</w:t>
      </w:r>
      <w:r>
        <w:t>a</w:t>
      </w:r>
      <w:r w:rsidRPr="008924E0">
        <w:t>,  promocije projekata EE itd.</w:t>
      </w:r>
    </w:p>
    <w:p w14:paraId="1FC1FEEE" w14:textId="77777777" w:rsidR="00A77633" w:rsidRPr="008924E0" w:rsidRDefault="00A77633" w:rsidP="005D2C94">
      <w:pPr>
        <w:pStyle w:val="ListParagraph"/>
        <w:numPr>
          <w:ilvl w:val="0"/>
          <w:numId w:val="50"/>
        </w:numPr>
        <w:spacing w:after="120" w:line="276" w:lineRule="auto"/>
        <w:ind w:right="32"/>
      </w:pPr>
      <w:r>
        <w:t>Unaprijeđenje međusektorske saradnje posebno između g</w:t>
      </w:r>
      <w:r w:rsidRPr="008924E0">
        <w:t>rađevinsk</w:t>
      </w:r>
      <w:r>
        <w:t>og,</w:t>
      </w:r>
      <w:r w:rsidRPr="008924E0">
        <w:t xml:space="preserve"> energetsk</w:t>
      </w:r>
      <w:r>
        <w:t>og i IT</w:t>
      </w:r>
      <w:r w:rsidRPr="008924E0">
        <w:t xml:space="preserve"> sektor</w:t>
      </w:r>
      <w:r>
        <w:t>a, te</w:t>
      </w:r>
      <w:r w:rsidRPr="008924E0">
        <w:t xml:space="preserve"> </w:t>
      </w:r>
      <w:r>
        <w:t>razmjene</w:t>
      </w:r>
      <w:r w:rsidRPr="008924E0">
        <w:t xml:space="preserve"> rješenja i praks</w:t>
      </w:r>
      <w:r>
        <w:t>i</w:t>
      </w:r>
      <w:r w:rsidRPr="008924E0">
        <w:t xml:space="preserve">;  </w:t>
      </w:r>
    </w:p>
    <w:p w14:paraId="705DC594" w14:textId="77777777" w:rsidR="00A77633" w:rsidRPr="008924E0" w:rsidRDefault="00A77633" w:rsidP="005D2C94">
      <w:pPr>
        <w:pStyle w:val="ListParagraph"/>
        <w:numPr>
          <w:ilvl w:val="0"/>
          <w:numId w:val="50"/>
        </w:numPr>
        <w:spacing w:after="120" w:line="276" w:lineRule="auto"/>
        <w:ind w:right="32"/>
      </w:pPr>
      <w:r w:rsidRPr="008924E0">
        <w:t>Uspostavljanje Savjeta za zelenu gradnju i Centara za podršku pametnim gradovima;</w:t>
      </w:r>
    </w:p>
    <w:p w14:paraId="5871A5CA" w14:textId="77777777" w:rsidR="00A77633" w:rsidRPr="008924E0" w:rsidRDefault="00A77633" w:rsidP="005D2C94">
      <w:pPr>
        <w:pStyle w:val="ListParagraph"/>
        <w:numPr>
          <w:ilvl w:val="0"/>
          <w:numId w:val="50"/>
        </w:numPr>
        <w:spacing w:after="120" w:line="276" w:lineRule="auto"/>
        <w:ind w:right="32"/>
      </w:pPr>
      <w:r w:rsidRPr="008924E0">
        <w:t xml:space="preserve">Stručno usavršavanje inženjera relevantnih za proces obnove sektora zgradarstva,  za primjenu </w:t>
      </w:r>
      <w:r>
        <w:t xml:space="preserve">najnovijih softvera za projektiranje i građenje kao što je </w:t>
      </w:r>
      <w:r w:rsidRPr="00BB2409">
        <w:t xml:space="preserve">Building Information Modeling </w:t>
      </w:r>
      <w:r>
        <w:t>(</w:t>
      </w:r>
      <w:r w:rsidRPr="008924E0">
        <w:t>BIM</w:t>
      </w:r>
      <w:r>
        <w:t>)</w:t>
      </w:r>
      <w:r w:rsidRPr="008924E0">
        <w:t xml:space="preserve">; </w:t>
      </w:r>
    </w:p>
    <w:p w14:paraId="1AF22D4C" w14:textId="77777777" w:rsidR="00A77633" w:rsidRPr="008924E0" w:rsidRDefault="00A77633" w:rsidP="005D2C94">
      <w:pPr>
        <w:pStyle w:val="ListParagraph"/>
        <w:numPr>
          <w:ilvl w:val="0"/>
          <w:numId w:val="50"/>
        </w:numPr>
        <w:spacing w:after="120" w:line="276" w:lineRule="auto"/>
      </w:pPr>
      <w:r w:rsidRPr="008924E0">
        <w:t>Preporuke projektantima za korištenje BIM-a u procesu provođenja programa energijske obnove  zgrada</w:t>
      </w:r>
      <w:r>
        <w:t xml:space="preserve"> (ili ekvivalentnih modela)</w:t>
      </w:r>
      <w:r w:rsidRPr="008924E0">
        <w:t>;</w:t>
      </w:r>
    </w:p>
    <w:p w14:paraId="57C07A33" w14:textId="77777777" w:rsidR="00A77633" w:rsidRPr="008924E0" w:rsidRDefault="00A77633" w:rsidP="005D2C94">
      <w:pPr>
        <w:pStyle w:val="ListParagraph"/>
        <w:numPr>
          <w:ilvl w:val="0"/>
          <w:numId w:val="50"/>
        </w:numPr>
        <w:spacing w:after="120" w:line="276" w:lineRule="auto"/>
        <w:ind w:right="32"/>
      </w:pPr>
      <w:r>
        <w:t>F</w:t>
      </w:r>
      <w:r w:rsidRPr="008924E0">
        <w:t>ormiranje Fonda za razvoj tehnologija, istraživanja i inovacija</w:t>
      </w:r>
      <w:r>
        <w:t xml:space="preserve"> na nivou FBiH</w:t>
      </w:r>
      <w:r w:rsidRPr="008924E0">
        <w:t>, formiranje kantonalnih naučno-tehnoloških parkova i povezivanje s europskim poduzetničkim i znastveno-istraživačkim mrežama, kako bi se uspostavila adekvatna „prevodilačka infrastruktura“ koja osigurava transfer i razvoj tehnologija.</w:t>
      </w:r>
    </w:p>
    <w:p w14:paraId="0E1CDC35" w14:textId="77777777" w:rsidR="00A77633" w:rsidRPr="00BB2409" w:rsidRDefault="00A77633" w:rsidP="00581C1C">
      <w:pPr>
        <w:pStyle w:val="ListParagraph"/>
        <w:numPr>
          <w:ilvl w:val="0"/>
          <w:numId w:val="74"/>
        </w:numPr>
        <w:spacing w:after="120" w:line="276" w:lineRule="auto"/>
      </w:pPr>
      <w:r w:rsidRPr="00BB2409">
        <w:t>Promocija korištenja digitalne tehnologije nakon implementacije mjera energijske efikasnosti, što podrazumijeva:</w:t>
      </w:r>
    </w:p>
    <w:p w14:paraId="0438A364" w14:textId="77777777" w:rsidR="00A77633" w:rsidRPr="008924E0" w:rsidRDefault="00A77633" w:rsidP="005D2C94">
      <w:pPr>
        <w:pStyle w:val="ListParagraph"/>
        <w:numPr>
          <w:ilvl w:val="0"/>
          <w:numId w:val="50"/>
        </w:numPr>
        <w:spacing w:after="120" w:line="276" w:lineRule="auto"/>
        <w:ind w:right="32"/>
      </w:pPr>
      <w:r w:rsidRPr="008924E0">
        <w:t>Stručno usavršavanje inženjera, prostornih planera, ekonomista i IT stručnjaka relevantnih za proces obnove sektora zgradarstva;</w:t>
      </w:r>
    </w:p>
    <w:p w14:paraId="0BE0E768" w14:textId="77777777" w:rsidR="00A77633" w:rsidRPr="008924E0" w:rsidRDefault="00A77633" w:rsidP="005D2C94">
      <w:pPr>
        <w:pStyle w:val="ListParagraph"/>
        <w:numPr>
          <w:ilvl w:val="0"/>
          <w:numId w:val="50"/>
        </w:numPr>
        <w:spacing w:after="120" w:line="276" w:lineRule="auto"/>
        <w:ind w:right="32"/>
      </w:pPr>
      <w:r w:rsidRPr="008924E0">
        <w:t>Preporuke za primjenu novih tehnologija i pametnih rješenja u procesu provođenja programa energijske obnove  zgrada;</w:t>
      </w:r>
    </w:p>
    <w:p w14:paraId="4E1A3D79" w14:textId="77777777" w:rsidR="00A77633" w:rsidRDefault="00A77633" w:rsidP="005D2C94">
      <w:pPr>
        <w:pStyle w:val="ListParagraph"/>
        <w:numPr>
          <w:ilvl w:val="0"/>
          <w:numId w:val="50"/>
        </w:numPr>
        <w:spacing w:after="120" w:line="276" w:lineRule="auto"/>
        <w:ind w:right="32"/>
      </w:pPr>
      <w:r w:rsidRPr="008924E0">
        <w:t>Povećanje energijske efikasnosti zgrada na način da se koriste nove tehnologije za upravljanje i praćenje energije;</w:t>
      </w:r>
    </w:p>
    <w:p w14:paraId="5FB529BD" w14:textId="77777777" w:rsidR="00A77633" w:rsidRDefault="00A77633" w:rsidP="00581C1C">
      <w:pPr>
        <w:pStyle w:val="ListParagraph"/>
        <w:numPr>
          <w:ilvl w:val="0"/>
          <w:numId w:val="74"/>
        </w:numPr>
        <w:spacing w:after="120" w:line="276" w:lineRule="auto"/>
      </w:pPr>
      <w:r w:rsidRPr="001D4ED1">
        <w:t>Poticanje uspostavljanja energetskih zajednica građana</w:t>
      </w:r>
      <w:r>
        <w:t xml:space="preserve"> na nivou kantona, što podrazumijeva:</w:t>
      </w:r>
    </w:p>
    <w:p w14:paraId="440F2F3F" w14:textId="77777777" w:rsidR="00A77633" w:rsidRDefault="00A77633" w:rsidP="005D2C94">
      <w:pPr>
        <w:pStyle w:val="ListParagraph"/>
        <w:numPr>
          <w:ilvl w:val="0"/>
          <w:numId w:val="50"/>
        </w:numPr>
        <w:spacing w:after="120" w:line="276" w:lineRule="auto"/>
        <w:ind w:right="32"/>
      </w:pPr>
      <w:r w:rsidRPr="008924E0">
        <w:t>Donošenje propisa na nivou kantona kojima se omogućava uspostava energetskih zajednica</w:t>
      </w:r>
      <w:r>
        <w:t xml:space="preserve"> građana</w:t>
      </w:r>
      <w:r w:rsidRPr="008924E0">
        <w:t xml:space="preserve">; </w:t>
      </w:r>
    </w:p>
    <w:p w14:paraId="159459D5" w14:textId="77777777" w:rsidR="00A77633" w:rsidRPr="005A05DD" w:rsidRDefault="00A77633" w:rsidP="005D2C94">
      <w:pPr>
        <w:pStyle w:val="ListParagraph"/>
        <w:numPr>
          <w:ilvl w:val="0"/>
          <w:numId w:val="50"/>
        </w:numPr>
        <w:spacing w:after="120" w:line="276" w:lineRule="auto"/>
        <w:ind w:right="32"/>
      </w:pPr>
      <w:r w:rsidRPr="008924E0">
        <w:lastRenderedPageBreak/>
        <w:t>Poticanje uspostavljanja energetskih zajednica podizanje</w:t>
      </w:r>
      <w:r>
        <w:t>m</w:t>
      </w:r>
      <w:r w:rsidRPr="008924E0">
        <w:t xml:space="preserve"> svijesti o </w:t>
      </w:r>
      <w:r>
        <w:t>značaju i prednostima istih, kroz otvoreni dijalog građana i stručne javnosti te o</w:t>
      </w:r>
      <w:r w:rsidRPr="00E3757B">
        <w:t>rganizacij</w:t>
      </w:r>
      <w:r>
        <w:t>u</w:t>
      </w:r>
      <w:r w:rsidRPr="00E3757B">
        <w:t xml:space="preserve"> radionica na temu energetskih zajednica</w:t>
      </w:r>
      <w:r>
        <w:t>.</w:t>
      </w:r>
    </w:p>
    <w:p w14:paraId="774700F7" w14:textId="77777777" w:rsidR="00A77633" w:rsidRPr="00DD2143" w:rsidRDefault="00A77633" w:rsidP="005D2C94">
      <w:pPr>
        <w:spacing w:after="120" w:line="276" w:lineRule="auto"/>
        <w:ind w:left="1" w:right="32"/>
      </w:pPr>
      <w:proofErr w:type="spellStart"/>
      <w:r w:rsidRPr="00DD2143">
        <w:t>Implementacija</w:t>
      </w:r>
      <w:proofErr w:type="spellEnd"/>
      <w:r w:rsidRPr="00DD2143">
        <w:t xml:space="preserve"> </w:t>
      </w:r>
      <w:proofErr w:type="spellStart"/>
      <w:r w:rsidRPr="00DD2143">
        <w:t>ove</w:t>
      </w:r>
      <w:proofErr w:type="spellEnd"/>
      <w:r w:rsidRPr="00DD2143">
        <w:t xml:space="preserve"> </w:t>
      </w:r>
      <w:proofErr w:type="spellStart"/>
      <w:r w:rsidRPr="00DD2143">
        <w:t>mjere</w:t>
      </w:r>
      <w:proofErr w:type="spellEnd"/>
      <w:r w:rsidRPr="00DD2143">
        <w:t xml:space="preserve"> </w:t>
      </w:r>
      <w:proofErr w:type="spellStart"/>
      <w:r w:rsidRPr="00DD2143">
        <w:t>rezultirat</w:t>
      </w:r>
      <w:proofErr w:type="spellEnd"/>
      <w:r w:rsidRPr="00DD2143">
        <w:t xml:space="preserve"> </w:t>
      </w:r>
      <w:proofErr w:type="spellStart"/>
      <w:r w:rsidRPr="00DD2143">
        <w:t>će</w:t>
      </w:r>
      <w:proofErr w:type="spellEnd"/>
      <w:r w:rsidRPr="00DD2143">
        <w:t>:</w:t>
      </w:r>
    </w:p>
    <w:p w14:paraId="79FCF398" w14:textId="77777777" w:rsidR="00A77633" w:rsidRPr="00DD2143" w:rsidRDefault="00A77633" w:rsidP="00581C1C">
      <w:pPr>
        <w:pStyle w:val="ListParagraph"/>
        <w:numPr>
          <w:ilvl w:val="0"/>
          <w:numId w:val="83"/>
        </w:numPr>
        <w:spacing w:after="120" w:line="276" w:lineRule="auto"/>
        <w:ind w:right="32"/>
        <w:rPr>
          <w:b/>
          <w:bCs/>
        </w:rPr>
      </w:pPr>
      <w:r w:rsidRPr="00DD2143">
        <w:t>povećanjem svijesti o EE, energijskom menadžmentu zgrada i racionalnijem korištenju energije;</w:t>
      </w:r>
    </w:p>
    <w:p w14:paraId="781A15C3" w14:textId="77777777" w:rsidR="00A77633" w:rsidRPr="00DD2143" w:rsidRDefault="00A77633" w:rsidP="00581C1C">
      <w:pPr>
        <w:pStyle w:val="ListParagraph"/>
        <w:numPr>
          <w:ilvl w:val="0"/>
          <w:numId w:val="83"/>
        </w:numPr>
        <w:spacing w:after="120" w:line="276" w:lineRule="auto"/>
        <w:ind w:right="32"/>
        <w:rPr>
          <w:b/>
          <w:bCs/>
        </w:rPr>
      </w:pPr>
      <w:r w:rsidRPr="00DD2143">
        <w:t>sudjelovanjem građana u energijskom sistemu kroz kolektivno organiziranje, te doprinos procesu decentralizacije elektro-energetskog sektora;</w:t>
      </w:r>
    </w:p>
    <w:p w14:paraId="1BC1CA4F" w14:textId="77777777" w:rsidR="00A77633" w:rsidRPr="007E53AE" w:rsidRDefault="00A77633" w:rsidP="00581C1C">
      <w:pPr>
        <w:pStyle w:val="ListParagraph"/>
        <w:numPr>
          <w:ilvl w:val="0"/>
          <w:numId w:val="83"/>
        </w:numPr>
        <w:spacing w:after="120" w:line="276" w:lineRule="auto"/>
        <w:ind w:right="32"/>
        <w:rPr>
          <w:b/>
          <w:bCs/>
        </w:rPr>
      </w:pPr>
      <w:r w:rsidRPr="00DD2143">
        <w:t>ispunjavanjem ciljeva „Okvira za realizaciju ciljeva održivog razvoja u BiH, a koji se odnose na pametni rast i ulaganje u ljudski kapital za budućnost;</w:t>
      </w:r>
    </w:p>
    <w:p w14:paraId="747B04E6" w14:textId="77777777" w:rsidR="00A77633" w:rsidRPr="00DD2143" w:rsidRDefault="00A77633" w:rsidP="00581C1C">
      <w:pPr>
        <w:pStyle w:val="ListParagraph"/>
        <w:numPr>
          <w:ilvl w:val="0"/>
          <w:numId w:val="83"/>
        </w:numPr>
        <w:spacing w:after="120" w:line="276" w:lineRule="auto"/>
        <w:ind w:right="32"/>
        <w:rPr>
          <w:b/>
          <w:bCs/>
        </w:rPr>
      </w:pPr>
      <w:r w:rsidRPr="00DD2143">
        <w:t>razvojem gradova na okolinski, ekonomski i društveno održiv način.</w:t>
      </w:r>
    </w:p>
    <w:p w14:paraId="2E77E158" w14:textId="227C4FA6" w:rsidR="00A77633" w:rsidRPr="005A5AB5" w:rsidRDefault="00A77633" w:rsidP="00A77633">
      <w:pPr>
        <w:pStyle w:val="Heading2"/>
        <w:numPr>
          <w:ilvl w:val="0"/>
          <w:numId w:val="0"/>
        </w:numPr>
        <w:ind w:left="1350" w:hanging="1350"/>
        <w:rPr>
          <w:sz w:val="22"/>
          <w:szCs w:val="22"/>
          <w:lang w:val="bs-Latn-BA"/>
        </w:rPr>
      </w:pPr>
      <w:bookmarkStart w:id="152" w:name="_Toc134011781"/>
      <w:r w:rsidRPr="008924E0">
        <w:rPr>
          <w:sz w:val="22"/>
          <w:szCs w:val="22"/>
          <w:lang w:val="bs-Latn-BA"/>
        </w:rPr>
        <w:t>Mjera  1.</w:t>
      </w:r>
      <w:r>
        <w:rPr>
          <w:sz w:val="22"/>
          <w:szCs w:val="22"/>
          <w:lang w:val="bs-Latn-BA"/>
        </w:rPr>
        <w:t>1.7</w:t>
      </w:r>
      <w:r w:rsidRPr="008924E0">
        <w:rPr>
          <w:sz w:val="22"/>
          <w:szCs w:val="22"/>
          <w:lang w:val="bs-Latn-BA"/>
        </w:rPr>
        <w:t xml:space="preserve">. </w:t>
      </w:r>
      <w:r w:rsidRPr="005A5AB5">
        <w:rPr>
          <w:sz w:val="22"/>
          <w:szCs w:val="22"/>
          <w:lang w:val="bs-Latn-BA"/>
        </w:rPr>
        <w:t>Smanj</w:t>
      </w:r>
      <w:r w:rsidR="00063F0F">
        <w:rPr>
          <w:sz w:val="22"/>
          <w:szCs w:val="22"/>
          <w:lang w:val="bs-Latn-BA"/>
        </w:rPr>
        <w:t>iti</w:t>
      </w:r>
      <w:r w:rsidRPr="005A5AB5">
        <w:rPr>
          <w:sz w:val="22"/>
          <w:szCs w:val="22"/>
          <w:lang w:val="bs-Latn-BA"/>
        </w:rPr>
        <w:t xml:space="preserve"> energijsko siromaštv</w:t>
      </w:r>
      <w:r w:rsidR="00063F0F">
        <w:rPr>
          <w:sz w:val="22"/>
          <w:szCs w:val="22"/>
          <w:lang w:val="bs-Latn-BA"/>
        </w:rPr>
        <w:t>o</w:t>
      </w:r>
      <w:r w:rsidRPr="005A5AB5">
        <w:rPr>
          <w:sz w:val="22"/>
          <w:szCs w:val="22"/>
          <w:lang w:val="bs-Latn-BA"/>
        </w:rPr>
        <w:t xml:space="preserve"> povećanje</w:t>
      </w:r>
      <w:r w:rsidR="00063F0F">
        <w:rPr>
          <w:sz w:val="22"/>
          <w:szCs w:val="22"/>
          <w:lang w:val="bs-Latn-BA"/>
        </w:rPr>
        <w:t>m</w:t>
      </w:r>
      <w:r w:rsidRPr="005A5AB5">
        <w:rPr>
          <w:sz w:val="22"/>
          <w:szCs w:val="22"/>
          <w:lang w:val="bs-Latn-BA"/>
        </w:rPr>
        <w:t xml:space="preserve"> energijske efikasnosti i korištenje</w:t>
      </w:r>
      <w:r w:rsidR="00063F0F">
        <w:rPr>
          <w:sz w:val="22"/>
          <w:szCs w:val="22"/>
          <w:lang w:val="bs-Latn-BA"/>
        </w:rPr>
        <w:t>m</w:t>
      </w:r>
      <w:r w:rsidRPr="005A5AB5">
        <w:rPr>
          <w:sz w:val="22"/>
          <w:szCs w:val="22"/>
          <w:lang w:val="bs-Latn-BA"/>
        </w:rPr>
        <w:t xml:space="preserve"> obnovljivih izvora energije u stambenim zgradama</w:t>
      </w:r>
      <w:bookmarkEnd w:id="152"/>
    </w:p>
    <w:p w14:paraId="480CB520" w14:textId="77777777" w:rsidR="00A77633" w:rsidRPr="008924E0" w:rsidRDefault="00A77633" w:rsidP="005D2C94">
      <w:pPr>
        <w:spacing w:after="120" w:line="276" w:lineRule="auto"/>
        <w:ind w:left="1" w:right="32"/>
        <w:rPr>
          <w:lang w:val="bs-Latn-BA"/>
        </w:rPr>
      </w:pPr>
      <w:r w:rsidRPr="008924E0">
        <w:rPr>
          <w:lang w:val="bs-Latn-BA"/>
        </w:rPr>
        <w:t xml:space="preserve">Prema članu 20 EPBD 2010/31/EU, nacionalne drugoročne strategije obnove trebaju sadržavati i opis relevantnih mjera kojima se doprinosi ublažavanju energijskog siromaštva te procjenu očekivane uštede energije i koristi sistemskog ulaganja u integralnu energijsku obnovu fonda zgrada u kontekstu smanjenje energijskog siromaštva. Preporuke Europske komisije vezano za ublažavanje energijskog siromaštva,  usmjerene su na potrebu definiranja jasnih kriterija prema kojima se domaćinstva svrstavaju u kategoriju energijski siromašnih, te ažurirati postojeće podatke za ove kategorije. Nadalje, potrebno je uvesti statističko praćenje tih podataka te kriterije za kandidiranje ovakvih domaćinstava u programe za ublažavanje energijskog siromaštva. </w:t>
      </w:r>
    </w:p>
    <w:p w14:paraId="2A8D6365" w14:textId="77777777" w:rsidR="00A77633" w:rsidRPr="008924E0" w:rsidRDefault="00A77633" w:rsidP="005D2C94">
      <w:pPr>
        <w:spacing w:after="120" w:line="276" w:lineRule="auto"/>
        <w:ind w:left="1" w:right="32"/>
        <w:rPr>
          <w:lang w:val="bs-Latn-BA"/>
        </w:rPr>
      </w:pPr>
      <w:r w:rsidRPr="008924E0">
        <w:rPr>
          <w:lang w:val="bs-Latn-BA"/>
        </w:rPr>
        <w:t>U analizama objavljenim od strane Agencije za statistiku BiH, korištena je definicija energijskog siromaštva za domaćinstvo koje mora potrošiti više od 10 % svoga dohotka na grijanje, kako bi održavalo odgovarajući nivo topline. Prema ovom kriteriju je utvrđeno da 17,1% populacije u FBiH živi ispod granice siromaštva. Ovo istraživanje se odnosi na podatke iz 2015. godine, te uzimajući u obzir rast cijena energije i energenata, pretpostavka je da je ovaj procenat sada još i veći.</w:t>
      </w:r>
    </w:p>
    <w:p w14:paraId="0D2ADA35" w14:textId="77777777" w:rsidR="00A77633" w:rsidRPr="008924E0" w:rsidRDefault="00A77633" w:rsidP="005D2C94">
      <w:pPr>
        <w:spacing w:after="120" w:line="276" w:lineRule="auto"/>
        <w:ind w:left="1" w:right="32"/>
        <w:rPr>
          <w:lang w:val="bs-Latn-BA"/>
        </w:rPr>
      </w:pPr>
      <w:r w:rsidRPr="008924E0">
        <w:rPr>
          <w:lang w:val="bs-Latn-BA"/>
        </w:rPr>
        <w:t>Sve navedeno ukazuje na potrebu definiranja mjera za suzbijanje energijskog siromaštva koje trebaju biti bazirane na usvojenoj definiciji energijskog siromaštva koje najbolje odražava stanje u FBiH, a u cilju efikasnije provedbe energijske obnove zgrada.</w:t>
      </w:r>
    </w:p>
    <w:p w14:paraId="4001E5CA" w14:textId="77777777" w:rsidR="00A77633" w:rsidRPr="008924E0" w:rsidRDefault="00A77633" w:rsidP="005D2C94">
      <w:pPr>
        <w:spacing w:after="120" w:line="276" w:lineRule="auto"/>
        <w:rPr>
          <w:lang w:val="bs-Latn-BA"/>
        </w:rPr>
      </w:pPr>
      <w:r w:rsidRPr="008924E0">
        <w:rPr>
          <w:lang w:val="bs-Latn-BA"/>
        </w:rPr>
        <w:t xml:space="preserve">U FBiH su na snazi mjere subvencioniranja troškova energije i energenata. U smislu potrošnje električne energije, u Zakonu o električnoj energiji Federacije Bosne i Hercegovine iz 2014., propisano je donošenje Programa zaštite ugroženih kupaca u okviru Elektroenergetske strategije FBiH. Vlada Federacije BiH je 2015. godine, donijela Rješenje o imenovanju komisije za izradu nacrta „Programa za zaštitu ugroženih kupaca električne energije iz kategorije potrošnje domaćinstava u FBiH“, međutim ovaj program još uvijek nije izrađen jer ne postoji socijalna karta stanovništva FBiH. U nedostatku naprijed navedenog programa Vlada FBiH donijela je Odluku o provedbi mjera za smanjenje troškova električne energije domaćinstvima i stimulaciji primjene mjera energijske efikasnosti. Prema Odluci, pravo na subvencioniranje troškova električne energije imaju određene kategorije penzionera i korisnici stalne novčane pomoći. </w:t>
      </w:r>
    </w:p>
    <w:p w14:paraId="23D95B9D" w14:textId="24BC98C7" w:rsidR="00A77633" w:rsidRPr="008924E0" w:rsidRDefault="00A77633" w:rsidP="005D2C94">
      <w:pPr>
        <w:spacing w:after="120" w:line="276" w:lineRule="auto"/>
        <w:ind w:left="1" w:right="32"/>
        <w:rPr>
          <w:lang w:val="bs-Latn-BA"/>
        </w:rPr>
      </w:pPr>
      <w:r w:rsidRPr="008924E0">
        <w:rPr>
          <w:lang w:val="bs-Latn-BA"/>
        </w:rPr>
        <w:lastRenderedPageBreak/>
        <w:t xml:space="preserve">Cilj ove mjere je rješavanje problema  energijskog siromaštva sistemskim i sveobuhvatnim pristupom, što znači da je potrebno sagledati stanje dijela stanovništva koje je u socijalnoj potrebi, te kreirati moguće programe i mjere za borbu protiv energijskog siromaštva i definirati način njihovog </w:t>
      </w:r>
      <w:r w:rsidR="007B690C">
        <w:rPr>
          <w:lang w:val="bs-Latn-BA"/>
        </w:rPr>
        <w:t>financ</w:t>
      </w:r>
      <w:r w:rsidRPr="008924E0">
        <w:rPr>
          <w:lang w:val="bs-Latn-BA"/>
        </w:rPr>
        <w:t>iranja.</w:t>
      </w:r>
    </w:p>
    <w:p w14:paraId="649C58B8" w14:textId="77777777" w:rsidR="00A77633" w:rsidRPr="001972F5" w:rsidRDefault="00A77633" w:rsidP="005D2C94">
      <w:pPr>
        <w:spacing w:after="120" w:line="276" w:lineRule="auto"/>
        <w:ind w:left="1" w:right="32"/>
        <w:rPr>
          <w:lang w:val="fi-FI"/>
        </w:rPr>
      </w:pPr>
      <w:r w:rsidRPr="001972F5">
        <w:rPr>
          <w:lang w:val="fi-FI"/>
        </w:rPr>
        <w:t>Aktivnosti planirane u sklopu ove mjere su:</w:t>
      </w:r>
    </w:p>
    <w:p w14:paraId="5D047E02" w14:textId="77777777" w:rsidR="00A77633" w:rsidRPr="008924E0" w:rsidRDefault="00A77633" w:rsidP="005D2C94">
      <w:pPr>
        <w:pStyle w:val="ListParagraph"/>
        <w:numPr>
          <w:ilvl w:val="0"/>
          <w:numId w:val="50"/>
        </w:numPr>
        <w:spacing w:after="120" w:line="276" w:lineRule="auto"/>
        <w:ind w:right="32"/>
      </w:pPr>
      <w:r w:rsidRPr="008924E0">
        <w:t>Izrada i usvajanje „Programa suzbijanja energijskog siromaštva koje uključuje povećanje energijske efikasnosti i korištenje obnovljivih izvora energije u stambenim zgradama za posebno ugrožene kategorije stanovništva, za period do 2030. godine“, uz kontinuirano ažuriranje istog;</w:t>
      </w:r>
    </w:p>
    <w:p w14:paraId="1062F38A" w14:textId="77777777" w:rsidR="00A77633" w:rsidRPr="008924E0" w:rsidRDefault="00A77633" w:rsidP="005D2C94">
      <w:pPr>
        <w:pStyle w:val="ListParagraph"/>
        <w:numPr>
          <w:ilvl w:val="0"/>
          <w:numId w:val="50"/>
        </w:numPr>
        <w:spacing w:after="120" w:line="276" w:lineRule="auto"/>
        <w:ind w:right="32"/>
      </w:pPr>
      <w:r w:rsidRPr="008924E0">
        <w:t xml:space="preserve">Definiranje indikatora za mjerenje energijskog siromaštva i na osnovu toga određivanje stepena siromaštva; </w:t>
      </w:r>
    </w:p>
    <w:p w14:paraId="3F259C52" w14:textId="77777777" w:rsidR="00A77633" w:rsidRPr="008924E0" w:rsidRDefault="00A77633" w:rsidP="005D2C94">
      <w:pPr>
        <w:pStyle w:val="ListParagraph"/>
        <w:numPr>
          <w:ilvl w:val="0"/>
          <w:numId w:val="50"/>
        </w:numPr>
        <w:spacing w:after="120" w:line="276" w:lineRule="auto"/>
        <w:ind w:right="32"/>
      </w:pPr>
      <w:r w:rsidRPr="008924E0">
        <w:t>Uspostavljanje baza podataka o stanovništvu u socijalnoj potrebi na nivou svih kantona;</w:t>
      </w:r>
    </w:p>
    <w:p w14:paraId="20EACF8E" w14:textId="77777777" w:rsidR="00A77633" w:rsidRPr="008924E0" w:rsidRDefault="00A77633" w:rsidP="005D2C94">
      <w:pPr>
        <w:pStyle w:val="ListParagraph"/>
        <w:numPr>
          <w:ilvl w:val="0"/>
          <w:numId w:val="50"/>
        </w:numPr>
        <w:spacing w:after="120" w:line="276" w:lineRule="auto"/>
        <w:ind w:right="32"/>
      </w:pPr>
      <w:r w:rsidRPr="008924E0">
        <w:t>Definiranje politika i mjera koje su prioritetne i najefikasnije za pomoć posebno ugroženim kategorijama stanovništva;</w:t>
      </w:r>
    </w:p>
    <w:p w14:paraId="6B29454A" w14:textId="77777777" w:rsidR="00A77633" w:rsidRPr="008924E0" w:rsidRDefault="00A77633" w:rsidP="005D2C94">
      <w:pPr>
        <w:pStyle w:val="ListParagraph"/>
        <w:numPr>
          <w:ilvl w:val="0"/>
          <w:numId w:val="50"/>
        </w:numPr>
        <w:spacing w:after="120" w:line="276" w:lineRule="auto"/>
        <w:ind w:right="32"/>
      </w:pPr>
      <w:r w:rsidRPr="008924E0">
        <w:t>Određivanje domaćinstava posebno ugroženih kategorija stanovništva kao prioritetnih u provedbi energijske obnove zgrada;</w:t>
      </w:r>
    </w:p>
    <w:p w14:paraId="29540565" w14:textId="48DC1B40" w:rsidR="00A77633" w:rsidRPr="008924E0" w:rsidRDefault="00A77633" w:rsidP="005D2C94">
      <w:pPr>
        <w:pStyle w:val="ListParagraph"/>
        <w:numPr>
          <w:ilvl w:val="0"/>
          <w:numId w:val="50"/>
        </w:numPr>
        <w:spacing w:after="120" w:line="276" w:lineRule="auto"/>
        <w:ind w:right="32"/>
      </w:pPr>
      <w:r w:rsidRPr="008924E0">
        <w:t xml:space="preserve">Uspostavljanje fondova za </w:t>
      </w:r>
      <w:r w:rsidR="007B690C">
        <w:t>financ</w:t>
      </w:r>
      <w:r w:rsidRPr="008924E0">
        <w:t>iranje mjera za zaštitu ugroženih kategorija potrošača na nivou svih kantona;</w:t>
      </w:r>
    </w:p>
    <w:p w14:paraId="175FC18B" w14:textId="77777777" w:rsidR="00A77633" w:rsidRPr="008924E0" w:rsidRDefault="00A77633" w:rsidP="005D2C94">
      <w:pPr>
        <w:pStyle w:val="ListParagraph"/>
        <w:numPr>
          <w:ilvl w:val="0"/>
          <w:numId w:val="50"/>
        </w:numPr>
        <w:spacing w:after="120" w:line="276" w:lineRule="auto"/>
        <w:ind w:right="32"/>
      </w:pPr>
      <w:r w:rsidRPr="008924E0">
        <w:t>Usklađivanje Zakona o EE u FBiH sa propisima relevantnim za obnovu stambenog fonda (Zakon o stvarnim pravima, Zakon o obligacionim odnosima, Zakon o zajedničkim dijelovima zgrade);</w:t>
      </w:r>
    </w:p>
    <w:p w14:paraId="4F90C0C5" w14:textId="77777777" w:rsidR="00A77633" w:rsidRDefault="00A77633" w:rsidP="005D2C94">
      <w:pPr>
        <w:pStyle w:val="ListParagraph"/>
        <w:numPr>
          <w:ilvl w:val="0"/>
          <w:numId w:val="50"/>
        </w:numPr>
        <w:spacing w:after="120" w:line="276" w:lineRule="auto"/>
        <w:ind w:right="32"/>
      </w:pPr>
      <w:r w:rsidRPr="008924E0">
        <w:t xml:space="preserve">Provedba programa suzbijanja energijskog siromaštva od strane kantonalnih ministarstva nadležnih za prostorno uređenje i socijalnu politiku, te jedinica lokalne samouprave; </w:t>
      </w:r>
    </w:p>
    <w:p w14:paraId="7F402625" w14:textId="77777777" w:rsidR="00A77633" w:rsidRDefault="00A77633" w:rsidP="005D2C94">
      <w:pPr>
        <w:pStyle w:val="ListParagraph"/>
        <w:numPr>
          <w:ilvl w:val="0"/>
          <w:numId w:val="50"/>
        </w:numPr>
        <w:spacing w:after="120" w:line="276" w:lineRule="auto"/>
        <w:ind w:right="32"/>
      </w:pPr>
      <w:r w:rsidRPr="008924E0">
        <w:t>Provođenje edukacije o efikasnom korištenju energije za posebno ugrožene kategorije stanovništva.</w:t>
      </w:r>
    </w:p>
    <w:p w14:paraId="5B045ED0" w14:textId="77777777" w:rsidR="00A77633" w:rsidRPr="00DD2143" w:rsidRDefault="00A77633" w:rsidP="005D2C94">
      <w:pPr>
        <w:spacing w:after="120" w:line="276" w:lineRule="auto"/>
      </w:pPr>
      <w:proofErr w:type="spellStart"/>
      <w:r w:rsidRPr="00DD2143">
        <w:t>Implementacija</w:t>
      </w:r>
      <w:proofErr w:type="spellEnd"/>
      <w:r w:rsidRPr="00DD2143">
        <w:t xml:space="preserve"> </w:t>
      </w:r>
      <w:proofErr w:type="spellStart"/>
      <w:r w:rsidRPr="00DD2143">
        <w:t>ove</w:t>
      </w:r>
      <w:proofErr w:type="spellEnd"/>
      <w:r w:rsidRPr="00DD2143">
        <w:t xml:space="preserve"> </w:t>
      </w:r>
      <w:proofErr w:type="spellStart"/>
      <w:r w:rsidRPr="00DD2143">
        <w:t>mjere</w:t>
      </w:r>
      <w:proofErr w:type="spellEnd"/>
      <w:r w:rsidRPr="00DD2143">
        <w:t xml:space="preserve"> </w:t>
      </w:r>
      <w:proofErr w:type="spellStart"/>
      <w:r w:rsidRPr="00DD2143">
        <w:t>rezultirat</w:t>
      </w:r>
      <w:proofErr w:type="spellEnd"/>
      <w:r w:rsidRPr="00DD2143">
        <w:t xml:space="preserve"> </w:t>
      </w:r>
      <w:proofErr w:type="spellStart"/>
      <w:r w:rsidRPr="00DD2143">
        <w:t>će</w:t>
      </w:r>
      <w:proofErr w:type="spellEnd"/>
      <w:r w:rsidRPr="00DD2143">
        <w:t>:</w:t>
      </w:r>
    </w:p>
    <w:p w14:paraId="51B637B0" w14:textId="77777777" w:rsidR="00A77633" w:rsidRPr="00DD2143" w:rsidRDefault="00A77633" w:rsidP="00581C1C">
      <w:pPr>
        <w:pStyle w:val="ListParagraph"/>
        <w:numPr>
          <w:ilvl w:val="0"/>
          <w:numId w:val="84"/>
        </w:numPr>
        <w:spacing w:after="120" w:line="276" w:lineRule="auto"/>
      </w:pPr>
      <w:r w:rsidRPr="00DD2143">
        <w:t xml:space="preserve">sistemskim ulaganjem u energijsku obnovu fonda zgrada </w:t>
      </w:r>
      <w:r>
        <w:t xml:space="preserve">koje su </w:t>
      </w:r>
      <w:r w:rsidRPr="00DD2143">
        <w:t>u vlasništvu posebno  ugroženih kategorija stanovništva</w:t>
      </w:r>
      <w:r>
        <w:t>;</w:t>
      </w:r>
    </w:p>
    <w:p w14:paraId="56834AE1" w14:textId="77777777" w:rsidR="00A77633" w:rsidRPr="00DD2143" w:rsidRDefault="00A77633" w:rsidP="00581C1C">
      <w:pPr>
        <w:pStyle w:val="ListParagraph"/>
        <w:numPr>
          <w:ilvl w:val="0"/>
          <w:numId w:val="84"/>
        </w:numPr>
        <w:spacing w:after="120" w:line="276" w:lineRule="auto"/>
      </w:pPr>
      <w:r w:rsidRPr="00DD2143">
        <w:t xml:space="preserve">smanjenjem troškova </w:t>
      </w:r>
      <w:r>
        <w:t>za režije</w:t>
      </w:r>
      <w:r w:rsidRPr="00DD2143">
        <w:t xml:space="preserve"> </w:t>
      </w:r>
      <w:r>
        <w:t xml:space="preserve">te </w:t>
      </w:r>
      <w:r w:rsidRPr="00DD2143">
        <w:t>poboljšanim uvjetima života ove kategorije građana</w:t>
      </w:r>
      <w:r>
        <w:t>;</w:t>
      </w:r>
    </w:p>
    <w:p w14:paraId="05DC81D1" w14:textId="77777777" w:rsidR="00A77633" w:rsidRDefault="00A77633" w:rsidP="005D2C94">
      <w:pPr>
        <w:pStyle w:val="ListParagraph"/>
        <w:spacing w:after="120" w:line="276" w:lineRule="auto"/>
      </w:pPr>
      <w:r w:rsidRPr="002D5534">
        <w:t>smanjenjem energijskog siromaštva;</w:t>
      </w:r>
    </w:p>
    <w:p w14:paraId="776CEDDD" w14:textId="77777777" w:rsidR="00A77633" w:rsidRPr="005A5AB5" w:rsidRDefault="00A77633" w:rsidP="005D2C94">
      <w:pPr>
        <w:pStyle w:val="ListParagraph"/>
        <w:spacing w:after="120" w:line="276" w:lineRule="auto"/>
        <w:rPr>
          <w:color w:val="0070C0"/>
        </w:rPr>
      </w:pPr>
      <w:r w:rsidRPr="00DD2143">
        <w:t>smanjenjem emisija zagađujućih čestica u zrak i niskoemisionim razvojem FBiH.</w:t>
      </w:r>
    </w:p>
    <w:p w14:paraId="28EE274E" w14:textId="77777777" w:rsidR="00A77633" w:rsidRPr="008924E0" w:rsidRDefault="00A77633" w:rsidP="00A77633">
      <w:pPr>
        <w:pStyle w:val="Heading2"/>
        <w:numPr>
          <w:ilvl w:val="0"/>
          <w:numId w:val="0"/>
        </w:numPr>
        <w:rPr>
          <w:color w:val="000000"/>
          <w:lang w:val="bs-Latn-BA"/>
        </w:rPr>
      </w:pPr>
      <w:bookmarkStart w:id="153" w:name="_Toc134011782"/>
      <w:r w:rsidRPr="008924E0">
        <w:rPr>
          <w:lang w:val="bs-Latn-BA"/>
        </w:rPr>
        <w:t>Prioritet 1.</w:t>
      </w:r>
      <w:r>
        <w:rPr>
          <w:lang w:val="bs-Latn-BA"/>
        </w:rPr>
        <w:t>2</w:t>
      </w:r>
      <w:r w:rsidRPr="008924E0">
        <w:rPr>
          <w:lang w:val="bs-Latn-BA"/>
        </w:rPr>
        <w:t xml:space="preserve">. </w:t>
      </w:r>
      <w:r w:rsidRPr="00923C1C">
        <w:rPr>
          <w:lang w:val="bs-Latn-BA"/>
        </w:rPr>
        <w:t>Dekarbonizirati postojeći fond zgrada FBiH</w:t>
      </w:r>
      <w:bookmarkEnd w:id="153"/>
      <w:r w:rsidRPr="00923C1C">
        <w:rPr>
          <w:lang w:val="bs-Latn-BA"/>
        </w:rPr>
        <w:t xml:space="preserve"> </w:t>
      </w:r>
    </w:p>
    <w:p w14:paraId="5366A417" w14:textId="375F77E6" w:rsidR="00A77633" w:rsidRPr="008924E0" w:rsidRDefault="00A77633" w:rsidP="005D2C94">
      <w:pPr>
        <w:spacing w:after="120" w:line="276" w:lineRule="auto"/>
        <w:rPr>
          <w:color w:val="000000"/>
          <w:lang w:val="bs-Latn-BA"/>
        </w:rPr>
      </w:pPr>
      <w:r w:rsidRPr="008924E0">
        <w:rPr>
          <w:color w:val="000000"/>
          <w:lang w:val="bs-Latn-BA"/>
        </w:rPr>
        <w:t xml:space="preserve">Prema Zelenoj agendi za Zapadni Balkan, zemlje Zapadnog Balkana su se </w:t>
      </w:r>
      <w:r w:rsidR="00F03625">
        <w:rPr>
          <w:color w:val="000000"/>
          <w:lang w:val="bs-Latn-BA"/>
        </w:rPr>
        <w:t>obvez</w:t>
      </w:r>
      <w:r w:rsidRPr="008924E0">
        <w:rPr>
          <w:color w:val="000000"/>
          <w:lang w:val="bs-Latn-BA"/>
        </w:rPr>
        <w:t xml:space="preserve">ale na prelazak  na čistu energiju i održivi razvoj, a vrijeme tranzicije bi trebalo iskoristiti za: smanjenje uvoza energije, razvoj obnovljivih izvora energije, jačanje regionalne </w:t>
      </w:r>
      <w:r>
        <w:rPr>
          <w:color w:val="000000"/>
          <w:lang w:val="bs-Latn-BA"/>
        </w:rPr>
        <w:t>energij</w:t>
      </w:r>
      <w:r w:rsidRPr="008924E0">
        <w:rPr>
          <w:color w:val="000000"/>
          <w:lang w:val="bs-Latn-BA"/>
        </w:rPr>
        <w:t xml:space="preserve">ske sigurnosti, ubrzavanje privrednog rasta te rješavanje zagađenja zraka i zdravstvenih problema kojima je uzrok. Usvajanjem Zelene agende za Zapadni Balkan, BiH se </w:t>
      </w:r>
      <w:r w:rsidR="00F03625">
        <w:rPr>
          <w:color w:val="000000"/>
          <w:lang w:val="bs-Latn-BA"/>
        </w:rPr>
        <w:t>obvez</w:t>
      </w:r>
      <w:r w:rsidRPr="008924E0">
        <w:rPr>
          <w:color w:val="000000"/>
          <w:lang w:val="bs-Latn-BA"/>
        </w:rPr>
        <w:t>ala na harmonizaciju sa sistemom E</w:t>
      </w:r>
      <w:r>
        <w:rPr>
          <w:color w:val="000000"/>
          <w:lang w:val="bs-Latn-BA"/>
        </w:rPr>
        <w:t>u</w:t>
      </w:r>
      <w:r w:rsidRPr="008924E0">
        <w:rPr>
          <w:color w:val="000000"/>
          <w:lang w:val="bs-Latn-BA"/>
        </w:rPr>
        <w:t xml:space="preserve">ropske unije (EU) i trgovanje emisijama ugljika </w:t>
      </w:r>
      <w:r w:rsidRPr="008924E0">
        <w:rPr>
          <w:color w:val="000000"/>
          <w:lang w:val="bs-Latn-BA"/>
        </w:rPr>
        <w:lastRenderedPageBreak/>
        <w:t>drugačijim instrumentima naplate do 2024. godine, usklađivanje sa Klimatskim zakonom E</w:t>
      </w:r>
      <w:r>
        <w:rPr>
          <w:color w:val="000000"/>
          <w:lang w:val="bs-Latn-BA"/>
        </w:rPr>
        <w:t>u</w:t>
      </w:r>
      <w:r w:rsidRPr="008924E0">
        <w:rPr>
          <w:color w:val="000000"/>
          <w:lang w:val="bs-Latn-BA"/>
        </w:rPr>
        <w:t xml:space="preserve">ropske unije, usvajanje vizije o postizanju klimatske neutralnosti do 2025. te smanjenje emisija stakleničkih plinova za 55% do 2030. godine. S tim u vezi, postavljeni su ciljevi, kao što su povećanje udjela obnovljivih izvora energije, smanjivanje i postepeno ukidanje subvencije za ugalj, usklađivanje sa </w:t>
      </w:r>
      <w:r>
        <w:rPr>
          <w:color w:val="000000"/>
          <w:lang w:val="bs-Latn-BA"/>
        </w:rPr>
        <w:t>š</w:t>
      </w:r>
      <w:r w:rsidRPr="008924E0">
        <w:rPr>
          <w:color w:val="000000"/>
          <w:lang w:val="bs-Latn-BA"/>
        </w:rPr>
        <w:t xml:space="preserve">emom EU-a za trgovanje emisijama, uvođenje drugih instrumenata za određivanje cijena ugljika u svrhu promoviranja dekarbonizacije u regiji, itd. Svi ciljevi su u skladu sa ciljevima Održivog razvoja u BiH, tačnije sa ciljem „Zeleni rast i čista energija“, kojim se potiče decentralizacija elektro-energetskog sistema i dekarbonizacija energetskog sistema BiH.  Dodatno, revidirani </w:t>
      </w:r>
      <w:r>
        <w:rPr>
          <w:color w:val="000000"/>
          <w:lang w:val="bs-Latn-BA"/>
        </w:rPr>
        <w:t xml:space="preserve">dokument za </w:t>
      </w:r>
      <w:r w:rsidRPr="006A762C">
        <w:rPr>
          <w:color w:val="000000"/>
          <w:lang w:val="bs-Latn-BA"/>
        </w:rPr>
        <w:t>utvrđen</w:t>
      </w:r>
      <w:r>
        <w:rPr>
          <w:color w:val="000000"/>
          <w:lang w:val="bs-Latn-BA"/>
        </w:rPr>
        <w:t>e</w:t>
      </w:r>
      <w:r w:rsidRPr="006A762C">
        <w:rPr>
          <w:color w:val="000000"/>
          <w:lang w:val="bs-Latn-BA"/>
        </w:rPr>
        <w:t xml:space="preserve"> doprinos</w:t>
      </w:r>
      <w:r>
        <w:rPr>
          <w:color w:val="000000"/>
          <w:lang w:val="bs-Latn-BA"/>
        </w:rPr>
        <w:t>e</w:t>
      </w:r>
      <w:r w:rsidRPr="006A762C">
        <w:rPr>
          <w:color w:val="000000"/>
          <w:lang w:val="bs-Latn-BA"/>
        </w:rPr>
        <w:t xml:space="preserve"> Bosne i Hercegovine</w:t>
      </w:r>
      <w:r w:rsidRPr="006A762C" w:rsidDel="006A762C">
        <w:rPr>
          <w:color w:val="000000"/>
          <w:lang w:val="bs-Latn-BA"/>
        </w:rPr>
        <w:t xml:space="preserve"> </w:t>
      </w:r>
      <w:r w:rsidRPr="008924E0">
        <w:rPr>
          <w:i/>
          <w:iCs/>
          <w:color w:val="000000"/>
          <w:lang w:val="bs-Latn-BA"/>
        </w:rPr>
        <w:t>(Nationally Determined Contribution - NDC)</w:t>
      </w:r>
      <w:r w:rsidRPr="008924E0">
        <w:rPr>
          <w:color w:val="000000"/>
          <w:lang w:val="bs-Latn-BA"/>
        </w:rPr>
        <w:t xml:space="preserve"> postavlja dugoročne ciljeve smanjenja emisija stakleničkih plinova za 2050. na 61,7% (bez</w:t>
      </w:r>
      <w:r w:rsidR="00540A41">
        <w:rPr>
          <w:color w:val="000000"/>
          <w:lang w:val="bs-Latn-BA"/>
        </w:rPr>
        <w:t>uvjet</w:t>
      </w:r>
      <w:r w:rsidRPr="008924E0">
        <w:rPr>
          <w:color w:val="000000"/>
          <w:lang w:val="bs-Latn-BA"/>
        </w:rPr>
        <w:t xml:space="preserve">no) ispod nivoa iz 1990. godine. </w:t>
      </w:r>
    </w:p>
    <w:p w14:paraId="23B1EE82" w14:textId="648793BC" w:rsidR="00A77633" w:rsidRPr="008924E0" w:rsidRDefault="00A77633" w:rsidP="005D2C94">
      <w:pPr>
        <w:spacing w:after="120" w:line="276" w:lineRule="auto"/>
        <w:rPr>
          <w:color w:val="000000"/>
          <w:lang w:val="bs-Latn-BA"/>
        </w:rPr>
      </w:pPr>
      <w:r w:rsidRPr="008924E0">
        <w:rPr>
          <w:color w:val="000000"/>
          <w:lang w:val="bs-Latn-BA"/>
        </w:rPr>
        <w:t xml:space="preserve">U vrijeme kada dostupnost energije i resursa više nije samo pitanje zaštite okoliša i prevencije klimatskih promjena, već je problem sigurnosti, odnosno problem održivosti, tranzicija ka zgradama sa niskim sadržajem ugljika, a zatim i sa nultim neto ugljikom je neophodna. Prema dostupnim informacijama zagađeni zrak u BiH godišnje uzrokuje gotovo 3.300 slučajeva preuranjene smrti, što je čini petom najgorom zemljom u </w:t>
      </w:r>
      <w:r>
        <w:rPr>
          <w:color w:val="000000"/>
          <w:lang w:val="bs-Latn-BA"/>
        </w:rPr>
        <w:t>Eu</w:t>
      </w:r>
      <w:r w:rsidRPr="008924E0">
        <w:rPr>
          <w:color w:val="000000"/>
          <w:lang w:val="bs-Latn-BA"/>
        </w:rPr>
        <w:t>ropi po broju umrlih od bolesti izazvanih zagađenim zrakom. Stoga je prioritetno poticati energijsku neovisnost i povećanje zastupljenosti OIE u ukupnoj potrošnji energije, što doprinosi smanjenju energijskog siromaštva, sive ekonomije te garant</w:t>
      </w:r>
      <w:r w:rsidR="005300B0">
        <w:rPr>
          <w:color w:val="000000"/>
          <w:lang w:val="bs-Latn-BA"/>
        </w:rPr>
        <w:t>ira</w:t>
      </w:r>
      <w:r w:rsidRPr="008924E0">
        <w:rPr>
          <w:color w:val="000000"/>
          <w:lang w:val="bs-Latn-BA"/>
        </w:rPr>
        <w:t xml:space="preserve"> energijsku sigurnost kao i smanjenje negativnih uticaja na zdravlje stanovništva. </w:t>
      </w:r>
    </w:p>
    <w:tbl>
      <w:tblPr>
        <w:tblW w:w="9212"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240"/>
        <w:gridCol w:w="1809"/>
        <w:gridCol w:w="2081"/>
        <w:gridCol w:w="2082"/>
      </w:tblGrid>
      <w:tr w:rsidR="00A77633" w:rsidRPr="00D80825" w14:paraId="21F5266D" w14:textId="77777777" w:rsidTr="00122946">
        <w:trPr>
          <w:jc w:val="center"/>
        </w:trPr>
        <w:tc>
          <w:tcPr>
            <w:tcW w:w="3240" w:type="dxa"/>
            <w:shd w:val="clear" w:color="auto" w:fill="006432"/>
          </w:tcPr>
          <w:p w14:paraId="7C17B722" w14:textId="4973C101" w:rsidR="00A77633" w:rsidRPr="00D80825" w:rsidRDefault="00A77633" w:rsidP="00122946">
            <w:pPr>
              <w:spacing w:after="0"/>
              <w:rPr>
                <w:b/>
                <w:bCs/>
                <w:color w:val="FFFFFF" w:themeColor="background1"/>
                <w:sz w:val="20"/>
                <w:szCs w:val="20"/>
                <w:lang w:val="bs-Latn-BA"/>
              </w:rPr>
            </w:pPr>
            <w:r w:rsidRPr="00D80825">
              <w:rPr>
                <w:b/>
                <w:bCs/>
                <w:color w:val="FFFFFF" w:themeColor="background1"/>
                <w:sz w:val="20"/>
                <w:szCs w:val="20"/>
                <w:lang w:val="bs-Latn-BA"/>
              </w:rPr>
              <w:t>Indikatori Prioriteta 1.</w:t>
            </w:r>
            <w:r w:rsidR="00045BB4" w:rsidRPr="00D80825">
              <w:rPr>
                <w:b/>
                <w:bCs/>
                <w:color w:val="FFFFFF" w:themeColor="background1"/>
                <w:sz w:val="20"/>
                <w:szCs w:val="20"/>
                <w:lang w:val="bs-Latn-BA"/>
              </w:rPr>
              <w:t>2</w:t>
            </w:r>
            <w:r w:rsidRPr="00D80825">
              <w:rPr>
                <w:b/>
                <w:bCs/>
                <w:color w:val="FFFFFF" w:themeColor="background1"/>
                <w:sz w:val="20"/>
                <w:szCs w:val="20"/>
                <w:lang w:val="bs-Latn-BA"/>
              </w:rPr>
              <w:t>.</w:t>
            </w:r>
          </w:p>
        </w:tc>
        <w:tc>
          <w:tcPr>
            <w:tcW w:w="1809" w:type="dxa"/>
            <w:shd w:val="clear" w:color="auto" w:fill="006432"/>
          </w:tcPr>
          <w:p w14:paraId="34D97F40" w14:textId="77777777" w:rsidR="00A77633" w:rsidRPr="00D80825" w:rsidRDefault="00A77633" w:rsidP="00122946">
            <w:pPr>
              <w:spacing w:after="0"/>
              <w:rPr>
                <w:b/>
                <w:bCs/>
                <w:color w:val="FFFFFF" w:themeColor="background1"/>
                <w:sz w:val="20"/>
                <w:szCs w:val="20"/>
                <w:lang w:val="bs-Latn-BA"/>
              </w:rPr>
            </w:pPr>
            <w:r w:rsidRPr="00D80825">
              <w:rPr>
                <w:b/>
                <w:bCs/>
                <w:color w:val="FFFFFF" w:themeColor="background1"/>
                <w:sz w:val="20"/>
                <w:szCs w:val="20"/>
                <w:lang w:val="bs-Latn-BA"/>
              </w:rPr>
              <w:t xml:space="preserve">Izvor </w:t>
            </w:r>
          </w:p>
        </w:tc>
        <w:tc>
          <w:tcPr>
            <w:tcW w:w="2081" w:type="dxa"/>
            <w:shd w:val="clear" w:color="auto" w:fill="006432"/>
          </w:tcPr>
          <w:p w14:paraId="16F3834F" w14:textId="77777777" w:rsidR="00A77633" w:rsidRPr="00D80825" w:rsidRDefault="00A77633" w:rsidP="00122946">
            <w:pPr>
              <w:spacing w:after="0"/>
              <w:rPr>
                <w:b/>
                <w:bCs/>
                <w:color w:val="FFFFFF" w:themeColor="background1"/>
                <w:sz w:val="20"/>
                <w:szCs w:val="20"/>
                <w:lang w:val="bs-Latn-BA"/>
              </w:rPr>
            </w:pPr>
            <w:r w:rsidRPr="00D80825">
              <w:rPr>
                <w:b/>
                <w:bCs/>
                <w:color w:val="FFFFFF" w:themeColor="background1"/>
                <w:sz w:val="20"/>
                <w:szCs w:val="20"/>
                <w:lang w:val="bs-Latn-BA"/>
              </w:rPr>
              <w:t>Polazna vrijednost</w:t>
            </w:r>
          </w:p>
        </w:tc>
        <w:tc>
          <w:tcPr>
            <w:tcW w:w="2082" w:type="dxa"/>
            <w:shd w:val="clear" w:color="auto" w:fill="006432"/>
          </w:tcPr>
          <w:p w14:paraId="17012500" w14:textId="77777777" w:rsidR="00A77633" w:rsidRPr="00D80825" w:rsidRDefault="00A77633" w:rsidP="00122946">
            <w:pPr>
              <w:spacing w:after="0"/>
              <w:rPr>
                <w:b/>
                <w:bCs/>
                <w:color w:val="FFFFFF" w:themeColor="background1"/>
                <w:sz w:val="20"/>
                <w:szCs w:val="20"/>
                <w:lang w:val="bs-Latn-BA"/>
              </w:rPr>
            </w:pPr>
            <w:r w:rsidRPr="00D80825">
              <w:rPr>
                <w:b/>
                <w:bCs/>
                <w:color w:val="FFFFFF" w:themeColor="background1"/>
                <w:sz w:val="20"/>
                <w:szCs w:val="20"/>
                <w:lang w:val="bs-Latn-BA"/>
              </w:rPr>
              <w:t xml:space="preserve"> Ciljna vrijednost </w:t>
            </w:r>
          </w:p>
        </w:tc>
      </w:tr>
      <w:tr w:rsidR="00A77633" w:rsidRPr="00D80825" w14:paraId="55E43C2D" w14:textId="77777777" w:rsidTr="00122946">
        <w:trPr>
          <w:jc w:val="center"/>
        </w:trPr>
        <w:tc>
          <w:tcPr>
            <w:tcW w:w="3240" w:type="dxa"/>
            <w:shd w:val="clear" w:color="auto" w:fill="F2F2F2" w:themeFill="background1" w:themeFillShade="F2"/>
            <w:vAlign w:val="center"/>
          </w:tcPr>
          <w:p w14:paraId="54CFEAA1" w14:textId="77777777" w:rsidR="00A77633" w:rsidRPr="00D80825" w:rsidRDefault="00A77633" w:rsidP="00122946">
            <w:pPr>
              <w:spacing w:after="0"/>
              <w:rPr>
                <w:sz w:val="20"/>
                <w:szCs w:val="20"/>
                <w:lang w:val="bs-Latn-BA"/>
              </w:rPr>
            </w:pPr>
            <w:proofErr w:type="spellStart"/>
            <w:r w:rsidRPr="00D80825">
              <w:rPr>
                <w:sz w:val="20"/>
                <w:szCs w:val="20"/>
              </w:rPr>
              <w:t>Smanjenje</w:t>
            </w:r>
            <w:proofErr w:type="spellEnd"/>
            <w:r w:rsidRPr="00D80825">
              <w:rPr>
                <w:sz w:val="20"/>
                <w:szCs w:val="20"/>
              </w:rPr>
              <w:t xml:space="preserve"> </w:t>
            </w:r>
            <w:proofErr w:type="spellStart"/>
            <w:r w:rsidRPr="00D80825">
              <w:rPr>
                <w:sz w:val="20"/>
                <w:szCs w:val="20"/>
              </w:rPr>
              <w:t>emisije</w:t>
            </w:r>
            <w:proofErr w:type="spellEnd"/>
            <w:r w:rsidRPr="00D80825">
              <w:rPr>
                <w:sz w:val="20"/>
                <w:szCs w:val="20"/>
              </w:rPr>
              <w:t xml:space="preserve"> CO</w:t>
            </w:r>
            <w:r w:rsidRPr="00D80825">
              <w:rPr>
                <w:sz w:val="20"/>
                <w:szCs w:val="20"/>
                <w:vertAlign w:val="subscript"/>
              </w:rPr>
              <w:t>2</w:t>
            </w:r>
            <w:r w:rsidRPr="00D80825">
              <w:rPr>
                <w:sz w:val="20"/>
                <w:szCs w:val="20"/>
              </w:rPr>
              <w:t xml:space="preserve"> u </w:t>
            </w:r>
            <w:proofErr w:type="spellStart"/>
            <w:r w:rsidRPr="00D80825">
              <w:rPr>
                <w:sz w:val="20"/>
                <w:szCs w:val="20"/>
              </w:rPr>
              <w:t>sektoru</w:t>
            </w:r>
            <w:proofErr w:type="spellEnd"/>
            <w:r w:rsidRPr="00D80825">
              <w:rPr>
                <w:sz w:val="20"/>
                <w:szCs w:val="20"/>
              </w:rPr>
              <w:t xml:space="preserve"> </w:t>
            </w:r>
            <w:proofErr w:type="spellStart"/>
            <w:r w:rsidRPr="00D80825">
              <w:rPr>
                <w:sz w:val="20"/>
                <w:szCs w:val="20"/>
              </w:rPr>
              <w:t>zgradarstva</w:t>
            </w:r>
            <w:proofErr w:type="spellEnd"/>
            <w:r w:rsidRPr="00D80825">
              <w:rPr>
                <w:sz w:val="20"/>
                <w:szCs w:val="20"/>
              </w:rPr>
              <w:t xml:space="preserve"> (</w:t>
            </w:r>
            <w:proofErr w:type="spellStart"/>
            <w:r w:rsidRPr="00D80825">
              <w:rPr>
                <w:sz w:val="20"/>
                <w:szCs w:val="20"/>
              </w:rPr>
              <w:t>stambeni</w:t>
            </w:r>
            <w:proofErr w:type="spellEnd"/>
            <w:r w:rsidRPr="00D80825">
              <w:rPr>
                <w:sz w:val="20"/>
                <w:szCs w:val="20"/>
              </w:rPr>
              <w:t xml:space="preserve"> </w:t>
            </w:r>
            <w:proofErr w:type="spellStart"/>
            <w:r w:rsidRPr="00D80825">
              <w:rPr>
                <w:sz w:val="20"/>
                <w:szCs w:val="20"/>
              </w:rPr>
              <w:t>sektor</w:t>
            </w:r>
            <w:proofErr w:type="spellEnd"/>
            <w:r w:rsidRPr="00D80825">
              <w:rPr>
                <w:sz w:val="20"/>
                <w:szCs w:val="20"/>
              </w:rPr>
              <w:t xml:space="preserve"> i </w:t>
            </w:r>
            <w:proofErr w:type="spellStart"/>
            <w:r w:rsidRPr="00D80825">
              <w:rPr>
                <w:sz w:val="20"/>
                <w:szCs w:val="20"/>
              </w:rPr>
              <w:t>javne</w:t>
            </w:r>
            <w:proofErr w:type="spellEnd"/>
            <w:r w:rsidRPr="00D80825">
              <w:rPr>
                <w:sz w:val="20"/>
                <w:szCs w:val="20"/>
              </w:rPr>
              <w:t xml:space="preserve"> </w:t>
            </w:r>
            <w:proofErr w:type="spellStart"/>
            <w:r w:rsidRPr="00D80825">
              <w:rPr>
                <w:sz w:val="20"/>
                <w:szCs w:val="20"/>
              </w:rPr>
              <w:t>zgrade</w:t>
            </w:r>
            <w:proofErr w:type="spellEnd"/>
            <w:r w:rsidRPr="00D80825">
              <w:rPr>
                <w:sz w:val="20"/>
                <w:szCs w:val="20"/>
              </w:rPr>
              <w:t>) 10</w:t>
            </w:r>
            <w:r w:rsidRPr="00D80825">
              <w:rPr>
                <w:sz w:val="20"/>
                <w:szCs w:val="20"/>
                <w:vertAlign w:val="superscript"/>
              </w:rPr>
              <w:t xml:space="preserve">3 </w:t>
            </w:r>
            <w:r w:rsidRPr="00D80825">
              <w:rPr>
                <w:sz w:val="20"/>
                <w:szCs w:val="20"/>
              </w:rPr>
              <w:t>t</w:t>
            </w:r>
          </w:p>
        </w:tc>
        <w:tc>
          <w:tcPr>
            <w:tcW w:w="1809" w:type="dxa"/>
            <w:shd w:val="clear" w:color="auto" w:fill="F2F2F2" w:themeFill="background1" w:themeFillShade="F2"/>
            <w:vAlign w:val="center"/>
          </w:tcPr>
          <w:p w14:paraId="476903D2" w14:textId="77777777" w:rsidR="00A77633" w:rsidRPr="00D80825" w:rsidRDefault="00A77633" w:rsidP="00122946">
            <w:pPr>
              <w:spacing w:after="0"/>
              <w:rPr>
                <w:sz w:val="20"/>
                <w:szCs w:val="20"/>
                <w:lang w:val="bs-Latn-BA"/>
              </w:rPr>
            </w:pPr>
            <w:r w:rsidRPr="00D80825">
              <w:rPr>
                <w:sz w:val="20"/>
                <w:szCs w:val="20"/>
                <w:lang w:val="bs-Latn-BA"/>
              </w:rPr>
              <w:t>n/a</w:t>
            </w:r>
          </w:p>
        </w:tc>
        <w:tc>
          <w:tcPr>
            <w:tcW w:w="2081" w:type="dxa"/>
            <w:shd w:val="clear" w:color="auto" w:fill="F2F2F2" w:themeFill="background1" w:themeFillShade="F2"/>
            <w:vAlign w:val="center"/>
          </w:tcPr>
          <w:p w14:paraId="22C46742" w14:textId="77777777" w:rsidR="00A77633" w:rsidRPr="00D80825" w:rsidRDefault="00A77633" w:rsidP="00122946">
            <w:pPr>
              <w:spacing w:after="0"/>
              <w:rPr>
                <w:sz w:val="20"/>
                <w:szCs w:val="20"/>
                <w:lang w:val="bs-Latn-BA"/>
              </w:rPr>
            </w:pPr>
            <w:r w:rsidRPr="00D80825">
              <w:rPr>
                <w:sz w:val="20"/>
                <w:szCs w:val="20"/>
                <w:lang w:val="bs-Latn-BA"/>
              </w:rPr>
              <w:t>0</w:t>
            </w:r>
          </w:p>
        </w:tc>
        <w:tc>
          <w:tcPr>
            <w:tcW w:w="2082" w:type="dxa"/>
            <w:shd w:val="clear" w:color="auto" w:fill="F2F2F2" w:themeFill="background1" w:themeFillShade="F2"/>
            <w:vAlign w:val="center"/>
          </w:tcPr>
          <w:p w14:paraId="63BA0BE4" w14:textId="77777777" w:rsidR="00A77633" w:rsidRPr="00D80825" w:rsidRDefault="00A77633" w:rsidP="00122946">
            <w:pPr>
              <w:spacing w:after="0"/>
              <w:rPr>
                <w:sz w:val="20"/>
                <w:szCs w:val="20"/>
              </w:rPr>
            </w:pPr>
            <w:r w:rsidRPr="00D80825">
              <w:rPr>
                <w:sz w:val="20"/>
                <w:szCs w:val="20"/>
              </w:rPr>
              <w:t xml:space="preserve">1.204 (2030. </w:t>
            </w:r>
            <w:proofErr w:type="spellStart"/>
            <w:r w:rsidRPr="00D80825">
              <w:rPr>
                <w:sz w:val="20"/>
                <w:szCs w:val="20"/>
              </w:rPr>
              <w:t>godina</w:t>
            </w:r>
            <w:proofErr w:type="spellEnd"/>
            <w:r w:rsidRPr="00D80825">
              <w:rPr>
                <w:sz w:val="20"/>
                <w:szCs w:val="20"/>
              </w:rPr>
              <w:t>)</w:t>
            </w:r>
          </w:p>
          <w:p w14:paraId="73671D84" w14:textId="77777777" w:rsidR="00A77633" w:rsidRPr="00D80825" w:rsidRDefault="00A77633" w:rsidP="00122946">
            <w:pPr>
              <w:spacing w:after="0"/>
              <w:rPr>
                <w:sz w:val="20"/>
                <w:szCs w:val="20"/>
                <w:lang w:val="bs-Latn-BA"/>
              </w:rPr>
            </w:pPr>
            <w:r w:rsidRPr="00D80825">
              <w:rPr>
                <w:sz w:val="20"/>
                <w:szCs w:val="20"/>
              </w:rPr>
              <w:t xml:space="preserve">1.913 (2050. </w:t>
            </w:r>
            <w:proofErr w:type="spellStart"/>
            <w:r w:rsidRPr="00D80825">
              <w:rPr>
                <w:sz w:val="20"/>
                <w:szCs w:val="20"/>
              </w:rPr>
              <w:t>godina</w:t>
            </w:r>
            <w:proofErr w:type="spellEnd"/>
            <w:r w:rsidRPr="00D80825">
              <w:rPr>
                <w:sz w:val="20"/>
                <w:szCs w:val="20"/>
              </w:rPr>
              <w:t>)</w:t>
            </w:r>
          </w:p>
        </w:tc>
      </w:tr>
      <w:tr w:rsidR="00A77633" w:rsidRPr="00D80825" w14:paraId="354C209A" w14:textId="77777777" w:rsidTr="00122946">
        <w:trPr>
          <w:jc w:val="center"/>
        </w:trPr>
        <w:tc>
          <w:tcPr>
            <w:tcW w:w="3240" w:type="dxa"/>
            <w:shd w:val="clear" w:color="auto" w:fill="F2F2F2" w:themeFill="background1" w:themeFillShade="F2"/>
            <w:vAlign w:val="center"/>
          </w:tcPr>
          <w:p w14:paraId="2FE5617E" w14:textId="77777777" w:rsidR="00A77633" w:rsidRPr="00D80825" w:rsidRDefault="00A77633" w:rsidP="00122946">
            <w:pPr>
              <w:spacing w:after="0"/>
              <w:rPr>
                <w:sz w:val="20"/>
                <w:szCs w:val="20"/>
                <w:lang w:val="bs-Latn-BA"/>
              </w:rPr>
            </w:pPr>
            <w:proofErr w:type="spellStart"/>
            <w:r w:rsidRPr="00D80825">
              <w:rPr>
                <w:sz w:val="20"/>
                <w:szCs w:val="20"/>
              </w:rPr>
              <w:t>Proizvodnja</w:t>
            </w:r>
            <w:proofErr w:type="spellEnd"/>
            <w:r w:rsidRPr="00D80825">
              <w:rPr>
                <w:sz w:val="20"/>
                <w:szCs w:val="20"/>
              </w:rPr>
              <w:t xml:space="preserve"> </w:t>
            </w:r>
            <w:proofErr w:type="spellStart"/>
            <w:r w:rsidRPr="00D80825">
              <w:rPr>
                <w:sz w:val="20"/>
                <w:szCs w:val="20"/>
              </w:rPr>
              <w:t>toplotne</w:t>
            </w:r>
            <w:proofErr w:type="spellEnd"/>
            <w:r w:rsidRPr="00D80825">
              <w:rPr>
                <w:sz w:val="20"/>
                <w:szCs w:val="20"/>
              </w:rPr>
              <w:t xml:space="preserve"> energije </w:t>
            </w:r>
            <w:proofErr w:type="spellStart"/>
            <w:r w:rsidRPr="00D80825">
              <w:rPr>
                <w:sz w:val="20"/>
                <w:szCs w:val="20"/>
              </w:rPr>
              <w:t>iz</w:t>
            </w:r>
            <w:proofErr w:type="spellEnd"/>
            <w:r w:rsidRPr="00D80825">
              <w:rPr>
                <w:sz w:val="20"/>
                <w:szCs w:val="20"/>
              </w:rPr>
              <w:t xml:space="preserve"> </w:t>
            </w:r>
            <w:proofErr w:type="spellStart"/>
            <w:r w:rsidRPr="00D80825">
              <w:rPr>
                <w:sz w:val="20"/>
                <w:szCs w:val="20"/>
              </w:rPr>
              <w:t>sistema</w:t>
            </w:r>
            <w:proofErr w:type="spellEnd"/>
            <w:r w:rsidRPr="00D80825">
              <w:rPr>
                <w:sz w:val="20"/>
                <w:szCs w:val="20"/>
              </w:rPr>
              <w:t xml:space="preserve"> </w:t>
            </w:r>
            <w:proofErr w:type="spellStart"/>
            <w:r w:rsidRPr="00D80825">
              <w:rPr>
                <w:sz w:val="20"/>
                <w:szCs w:val="20"/>
              </w:rPr>
              <w:t>daljinskih</w:t>
            </w:r>
            <w:proofErr w:type="spellEnd"/>
            <w:r w:rsidRPr="00D80825">
              <w:rPr>
                <w:sz w:val="20"/>
                <w:szCs w:val="20"/>
              </w:rPr>
              <w:t xml:space="preserve"> </w:t>
            </w:r>
            <w:proofErr w:type="spellStart"/>
            <w:r w:rsidRPr="00D80825">
              <w:rPr>
                <w:sz w:val="20"/>
                <w:szCs w:val="20"/>
              </w:rPr>
              <w:t>grijanja</w:t>
            </w:r>
            <w:proofErr w:type="spellEnd"/>
            <w:r w:rsidRPr="00D80825">
              <w:rPr>
                <w:sz w:val="20"/>
                <w:szCs w:val="20"/>
              </w:rPr>
              <w:t>, GWh/</w:t>
            </w:r>
            <w:proofErr w:type="gramStart"/>
            <w:r w:rsidRPr="00D80825">
              <w:rPr>
                <w:sz w:val="20"/>
                <w:szCs w:val="20"/>
              </w:rPr>
              <w:t>god</w:t>
            </w:r>
            <w:proofErr w:type="gramEnd"/>
            <w:r w:rsidRPr="00D80825">
              <w:rPr>
                <w:sz w:val="20"/>
                <w:szCs w:val="20"/>
              </w:rPr>
              <w:t>.</w:t>
            </w:r>
          </w:p>
        </w:tc>
        <w:tc>
          <w:tcPr>
            <w:tcW w:w="1809" w:type="dxa"/>
            <w:shd w:val="clear" w:color="auto" w:fill="F2F2F2" w:themeFill="background1" w:themeFillShade="F2"/>
            <w:vAlign w:val="center"/>
          </w:tcPr>
          <w:p w14:paraId="0DD9DBC5" w14:textId="77777777" w:rsidR="00A77633" w:rsidRPr="00D80825" w:rsidRDefault="00A77633" w:rsidP="00122946">
            <w:pPr>
              <w:spacing w:after="0"/>
              <w:rPr>
                <w:sz w:val="20"/>
                <w:szCs w:val="20"/>
                <w:lang w:val="bs-Latn-BA"/>
              </w:rPr>
            </w:pPr>
            <w:r w:rsidRPr="00D80825">
              <w:rPr>
                <w:sz w:val="20"/>
                <w:szCs w:val="20"/>
              </w:rPr>
              <w:t>EDGAR</w:t>
            </w:r>
          </w:p>
        </w:tc>
        <w:tc>
          <w:tcPr>
            <w:tcW w:w="2081" w:type="dxa"/>
            <w:shd w:val="clear" w:color="auto" w:fill="F2F2F2" w:themeFill="background1" w:themeFillShade="F2"/>
            <w:vAlign w:val="center"/>
          </w:tcPr>
          <w:p w14:paraId="79D0C27F" w14:textId="77777777" w:rsidR="00A77633" w:rsidRPr="00D80825" w:rsidRDefault="00A77633" w:rsidP="00122946">
            <w:pPr>
              <w:spacing w:after="0"/>
              <w:rPr>
                <w:sz w:val="20"/>
                <w:szCs w:val="20"/>
                <w:lang w:val="bs-Latn-BA"/>
              </w:rPr>
            </w:pPr>
            <w:proofErr w:type="gramStart"/>
            <w:r w:rsidRPr="00D80825">
              <w:rPr>
                <w:sz w:val="20"/>
                <w:szCs w:val="20"/>
              </w:rPr>
              <w:t>1.610  (</w:t>
            </w:r>
            <w:proofErr w:type="gramEnd"/>
            <w:r w:rsidRPr="00D80825">
              <w:rPr>
                <w:sz w:val="20"/>
                <w:szCs w:val="20"/>
              </w:rPr>
              <w:t>2017) (BiH)</w:t>
            </w:r>
          </w:p>
        </w:tc>
        <w:tc>
          <w:tcPr>
            <w:tcW w:w="2082" w:type="dxa"/>
            <w:shd w:val="clear" w:color="auto" w:fill="F2F2F2" w:themeFill="background1" w:themeFillShade="F2"/>
            <w:vAlign w:val="center"/>
          </w:tcPr>
          <w:p w14:paraId="58C2693D" w14:textId="77777777" w:rsidR="00A77633" w:rsidRPr="00D80825" w:rsidRDefault="00A77633" w:rsidP="00122946">
            <w:pPr>
              <w:spacing w:after="0"/>
              <w:rPr>
                <w:sz w:val="20"/>
                <w:szCs w:val="20"/>
                <w:lang w:val="bs-Latn-BA"/>
              </w:rPr>
            </w:pPr>
            <w:r w:rsidRPr="00D80825">
              <w:rPr>
                <w:sz w:val="20"/>
                <w:szCs w:val="20"/>
              </w:rPr>
              <w:t>5.456 (2030) (BiH)</w:t>
            </w:r>
          </w:p>
        </w:tc>
      </w:tr>
    </w:tbl>
    <w:p w14:paraId="448B8CCF" w14:textId="77777777" w:rsidR="00A77633" w:rsidRPr="008924E0" w:rsidRDefault="00A77633" w:rsidP="00A77633">
      <w:pPr>
        <w:rPr>
          <w:color w:val="000000"/>
          <w:lang w:val="bs-Latn-BA"/>
        </w:rPr>
      </w:pPr>
    </w:p>
    <w:p w14:paraId="38A5CB60" w14:textId="403B83B1" w:rsidR="00A77633" w:rsidRPr="008924E0" w:rsidRDefault="00A77633" w:rsidP="00A77633">
      <w:pPr>
        <w:pStyle w:val="Heading2"/>
        <w:numPr>
          <w:ilvl w:val="0"/>
          <w:numId w:val="0"/>
        </w:numPr>
        <w:ind w:left="1350" w:hanging="1350"/>
        <w:rPr>
          <w:sz w:val="22"/>
          <w:szCs w:val="22"/>
          <w:lang w:val="bs-Latn-BA"/>
        </w:rPr>
      </w:pPr>
      <w:bookmarkStart w:id="154" w:name="_Toc134011783"/>
      <w:r w:rsidRPr="008924E0">
        <w:rPr>
          <w:sz w:val="22"/>
          <w:szCs w:val="22"/>
          <w:lang w:val="bs-Latn-BA"/>
        </w:rPr>
        <w:t>Mjera  1.</w:t>
      </w:r>
      <w:r>
        <w:rPr>
          <w:sz w:val="22"/>
          <w:szCs w:val="22"/>
          <w:lang w:val="bs-Latn-BA"/>
        </w:rPr>
        <w:t>2</w:t>
      </w:r>
      <w:r w:rsidRPr="008924E0">
        <w:rPr>
          <w:sz w:val="22"/>
          <w:szCs w:val="22"/>
          <w:lang w:val="bs-Latn-BA"/>
        </w:rPr>
        <w:t>.1. Poveća</w:t>
      </w:r>
      <w:r>
        <w:rPr>
          <w:sz w:val="22"/>
          <w:szCs w:val="22"/>
          <w:lang w:val="bs-Latn-BA"/>
        </w:rPr>
        <w:t xml:space="preserve">ti udio </w:t>
      </w:r>
      <w:r w:rsidRPr="008924E0">
        <w:rPr>
          <w:sz w:val="22"/>
          <w:szCs w:val="22"/>
          <w:lang w:val="bs-Latn-BA"/>
        </w:rPr>
        <w:t>OIE i sigurnost snabdijevanja energentima u sektoru zgradarstva</w:t>
      </w:r>
      <w:bookmarkEnd w:id="154"/>
    </w:p>
    <w:p w14:paraId="4B77E41C" w14:textId="5A582B08" w:rsidR="00A77633" w:rsidRPr="008924E0" w:rsidRDefault="00A77633" w:rsidP="005D2C94">
      <w:pPr>
        <w:spacing w:after="120" w:line="276" w:lineRule="auto"/>
        <w:rPr>
          <w:lang w:val="bs-Latn-BA"/>
        </w:rPr>
      </w:pPr>
      <w:r w:rsidRPr="008924E0">
        <w:rPr>
          <w:lang w:val="bs-Latn-BA"/>
        </w:rPr>
        <w:t>Sigurnost snabdijevanja energentima nikad nije bila više aktuelna nego u zadnje dvije godine. Vidljivo je da se cijene energenata nekontroli</w:t>
      </w:r>
      <w:r w:rsidR="005300B0">
        <w:rPr>
          <w:lang w:val="bs-Latn-BA"/>
        </w:rPr>
        <w:t>rano</w:t>
      </w:r>
      <w:r w:rsidRPr="008924E0">
        <w:rPr>
          <w:lang w:val="bs-Latn-BA"/>
        </w:rPr>
        <w:t xml:space="preserve"> mijenjaju iz dana u dan, dok se nekim energentima na globalnom nivou, kao što je npr. prirodni </w:t>
      </w:r>
      <w:r w:rsidR="001C6C64">
        <w:rPr>
          <w:lang w:val="bs-Latn-BA"/>
        </w:rPr>
        <w:t>plin</w:t>
      </w:r>
      <w:r w:rsidRPr="008924E0">
        <w:rPr>
          <w:lang w:val="bs-Latn-BA"/>
        </w:rPr>
        <w:t>, zabranjuje uvoz iz određenih zemalja u E</w:t>
      </w:r>
      <w:r>
        <w:rPr>
          <w:lang w:val="bs-Latn-BA"/>
        </w:rPr>
        <w:t>u</w:t>
      </w:r>
      <w:r w:rsidRPr="008924E0">
        <w:rPr>
          <w:lang w:val="bs-Latn-BA"/>
        </w:rPr>
        <w:t xml:space="preserve">ropsku Uniju. Time se direktno povećava nesigurnost nabavke ovog energenta i povećava cijena. Zbog toga jedan od prioriteta Strategije obnove treba biti korištenje lokalnih obnovljivih izvora energije koliko god je to moguće. </w:t>
      </w:r>
    </w:p>
    <w:p w14:paraId="5176F5E4" w14:textId="23B67106" w:rsidR="00A77633" w:rsidRPr="008924E0" w:rsidRDefault="00A77633" w:rsidP="005D2C94">
      <w:pPr>
        <w:spacing w:after="120" w:line="276" w:lineRule="auto"/>
        <w:rPr>
          <w:lang w:val="bs-Latn-BA"/>
        </w:rPr>
      </w:pPr>
      <w:r w:rsidRPr="008924E0">
        <w:rPr>
          <w:lang w:val="bs-Latn-BA"/>
        </w:rPr>
        <w:t xml:space="preserve">Daljinska grijanja u FBiH su u značajnoj mjeri oslonjena na sisteme koji kao energent koriste fosilna goriva, prije svega ugalj i prirodni plin. Tek nekoliko sistema daljinskih grijanja u FBiH koristi OIE i to prije svega u vidu drvne biomase.  Također, veliki udio individualnih sistema grijanja zgrada u FBiH se oslanja na fosilna goriva (ugalj, prirodni </w:t>
      </w:r>
      <w:r w:rsidR="001C6C64">
        <w:rPr>
          <w:lang w:val="bs-Latn-BA"/>
        </w:rPr>
        <w:t>plin</w:t>
      </w:r>
      <w:r w:rsidRPr="008924E0">
        <w:rPr>
          <w:lang w:val="bs-Latn-BA"/>
        </w:rPr>
        <w:t xml:space="preserve">) kao i na ogrijevno drvo, koje se </w:t>
      </w:r>
      <w:r w:rsidR="00540A41">
        <w:rPr>
          <w:lang w:val="bs-Latn-BA"/>
        </w:rPr>
        <w:t>uvjet</w:t>
      </w:r>
      <w:r w:rsidRPr="008924E0">
        <w:rPr>
          <w:lang w:val="bs-Latn-BA"/>
        </w:rPr>
        <w:t xml:space="preserve">no može smatrati OIE. </w:t>
      </w:r>
    </w:p>
    <w:p w14:paraId="5BC3FEFF" w14:textId="77777777" w:rsidR="00A77633" w:rsidRPr="008924E0" w:rsidRDefault="00A77633" w:rsidP="005D2C94">
      <w:pPr>
        <w:spacing w:after="120" w:line="276" w:lineRule="auto"/>
        <w:rPr>
          <w:lang w:val="bs-Latn-BA"/>
        </w:rPr>
      </w:pPr>
      <w:r w:rsidRPr="008924E0">
        <w:rPr>
          <w:lang w:val="bs-Latn-BA"/>
        </w:rPr>
        <w:t xml:space="preserve">Cilj Strategije obnove je i dekarbonizacija sistema grijanja zgrada u FBiH, kako individualnih, tako i centraliziranih ili daljinskih, kao i sigurnost snabdijevanja energentima. Preduvjet za implementaciju ovog cilja je  usaglašavanje postojeće legislative u FBiH u oblasti OIE sa relevantnim direktivama EU. Ovo se prije svega odnosi na usvajanje odgovarajuće zakonske i podzakonske regulative koja osigurava da sistem </w:t>
      </w:r>
      <w:r w:rsidRPr="008924E0">
        <w:rPr>
          <w:lang w:val="bs-Latn-BA"/>
        </w:rPr>
        <w:lastRenderedPageBreak/>
        <w:t xml:space="preserve">poticanja OIE bude usklađen s Direktivom EU RED II, kako bi se mogli koristiti raznorazni fondovi EU za poticanje korištenja i implementacije mjera zamjene fosilnih goriva sa OIE, te mjera energijske efikasnosti u svrhu smanjenja emisija stakleničkih plinova. </w:t>
      </w:r>
    </w:p>
    <w:p w14:paraId="091A6E4E" w14:textId="77777777" w:rsidR="00A77633" w:rsidRPr="008924E0" w:rsidRDefault="00A77633" w:rsidP="005D2C94">
      <w:pPr>
        <w:spacing w:after="120" w:line="276" w:lineRule="auto"/>
        <w:rPr>
          <w:lang w:val="bs-Latn-BA"/>
        </w:rPr>
      </w:pPr>
      <w:r w:rsidRPr="008924E0">
        <w:rPr>
          <w:lang w:val="bs-Latn-BA"/>
        </w:rPr>
        <w:t xml:space="preserve">Zakonom o EE u FBiH je propisano da prilikom podnošenja zahtjeva za izdavanje urbanističke saglasnosti za individualne objekte, zgrade ili grupe zgrada, investitor mora, u sklopu idejnog projekta, priložiti analizu upotrebe alternativnih sistema snabdijevanja energijom. Analiza iz stava treba da uzme u obzir ekološku i ekonomsku izvodljivost visokodjelotvornih navedenih alternativnih sistema, ako su takvi dostupni. Zbog toga je potrebno obezbijediti uspostavljanje procedure za provođenje analize korištenja alternativnih energijskih sistema pri izdavanju urbanističkih dozvola za objekte odnosno neophodna je izrada i usvajanje „Studije primjenjivosti alternativnih sistema u FBiH“, u kojem bi se dali opisi i metodologija za izradu analize alternativnih sistema grijanja. </w:t>
      </w:r>
    </w:p>
    <w:p w14:paraId="56066EDE" w14:textId="165DCFB0" w:rsidR="00A77633" w:rsidRPr="008924E0" w:rsidRDefault="00A77633" w:rsidP="005D2C94">
      <w:pPr>
        <w:spacing w:after="120" w:line="276" w:lineRule="auto"/>
        <w:rPr>
          <w:lang w:val="bs-Latn-BA"/>
        </w:rPr>
      </w:pPr>
      <w:r w:rsidRPr="008924E0">
        <w:rPr>
          <w:lang w:val="bs-Latn-BA"/>
        </w:rPr>
        <w:t xml:space="preserve">Jedna od aktivnosti u sklopu ove mjere je i procjena potencijala solarne energije na krovnim površinama. Cilj ove aktivnosti je analizirati, utvrditi i kvantificirati potencijal solarne energije na krovnim površinama gradskih zona i naselja u svim kantonima u FBiH.  Realizacija ove mjere direktno vodi ka ispunjenju strateških ciljeva koji su </w:t>
      </w:r>
      <w:r>
        <w:rPr>
          <w:lang w:val="bs-Latn-BA"/>
        </w:rPr>
        <w:t>definirani</w:t>
      </w:r>
      <w:r w:rsidRPr="008924E0">
        <w:rPr>
          <w:lang w:val="bs-Latn-BA"/>
        </w:rPr>
        <w:t xml:space="preserve"> u Strategiji zaštite okoliša FBiH. Uvid u potencijal solarne energije na krovovima zgrada može pozitivn</w:t>
      </w:r>
      <w:r w:rsidR="005300B0">
        <w:rPr>
          <w:lang w:val="bs-Latn-BA"/>
        </w:rPr>
        <w:t>o</w:t>
      </w:r>
      <w:r w:rsidRPr="008924E0">
        <w:rPr>
          <w:lang w:val="bs-Latn-BA"/>
        </w:rPr>
        <w:t xml:space="preserve"> uticati i dodatno podržati razvoj obnovljivih izvora energiju, te pružiti građanima pouzdane izvore informacija o njihovim potencijala i ukloniti svaku sumnju u isplativost i ekološke benefite solarnih ulaganja. Procjena treba da obuhvati: mapiranje terena i krovnih površina, kao i mapiranje i modeliranje sunčevog zračenja, mapiranje postojećih iskorištenih solarnih potencijala, te analizu potencijala za smanjenje emisije CO</w:t>
      </w:r>
      <w:r w:rsidRPr="008924E0">
        <w:rPr>
          <w:vertAlign w:val="subscript"/>
          <w:lang w:val="bs-Latn-BA"/>
        </w:rPr>
        <w:t>2</w:t>
      </w:r>
      <w:r w:rsidRPr="008924E0">
        <w:rPr>
          <w:lang w:val="bs-Latn-BA"/>
        </w:rPr>
        <w:t>.</w:t>
      </w:r>
    </w:p>
    <w:p w14:paraId="4FD80DE5" w14:textId="77777777" w:rsidR="00A77633" w:rsidRPr="008924E0" w:rsidRDefault="00A77633" w:rsidP="005D2C94">
      <w:pPr>
        <w:spacing w:after="120" w:line="276" w:lineRule="auto"/>
        <w:rPr>
          <w:lang w:val="bs-Latn-BA"/>
        </w:rPr>
      </w:pPr>
      <w:r w:rsidRPr="008924E0">
        <w:rPr>
          <w:lang w:val="bs-Latn-BA"/>
        </w:rPr>
        <w:t xml:space="preserve">Kako bi se ostvario cilj povećanja udjela OIE i sigurnosti snabdijevanja energentima u sektoru zgradarstva, jedna od aktivnosti je i integriranje Bosne i Hercegovine u sistem trgovanja emisijskim jedinicama stakleničkih plinova (EU ETS). EU ETS je osnovna poluga politike EU za borbu protiv klimatskih promjena i njegov ključni alat za ekonomično smanjenje emisija stakleničkih plinova. Ovakav sistem bi mogao da omogući određeni priliv sredstava koji bi se mogao koristiti za povećanje udjela OIE.  Također, ovaj alat bi, pored ostalih fondova, mogao pomoći i malim i srednjim preduzećima, te domaćinstvima za decentraliziranu proizvodnju i korištenje obnovljivih izvora energije. </w:t>
      </w:r>
    </w:p>
    <w:p w14:paraId="2E99DC77" w14:textId="5B060FA0" w:rsidR="00A77633" w:rsidRPr="008924E0" w:rsidRDefault="00A77633" w:rsidP="005D2C94">
      <w:pPr>
        <w:spacing w:after="120" w:line="276" w:lineRule="auto"/>
        <w:rPr>
          <w:lang w:val="bs-Latn-BA"/>
        </w:rPr>
      </w:pPr>
      <w:r w:rsidRPr="008924E0">
        <w:rPr>
          <w:lang w:val="bs-Latn-BA"/>
        </w:rPr>
        <w:t xml:space="preserve">Uz podršku fondova, potrebno je uspostaviti i </w:t>
      </w:r>
      <w:r w:rsidR="007B690C">
        <w:rPr>
          <w:lang w:val="bs-Latn-BA"/>
        </w:rPr>
        <w:t>financ</w:t>
      </w:r>
      <w:r w:rsidRPr="008924E0">
        <w:rPr>
          <w:lang w:val="bs-Latn-BA"/>
        </w:rPr>
        <w:t xml:space="preserve">ijski mehanizam smanjenja rizika prilikom implementacije projekata koji imaju za cilj korištenje obnovljivih izvora energije. Jedan od takvih </w:t>
      </w:r>
      <w:r w:rsidR="007B690C">
        <w:rPr>
          <w:lang w:val="bs-Latn-BA"/>
        </w:rPr>
        <w:t>financ</w:t>
      </w:r>
      <w:r w:rsidRPr="008924E0">
        <w:rPr>
          <w:lang w:val="bs-Latn-BA"/>
        </w:rPr>
        <w:t xml:space="preserve">ijskih mehanizama je uspostavljanje i poticanje sistema proizvodnje, potrošnje, predaje u sistem i prodaje električne energije (tzv. prosumeri) za fizička i pravna lica, te lokalne zajednice. Nažalost  nacrti Zakona o energiji i regulaciji energetskih djelatnosti u FBiH, Zakona o električnoj energiji FBiH, Zakona o korištenju OIE i efikasne kogeneracije još uvijek nisu usvojeni. Ovim setom zakona, između ostalog,  reguliran je način kako </w:t>
      </w:r>
      <w:r w:rsidRPr="008924E0">
        <w:rPr>
          <w:rFonts w:ascii="Source Sans Pro" w:hAnsi="Source Sans Pro"/>
          <w:color w:val="222222"/>
          <w:shd w:val="clear" w:color="auto" w:fill="FFFFFF"/>
          <w:lang w:val="bs-Latn-BA"/>
        </w:rPr>
        <w:t xml:space="preserve">da krajnji kupac može biti proizvođač električne energije za svoje potrebe, ali i za tržište. Da bi ovaj sistem zaživio preduvjet je da se usvoje navedeni zakoni. </w:t>
      </w:r>
    </w:p>
    <w:p w14:paraId="5FAB85A3" w14:textId="77777777" w:rsidR="00A77633" w:rsidRPr="008924E0" w:rsidRDefault="00A77633" w:rsidP="005D2C94">
      <w:pPr>
        <w:spacing w:after="120" w:line="276" w:lineRule="auto"/>
        <w:rPr>
          <w:lang w:val="bs-Latn-BA"/>
        </w:rPr>
      </w:pPr>
      <w:r w:rsidRPr="008924E0">
        <w:rPr>
          <w:lang w:val="bs-Latn-BA"/>
        </w:rPr>
        <w:t xml:space="preserve">Kao olakšice za korištenje OIE potrebno je na lokalnim nivoima pojednostaviti procedure za ishodovanje građevinskih i upotrebnih dozvola  za projekte/elektrane OIE, pogotovo kada budu usvojena tri zakona koja su na čekanju, odnosno kada se sistem ''prosumera'' bude zakonski reguliran. </w:t>
      </w:r>
    </w:p>
    <w:p w14:paraId="5232B833" w14:textId="77777777" w:rsidR="00A77633" w:rsidRDefault="00A77633" w:rsidP="005D2C94">
      <w:pPr>
        <w:spacing w:after="120" w:line="276" w:lineRule="auto"/>
        <w:rPr>
          <w:lang w:val="bs-Latn-BA"/>
        </w:rPr>
      </w:pPr>
      <w:r w:rsidRPr="008924E0">
        <w:rPr>
          <w:lang w:val="bs-Latn-BA"/>
        </w:rPr>
        <w:lastRenderedPageBreak/>
        <w:t>Da bi ova mjera bila provedena potrebna je kontinuirana promocija značaja OIE u sektoru zgradarstva i edukacija korisnika/građana.</w:t>
      </w:r>
    </w:p>
    <w:p w14:paraId="7ED14B46" w14:textId="77777777" w:rsidR="00A77633" w:rsidRPr="001972F5" w:rsidRDefault="00A77633" w:rsidP="005D2C94">
      <w:pPr>
        <w:spacing w:after="120" w:line="276" w:lineRule="auto"/>
        <w:ind w:left="1" w:right="32"/>
        <w:rPr>
          <w:lang w:val="fi-FI"/>
        </w:rPr>
      </w:pPr>
      <w:r w:rsidRPr="001972F5">
        <w:rPr>
          <w:lang w:val="fi-FI"/>
        </w:rPr>
        <w:t>Aktivnosti planirane u sklopu ove mjere su:</w:t>
      </w:r>
    </w:p>
    <w:p w14:paraId="3E41B8F6" w14:textId="77777777" w:rsidR="00A77633" w:rsidRPr="008924E0" w:rsidRDefault="00A77633" w:rsidP="00581C1C">
      <w:pPr>
        <w:pStyle w:val="ListParagraph"/>
        <w:numPr>
          <w:ilvl w:val="0"/>
          <w:numId w:val="51"/>
        </w:numPr>
        <w:spacing w:after="120" w:line="276" w:lineRule="auto"/>
        <w:ind w:right="32"/>
      </w:pPr>
      <w:r w:rsidRPr="008924E0">
        <w:t>Usaglašavanje postojeće legislative u oblasti OIE u FBiH sa relevantnim direktivama EU;</w:t>
      </w:r>
    </w:p>
    <w:p w14:paraId="7A618B02" w14:textId="77777777" w:rsidR="00A77633" w:rsidRPr="008924E0" w:rsidRDefault="00A77633" w:rsidP="00581C1C">
      <w:pPr>
        <w:pStyle w:val="ListParagraph"/>
        <w:numPr>
          <w:ilvl w:val="0"/>
          <w:numId w:val="51"/>
        </w:numPr>
        <w:spacing w:after="120" w:line="276" w:lineRule="auto"/>
        <w:ind w:right="32"/>
      </w:pPr>
      <w:r w:rsidRPr="008924E0">
        <w:t>Usvajanje odgovarajuće zakonske i podzakonske regulative koja osigurava da sistem poticanja OIE bude usklađen s Direktivom EU RED II;</w:t>
      </w:r>
    </w:p>
    <w:p w14:paraId="0B1EBD2C" w14:textId="77777777" w:rsidR="00A77633" w:rsidRPr="008924E0" w:rsidRDefault="00A77633" w:rsidP="00581C1C">
      <w:pPr>
        <w:pStyle w:val="ListParagraph"/>
        <w:numPr>
          <w:ilvl w:val="0"/>
          <w:numId w:val="51"/>
        </w:numPr>
        <w:spacing w:after="120" w:line="276" w:lineRule="auto"/>
        <w:ind w:right="32"/>
      </w:pPr>
      <w:r w:rsidRPr="008924E0">
        <w:t>Izrada i usvajanje „Studije primjenjivosti alternativnih sistema u FBiH“</w:t>
      </w:r>
      <w:r>
        <w:t>;</w:t>
      </w:r>
    </w:p>
    <w:p w14:paraId="354BF4C3" w14:textId="77777777" w:rsidR="00A77633" w:rsidRPr="008924E0" w:rsidRDefault="00A77633" w:rsidP="00581C1C">
      <w:pPr>
        <w:pStyle w:val="ListParagraph"/>
        <w:numPr>
          <w:ilvl w:val="0"/>
          <w:numId w:val="51"/>
        </w:numPr>
        <w:spacing w:after="120" w:line="276" w:lineRule="auto"/>
        <w:ind w:right="32"/>
      </w:pPr>
      <w:r w:rsidRPr="008924E0">
        <w:t>Uspostavljanje procedure za sprovođenje analize korištenja alternativnih energijskih sistema pri izdavanju građevinskih dozvola za objekte;</w:t>
      </w:r>
    </w:p>
    <w:p w14:paraId="3DF9A406" w14:textId="77777777" w:rsidR="00A77633" w:rsidRPr="008924E0" w:rsidRDefault="00A77633" w:rsidP="00581C1C">
      <w:pPr>
        <w:pStyle w:val="ListParagraph"/>
        <w:numPr>
          <w:ilvl w:val="0"/>
          <w:numId w:val="51"/>
        </w:numPr>
        <w:spacing w:after="120" w:line="276" w:lineRule="auto"/>
        <w:ind w:right="32"/>
      </w:pPr>
      <w:r w:rsidRPr="008924E0">
        <w:t>Usvojeni operativni planovi povećanja učešća obnovljive energije za period 2021‒2030;</w:t>
      </w:r>
    </w:p>
    <w:p w14:paraId="2D164316" w14:textId="77777777" w:rsidR="00A77633" w:rsidRPr="008924E0" w:rsidRDefault="00A77633" w:rsidP="00581C1C">
      <w:pPr>
        <w:pStyle w:val="ListParagraph"/>
        <w:numPr>
          <w:ilvl w:val="0"/>
          <w:numId w:val="51"/>
        </w:numPr>
        <w:spacing w:after="120" w:line="276" w:lineRule="auto"/>
        <w:ind w:right="32"/>
      </w:pPr>
      <w:r w:rsidRPr="008924E0">
        <w:t>Procjena potencijala solarne energije na krovnim površinama</w:t>
      </w:r>
      <w:r>
        <w:t xml:space="preserve"> zgrada;</w:t>
      </w:r>
    </w:p>
    <w:p w14:paraId="4A1872B7" w14:textId="77777777" w:rsidR="00A77633" w:rsidRPr="008924E0" w:rsidRDefault="00A77633" w:rsidP="00581C1C">
      <w:pPr>
        <w:pStyle w:val="ListParagraph"/>
        <w:numPr>
          <w:ilvl w:val="0"/>
          <w:numId w:val="51"/>
        </w:numPr>
        <w:spacing w:after="120" w:line="276" w:lineRule="auto"/>
        <w:ind w:right="32"/>
      </w:pPr>
      <w:r w:rsidRPr="008924E0">
        <w:t>Integriranje BiH u E</w:t>
      </w:r>
      <w:r>
        <w:t>u</w:t>
      </w:r>
      <w:r w:rsidRPr="008924E0">
        <w:t>ropski sistem trgovanja emisijskim jedinicama (EUETS);</w:t>
      </w:r>
    </w:p>
    <w:p w14:paraId="26F5BA83" w14:textId="77777777" w:rsidR="00A77633" w:rsidRPr="008924E0" w:rsidRDefault="00A77633" w:rsidP="00581C1C">
      <w:pPr>
        <w:pStyle w:val="ListParagraph"/>
        <w:numPr>
          <w:ilvl w:val="0"/>
          <w:numId w:val="51"/>
        </w:numPr>
        <w:spacing w:after="120" w:line="276" w:lineRule="auto"/>
        <w:ind w:right="32"/>
      </w:pPr>
      <w:r w:rsidRPr="008924E0">
        <w:t>Pojednostavljenje procedure za ishodovanje građevinskih dozvola  za projekte/elektrane OIE</w:t>
      </w:r>
      <w:r>
        <w:t xml:space="preserve"> u sektoru zgradarstva</w:t>
      </w:r>
      <w:r w:rsidRPr="008924E0">
        <w:t xml:space="preserve"> (npr. izdavanja elektronskih građevinskih dozvola);</w:t>
      </w:r>
    </w:p>
    <w:p w14:paraId="3C00F9E0" w14:textId="77777777" w:rsidR="00A77633" w:rsidRPr="008924E0" w:rsidRDefault="00A77633" w:rsidP="00581C1C">
      <w:pPr>
        <w:pStyle w:val="ListParagraph"/>
        <w:numPr>
          <w:ilvl w:val="0"/>
          <w:numId w:val="51"/>
        </w:numPr>
        <w:spacing w:after="120" w:line="276" w:lineRule="auto"/>
        <w:ind w:right="32"/>
      </w:pPr>
      <w:r w:rsidRPr="008924E0">
        <w:t>Uspostavljanje sistema podrške malim i srednjim preduzećima za decentraliziranu proizvodnju i korištenje obnovljivih izvora energije</w:t>
      </w:r>
    </w:p>
    <w:p w14:paraId="0C7EC864" w14:textId="77777777" w:rsidR="00A77633" w:rsidRPr="008924E0" w:rsidRDefault="00A77633" w:rsidP="00581C1C">
      <w:pPr>
        <w:pStyle w:val="ListParagraph"/>
        <w:numPr>
          <w:ilvl w:val="0"/>
          <w:numId w:val="51"/>
        </w:numPr>
        <w:spacing w:after="120" w:line="276" w:lineRule="auto"/>
      </w:pPr>
      <w:r w:rsidRPr="008924E0">
        <w:t>Uspostavljanje sistema podrške domaćinstvima i lokalnim zajednicama za decentraliziranu proizvodnju i korištenje  obnovljivih izvora;</w:t>
      </w:r>
    </w:p>
    <w:p w14:paraId="76DA58C6" w14:textId="1193B994" w:rsidR="00A77633" w:rsidRPr="008924E0" w:rsidRDefault="00A77633" w:rsidP="00581C1C">
      <w:pPr>
        <w:pStyle w:val="ListParagraph"/>
        <w:numPr>
          <w:ilvl w:val="0"/>
          <w:numId w:val="51"/>
        </w:numPr>
        <w:spacing w:after="120" w:line="276" w:lineRule="auto"/>
        <w:ind w:right="32"/>
      </w:pPr>
      <w:r w:rsidRPr="008924E0">
        <w:t>Uspostavlj</w:t>
      </w:r>
      <w:r>
        <w:t>anje</w:t>
      </w:r>
      <w:r w:rsidRPr="008924E0">
        <w:t xml:space="preserve"> </w:t>
      </w:r>
      <w:r w:rsidR="007B690C">
        <w:t>financ</w:t>
      </w:r>
      <w:r w:rsidRPr="008924E0">
        <w:t>ijski</w:t>
      </w:r>
      <w:r>
        <w:t>h</w:t>
      </w:r>
      <w:r w:rsidRPr="008924E0">
        <w:t xml:space="preserve"> mehanizam</w:t>
      </w:r>
      <w:r>
        <w:t>a</w:t>
      </w:r>
      <w:r w:rsidRPr="008924E0">
        <w:t xml:space="preserve"> smanjenja rizika prilikom implementacije projekata koji imaju za cilj korištenje obnovljivih izvora energije;</w:t>
      </w:r>
    </w:p>
    <w:p w14:paraId="318CA9D4" w14:textId="77777777" w:rsidR="00A77633" w:rsidRDefault="00A77633" w:rsidP="00581C1C">
      <w:pPr>
        <w:pStyle w:val="ListParagraph"/>
        <w:numPr>
          <w:ilvl w:val="0"/>
          <w:numId w:val="51"/>
        </w:numPr>
        <w:spacing w:after="120" w:line="276" w:lineRule="auto"/>
        <w:ind w:right="32"/>
      </w:pPr>
      <w:r w:rsidRPr="008924E0">
        <w:t>Uspostavljanje i poticanje sistema proizvodnje, potrošnje, predaje u sistem i prodaje električne energije (tzv. prosumeri) za fizička i pravna lica, te lokalne zajednice;</w:t>
      </w:r>
    </w:p>
    <w:p w14:paraId="7C5BF444" w14:textId="77777777" w:rsidR="00A77633" w:rsidRDefault="00A77633" w:rsidP="00581C1C">
      <w:pPr>
        <w:pStyle w:val="ListParagraph"/>
        <w:numPr>
          <w:ilvl w:val="0"/>
          <w:numId w:val="51"/>
        </w:numPr>
        <w:spacing w:after="120" w:line="276" w:lineRule="auto"/>
        <w:ind w:right="32"/>
      </w:pPr>
      <w:r w:rsidRPr="008924E0">
        <w:t>Promocija značaja OIE u sektoru zgradarstva i edukacija korisnika/stanovništva od strane FZO FBiH.</w:t>
      </w:r>
    </w:p>
    <w:p w14:paraId="6EB6D521" w14:textId="77777777" w:rsidR="00A77633" w:rsidRPr="00DD2143" w:rsidRDefault="00A77633" w:rsidP="005D2C94">
      <w:pPr>
        <w:spacing w:after="120" w:line="276" w:lineRule="auto"/>
        <w:ind w:right="32"/>
      </w:pPr>
      <w:proofErr w:type="spellStart"/>
      <w:r w:rsidRPr="00DD2143">
        <w:t>Implementacija</w:t>
      </w:r>
      <w:proofErr w:type="spellEnd"/>
      <w:r w:rsidRPr="00DD2143">
        <w:t xml:space="preserve"> </w:t>
      </w:r>
      <w:proofErr w:type="spellStart"/>
      <w:r w:rsidRPr="00DD2143">
        <w:t>ove</w:t>
      </w:r>
      <w:proofErr w:type="spellEnd"/>
      <w:r w:rsidRPr="00DD2143">
        <w:t xml:space="preserve"> </w:t>
      </w:r>
      <w:proofErr w:type="spellStart"/>
      <w:r w:rsidRPr="00DD2143">
        <w:t>mjere</w:t>
      </w:r>
      <w:proofErr w:type="spellEnd"/>
      <w:r w:rsidRPr="00DD2143">
        <w:t xml:space="preserve"> </w:t>
      </w:r>
      <w:proofErr w:type="spellStart"/>
      <w:r w:rsidRPr="00DD2143">
        <w:t>rezultirat</w:t>
      </w:r>
      <w:proofErr w:type="spellEnd"/>
      <w:r w:rsidRPr="00DD2143">
        <w:t xml:space="preserve"> </w:t>
      </w:r>
      <w:proofErr w:type="spellStart"/>
      <w:r w:rsidRPr="00DD2143">
        <w:t>će</w:t>
      </w:r>
      <w:proofErr w:type="spellEnd"/>
      <w:r w:rsidRPr="00DD2143">
        <w:t>:</w:t>
      </w:r>
    </w:p>
    <w:p w14:paraId="771B39B6" w14:textId="77777777" w:rsidR="00A77633" w:rsidRDefault="00A77633" w:rsidP="00581C1C">
      <w:pPr>
        <w:pStyle w:val="ListParagraph"/>
        <w:numPr>
          <w:ilvl w:val="0"/>
          <w:numId w:val="85"/>
        </w:numPr>
        <w:spacing w:after="120" w:line="276" w:lineRule="auto"/>
        <w:ind w:right="32"/>
      </w:pPr>
      <w:r>
        <w:t>dekarbonizacijom zgrada u FBiH;</w:t>
      </w:r>
    </w:p>
    <w:p w14:paraId="6A81FC84" w14:textId="77777777" w:rsidR="00A77633" w:rsidRPr="00BD7117" w:rsidRDefault="00A77633" w:rsidP="00581C1C">
      <w:pPr>
        <w:pStyle w:val="ListParagraph"/>
        <w:numPr>
          <w:ilvl w:val="0"/>
          <w:numId w:val="85"/>
        </w:numPr>
        <w:spacing w:after="120" w:line="276" w:lineRule="auto"/>
      </w:pPr>
      <w:r w:rsidRPr="00BD7117">
        <w:t>većom sigurnosti u snabdijevanju toplotnom energijom</w:t>
      </w:r>
      <w:r>
        <w:t>;</w:t>
      </w:r>
      <w:r w:rsidRPr="00BD7117">
        <w:t xml:space="preserve"> </w:t>
      </w:r>
    </w:p>
    <w:p w14:paraId="17C14878" w14:textId="77777777" w:rsidR="00A77633" w:rsidRPr="00DD2143" w:rsidRDefault="00A77633" w:rsidP="00581C1C">
      <w:pPr>
        <w:pStyle w:val="ListParagraph"/>
        <w:numPr>
          <w:ilvl w:val="0"/>
          <w:numId w:val="85"/>
        </w:numPr>
        <w:spacing w:after="120" w:line="276" w:lineRule="auto"/>
        <w:ind w:right="32"/>
      </w:pPr>
      <w:r w:rsidRPr="00DD2143">
        <w:t xml:space="preserve">smanjenjem energijskog siromaštva </w:t>
      </w:r>
      <w:r w:rsidRPr="00BD7117">
        <w:t>i značajno nižim troškovima režija;</w:t>
      </w:r>
    </w:p>
    <w:p w14:paraId="6D05E860" w14:textId="4E8CFADC" w:rsidR="00A77633" w:rsidRDefault="00A77633" w:rsidP="00581C1C">
      <w:pPr>
        <w:pStyle w:val="ListParagraph"/>
        <w:numPr>
          <w:ilvl w:val="0"/>
          <w:numId w:val="85"/>
        </w:numPr>
        <w:spacing w:after="120" w:line="276" w:lineRule="auto"/>
        <w:ind w:right="32"/>
      </w:pPr>
      <w:r w:rsidRPr="00A35C86">
        <w:t>upošljavanje</w:t>
      </w:r>
      <w:r w:rsidR="005300B0">
        <w:t>m</w:t>
      </w:r>
      <w:r w:rsidRPr="00A35C86">
        <w:t xml:space="preserve"> postojeće građevinske operative</w:t>
      </w:r>
      <w:r>
        <w:t xml:space="preserve">, </w:t>
      </w:r>
      <w:r w:rsidRPr="00DD2143">
        <w:t xml:space="preserve">povećanjem industrijske proizvodnje </w:t>
      </w:r>
      <w:r>
        <w:t>i kreiranjem novih radnih mjesta;</w:t>
      </w:r>
    </w:p>
    <w:p w14:paraId="16B0A157" w14:textId="77777777" w:rsidR="00A77633" w:rsidRPr="00BD7117" w:rsidRDefault="00A77633" w:rsidP="00581C1C">
      <w:pPr>
        <w:pStyle w:val="ListParagraph"/>
        <w:numPr>
          <w:ilvl w:val="0"/>
          <w:numId w:val="85"/>
        </w:numPr>
        <w:spacing w:after="120" w:line="276" w:lineRule="auto"/>
        <w:ind w:right="32"/>
      </w:pPr>
      <w:r>
        <w:t xml:space="preserve">niskoemisionom  i </w:t>
      </w:r>
      <w:r w:rsidRPr="00DD2143">
        <w:t>ubrzanom privrednom razvoju FBiH.</w:t>
      </w:r>
    </w:p>
    <w:p w14:paraId="112A40D4" w14:textId="091C50DB" w:rsidR="00A77633" w:rsidRPr="008924E0" w:rsidRDefault="00A77633" w:rsidP="00A77633">
      <w:pPr>
        <w:pStyle w:val="Heading2"/>
        <w:numPr>
          <w:ilvl w:val="0"/>
          <w:numId w:val="0"/>
        </w:numPr>
        <w:ind w:left="1350" w:hanging="1350"/>
        <w:rPr>
          <w:sz w:val="22"/>
          <w:szCs w:val="22"/>
          <w:lang w:val="bs-Latn-BA"/>
        </w:rPr>
      </w:pPr>
      <w:bookmarkStart w:id="155" w:name="_Toc134011784"/>
      <w:r w:rsidRPr="008924E0">
        <w:rPr>
          <w:sz w:val="22"/>
          <w:szCs w:val="22"/>
          <w:lang w:val="bs-Latn-BA"/>
        </w:rPr>
        <w:lastRenderedPageBreak/>
        <w:t>Mjera  1.</w:t>
      </w:r>
      <w:r>
        <w:rPr>
          <w:sz w:val="22"/>
          <w:szCs w:val="22"/>
          <w:lang w:val="bs-Latn-BA"/>
        </w:rPr>
        <w:t>2</w:t>
      </w:r>
      <w:r w:rsidRPr="008924E0">
        <w:rPr>
          <w:sz w:val="22"/>
          <w:szCs w:val="22"/>
          <w:lang w:val="bs-Latn-BA"/>
        </w:rPr>
        <w:t>.2. Razv</w:t>
      </w:r>
      <w:r w:rsidR="005300B0">
        <w:rPr>
          <w:sz w:val="22"/>
          <w:szCs w:val="22"/>
          <w:lang w:val="bs-Latn-BA"/>
        </w:rPr>
        <w:t>ijati</w:t>
      </w:r>
      <w:r w:rsidRPr="008924E0">
        <w:rPr>
          <w:sz w:val="22"/>
          <w:szCs w:val="22"/>
          <w:lang w:val="bs-Latn-BA"/>
        </w:rPr>
        <w:t xml:space="preserve"> sistem</w:t>
      </w:r>
      <w:r w:rsidR="005300B0">
        <w:rPr>
          <w:sz w:val="22"/>
          <w:szCs w:val="22"/>
          <w:lang w:val="bs-Latn-BA"/>
        </w:rPr>
        <w:t>e</w:t>
      </w:r>
      <w:r w:rsidRPr="008924E0">
        <w:rPr>
          <w:sz w:val="22"/>
          <w:szCs w:val="22"/>
          <w:lang w:val="bs-Latn-BA"/>
        </w:rPr>
        <w:t xml:space="preserve"> daljinskih grijanja (centralizacija i modernizacije sistema grijanja), hlađenja i ventilacije te pripreme PTV uz primjenu obnovljivih izvora energije na području FBiH</w:t>
      </w:r>
      <w:bookmarkEnd w:id="155"/>
      <w:r>
        <w:rPr>
          <w:sz w:val="22"/>
          <w:szCs w:val="22"/>
          <w:lang w:val="bs-Latn-BA"/>
        </w:rPr>
        <w:t xml:space="preserve"> </w:t>
      </w:r>
    </w:p>
    <w:p w14:paraId="1D05BDAA" w14:textId="77777777" w:rsidR="00A77633" w:rsidRPr="008924E0" w:rsidRDefault="00A77633" w:rsidP="005D2C94">
      <w:pPr>
        <w:spacing w:after="120" w:line="276" w:lineRule="auto"/>
        <w:rPr>
          <w:rFonts w:eastAsiaTheme="minorHAnsi"/>
          <w:lang w:val="bs-Latn-BA" w:eastAsia="en-US"/>
        </w:rPr>
      </w:pPr>
      <w:r w:rsidRPr="008924E0">
        <w:rPr>
          <w:lang w:val="bs-Latn-BA"/>
        </w:rPr>
        <w:t>Sistemi daljinskog grijanja osim mogućeg pozitivnog uticaja na EE i smanjenje emisija stakleničkih plinova, također mogu doprinijeti i povećanju fleksibilnosti elektroenergetske mreže, te time i potencijala za primjenu intermitentnih obnovljivih izvora energije poput sunca i vjetra. Fleksibilnost kako na strani proizvodnje tako i na strani potrošnje energije je jedan od ključnih faktora za postupak dekarbonizacije modernih energetskih sistema. Prema dokumentu “Procjena potencijala za primjenu visokoefikasne kogeneracije i hlađenja i grijanja u FBiH” (GIZ, 2018.), postoji realan scenarij da se udio SDG poveća za otprilike 3 puta u pokrivanju toplotnih potreba, a da se pri tom uglavnom oslanja na otpadnu toplotu, biomasu i druge OIE. Uz donošenje adekvatne politike BiH bi se približila ciljevima EU u oblasti SDG (tj. udio od 30% do 2030). Općenito, očekuje se smanjenje korištenje uglja u SDG uslijed, između ostalog, strožijih okolinskih standarda.</w:t>
      </w:r>
    </w:p>
    <w:p w14:paraId="0049E287" w14:textId="77777777" w:rsidR="00A77633" w:rsidRPr="008924E0" w:rsidRDefault="00A77633" w:rsidP="005D2C94">
      <w:pPr>
        <w:spacing w:after="120" w:line="276" w:lineRule="auto"/>
        <w:rPr>
          <w:lang w:val="bs-Latn-BA"/>
        </w:rPr>
      </w:pPr>
      <w:r w:rsidRPr="008924E0">
        <w:rPr>
          <w:lang w:val="bs-Latn-BA"/>
        </w:rPr>
        <w:t>Također, potrebno je uvesti sistem  mjerenja stvarne potrošnje energije u sistemima daljinskog grijanja, u cilju efikasnijeg korištenja toplotne energije te smanjenja pregrijavanja i pothlađivanja prostora, odnosno povećanja toplotnog komfora unutar objekata. Preko 80% stambenog fonda koji se snabdijeva toplotnom energijom iz sistema daljinskog grijanja troškove plaća paušalno po m</w:t>
      </w:r>
      <w:r w:rsidRPr="008924E0">
        <w:rPr>
          <w:vertAlign w:val="superscript"/>
          <w:lang w:val="bs-Latn-BA"/>
        </w:rPr>
        <w:t>2</w:t>
      </w:r>
      <w:r w:rsidRPr="008924E0">
        <w:rPr>
          <w:lang w:val="bs-Latn-BA"/>
        </w:rPr>
        <w:t xml:space="preserve"> grijanog prostora. Djelatnost isporuke toplotne energije se radi prema principu proizvodnje i isporuke energije (MWh) i tarifnom sistemu KM/m</w:t>
      </w:r>
      <w:r w:rsidRPr="008924E0">
        <w:rPr>
          <w:vertAlign w:val="superscript"/>
          <w:lang w:val="bs-Latn-BA"/>
        </w:rPr>
        <w:t>2</w:t>
      </w:r>
      <w:r w:rsidRPr="008924E0">
        <w:rPr>
          <w:lang w:val="bs-Latn-BA"/>
        </w:rPr>
        <w:t>. Oko 20% stambenog sektora u BiH koji koristi usluge  daljinskih grijanja  energiju plaća prema potrošnji gdje individualni isporučioci toplotne energije imaju svoje tarifne stavove</w:t>
      </w:r>
      <w:r w:rsidRPr="008924E0">
        <w:rPr>
          <w:vertAlign w:val="superscript"/>
          <w:lang w:val="bs-Latn-BA"/>
        </w:rPr>
        <w:footnoteReference w:id="39"/>
      </w:r>
      <w:r w:rsidRPr="008924E0">
        <w:rPr>
          <w:lang w:val="bs-Latn-BA"/>
        </w:rPr>
        <w:t xml:space="preserve">. Preduvjet za motiviranost krajnjih korisnika da štede energiju je omogućavanje plaćanja po potrošnji, što je jasno definirano EU direktivama. U tu svrhu potrebno je izraditi i usvojiti „Smjernica razvoja sistema daljinskih grijanja (centralizacija i modernizacije sistema grijanja), hlađenja i ventilacije te pripreme PTV uz primjenu obnovljivih izvora energije na području FBiH, za period do 2030. godine'' uz kontinuirano ažuriranje iste. Smjernice treba da daju odgovore na pitanja koje OIE je najbolje koristiti za određena daljinska grijanja u zavisnosti od postojećeg stanja, troškove za implementaciju tih mjera, prijedlog za promjenu tarifa kako bi se potrošnja energije obračunavala i naplaćivala na osnovu potrošnje itd. </w:t>
      </w:r>
    </w:p>
    <w:p w14:paraId="2D83F843" w14:textId="77777777" w:rsidR="00A77633" w:rsidRPr="008924E0" w:rsidRDefault="00A77633" w:rsidP="005D2C94">
      <w:pPr>
        <w:spacing w:after="120" w:line="276" w:lineRule="auto"/>
        <w:rPr>
          <w:color w:val="000000"/>
          <w:lang w:val="bs-Latn-BA"/>
        </w:rPr>
      </w:pPr>
      <w:r w:rsidRPr="008924E0">
        <w:rPr>
          <w:lang w:val="bs-Latn-BA"/>
        </w:rPr>
        <w:t xml:space="preserve">Na osnovu izlaza iz dokumenta potrebno je donošenje propisa kojim bi se: definirali tarifni modeli,  koji omogućavaju korištenje usluga sistema daljinskih grijanja na način da se obračun i plaćanje vrši na osnovu mjerenja potrošnje energije, utvrdili i donijeli zakonski propisi kojima se utvrđuju i ispunjavaju kriteriji i procedure za odobrenja novih proizvodnih kapaciteta, u skladu sa odredbama člana 7. Direktive 2009/72/EU o električnoj energiji i člana 14(5) Direktive 2012/72/EU, te izmijenila i dopunila </w:t>
      </w:r>
      <w:r w:rsidRPr="008924E0">
        <w:rPr>
          <w:color w:val="000000"/>
          <w:lang w:val="bs-Latn-BA"/>
        </w:rPr>
        <w:t>podzakonska regulative za omogućavanje prioritetnog pristupa i donošenje pravila dispečiranja za visokoefikasnu kogeneraciju i potpuno usaglašavanje sa zahtjevima EED.</w:t>
      </w:r>
    </w:p>
    <w:p w14:paraId="3AD7E40E" w14:textId="77777777" w:rsidR="00A77633" w:rsidRDefault="00A77633" w:rsidP="005D2C94">
      <w:pPr>
        <w:spacing w:after="120" w:line="276" w:lineRule="auto"/>
        <w:rPr>
          <w:lang w:val="bs-Latn-BA"/>
        </w:rPr>
      </w:pPr>
      <w:r w:rsidRPr="008924E0">
        <w:rPr>
          <w:color w:val="000000"/>
          <w:lang w:val="bs-Latn-BA"/>
        </w:rPr>
        <w:t xml:space="preserve">Da bi se ova mjera implementirala, potrebno je stimuliranje korištenja okolinski prihvatljivijih goriva u sistemima daljinskih grijanja, a istovremeno jačanje inspekcijskih nadzora, u svrhu smanjivanja </w:t>
      </w:r>
      <w:r w:rsidRPr="008924E0">
        <w:rPr>
          <w:color w:val="000000"/>
          <w:lang w:val="bs-Latn-BA"/>
        </w:rPr>
        <w:lastRenderedPageBreak/>
        <w:t>zagađiva</w:t>
      </w:r>
      <w:r>
        <w:rPr>
          <w:color w:val="000000"/>
          <w:lang w:val="bs-Latn-BA"/>
        </w:rPr>
        <w:t>n</w:t>
      </w:r>
      <w:r w:rsidRPr="008924E0">
        <w:rPr>
          <w:color w:val="000000"/>
          <w:lang w:val="bs-Latn-BA"/>
        </w:rPr>
        <w:t xml:space="preserve">ja okoliša iz istih. </w:t>
      </w:r>
      <w:r w:rsidRPr="008924E0">
        <w:rPr>
          <w:lang w:val="bs-Latn-BA"/>
        </w:rPr>
        <w:t xml:space="preserve"> Također, potrebno je uspostaviti program subvencioniranja najugroženijih domaćinstava za prelazak sa sistema grijanja sa fosilnih goriva na okolinski prihvatljive energente.</w:t>
      </w:r>
    </w:p>
    <w:p w14:paraId="0754BA6A" w14:textId="242327E9" w:rsidR="00A77633" w:rsidRPr="008924E0" w:rsidRDefault="00A77633" w:rsidP="005D2C94">
      <w:pPr>
        <w:spacing w:after="120" w:line="276" w:lineRule="auto"/>
        <w:rPr>
          <w:lang w:val="bs-Latn-BA"/>
        </w:rPr>
      </w:pPr>
      <w:r w:rsidRPr="008924E0">
        <w:rPr>
          <w:lang w:val="bs-Latn-BA"/>
        </w:rPr>
        <w:t>Cilj ove mjere je donošenja Plana razvoja daljinskih grijanja na kantonalnim nivoima, u skladu sa „Smjernicama razvoja daljinskih grijanja (centralizacija i modernizacije sistema grijanja), hlađenja i ventilacije te pripreme PTV uz primjenu obnovljivih izvora energije na području FBiH, za period do 2030. godine“</w:t>
      </w:r>
      <w:r w:rsidR="005300B0">
        <w:rPr>
          <w:lang w:val="bs-Latn-BA"/>
        </w:rPr>
        <w:t>.</w:t>
      </w:r>
      <w:r w:rsidRPr="008924E0">
        <w:rPr>
          <w:lang w:val="bs-Latn-BA"/>
        </w:rPr>
        <w:t xml:space="preserve">. Javna preduzeća na lokalnom nivou i </w:t>
      </w:r>
      <w:r w:rsidR="004C252A">
        <w:rPr>
          <w:lang w:val="bs-Latn-BA"/>
        </w:rPr>
        <w:t>j</w:t>
      </w:r>
      <w:r w:rsidRPr="008924E0">
        <w:rPr>
          <w:lang w:val="bs-Latn-BA"/>
        </w:rPr>
        <w:t xml:space="preserve">avna komunalna preduzeća na nivou kantona, se trebaju </w:t>
      </w:r>
      <w:r w:rsidR="00F03625">
        <w:rPr>
          <w:lang w:val="bs-Latn-BA"/>
        </w:rPr>
        <w:t>obvez</w:t>
      </w:r>
      <w:r w:rsidRPr="008924E0">
        <w:rPr>
          <w:lang w:val="bs-Latn-BA"/>
        </w:rPr>
        <w:t>ati na donošenje i usvajanje propisa, odnosno uvođenja tarifnih modela o mjerenju stvarne potrošnje energije u sistemima daljinskih grijanja, u cilju efikasnijeg korištenja toplotne energije te smanjenja pregrijavanja i pothlađivanja prostora, odnosno povećanja toplotnog komfora unutar zgrada. Ovi planovi koji bi se radili na nivo</w:t>
      </w:r>
      <w:r w:rsidR="004C252A">
        <w:rPr>
          <w:lang w:val="bs-Latn-BA"/>
        </w:rPr>
        <w:t>u</w:t>
      </w:r>
      <w:r w:rsidRPr="008924E0">
        <w:rPr>
          <w:lang w:val="bs-Latn-BA"/>
        </w:rPr>
        <w:t xml:space="preserve"> kantona, odnosno javnih preduzeća na lokaln</w:t>
      </w:r>
      <w:r w:rsidR="004C252A">
        <w:rPr>
          <w:lang w:val="bs-Latn-BA"/>
        </w:rPr>
        <w:t>om</w:t>
      </w:r>
      <w:r w:rsidRPr="008924E0">
        <w:rPr>
          <w:lang w:val="bs-Latn-BA"/>
        </w:rPr>
        <w:t xml:space="preserve"> nivo</w:t>
      </w:r>
      <w:r w:rsidR="004C252A">
        <w:rPr>
          <w:lang w:val="bs-Latn-BA"/>
        </w:rPr>
        <w:t>u</w:t>
      </w:r>
      <w:r w:rsidRPr="008924E0">
        <w:rPr>
          <w:lang w:val="bs-Latn-BA"/>
        </w:rPr>
        <w:t xml:space="preserve"> podrazumijevaju usvajanje i implementaciju izlaznih preporuka iz  </w:t>
      </w:r>
      <w:r w:rsidR="004C252A">
        <w:rPr>
          <w:lang w:val="bs-Latn-BA"/>
        </w:rPr>
        <w:t xml:space="preserve">dokumenta </w:t>
      </w:r>
      <w:r w:rsidRPr="008924E0">
        <w:rPr>
          <w:lang w:val="bs-Latn-BA"/>
        </w:rPr>
        <w:t>Smjernice</w:t>
      </w:r>
      <w:r w:rsidR="004C252A">
        <w:rPr>
          <w:lang w:val="bs-Latn-BA"/>
        </w:rPr>
        <w:t>a</w:t>
      </w:r>
      <w:r w:rsidRPr="008924E0">
        <w:rPr>
          <w:lang w:val="bs-Latn-BA"/>
        </w:rPr>
        <w:t xml:space="preserve">. Planovi moraju rezultirati </w:t>
      </w:r>
      <w:r w:rsidR="005300B0">
        <w:rPr>
          <w:lang w:val="bs-Latn-BA"/>
        </w:rPr>
        <w:t>d</w:t>
      </w:r>
      <w:r w:rsidRPr="008924E0">
        <w:rPr>
          <w:lang w:val="bs-Latn-BA"/>
        </w:rPr>
        <w:t>onošenjem propisa, odnosno tarifnog modela o mjerenju stvarne potrošnje energije u sistemima daljinskih grijanja na kantonalnim nivoima, utvrđivanje</w:t>
      </w:r>
      <w:r w:rsidR="005300B0">
        <w:rPr>
          <w:lang w:val="bs-Latn-BA"/>
        </w:rPr>
        <w:t>m</w:t>
      </w:r>
      <w:r w:rsidRPr="008924E0">
        <w:rPr>
          <w:lang w:val="bs-Latn-BA"/>
        </w:rPr>
        <w:t xml:space="preserve"> i donošenje</w:t>
      </w:r>
      <w:r w:rsidR="005300B0">
        <w:rPr>
          <w:lang w:val="bs-Latn-BA"/>
        </w:rPr>
        <w:t>m</w:t>
      </w:r>
      <w:r w:rsidRPr="008924E0">
        <w:rPr>
          <w:lang w:val="bs-Latn-BA"/>
        </w:rPr>
        <w:t xml:space="preserve"> zakonskih propisa kojima se utvrđuju i ispunjavaju kriteriji i procedure za odobrenja novih proizvodnih kapaciteta, u skladu sa odredbama člana 7. Direktive 2009/72/EU o električnoj energiji i člana 14(5) Direktive 2012/72/EU, izmjena</w:t>
      </w:r>
      <w:r w:rsidR="005300B0">
        <w:rPr>
          <w:lang w:val="bs-Latn-BA"/>
        </w:rPr>
        <w:t>ma</w:t>
      </w:r>
      <w:r w:rsidRPr="008924E0">
        <w:rPr>
          <w:lang w:val="bs-Latn-BA"/>
        </w:rPr>
        <w:t xml:space="preserve"> i dopuna</w:t>
      </w:r>
      <w:r w:rsidR="005300B0">
        <w:rPr>
          <w:lang w:val="bs-Latn-BA"/>
        </w:rPr>
        <w:t>ma</w:t>
      </w:r>
      <w:r w:rsidRPr="008924E0">
        <w:rPr>
          <w:lang w:val="bs-Latn-BA"/>
        </w:rPr>
        <w:t xml:space="preserve"> podzakonske regulative za omogućavanje prioritetnog pristupa i donošenje pravila dispečiranja za visokoefikasnu kogeneraciju i potpuno usaglašavanje sa zahtjevima EED, </w:t>
      </w:r>
      <w:r w:rsidR="004C252A">
        <w:rPr>
          <w:lang w:val="bs-Latn-BA"/>
        </w:rPr>
        <w:t xml:space="preserve">te </w:t>
      </w:r>
      <w:r w:rsidRPr="008924E0">
        <w:rPr>
          <w:lang w:val="bs-Latn-BA"/>
        </w:rPr>
        <w:t>uspostavljanje</w:t>
      </w:r>
      <w:r w:rsidR="005300B0">
        <w:rPr>
          <w:lang w:val="bs-Latn-BA"/>
        </w:rPr>
        <w:t>m</w:t>
      </w:r>
      <w:r w:rsidRPr="008924E0">
        <w:rPr>
          <w:lang w:val="bs-Latn-BA"/>
        </w:rPr>
        <w:t xml:space="preserve"> programa subvencioniranja najugroženijih domaćinstava za prelazak sa sistema grijanja na fosilna  goriva na okolinsko prihvatljivije energente.</w:t>
      </w:r>
    </w:p>
    <w:p w14:paraId="5880395E" w14:textId="77777777" w:rsidR="00A77633" w:rsidRPr="001972F5" w:rsidRDefault="00A77633" w:rsidP="005D2C94">
      <w:pPr>
        <w:spacing w:after="120" w:line="276" w:lineRule="auto"/>
        <w:ind w:left="1" w:right="32"/>
        <w:rPr>
          <w:lang w:val="fi-FI"/>
        </w:rPr>
      </w:pPr>
      <w:r w:rsidRPr="001972F5">
        <w:rPr>
          <w:lang w:val="fi-FI"/>
        </w:rPr>
        <w:t>Aktivnosti planirane u sklopu ove mjere su:</w:t>
      </w:r>
    </w:p>
    <w:p w14:paraId="4A25A237" w14:textId="77777777" w:rsidR="00A77633" w:rsidRDefault="00A77633" w:rsidP="00581C1C">
      <w:pPr>
        <w:pStyle w:val="ListParagraph"/>
        <w:numPr>
          <w:ilvl w:val="0"/>
          <w:numId w:val="52"/>
        </w:numPr>
        <w:spacing w:after="120" w:line="276" w:lineRule="auto"/>
      </w:pPr>
      <w:r w:rsidRPr="008924E0">
        <w:t>Izrada i usvajanje „Smjernica razvoja sistema daljinskih grijanja (centralizacija i modernizacije sistema grijanja), hlađenja i ventilacije te pripreme PTV uz primjenu obnovljivih izvora energije na području FBiH, za period do 2030. godine“ , te kontinuirano ažuriranje iste;</w:t>
      </w:r>
    </w:p>
    <w:p w14:paraId="20CCF45F" w14:textId="77777777" w:rsidR="00A77633" w:rsidRPr="008924E0" w:rsidRDefault="00A77633" w:rsidP="00581C1C">
      <w:pPr>
        <w:pStyle w:val="ListParagraph"/>
        <w:numPr>
          <w:ilvl w:val="0"/>
          <w:numId w:val="52"/>
        </w:numPr>
        <w:spacing w:after="120" w:line="276" w:lineRule="auto"/>
      </w:pPr>
      <w:r>
        <w:t>D</w:t>
      </w:r>
      <w:r w:rsidRPr="00344474">
        <w:t xml:space="preserve">onošenja </w:t>
      </w:r>
      <w:r>
        <w:t xml:space="preserve">planova </w:t>
      </w:r>
      <w:r w:rsidRPr="00344474">
        <w:t>razvoja daljinskih grijanja na kantonalnim nivoima, u skladu sa Smjernicama</w:t>
      </w:r>
      <w:r>
        <w:t>;</w:t>
      </w:r>
    </w:p>
    <w:p w14:paraId="71C79290" w14:textId="77777777" w:rsidR="00A77633" w:rsidRPr="008924E0" w:rsidRDefault="00A77633" w:rsidP="00581C1C">
      <w:pPr>
        <w:pStyle w:val="ListParagraph"/>
        <w:numPr>
          <w:ilvl w:val="0"/>
          <w:numId w:val="52"/>
        </w:numPr>
        <w:spacing w:after="120" w:line="276" w:lineRule="auto"/>
      </w:pPr>
      <w:r w:rsidRPr="008924E0">
        <w:t xml:space="preserve">Donošenje propisa odnosno tarifnog modela,  kojima omogućava korištenje usluga sistema daljinskih grijanja na način da se obračun i plaćanje vrši na osnovu mjerenja potrošnje </w:t>
      </w:r>
      <w:r>
        <w:t xml:space="preserve">toplotne </w:t>
      </w:r>
      <w:r w:rsidRPr="008924E0">
        <w:t>energije;</w:t>
      </w:r>
    </w:p>
    <w:p w14:paraId="104E850B" w14:textId="77777777" w:rsidR="00A77633" w:rsidRPr="008924E0" w:rsidRDefault="00A77633" w:rsidP="00581C1C">
      <w:pPr>
        <w:pStyle w:val="ListParagraph"/>
        <w:numPr>
          <w:ilvl w:val="0"/>
          <w:numId w:val="52"/>
        </w:numPr>
        <w:spacing w:after="120" w:line="276" w:lineRule="auto"/>
      </w:pPr>
      <w:r w:rsidRPr="008924E0">
        <w:t>Utvrđivanje i donošenje zakonskih propisa kojima se utvrđuju i ispunjavaju kriteriji i procedure za odobrenja novih proizvodnih kapaciteta, u skladu sa odredbama člana 7. Direktive 2009/72/EU o električnoj energiji i člana 14(5) Direktive 2012/72/EU;</w:t>
      </w:r>
    </w:p>
    <w:p w14:paraId="2F52ABAC" w14:textId="77777777" w:rsidR="00A77633" w:rsidRPr="008924E0" w:rsidRDefault="00A77633" w:rsidP="00581C1C">
      <w:pPr>
        <w:pStyle w:val="ListParagraph"/>
        <w:numPr>
          <w:ilvl w:val="0"/>
          <w:numId w:val="52"/>
        </w:numPr>
        <w:spacing w:after="120" w:line="276" w:lineRule="auto"/>
      </w:pPr>
      <w:r w:rsidRPr="008924E0">
        <w:rPr>
          <w:color w:val="000000"/>
        </w:rPr>
        <w:t>Izmjena i dopuna podzakonske regulative za omogućavanje prioritetnog pristupa i donošenje pravila dispečiranja za visokoefikasnu kogeneraciju i potpuno usaglašavanje sa zahtjevima EED;</w:t>
      </w:r>
    </w:p>
    <w:p w14:paraId="1190B390" w14:textId="77777777" w:rsidR="00A77633" w:rsidRDefault="00A77633" w:rsidP="00581C1C">
      <w:pPr>
        <w:pStyle w:val="ListParagraph"/>
        <w:numPr>
          <w:ilvl w:val="0"/>
          <w:numId w:val="52"/>
        </w:numPr>
        <w:spacing w:after="120" w:line="276" w:lineRule="auto"/>
      </w:pPr>
      <w:r w:rsidRPr="008924E0">
        <w:t>Stimuliranje korištenja okolinski prihvatljivijeg goriva i jačanje inspekcijskih nadzora na svim nivoima, posebno masovnih zagađivača;</w:t>
      </w:r>
    </w:p>
    <w:p w14:paraId="77455920" w14:textId="77777777" w:rsidR="00A77633" w:rsidRDefault="00A77633" w:rsidP="00581C1C">
      <w:pPr>
        <w:pStyle w:val="ListParagraph"/>
        <w:numPr>
          <w:ilvl w:val="0"/>
          <w:numId w:val="52"/>
        </w:numPr>
        <w:spacing w:after="120" w:line="276" w:lineRule="auto"/>
      </w:pPr>
      <w:r w:rsidRPr="008924E0">
        <w:t>Uspostavljanje programa subvencioniranja najugroženijih domaćinstava za prelazak sa sistema grijanja na fosilna  goriva na okolinsko prihvatljivije energente</w:t>
      </w:r>
      <w:r>
        <w:t>.</w:t>
      </w:r>
    </w:p>
    <w:p w14:paraId="3A791B35" w14:textId="77777777" w:rsidR="00A77633" w:rsidRDefault="00A77633" w:rsidP="005D2C94">
      <w:pPr>
        <w:spacing w:after="120" w:line="276" w:lineRule="auto"/>
      </w:pPr>
      <w:proofErr w:type="spellStart"/>
      <w:r w:rsidRPr="00DD2143">
        <w:t>Implementacija</w:t>
      </w:r>
      <w:proofErr w:type="spellEnd"/>
      <w:r w:rsidRPr="00DD2143">
        <w:t xml:space="preserve"> ova </w:t>
      </w:r>
      <w:proofErr w:type="spellStart"/>
      <w:r w:rsidRPr="00DD2143">
        <w:t>mjere</w:t>
      </w:r>
      <w:proofErr w:type="spellEnd"/>
      <w:r w:rsidRPr="00DD2143">
        <w:t xml:space="preserve"> </w:t>
      </w:r>
      <w:proofErr w:type="spellStart"/>
      <w:r w:rsidRPr="00DD2143">
        <w:t>rezultirat</w:t>
      </w:r>
      <w:proofErr w:type="spellEnd"/>
      <w:r w:rsidRPr="00DD2143">
        <w:t xml:space="preserve"> </w:t>
      </w:r>
      <w:proofErr w:type="spellStart"/>
      <w:r w:rsidRPr="00DD2143">
        <w:t>će</w:t>
      </w:r>
      <w:proofErr w:type="spellEnd"/>
      <w:r>
        <w:t>:</w:t>
      </w:r>
    </w:p>
    <w:p w14:paraId="5315A063" w14:textId="77777777" w:rsidR="00A77633" w:rsidRDefault="00A77633" w:rsidP="00581C1C">
      <w:pPr>
        <w:pStyle w:val="ListParagraph"/>
        <w:numPr>
          <w:ilvl w:val="0"/>
          <w:numId w:val="86"/>
        </w:numPr>
        <w:spacing w:after="120" w:line="276" w:lineRule="auto"/>
      </w:pPr>
      <w:r>
        <w:lastRenderedPageBreak/>
        <w:t>unaprijeđenjem postojećih i razvojem novih održivih sistema daljinskih  grijanja;</w:t>
      </w:r>
    </w:p>
    <w:p w14:paraId="7FB6D186" w14:textId="77777777" w:rsidR="00A77633" w:rsidRDefault="00A77633" w:rsidP="00581C1C">
      <w:pPr>
        <w:pStyle w:val="ListParagraph"/>
        <w:numPr>
          <w:ilvl w:val="0"/>
          <w:numId w:val="86"/>
        </w:numPr>
        <w:spacing w:after="120" w:line="276" w:lineRule="auto"/>
      </w:pPr>
      <w:r>
        <w:t>povećanim brojem korisnika sistema daljinskih grijanja;</w:t>
      </w:r>
    </w:p>
    <w:p w14:paraId="23910089" w14:textId="77777777" w:rsidR="00A77633" w:rsidRDefault="00A77633" w:rsidP="00581C1C">
      <w:pPr>
        <w:pStyle w:val="ListParagraph"/>
        <w:numPr>
          <w:ilvl w:val="0"/>
          <w:numId w:val="86"/>
        </w:numPr>
        <w:spacing w:after="120" w:line="276" w:lineRule="auto"/>
      </w:pPr>
      <w:r>
        <w:t>racionalnijoj potrošnji toplotne energije, većim toplotnim komforom i povećom sigurnosti zgrada;</w:t>
      </w:r>
    </w:p>
    <w:p w14:paraId="0CCE4F2E" w14:textId="77777777" w:rsidR="00A77633" w:rsidRPr="00EB167D" w:rsidRDefault="00A77633" w:rsidP="00581C1C">
      <w:pPr>
        <w:pStyle w:val="ListParagraph"/>
        <w:numPr>
          <w:ilvl w:val="0"/>
          <w:numId w:val="86"/>
        </w:numPr>
        <w:spacing w:after="120" w:line="276" w:lineRule="auto"/>
      </w:pPr>
      <w:r w:rsidRPr="00EB167D">
        <w:t>smanjenjem emisija zagađujućih materija</w:t>
      </w:r>
      <w:r w:rsidRPr="00EB167D" w:rsidDel="00B12659">
        <w:t xml:space="preserve"> </w:t>
      </w:r>
      <w:r w:rsidRPr="00EB167D">
        <w:t>štetnih po zdravlje ljudi i okoliš</w:t>
      </w:r>
      <w:r>
        <w:t>, kao</w:t>
      </w:r>
      <w:r w:rsidRPr="00EB167D">
        <w:t xml:space="preserve"> i </w:t>
      </w:r>
      <w:r>
        <w:t xml:space="preserve">smanjenjem </w:t>
      </w:r>
      <w:r w:rsidRPr="00EB167D">
        <w:t>CO</w:t>
      </w:r>
      <w:r w:rsidRPr="00992CEC">
        <w:rPr>
          <w:vertAlign w:val="subscript"/>
        </w:rPr>
        <w:t>2</w:t>
      </w:r>
      <w:r w:rsidRPr="00EB167D">
        <w:t xml:space="preserve"> iz sistema daljinskih grijanja.</w:t>
      </w:r>
    </w:p>
    <w:p w14:paraId="61C04F28" w14:textId="7E975DFC" w:rsidR="00A77633" w:rsidRPr="008924E0" w:rsidRDefault="00A77633" w:rsidP="00A77633">
      <w:pPr>
        <w:pStyle w:val="Heading2"/>
        <w:numPr>
          <w:ilvl w:val="0"/>
          <w:numId w:val="0"/>
        </w:numPr>
        <w:ind w:left="1350" w:hanging="1350"/>
        <w:rPr>
          <w:sz w:val="22"/>
          <w:szCs w:val="22"/>
          <w:lang w:val="bs-Latn-BA"/>
        </w:rPr>
      </w:pPr>
      <w:bookmarkStart w:id="156" w:name="_Toc134011785"/>
      <w:r w:rsidRPr="008924E0">
        <w:rPr>
          <w:sz w:val="22"/>
          <w:szCs w:val="22"/>
          <w:lang w:val="bs-Latn-BA"/>
        </w:rPr>
        <w:t>Mjera 1.</w:t>
      </w:r>
      <w:r>
        <w:rPr>
          <w:sz w:val="22"/>
          <w:szCs w:val="22"/>
          <w:lang w:val="bs-Latn-BA"/>
        </w:rPr>
        <w:t>2</w:t>
      </w:r>
      <w:r w:rsidRPr="008924E0">
        <w:rPr>
          <w:sz w:val="22"/>
          <w:szCs w:val="22"/>
          <w:lang w:val="bs-Latn-BA"/>
        </w:rPr>
        <w:t>.</w:t>
      </w:r>
      <w:r>
        <w:rPr>
          <w:sz w:val="22"/>
          <w:szCs w:val="22"/>
          <w:lang w:val="bs-Latn-BA"/>
        </w:rPr>
        <w:t>3</w:t>
      </w:r>
      <w:r w:rsidRPr="008924E0">
        <w:rPr>
          <w:sz w:val="22"/>
          <w:szCs w:val="22"/>
          <w:lang w:val="bs-Latn-BA"/>
        </w:rPr>
        <w:t xml:space="preserve">. </w:t>
      </w:r>
      <w:r w:rsidRPr="00C9262E">
        <w:rPr>
          <w:sz w:val="22"/>
          <w:szCs w:val="22"/>
          <w:lang w:val="bs-Latn-BA"/>
        </w:rPr>
        <w:t>Unapr</w:t>
      </w:r>
      <w:r>
        <w:rPr>
          <w:sz w:val="22"/>
          <w:szCs w:val="22"/>
          <w:lang w:val="bs-Latn-BA"/>
        </w:rPr>
        <w:t>ij</w:t>
      </w:r>
      <w:r w:rsidRPr="00C9262E">
        <w:rPr>
          <w:sz w:val="22"/>
          <w:szCs w:val="22"/>
          <w:lang w:val="bs-Latn-BA"/>
        </w:rPr>
        <w:t>e</w:t>
      </w:r>
      <w:r w:rsidR="00115576">
        <w:rPr>
          <w:sz w:val="22"/>
          <w:szCs w:val="22"/>
          <w:lang w:val="bs-Latn-BA"/>
        </w:rPr>
        <w:t>diti</w:t>
      </w:r>
      <w:r w:rsidRPr="00C9262E">
        <w:rPr>
          <w:sz w:val="22"/>
          <w:szCs w:val="22"/>
          <w:lang w:val="bs-Latn-BA"/>
        </w:rPr>
        <w:t xml:space="preserve"> održivost urbanih područja</w:t>
      </w:r>
      <w:bookmarkEnd w:id="156"/>
    </w:p>
    <w:p w14:paraId="29A99B42" w14:textId="77777777" w:rsidR="00A77633" w:rsidRPr="008924E0" w:rsidRDefault="00A77633" w:rsidP="005D2C94">
      <w:pPr>
        <w:spacing w:after="120" w:line="276" w:lineRule="auto"/>
        <w:rPr>
          <w:lang w:val="bs-Latn-BA"/>
        </w:rPr>
      </w:pPr>
      <w:r w:rsidRPr="008924E0">
        <w:rPr>
          <w:lang w:val="bs-Latn-BA"/>
        </w:rPr>
        <w:t>U pogledu prostornih potencijala, razvoj  FBiH treba usmjeriti ka iskorištavanj</w:t>
      </w:r>
      <w:r>
        <w:rPr>
          <w:lang w:val="bs-Latn-BA"/>
        </w:rPr>
        <w:t>u</w:t>
      </w:r>
      <w:r w:rsidRPr="008924E0">
        <w:rPr>
          <w:lang w:val="bs-Latn-BA"/>
        </w:rPr>
        <w:t xml:space="preserve"> prostora koji su već u upotrebi. Ovo se odnosi uglavnom na  </w:t>
      </w:r>
      <w:r>
        <w:rPr>
          <w:lang w:val="bs-Latn-BA"/>
        </w:rPr>
        <w:t>obnovu</w:t>
      </w:r>
      <w:r w:rsidRPr="008924E0">
        <w:rPr>
          <w:lang w:val="bs-Latn-BA"/>
        </w:rPr>
        <w:t xml:space="preserve"> dijelova urbanih područja sa specifičnim problemima i potrebama, te aktiviranje napuštenih i neiskorištenih nekretnina i prostornih cjelina u javnom vlasništvu. </w:t>
      </w:r>
    </w:p>
    <w:p w14:paraId="6AB5F1C4" w14:textId="77777777" w:rsidR="00A77633" w:rsidRPr="008924E0" w:rsidRDefault="00A77633" w:rsidP="005D2C94">
      <w:pPr>
        <w:spacing w:after="120" w:line="276" w:lineRule="auto"/>
        <w:rPr>
          <w:lang w:val="bs-Latn-BA"/>
        </w:rPr>
      </w:pPr>
      <w:r w:rsidRPr="008924E0">
        <w:rPr>
          <w:lang w:val="bs-Latn-BA"/>
        </w:rPr>
        <w:t xml:space="preserve">Unapređenje održivosti urbanih područja podrazumijeva mapiranje, kategorizaciju te planiranje novih i održivih formi korištenja koje će unaprjediti kvalitetu urbanih prostora. U tom smislu potrebno je potaknuti gradove i općine da projekte revitalizacije i razvoja novih urbanih sredina temelje na principima zelene gradnje i održivosti. </w:t>
      </w:r>
    </w:p>
    <w:p w14:paraId="6108CE48" w14:textId="77777777" w:rsidR="00A77633" w:rsidRPr="008924E0" w:rsidRDefault="00A77633" w:rsidP="005D2C94">
      <w:pPr>
        <w:spacing w:after="120" w:line="276" w:lineRule="auto"/>
        <w:rPr>
          <w:lang w:val="bs-Latn-BA"/>
        </w:rPr>
      </w:pPr>
      <w:r w:rsidRPr="008924E0">
        <w:rPr>
          <w:lang w:val="bs-Latn-BA"/>
        </w:rPr>
        <w:t>Federalno ministarstvo prostornog uređenja u čijoj nadležnosti je prostorno planiranje, će u saradnji sa relevantnim ministarstvima, stručnom javnosti i akademskom zajednicom definirati ključne pokazatelje održivosti, koji će uključivati pokazatelje iz područja izgrađenog prostora, ekonomije, energetike, emisija u atmosferu, korištenja prirodnih resursa, okoliša i društvenih aspekata, a koji će se pratiti na nivou FBiH i na kantonalnim nivoima. Ovo će rezultirati razvojnim planovima urbanih sredina u kojima će se na temelju ocjene pokazatelja održivosti, definirati razvojni projekti kojima će se navedeni pokazatelji unaprijediti.</w:t>
      </w:r>
    </w:p>
    <w:p w14:paraId="29DE9772" w14:textId="77777777" w:rsidR="00A77633" w:rsidRPr="008924E0" w:rsidRDefault="00A77633" w:rsidP="005D2C94">
      <w:pPr>
        <w:spacing w:after="120" w:line="276" w:lineRule="auto"/>
        <w:rPr>
          <w:color w:val="000000"/>
          <w:lang w:val="bs-Latn-BA"/>
        </w:rPr>
      </w:pPr>
      <w:r w:rsidRPr="008924E0">
        <w:rPr>
          <w:lang w:val="bs-Latn-BA"/>
        </w:rPr>
        <w:t>U konačnici, cilj je omogućiti unapređenje održivog razvoja direktnijim povezivanjem strateških i prostorno-planskih dokumenata i uvođenjem mjerenja uspješnosti planiranih te provedenih projekata</w:t>
      </w:r>
      <w:r>
        <w:rPr>
          <w:lang w:val="bs-Latn-BA"/>
        </w:rPr>
        <w:t>.</w:t>
      </w:r>
    </w:p>
    <w:p w14:paraId="5B64AA7B" w14:textId="06B665D7" w:rsidR="00A77633" w:rsidRPr="008924E0" w:rsidRDefault="00A77633" w:rsidP="005D2C94">
      <w:pPr>
        <w:spacing w:after="120" w:line="276" w:lineRule="auto"/>
        <w:ind w:right="32"/>
        <w:rPr>
          <w:lang w:val="bs-Latn-BA"/>
        </w:rPr>
      </w:pPr>
      <w:r w:rsidRPr="008924E0">
        <w:rPr>
          <w:lang w:val="bs-Latn-BA"/>
        </w:rPr>
        <w:t xml:space="preserve">Cilj ove mjere je uspostavljanje održivih, otpornih, sigurnih i za život ugodnih i uređenih gradova i općina u FBiH. Održivi razvoj urbanih područja podrazumijeva racionalno korištenje prostora i raspoloživih resursa, što usmjerava aktivnosti prema napuštenim, zapuštenim i neiskorištenim zgradama, i prostoru njihovog neposrednog okoliša. Svi oblici trajnog zelenila i vode u okolišu i na zgradama su potencijalni sastavni elementi zelene infrastrukture, te je potrebno poticanje njihovog povezivanja u strateški planiranu mrežu.  Stoga je neophodno donošenje i provedba programa razvoja zelene infrastrukture u urbanim područjima, koji će definirati i detaljnije razraditi obim radova, dinamiku i način </w:t>
      </w:r>
      <w:r w:rsidR="007B690C">
        <w:rPr>
          <w:lang w:val="bs-Latn-BA"/>
        </w:rPr>
        <w:t>financ</w:t>
      </w:r>
      <w:r w:rsidRPr="008924E0">
        <w:rPr>
          <w:lang w:val="bs-Latn-BA"/>
        </w:rPr>
        <w:t xml:space="preserve">iranja razvoja zelene infrastrukture u urbanim područjima. </w:t>
      </w:r>
    </w:p>
    <w:p w14:paraId="3FED281F" w14:textId="77777777" w:rsidR="00A77633" w:rsidRPr="008924E0" w:rsidRDefault="00A77633" w:rsidP="005D2C94">
      <w:pPr>
        <w:spacing w:after="120" w:line="276" w:lineRule="auto"/>
        <w:ind w:left="1" w:right="32"/>
        <w:rPr>
          <w:lang w:val="bs-Latn-BA"/>
        </w:rPr>
      </w:pPr>
      <w:r>
        <w:rPr>
          <w:lang w:val="bs-Latn-BA"/>
        </w:rPr>
        <w:t>Nadalje, c</w:t>
      </w:r>
      <w:r w:rsidRPr="008924E0">
        <w:rPr>
          <w:lang w:val="bs-Latn-BA"/>
        </w:rPr>
        <w:t xml:space="preserve">ilj ove mjere je revitalizacija nekorištenih prostora i zgrada i smjernice za planiranje novih zgrada po modelu cirkularne ekonomije, sa fokusom na povećanje trajnosti i cjeloživotnog vijeka zgrada u prostoru, povećanje EE zgrada, te smanjenje nastanka građevinskog otpada u cilju održivog razvoja.  Cirkularno upravljanje prostorom i zgradama provodi se u skladu s načelima zelene gradnje koja se odnosi na cjelovit proces osmišljavanja, izvedbe, održavanja, upotrebe i obnove prostora i zgrada zasnovane na načelu održivosti. Građevinski sektor zaslužan je za iskorištavanje gotovo 50% ukupnog ekstrahiranog materijala te je zaslužan za 35% ukupnog otpada u cijeloj EU. Stoga je jedna od komponenti novog </w:t>
      </w:r>
      <w:r w:rsidRPr="008924E0">
        <w:rPr>
          <w:lang w:val="bs-Latn-BA"/>
        </w:rPr>
        <w:lastRenderedPageBreak/>
        <w:t>akcijskog plana za cirkularnu ekonomiju i građevinski sektor, u kojem je imperativ stavljen na korištenje recikliranih materijala u procesu izgradnje zgrada.</w:t>
      </w:r>
    </w:p>
    <w:p w14:paraId="0828F546" w14:textId="6C22E88F" w:rsidR="00A77633" w:rsidRDefault="00A77633" w:rsidP="005D2C94">
      <w:pPr>
        <w:spacing w:after="120" w:line="276" w:lineRule="auto"/>
        <w:ind w:left="1" w:right="32"/>
        <w:rPr>
          <w:lang w:val="bs-Latn-BA"/>
        </w:rPr>
      </w:pPr>
      <w:r w:rsidRPr="008924E0">
        <w:rPr>
          <w:lang w:val="bs-Latn-BA"/>
        </w:rPr>
        <w:t xml:space="preserve">Neophodno donošenje i provedba programa razvoja cirkularnog upravljanja prostorom i zgradama prema načelima cirkularne ekonomije, definirati će i detaljnije razraditi obim radova, dinamiku i način </w:t>
      </w:r>
      <w:r w:rsidR="007B690C">
        <w:rPr>
          <w:lang w:val="bs-Latn-BA"/>
        </w:rPr>
        <w:t>financ</w:t>
      </w:r>
      <w:r w:rsidRPr="008924E0">
        <w:rPr>
          <w:lang w:val="bs-Latn-BA"/>
        </w:rPr>
        <w:t>iranja razvoja cirkularnog upravljanja prostorom i zgradama.</w:t>
      </w:r>
    </w:p>
    <w:p w14:paraId="265620E6" w14:textId="77777777" w:rsidR="00A77633" w:rsidRPr="001972F5" w:rsidRDefault="00A77633" w:rsidP="005D2C94">
      <w:pPr>
        <w:spacing w:after="120" w:line="276" w:lineRule="auto"/>
        <w:ind w:left="1" w:right="32"/>
        <w:rPr>
          <w:lang w:val="fi-FI"/>
        </w:rPr>
      </w:pPr>
      <w:r w:rsidRPr="001972F5">
        <w:rPr>
          <w:lang w:val="fi-FI"/>
        </w:rPr>
        <w:t>Aktivnosti planirane u sklopu ove mjere su:</w:t>
      </w:r>
    </w:p>
    <w:p w14:paraId="5138E04F" w14:textId="77777777" w:rsidR="00A77633" w:rsidRPr="002C3CDF" w:rsidRDefault="00A77633" w:rsidP="00581C1C">
      <w:pPr>
        <w:pStyle w:val="ListParagraph"/>
        <w:numPr>
          <w:ilvl w:val="0"/>
          <w:numId w:val="75"/>
        </w:numPr>
        <w:spacing w:after="120" w:line="276" w:lineRule="auto"/>
        <w:ind w:right="32"/>
      </w:pPr>
      <w:r w:rsidRPr="002C3CDF">
        <w:t>Donošenje i provedba programa razvoja zelene infrastrukture u urbanim područjima, što podrazumijeva:</w:t>
      </w:r>
    </w:p>
    <w:p w14:paraId="0E021EDA" w14:textId="77777777" w:rsidR="00A77633" w:rsidRPr="008924E0" w:rsidRDefault="00A77633" w:rsidP="005D2C94">
      <w:pPr>
        <w:pStyle w:val="ListParagraph"/>
        <w:numPr>
          <w:ilvl w:val="0"/>
          <w:numId w:val="50"/>
        </w:numPr>
        <w:spacing w:after="120" w:line="276" w:lineRule="auto"/>
        <w:ind w:right="32"/>
      </w:pPr>
      <w:r w:rsidRPr="008924E0">
        <w:t>Konsultacije sa akademskom zajednicom i stručnom javnosti u okviru otvorenih dijaloga;</w:t>
      </w:r>
    </w:p>
    <w:p w14:paraId="0266571C" w14:textId="77777777" w:rsidR="00A77633" w:rsidRPr="008924E0" w:rsidRDefault="00A77633" w:rsidP="005D2C94">
      <w:pPr>
        <w:pStyle w:val="ListParagraph"/>
        <w:numPr>
          <w:ilvl w:val="0"/>
          <w:numId w:val="50"/>
        </w:numPr>
        <w:spacing w:after="120" w:line="276" w:lineRule="auto"/>
        <w:ind w:right="32"/>
      </w:pPr>
      <w:r w:rsidRPr="008924E0">
        <w:t>Izrad</w:t>
      </w:r>
      <w:r>
        <w:t>u</w:t>
      </w:r>
      <w:r w:rsidRPr="008924E0">
        <w:t xml:space="preserve"> i usvajanje „Programa razvoja zelene infrastrukture u urbanim područjima za period do 2030. godine“</w:t>
      </w:r>
      <w:r>
        <w:t xml:space="preserve"> na teritoriji FBiH</w:t>
      </w:r>
      <w:r w:rsidRPr="008924E0">
        <w:t>, uz kontinuirano ažuriranje istog;</w:t>
      </w:r>
    </w:p>
    <w:p w14:paraId="2B286C58" w14:textId="77777777" w:rsidR="00A77633" w:rsidRPr="008924E0" w:rsidRDefault="00A77633" w:rsidP="005D2C94">
      <w:pPr>
        <w:pStyle w:val="ListParagraph"/>
        <w:numPr>
          <w:ilvl w:val="0"/>
          <w:numId w:val="50"/>
        </w:numPr>
        <w:spacing w:after="120" w:line="276" w:lineRule="auto"/>
        <w:ind w:right="32"/>
      </w:pPr>
      <w:r w:rsidRPr="008924E0">
        <w:t>Provedb</w:t>
      </w:r>
      <w:r>
        <w:t>u</w:t>
      </w:r>
      <w:r w:rsidRPr="008924E0">
        <w:t xml:space="preserve"> programa razvoja zelene infrastrukture u urbanim područjima;</w:t>
      </w:r>
    </w:p>
    <w:p w14:paraId="48D13507" w14:textId="77777777" w:rsidR="00A77633" w:rsidRPr="008924E0" w:rsidRDefault="00A77633" w:rsidP="005D2C94">
      <w:pPr>
        <w:pStyle w:val="ListParagraph"/>
        <w:numPr>
          <w:ilvl w:val="0"/>
          <w:numId w:val="50"/>
        </w:numPr>
        <w:spacing w:after="120" w:line="276" w:lineRule="auto"/>
        <w:ind w:right="32"/>
      </w:pPr>
      <w:r w:rsidRPr="008924E0">
        <w:t>Uvođenje kvalitetnog planiranje i upravljanja razvojem zelene infrastrukture;</w:t>
      </w:r>
    </w:p>
    <w:p w14:paraId="1CEC1BD8" w14:textId="77777777" w:rsidR="00A77633" w:rsidRPr="008924E0" w:rsidRDefault="00A77633" w:rsidP="005D2C94">
      <w:pPr>
        <w:pStyle w:val="ListParagraph"/>
        <w:numPr>
          <w:ilvl w:val="0"/>
          <w:numId w:val="50"/>
        </w:numPr>
        <w:spacing w:after="120" w:line="276" w:lineRule="auto"/>
        <w:ind w:right="32"/>
      </w:pPr>
      <w:r w:rsidRPr="008924E0">
        <w:t xml:space="preserve">Uspostavljanje bolje povezanosti i dostupnosti zelene infrastrukture u urbanim područjima; </w:t>
      </w:r>
    </w:p>
    <w:p w14:paraId="28F50031" w14:textId="77777777" w:rsidR="00A77633" w:rsidRPr="008924E0" w:rsidRDefault="00A77633" w:rsidP="005D2C94">
      <w:pPr>
        <w:pStyle w:val="ListParagraph"/>
        <w:numPr>
          <w:ilvl w:val="0"/>
          <w:numId w:val="50"/>
        </w:numPr>
        <w:spacing w:after="120" w:line="276" w:lineRule="auto"/>
        <w:ind w:right="32"/>
      </w:pPr>
      <w:r w:rsidRPr="008924E0">
        <w:t xml:space="preserve">Evidentiranje zelene infrastrukture na području gradova i općina u FBiH, te osiguranje preduvjeta za razvoj zelene infrastrukture; </w:t>
      </w:r>
    </w:p>
    <w:p w14:paraId="5A151FA8" w14:textId="77777777" w:rsidR="00A77633" w:rsidRPr="008924E0" w:rsidRDefault="00A77633" w:rsidP="005D2C94">
      <w:pPr>
        <w:pStyle w:val="ListParagraph"/>
        <w:numPr>
          <w:ilvl w:val="0"/>
          <w:numId w:val="50"/>
        </w:numPr>
        <w:spacing w:after="120" w:line="276" w:lineRule="auto"/>
        <w:ind w:right="32"/>
      </w:pPr>
      <w:r w:rsidRPr="008924E0">
        <w:t>Izrad</w:t>
      </w:r>
      <w:r>
        <w:t>u</w:t>
      </w:r>
      <w:r w:rsidRPr="008924E0">
        <w:t xml:space="preserve"> i provedb</w:t>
      </w:r>
      <w:r>
        <w:t>u</w:t>
      </w:r>
      <w:r w:rsidRPr="008924E0">
        <w:t xml:space="preserve"> strateških dokumenata razvoja zelene infrastrukture na nivou svih kantona;</w:t>
      </w:r>
    </w:p>
    <w:p w14:paraId="776C5149" w14:textId="77777777" w:rsidR="00A77633" w:rsidRPr="008924E0" w:rsidRDefault="00A77633" w:rsidP="005D2C94">
      <w:pPr>
        <w:pStyle w:val="ListParagraph"/>
        <w:numPr>
          <w:ilvl w:val="0"/>
          <w:numId w:val="50"/>
        </w:numPr>
        <w:spacing w:after="120" w:line="276" w:lineRule="auto"/>
        <w:ind w:right="32"/>
      </w:pPr>
      <w:r w:rsidRPr="008924E0">
        <w:t>Razvoj i izrad</w:t>
      </w:r>
      <w:r>
        <w:t>u</w:t>
      </w:r>
      <w:r w:rsidRPr="008924E0">
        <w:t xml:space="preserve"> digitalne baze projekata</w:t>
      </w:r>
      <w:r>
        <w:t xml:space="preserve"> zelene infrastrukture</w:t>
      </w:r>
      <w:r w:rsidRPr="008924E0">
        <w:t xml:space="preserve">; </w:t>
      </w:r>
    </w:p>
    <w:p w14:paraId="117754E2" w14:textId="56FD8EE6" w:rsidR="00A77633" w:rsidRPr="008924E0" w:rsidRDefault="00A77633" w:rsidP="005D2C94">
      <w:pPr>
        <w:pStyle w:val="ListParagraph"/>
        <w:numPr>
          <w:ilvl w:val="0"/>
          <w:numId w:val="50"/>
        </w:numPr>
        <w:spacing w:after="120" w:line="276" w:lineRule="auto"/>
        <w:ind w:right="32"/>
      </w:pPr>
      <w:r w:rsidRPr="008924E0">
        <w:t xml:space="preserve">Unapređenje međunarodne saradnje koja će doprinijeti razvoju i povoljnijem </w:t>
      </w:r>
      <w:r w:rsidR="007B690C">
        <w:t>financ</w:t>
      </w:r>
      <w:r w:rsidRPr="008924E0">
        <w:t xml:space="preserve">iranju projekata zelene infrastrukture; </w:t>
      </w:r>
    </w:p>
    <w:p w14:paraId="2A002337" w14:textId="77777777" w:rsidR="00A77633" w:rsidRPr="008924E0" w:rsidRDefault="00A77633" w:rsidP="005D2C94">
      <w:pPr>
        <w:pStyle w:val="ListParagraph"/>
        <w:numPr>
          <w:ilvl w:val="0"/>
          <w:numId w:val="50"/>
        </w:numPr>
        <w:spacing w:after="120" w:line="276" w:lineRule="auto"/>
        <w:ind w:right="32"/>
      </w:pPr>
      <w:r w:rsidRPr="008924E0">
        <w:t xml:space="preserve">Poticanje izgradnje zelene infrastrukture kojom se jača otpornost urbanih područja na posljedice klimatskih promjena, kroz provedbu pilot projekta; </w:t>
      </w:r>
    </w:p>
    <w:p w14:paraId="6253C8E6" w14:textId="7F6E66C0" w:rsidR="00A77633" w:rsidRDefault="00A77633" w:rsidP="005D2C94">
      <w:pPr>
        <w:pStyle w:val="ListParagraph"/>
        <w:numPr>
          <w:ilvl w:val="0"/>
          <w:numId w:val="50"/>
        </w:numPr>
        <w:spacing w:after="120" w:line="276" w:lineRule="auto"/>
      </w:pPr>
      <w:r w:rsidRPr="008924E0">
        <w:t>Edukacija i informiranje javnosti o zelenoj infrastrukturi, te povećanje društvene svijesti o održivom razvoju urbanih područja kroz razvoj zelene infrastrukture</w:t>
      </w:r>
      <w:r w:rsidR="00115576">
        <w:t>;</w:t>
      </w:r>
    </w:p>
    <w:p w14:paraId="434F0A2E" w14:textId="77777777" w:rsidR="00A77633" w:rsidRPr="002C3CDF" w:rsidRDefault="00A77633" w:rsidP="00581C1C">
      <w:pPr>
        <w:pStyle w:val="ListParagraph"/>
        <w:numPr>
          <w:ilvl w:val="0"/>
          <w:numId w:val="75"/>
        </w:numPr>
        <w:spacing w:after="120" w:line="276" w:lineRule="auto"/>
      </w:pPr>
      <w:r w:rsidRPr="002C3CDF">
        <w:t>Donošenje i provedba programa razvoja cirkularnog upravljanja prostorom i zgradama prema načelima cirkularne ekonomije, što podrazumijeva:</w:t>
      </w:r>
    </w:p>
    <w:p w14:paraId="4A464C65" w14:textId="77777777" w:rsidR="00A77633" w:rsidRPr="008924E0" w:rsidRDefault="00A77633" w:rsidP="005D2C94">
      <w:pPr>
        <w:pStyle w:val="ListParagraph"/>
        <w:numPr>
          <w:ilvl w:val="0"/>
          <w:numId w:val="50"/>
        </w:numPr>
        <w:spacing w:after="120" w:line="276" w:lineRule="auto"/>
        <w:ind w:right="32"/>
      </w:pPr>
      <w:r w:rsidRPr="008924E0">
        <w:t>Konsultacije sa akademskom zajednicom i stručnom javnosti u okviru otvorenih dijaloga;</w:t>
      </w:r>
    </w:p>
    <w:p w14:paraId="05ED95B0" w14:textId="77777777" w:rsidR="00A77633" w:rsidRPr="008924E0" w:rsidRDefault="00A77633" w:rsidP="005D2C94">
      <w:pPr>
        <w:pStyle w:val="ListParagraph"/>
        <w:numPr>
          <w:ilvl w:val="0"/>
          <w:numId w:val="50"/>
        </w:numPr>
        <w:spacing w:after="120" w:line="276" w:lineRule="auto"/>
        <w:ind w:right="32"/>
      </w:pPr>
      <w:r w:rsidRPr="008924E0">
        <w:t>Izrad</w:t>
      </w:r>
      <w:r>
        <w:t>u</w:t>
      </w:r>
      <w:r w:rsidRPr="008924E0">
        <w:t xml:space="preserve"> i usvajanje „Programa razvoja cirkularnog upravljanja prostorom i zgradama prema načelima cirkularne ekonomije, za period do 2030. godine“</w:t>
      </w:r>
      <w:r>
        <w:t xml:space="preserve"> na tritoriji FBiH</w:t>
      </w:r>
      <w:r w:rsidRPr="008924E0">
        <w:t>, uz kontinuirano ažuriranje istog;</w:t>
      </w:r>
    </w:p>
    <w:p w14:paraId="06942FFF" w14:textId="77777777" w:rsidR="00A77633" w:rsidRPr="008924E0" w:rsidRDefault="00A77633" w:rsidP="005D2C94">
      <w:pPr>
        <w:pStyle w:val="ListParagraph"/>
        <w:numPr>
          <w:ilvl w:val="0"/>
          <w:numId w:val="50"/>
        </w:numPr>
        <w:spacing w:after="120" w:line="276" w:lineRule="auto"/>
        <w:ind w:right="32"/>
      </w:pPr>
      <w:r w:rsidRPr="008924E0">
        <w:t>Cirkularn</w:t>
      </w:r>
      <w:r>
        <w:t>u</w:t>
      </w:r>
      <w:r w:rsidRPr="008924E0">
        <w:t xml:space="preserve"> obnova nekorištenih prostora i zgrada odnosno provedba programa razvoja cirkularnog upravljanja prostorom i zgradama; </w:t>
      </w:r>
    </w:p>
    <w:p w14:paraId="7E01FFCE" w14:textId="77777777" w:rsidR="00A77633" w:rsidRPr="008924E0" w:rsidRDefault="00A77633" w:rsidP="005D2C94">
      <w:pPr>
        <w:pStyle w:val="ListParagraph"/>
        <w:numPr>
          <w:ilvl w:val="0"/>
          <w:numId w:val="50"/>
        </w:numPr>
        <w:spacing w:after="120" w:line="276" w:lineRule="auto"/>
        <w:ind w:right="32"/>
      </w:pPr>
      <w:r w:rsidRPr="008924E0">
        <w:t>Razvoj sistema cirkularnog upravljanja prostorom i zgradama;</w:t>
      </w:r>
    </w:p>
    <w:p w14:paraId="2DBF8E8D" w14:textId="77777777" w:rsidR="00A77633" w:rsidRPr="008924E0" w:rsidRDefault="00A77633" w:rsidP="005D2C94">
      <w:pPr>
        <w:pStyle w:val="ListParagraph"/>
        <w:numPr>
          <w:ilvl w:val="0"/>
          <w:numId w:val="50"/>
        </w:numPr>
        <w:spacing w:after="120" w:line="276" w:lineRule="auto"/>
      </w:pPr>
      <w:r w:rsidRPr="008924E0">
        <w:lastRenderedPageBreak/>
        <w:t xml:space="preserve">Evidentiranje podataka cirkularnog upravljanja prostorom i zgradama; </w:t>
      </w:r>
    </w:p>
    <w:p w14:paraId="28CC95DC" w14:textId="77777777" w:rsidR="00A77633" w:rsidRPr="008924E0" w:rsidRDefault="00A77633" w:rsidP="005D2C94">
      <w:pPr>
        <w:pStyle w:val="ListParagraph"/>
        <w:numPr>
          <w:ilvl w:val="0"/>
          <w:numId w:val="50"/>
        </w:numPr>
        <w:spacing w:after="120" w:line="276" w:lineRule="auto"/>
      </w:pPr>
      <w:r w:rsidRPr="008924E0">
        <w:t xml:space="preserve">Osiguranje preduvjeta za razvoj cirkularnog upravljanja prostorom i zgradama; </w:t>
      </w:r>
    </w:p>
    <w:p w14:paraId="4B9DDC35" w14:textId="77777777" w:rsidR="00A77633" w:rsidRPr="008924E0" w:rsidRDefault="00A77633" w:rsidP="005D2C94">
      <w:pPr>
        <w:pStyle w:val="ListParagraph"/>
        <w:numPr>
          <w:ilvl w:val="0"/>
          <w:numId w:val="50"/>
        </w:numPr>
        <w:spacing w:after="120" w:line="276" w:lineRule="auto"/>
      </w:pPr>
      <w:r w:rsidRPr="008924E0">
        <w:t>Izrad</w:t>
      </w:r>
      <w:r>
        <w:t>u</w:t>
      </w:r>
      <w:r w:rsidRPr="008924E0">
        <w:t xml:space="preserve"> i provedb</w:t>
      </w:r>
      <w:r>
        <w:t>u</w:t>
      </w:r>
      <w:r w:rsidRPr="008924E0">
        <w:t xml:space="preserve"> strateških dokumenata razvoja cirkularnog upravljanja prostorom i zgradama na nivou svih kantona;</w:t>
      </w:r>
    </w:p>
    <w:p w14:paraId="0215BB71" w14:textId="77777777" w:rsidR="00A77633" w:rsidRPr="008924E0" w:rsidRDefault="00A77633" w:rsidP="005D2C94">
      <w:pPr>
        <w:pStyle w:val="ListParagraph"/>
        <w:numPr>
          <w:ilvl w:val="0"/>
          <w:numId w:val="50"/>
        </w:numPr>
        <w:spacing w:after="120" w:line="276" w:lineRule="auto"/>
      </w:pPr>
      <w:r w:rsidRPr="008924E0">
        <w:t>Razvoj i izrada digitalne baze projekata</w:t>
      </w:r>
      <w:r>
        <w:t xml:space="preserve"> cirkularnog upravljanja prostorom i zgradama</w:t>
      </w:r>
      <w:r w:rsidRPr="008924E0">
        <w:t xml:space="preserve">; </w:t>
      </w:r>
    </w:p>
    <w:p w14:paraId="16C49DE4" w14:textId="7211C14D" w:rsidR="00A77633" w:rsidRPr="008924E0" w:rsidRDefault="00A77633" w:rsidP="005D2C94">
      <w:pPr>
        <w:pStyle w:val="ListParagraph"/>
        <w:numPr>
          <w:ilvl w:val="0"/>
          <w:numId w:val="50"/>
        </w:numPr>
        <w:spacing w:after="120" w:line="276" w:lineRule="auto"/>
      </w:pPr>
      <w:r w:rsidRPr="008924E0">
        <w:t xml:space="preserve">Unapređenje međusektorske i međunarodne saradnje koja će doprinijeti razvoju i povoljnijem </w:t>
      </w:r>
      <w:r w:rsidR="007B690C">
        <w:t>financ</w:t>
      </w:r>
      <w:r w:rsidRPr="008924E0">
        <w:t xml:space="preserve">iranju projekata cirkularne ekonomije;  </w:t>
      </w:r>
    </w:p>
    <w:p w14:paraId="0FEA0462" w14:textId="77777777" w:rsidR="00A77633" w:rsidRPr="008924E0" w:rsidRDefault="00A77633" w:rsidP="005D2C94">
      <w:pPr>
        <w:pStyle w:val="ListParagraph"/>
        <w:numPr>
          <w:ilvl w:val="0"/>
          <w:numId w:val="50"/>
        </w:numPr>
        <w:spacing w:after="120" w:line="276" w:lineRule="auto"/>
      </w:pPr>
      <w:r w:rsidRPr="008924E0">
        <w:t>Poticanje cirkularne obnove prostora i zgrada kroz provedbu pilot projekata;</w:t>
      </w:r>
    </w:p>
    <w:p w14:paraId="1FB6D1D6" w14:textId="77777777" w:rsidR="00A77633" w:rsidRPr="008924E0" w:rsidRDefault="00A77633" w:rsidP="005D2C94">
      <w:pPr>
        <w:pStyle w:val="ListParagraph"/>
        <w:numPr>
          <w:ilvl w:val="0"/>
          <w:numId w:val="50"/>
        </w:numPr>
        <w:spacing w:after="120" w:line="276" w:lineRule="auto"/>
      </w:pPr>
      <w:r w:rsidRPr="008924E0">
        <w:t xml:space="preserve">Poticanje inovacija i razvoja u primjeni cirkularnog upravljanja prostorom i zgradama; </w:t>
      </w:r>
    </w:p>
    <w:p w14:paraId="439CB4FE" w14:textId="77777777" w:rsidR="00A77633" w:rsidRPr="008924E0" w:rsidRDefault="00A77633" w:rsidP="005D2C94">
      <w:pPr>
        <w:pStyle w:val="ListParagraph"/>
        <w:numPr>
          <w:ilvl w:val="0"/>
          <w:numId w:val="50"/>
        </w:numPr>
        <w:spacing w:after="120" w:line="276" w:lineRule="auto"/>
        <w:ind w:right="32"/>
      </w:pPr>
      <w:r w:rsidRPr="008924E0">
        <w:t>Uspostavljanje sistema kompanija certificiranih za građevinsku obnovu zgrada;</w:t>
      </w:r>
    </w:p>
    <w:p w14:paraId="6DD83B3A" w14:textId="77777777" w:rsidR="00A77633" w:rsidRPr="008924E0" w:rsidRDefault="00A77633" w:rsidP="005D2C94">
      <w:pPr>
        <w:pStyle w:val="ListParagraph"/>
        <w:numPr>
          <w:ilvl w:val="0"/>
          <w:numId w:val="50"/>
        </w:numPr>
        <w:spacing w:after="120" w:line="276" w:lineRule="auto"/>
        <w:ind w:right="32"/>
      </w:pPr>
      <w:r w:rsidRPr="008924E0">
        <w:t>Uspostavljanje adekvatnih planove reciklaže nakon obnove zgrada, uzimajući u obzir analizu životnog ciklusa zgrade, odnosno proizvoda ili usluge, od eksploatacije resursa, preko proizvodnje, korištenja i recikliranja do zbrinjavanja preostalog otpada, te emisije ugljika ili uštede emisija nastale ponovnim korištenjem ili recikliranjem materijala;</w:t>
      </w:r>
    </w:p>
    <w:p w14:paraId="1B6520CD" w14:textId="77777777" w:rsidR="00A77633" w:rsidRPr="007E53AE" w:rsidRDefault="00A77633" w:rsidP="005D2C94">
      <w:pPr>
        <w:pStyle w:val="ListParagraph"/>
        <w:numPr>
          <w:ilvl w:val="0"/>
          <w:numId w:val="50"/>
        </w:numPr>
        <w:spacing w:after="120" w:line="276" w:lineRule="auto"/>
        <w:ind w:right="32"/>
      </w:pPr>
      <w:r w:rsidRPr="008924E0">
        <w:t xml:space="preserve">Edukacija i informiranje javnosti o cirkularnom upravljanju prostorom i zgradama, te povećanje društvene svijesti o održivom razvoju urbanih područja kroz cirkularnu ekonomiju od strane FZO </w:t>
      </w:r>
      <w:r w:rsidRPr="007E53AE">
        <w:t>FBiH;</w:t>
      </w:r>
    </w:p>
    <w:p w14:paraId="11A80E59" w14:textId="77777777" w:rsidR="00A77633" w:rsidRPr="007E53AE" w:rsidRDefault="00A77633" w:rsidP="005D2C94">
      <w:pPr>
        <w:pStyle w:val="ListParagraph"/>
        <w:numPr>
          <w:ilvl w:val="0"/>
          <w:numId w:val="50"/>
        </w:numPr>
        <w:spacing w:after="120" w:line="276" w:lineRule="auto"/>
        <w:ind w:right="32"/>
      </w:pPr>
      <w:r w:rsidRPr="007E53AE">
        <w:t>Razvoj platformi za razmjenu iskustava, znanja i informacija.</w:t>
      </w:r>
    </w:p>
    <w:p w14:paraId="773B36CF" w14:textId="77777777" w:rsidR="00A77633" w:rsidRPr="007E53AE" w:rsidRDefault="00A77633" w:rsidP="005D2C94">
      <w:pPr>
        <w:spacing w:after="120" w:line="276" w:lineRule="auto"/>
        <w:ind w:right="32"/>
      </w:pPr>
      <w:proofErr w:type="spellStart"/>
      <w:r w:rsidRPr="00DD2143">
        <w:t>Implementacija</w:t>
      </w:r>
      <w:proofErr w:type="spellEnd"/>
      <w:r w:rsidRPr="00DD2143">
        <w:t xml:space="preserve"> </w:t>
      </w:r>
      <w:proofErr w:type="spellStart"/>
      <w:r w:rsidRPr="00DD2143">
        <w:t>ove</w:t>
      </w:r>
      <w:proofErr w:type="spellEnd"/>
      <w:r w:rsidRPr="00DD2143">
        <w:t xml:space="preserve"> </w:t>
      </w:r>
      <w:proofErr w:type="spellStart"/>
      <w:r w:rsidRPr="00DD2143">
        <w:t>mjere</w:t>
      </w:r>
      <w:proofErr w:type="spellEnd"/>
      <w:r w:rsidRPr="00DD2143">
        <w:t xml:space="preserve"> </w:t>
      </w:r>
      <w:proofErr w:type="spellStart"/>
      <w:r w:rsidRPr="00DD2143">
        <w:t>rezultirat</w:t>
      </w:r>
      <w:proofErr w:type="spellEnd"/>
      <w:r w:rsidRPr="00DD2143">
        <w:t xml:space="preserve"> </w:t>
      </w:r>
      <w:proofErr w:type="spellStart"/>
      <w:r w:rsidRPr="00DD2143">
        <w:t>će</w:t>
      </w:r>
      <w:proofErr w:type="spellEnd"/>
      <w:r w:rsidRPr="007E53AE">
        <w:t>:</w:t>
      </w:r>
      <w:r w:rsidRPr="00DD2143">
        <w:t xml:space="preserve"> </w:t>
      </w:r>
    </w:p>
    <w:p w14:paraId="35B2922B" w14:textId="77777777" w:rsidR="00A77633" w:rsidRPr="00DD2143" w:rsidRDefault="00A77633" w:rsidP="00581C1C">
      <w:pPr>
        <w:pStyle w:val="ListParagraph"/>
        <w:numPr>
          <w:ilvl w:val="0"/>
          <w:numId w:val="87"/>
        </w:numPr>
        <w:spacing w:after="120" w:line="276" w:lineRule="auto"/>
        <w:ind w:right="32"/>
      </w:pPr>
      <w:r w:rsidRPr="00DD2143">
        <w:t>povećanjem iskorištenosti prostornih resursa;</w:t>
      </w:r>
    </w:p>
    <w:p w14:paraId="1E9E55E9" w14:textId="77777777" w:rsidR="00A77633" w:rsidRPr="007E53AE" w:rsidRDefault="00A77633" w:rsidP="00581C1C">
      <w:pPr>
        <w:pStyle w:val="ListParagraph"/>
        <w:numPr>
          <w:ilvl w:val="0"/>
          <w:numId w:val="87"/>
        </w:numPr>
        <w:spacing w:after="120" w:line="276" w:lineRule="auto"/>
        <w:ind w:right="32"/>
      </w:pPr>
      <w:r w:rsidRPr="00DD2143">
        <w:t>održivom gradnjom zgrada zasnovanom na principima cirkularne ekonomije,</w:t>
      </w:r>
    </w:p>
    <w:p w14:paraId="3B52A0C4" w14:textId="77777777" w:rsidR="00A77633" w:rsidRPr="00DD2143" w:rsidRDefault="00A77633" w:rsidP="00581C1C">
      <w:pPr>
        <w:pStyle w:val="ListParagraph"/>
        <w:numPr>
          <w:ilvl w:val="0"/>
          <w:numId w:val="87"/>
        </w:numPr>
        <w:spacing w:after="120" w:line="276" w:lineRule="auto"/>
        <w:ind w:right="32"/>
      </w:pPr>
      <w:r w:rsidRPr="00DD2143">
        <w:t>boljem kvalitetnijem životu i zdravlju ljudi, te održivom društvenom, privrednom i prostornom razvoju FBiH.</w:t>
      </w:r>
    </w:p>
    <w:p w14:paraId="6BEE3FDD" w14:textId="77777777" w:rsidR="00A77633" w:rsidRPr="00DD2143" w:rsidRDefault="00A77633" w:rsidP="00A77633">
      <w:pPr>
        <w:rPr>
          <w:lang w:val="bs-Latn-BA"/>
        </w:rPr>
      </w:pPr>
    </w:p>
    <w:p w14:paraId="2E14F81F" w14:textId="77777777" w:rsidR="00A77633" w:rsidRPr="001972F5" w:rsidRDefault="00A77633" w:rsidP="00A77633">
      <w:pPr>
        <w:rPr>
          <w:b/>
          <w:bCs/>
          <w:lang w:val="bs-Latn-BA"/>
        </w:rPr>
      </w:pPr>
    </w:p>
    <w:p w14:paraId="757F9A65" w14:textId="77777777" w:rsidR="00A77633" w:rsidRPr="001972F5" w:rsidRDefault="00A77633" w:rsidP="00A77633">
      <w:pPr>
        <w:rPr>
          <w:b/>
          <w:bCs/>
          <w:lang w:val="bs-Latn-BA"/>
        </w:rPr>
      </w:pPr>
    </w:p>
    <w:p w14:paraId="58A301AC" w14:textId="77777777" w:rsidR="00034C14" w:rsidRDefault="00034C14" w:rsidP="00034C14">
      <w:pPr>
        <w:rPr>
          <w:lang w:val="bs-Latn-BA"/>
        </w:rPr>
      </w:pPr>
    </w:p>
    <w:p w14:paraId="0E5C0065" w14:textId="77777777" w:rsidR="00034C14" w:rsidRDefault="00034C14" w:rsidP="00034C14">
      <w:pPr>
        <w:rPr>
          <w:lang w:val="bs-Latn-BA"/>
        </w:rPr>
      </w:pPr>
    </w:p>
    <w:p w14:paraId="5ED82E8D" w14:textId="77777777" w:rsidR="005D2C94" w:rsidRDefault="005D2C94" w:rsidP="00034C14">
      <w:pPr>
        <w:rPr>
          <w:lang w:val="bs-Latn-BA"/>
        </w:rPr>
      </w:pPr>
    </w:p>
    <w:p w14:paraId="6704F158" w14:textId="77777777" w:rsidR="005D2C94" w:rsidRDefault="005D2C94" w:rsidP="00034C14">
      <w:pPr>
        <w:rPr>
          <w:lang w:val="bs-Latn-BA"/>
        </w:rPr>
      </w:pPr>
    </w:p>
    <w:p w14:paraId="4EAC4EF8" w14:textId="77777777" w:rsidR="005D2C94" w:rsidRDefault="005D2C94" w:rsidP="00034C14">
      <w:pPr>
        <w:rPr>
          <w:lang w:val="bs-Latn-BA"/>
        </w:rPr>
      </w:pPr>
    </w:p>
    <w:p w14:paraId="7F3063B8" w14:textId="77777777" w:rsidR="005D2C94" w:rsidRPr="00034C14" w:rsidRDefault="005D2C94" w:rsidP="00034C14">
      <w:pPr>
        <w:rPr>
          <w:lang w:val="bs-Latn-BA"/>
        </w:rPr>
      </w:pPr>
    </w:p>
    <w:p w14:paraId="1E89A88E" w14:textId="3A628885" w:rsidR="00740D4F" w:rsidRPr="008924E0" w:rsidRDefault="00740D4F" w:rsidP="00B254A7">
      <w:pPr>
        <w:pStyle w:val="Heading1"/>
        <w:numPr>
          <w:ilvl w:val="0"/>
          <w:numId w:val="33"/>
        </w:numPr>
        <w:rPr>
          <w:lang w:val="bs-Latn-BA"/>
        </w:rPr>
      </w:pPr>
      <w:bookmarkStart w:id="157" w:name="_Toc134011786"/>
      <w:r w:rsidRPr="008924E0">
        <w:rPr>
          <w:lang w:val="bs-Latn-BA"/>
        </w:rPr>
        <w:lastRenderedPageBreak/>
        <w:t>Usklađenost sa drugim relevantnim strateškim dokumentima</w:t>
      </w:r>
      <w:bookmarkEnd w:id="157"/>
    </w:p>
    <w:p w14:paraId="72DB3F59" w14:textId="77777777" w:rsidR="00C75FEE" w:rsidRPr="008924E0" w:rsidRDefault="00C75FEE" w:rsidP="005F74B0">
      <w:pPr>
        <w:pStyle w:val="Heading2"/>
        <w:numPr>
          <w:ilvl w:val="1"/>
          <w:numId w:val="33"/>
        </w:numPr>
        <w:ind w:left="792"/>
        <w:rPr>
          <w:lang w:val="bs-Latn-BA"/>
        </w:rPr>
      </w:pPr>
      <w:bookmarkStart w:id="158" w:name="_Toc134011787"/>
      <w:r w:rsidRPr="008924E0">
        <w:rPr>
          <w:lang w:val="bs-Latn-BA"/>
        </w:rPr>
        <w:t>Općenito</w:t>
      </w:r>
      <w:bookmarkEnd w:id="158"/>
      <w:r w:rsidRPr="008924E0">
        <w:rPr>
          <w:lang w:val="bs-Latn-BA"/>
        </w:rPr>
        <w:t xml:space="preserve"> </w:t>
      </w:r>
    </w:p>
    <w:p w14:paraId="601A1E1C" w14:textId="4C25D1D2" w:rsidR="00C75FEE" w:rsidRPr="008924E0" w:rsidRDefault="00C75FEE" w:rsidP="00C75FEE">
      <w:pPr>
        <w:rPr>
          <w:color w:val="000000"/>
          <w:lang w:val="bs-Latn-BA"/>
        </w:rPr>
      </w:pPr>
      <w:r w:rsidRPr="008924E0">
        <w:rPr>
          <w:color w:val="000000"/>
          <w:lang w:val="bs-Latn-BA"/>
        </w:rPr>
        <w:t xml:space="preserve">U okviru Strategije dugoročne obnove zgrada u Federacije BiH za period do 2050. godine, identificiran je jedan sveobuhvatan strateški cilj - Postojeći fond zgrada je transformiran u energijski visokoefikasan i dekarboniziran fond zgrada do 2050. godine, te </w:t>
      </w:r>
      <w:r w:rsidR="00357E19">
        <w:rPr>
          <w:color w:val="000000"/>
          <w:lang w:val="bs-Latn-BA"/>
        </w:rPr>
        <w:t xml:space="preserve">su </w:t>
      </w:r>
      <w:r w:rsidRPr="008924E0">
        <w:rPr>
          <w:color w:val="000000"/>
          <w:lang w:val="bs-Latn-BA"/>
        </w:rPr>
        <w:t>određen</w:t>
      </w:r>
      <w:r w:rsidR="00357E19">
        <w:rPr>
          <w:color w:val="000000"/>
          <w:lang w:val="bs-Latn-BA"/>
        </w:rPr>
        <w:t>a</w:t>
      </w:r>
      <w:r w:rsidRPr="008924E0">
        <w:rPr>
          <w:color w:val="000000"/>
          <w:lang w:val="bs-Latn-BA"/>
        </w:rPr>
        <w:t xml:space="preserve"> </w:t>
      </w:r>
      <w:r w:rsidR="00357E19">
        <w:rPr>
          <w:color w:val="000000"/>
          <w:lang w:val="bs-Latn-BA"/>
        </w:rPr>
        <w:t>2</w:t>
      </w:r>
      <w:r w:rsidRPr="008924E0">
        <w:rPr>
          <w:color w:val="000000"/>
          <w:lang w:val="bs-Latn-BA"/>
        </w:rPr>
        <w:t xml:space="preserve"> prioriteta i ukupno </w:t>
      </w:r>
      <w:r w:rsidR="00357E19">
        <w:rPr>
          <w:color w:val="000000"/>
          <w:lang w:val="bs-Latn-BA"/>
        </w:rPr>
        <w:t>10</w:t>
      </w:r>
      <w:r w:rsidRPr="008924E0">
        <w:rPr>
          <w:color w:val="000000"/>
          <w:lang w:val="bs-Latn-BA"/>
        </w:rPr>
        <w:t xml:space="preserve"> pripadajućih mjera.</w:t>
      </w:r>
    </w:p>
    <w:p w14:paraId="6501FDD9" w14:textId="2ACE924D" w:rsidR="00C75FEE" w:rsidRPr="008924E0" w:rsidRDefault="00C75FEE" w:rsidP="00C75FEE">
      <w:pPr>
        <w:rPr>
          <w:color w:val="000000"/>
          <w:lang w:val="bs-Latn-BA"/>
        </w:rPr>
      </w:pPr>
      <w:r w:rsidRPr="008924E0">
        <w:rPr>
          <w:color w:val="000000"/>
          <w:lang w:val="bs-Latn-BA"/>
        </w:rPr>
        <w:t>Analiza međusobne usklađenosti ovog dokumenta s drugim relevantnim strateškim dokumentima izvršena je komparacijom stratešk</w:t>
      </w:r>
      <w:r w:rsidR="00C9093A">
        <w:rPr>
          <w:color w:val="000000"/>
          <w:lang w:val="bs-Latn-BA"/>
        </w:rPr>
        <w:t>og</w:t>
      </w:r>
      <w:r w:rsidRPr="008924E0">
        <w:rPr>
          <w:color w:val="000000"/>
          <w:lang w:val="bs-Latn-BA"/>
        </w:rPr>
        <w:t xml:space="preserve"> cilj</w:t>
      </w:r>
      <w:r w:rsidR="00C9093A">
        <w:rPr>
          <w:color w:val="000000"/>
          <w:lang w:val="bs-Latn-BA"/>
        </w:rPr>
        <w:t>a</w:t>
      </w:r>
      <w:r w:rsidRPr="008924E0">
        <w:rPr>
          <w:color w:val="000000"/>
          <w:lang w:val="bs-Latn-BA"/>
        </w:rPr>
        <w:t xml:space="preserve"> (i prioriteta) Strategije s ciljevima drugih strateških dokumenata vezanih za procesa </w:t>
      </w:r>
      <w:r w:rsidR="00F311F8">
        <w:rPr>
          <w:color w:val="000000"/>
          <w:lang w:val="bs-Latn-BA"/>
        </w:rPr>
        <w:t>Eu</w:t>
      </w:r>
      <w:r w:rsidRPr="008924E0">
        <w:rPr>
          <w:color w:val="000000"/>
          <w:lang w:val="bs-Latn-BA"/>
        </w:rPr>
        <w:t xml:space="preserve">ropskih integracija i međunarodno priznate ciljeve održivog razvoja. </w:t>
      </w:r>
    </w:p>
    <w:p w14:paraId="18745A55" w14:textId="77777777" w:rsidR="00C75FEE" w:rsidRPr="008924E0" w:rsidRDefault="00C75FEE" w:rsidP="00C75FEE">
      <w:pPr>
        <w:rPr>
          <w:color w:val="000000"/>
          <w:lang w:val="bs-Latn-BA"/>
        </w:rPr>
      </w:pPr>
      <w:r w:rsidRPr="008924E0">
        <w:rPr>
          <w:color w:val="000000"/>
          <w:lang w:val="bs-Latn-BA"/>
        </w:rPr>
        <w:t>U procesu izrade Strategije, komparacija je izvršena sa sljedećim strateškim, planskim i razvojnim dokumentima:</w:t>
      </w:r>
    </w:p>
    <w:tbl>
      <w:tblPr>
        <w:tblStyle w:val="18"/>
        <w:tblW w:w="9193" w:type="dxa"/>
        <w:tblLayout w:type="fixed"/>
        <w:tblLook w:val="04A0" w:firstRow="1" w:lastRow="0" w:firstColumn="1" w:lastColumn="0" w:noHBand="0" w:noVBand="1"/>
      </w:tblPr>
      <w:tblGrid>
        <w:gridCol w:w="2200"/>
        <w:gridCol w:w="6993"/>
      </w:tblGrid>
      <w:tr w:rsidR="00C75FEE" w:rsidRPr="008924E0" w14:paraId="006F0474" w14:textId="77777777" w:rsidTr="004A26E3">
        <w:trPr>
          <w:cnfStyle w:val="100000000000" w:firstRow="1" w:lastRow="0" w:firstColumn="0" w:lastColumn="0" w:oddVBand="0" w:evenVBand="0" w:oddHBand="0"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2200" w:type="dxa"/>
          </w:tcPr>
          <w:p w14:paraId="42BA22F4" w14:textId="77777777" w:rsidR="00C75FEE" w:rsidRPr="008924E0" w:rsidRDefault="00C75FEE" w:rsidP="000B085B">
            <w:pPr>
              <w:rPr>
                <w:rFonts w:eastAsia="Times New Roman"/>
                <w:b w:val="0"/>
                <w:bCs/>
                <w:lang w:val="bs-Latn-BA"/>
              </w:rPr>
            </w:pPr>
            <w:r w:rsidRPr="008924E0">
              <w:rPr>
                <w:rFonts w:eastAsia="Times New Roman"/>
                <w:bCs/>
                <w:lang w:val="bs-Latn-BA"/>
              </w:rPr>
              <w:t>Oblast</w:t>
            </w:r>
          </w:p>
        </w:tc>
        <w:tc>
          <w:tcPr>
            <w:tcW w:w="6993" w:type="dxa"/>
          </w:tcPr>
          <w:p w14:paraId="79DBCDB1" w14:textId="77777777" w:rsidR="00C75FEE" w:rsidRPr="008924E0" w:rsidRDefault="00C75FEE" w:rsidP="000B085B">
            <w:pPr>
              <w:cnfStyle w:val="100000000000" w:firstRow="1" w:lastRow="0" w:firstColumn="0" w:lastColumn="0" w:oddVBand="0" w:evenVBand="0" w:oddHBand="0" w:evenHBand="0" w:firstRowFirstColumn="0" w:firstRowLastColumn="0" w:lastRowFirstColumn="0" w:lastRowLastColumn="0"/>
              <w:rPr>
                <w:rFonts w:eastAsia="Times New Roman"/>
                <w:b w:val="0"/>
                <w:bCs/>
                <w:lang w:val="bs-Latn-BA"/>
              </w:rPr>
            </w:pPr>
            <w:r w:rsidRPr="008924E0">
              <w:rPr>
                <w:rFonts w:eastAsia="Times New Roman"/>
                <w:bCs/>
                <w:lang w:val="bs-Latn-BA"/>
              </w:rPr>
              <w:t>Strateški/planski dokumenti</w:t>
            </w:r>
          </w:p>
        </w:tc>
      </w:tr>
      <w:tr w:rsidR="00C75FEE" w:rsidRPr="008924E0" w14:paraId="7B3B23DB" w14:textId="77777777" w:rsidTr="004A26E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3E0A8113" w14:textId="77777777" w:rsidR="00C75FEE" w:rsidRPr="008924E0" w:rsidRDefault="00C75FEE" w:rsidP="000B085B">
            <w:pPr>
              <w:rPr>
                <w:rFonts w:eastAsia="Times New Roman"/>
                <w:lang w:val="bs-Latn-BA"/>
              </w:rPr>
            </w:pPr>
            <w:r w:rsidRPr="008924E0">
              <w:rPr>
                <w:rFonts w:eastAsia="Times New Roman"/>
                <w:lang w:val="bs-Latn-BA"/>
              </w:rPr>
              <w:t>Energetika i energijska efikasnost</w:t>
            </w:r>
          </w:p>
        </w:tc>
        <w:tc>
          <w:tcPr>
            <w:tcW w:w="6993" w:type="dxa"/>
          </w:tcPr>
          <w:p w14:paraId="340692D1" w14:textId="77777777" w:rsidR="00C75FEE" w:rsidRPr="007F1ECE" w:rsidRDefault="00C75FEE" w:rsidP="000B08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val="bs-Latn-BA"/>
              </w:rPr>
            </w:pPr>
            <w:r w:rsidRPr="007F1ECE">
              <w:rPr>
                <w:rFonts w:asciiTheme="minorHAnsi" w:eastAsia="Times New Roman" w:hAnsiTheme="minorHAnsi" w:cstheme="minorHAnsi"/>
                <w:lang w:val="bs-Latn-BA"/>
              </w:rPr>
              <w:t>Integrirani energetski i klimatski plan za BiH do 2030 (</w:t>
            </w:r>
            <w:r w:rsidRPr="007F1ECE">
              <w:rPr>
                <w:rFonts w:asciiTheme="minorHAnsi" w:eastAsia="Times New Roman" w:hAnsiTheme="minorHAnsi" w:cstheme="minorHAnsi"/>
                <w:i/>
                <w:lang w:val="bs-Latn-BA"/>
              </w:rPr>
              <w:t>National Energy and Climate Plan -NECP 2030)</w:t>
            </w:r>
            <w:r w:rsidRPr="007F1ECE">
              <w:rPr>
                <w:rFonts w:asciiTheme="minorHAnsi" w:eastAsia="Times New Roman" w:hAnsiTheme="minorHAnsi" w:cstheme="minorHAnsi"/>
                <w:lang w:val="bs-Latn-BA"/>
              </w:rPr>
              <w:t xml:space="preserve"> -nacrt 2020.</w:t>
            </w:r>
          </w:p>
        </w:tc>
      </w:tr>
      <w:tr w:rsidR="00C75FEE" w:rsidRPr="008924E0" w14:paraId="6CA667D6" w14:textId="77777777" w:rsidTr="00561D5E">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00" w:type="dxa"/>
            <w:vMerge/>
          </w:tcPr>
          <w:p w14:paraId="26DB70C9" w14:textId="77777777" w:rsidR="00C75FEE" w:rsidRPr="008924E0" w:rsidRDefault="00C75FEE" w:rsidP="000B085B">
            <w:pPr>
              <w:widowControl w:val="0"/>
              <w:pBdr>
                <w:top w:val="nil"/>
                <w:left w:val="nil"/>
                <w:bottom w:val="nil"/>
                <w:right w:val="nil"/>
                <w:between w:val="nil"/>
              </w:pBdr>
              <w:spacing w:line="276" w:lineRule="auto"/>
              <w:rPr>
                <w:rFonts w:eastAsia="Times New Roman"/>
                <w:b w:val="0"/>
                <w:lang w:val="bs-Latn-BA"/>
              </w:rPr>
            </w:pPr>
          </w:p>
        </w:tc>
        <w:tc>
          <w:tcPr>
            <w:tcW w:w="6993" w:type="dxa"/>
          </w:tcPr>
          <w:p w14:paraId="4B829BF8" w14:textId="77777777" w:rsidR="00C75FEE" w:rsidRPr="007F1ECE" w:rsidRDefault="00C75FEE" w:rsidP="000B085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val="bs-Latn-BA"/>
              </w:rPr>
            </w:pPr>
            <w:r w:rsidRPr="007F1ECE">
              <w:rPr>
                <w:rFonts w:asciiTheme="minorHAnsi" w:eastAsia="Times New Roman" w:hAnsiTheme="minorHAnsi" w:cstheme="minorHAnsi"/>
                <w:lang w:val="bs-Latn-BA"/>
              </w:rPr>
              <w:t>Okvirna energetska strategija Federacije Bosne i Hercegovine do 2035. godine</w:t>
            </w:r>
            <w:r w:rsidRPr="007F1ECE">
              <w:rPr>
                <w:rFonts w:asciiTheme="minorHAnsi" w:eastAsia="Times New Roman" w:hAnsiTheme="minorHAnsi" w:cstheme="minorHAnsi"/>
                <w:vertAlign w:val="superscript"/>
                <w:lang w:val="bs-Latn-BA"/>
              </w:rPr>
              <w:footnoteReference w:id="40"/>
            </w:r>
            <w:r w:rsidRPr="007F1ECE">
              <w:rPr>
                <w:rFonts w:asciiTheme="minorHAnsi" w:eastAsia="Times New Roman" w:hAnsiTheme="minorHAnsi" w:cstheme="minorHAnsi"/>
                <w:lang w:val="bs-Latn-BA"/>
              </w:rPr>
              <w:t xml:space="preserve">                     </w:t>
            </w:r>
          </w:p>
        </w:tc>
      </w:tr>
      <w:tr w:rsidR="00C75FEE" w:rsidRPr="008924E0" w14:paraId="0D62DAB7" w14:textId="77777777" w:rsidTr="004A26E3">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46EA686A" w14:textId="77777777" w:rsidR="00C75FEE" w:rsidRPr="008924E0" w:rsidRDefault="00C75FEE" w:rsidP="000B085B">
            <w:pPr>
              <w:rPr>
                <w:rFonts w:eastAsia="Times New Roman"/>
                <w:lang w:val="bs-Latn-BA"/>
              </w:rPr>
            </w:pPr>
            <w:r w:rsidRPr="008924E0">
              <w:rPr>
                <w:rFonts w:eastAsia="Times New Roman"/>
                <w:lang w:val="bs-Latn-BA"/>
              </w:rPr>
              <w:t>Održivi urbani razvoj</w:t>
            </w:r>
          </w:p>
        </w:tc>
        <w:tc>
          <w:tcPr>
            <w:tcW w:w="6993" w:type="dxa"/>
          </w:tcPr>
          <w:p w14:paraId="29B48519" w14:textId="77777777" w:rsidR="00C75FEE" w:rsidRPr="007F1ECE" w:rsidRDefault="00C75FEE" w:rsidP="000B08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val="bs-Latn-BA"/>
              </w:rPr>
            </w:pPr>
            <w:r w:rsidRPr="007F1ECE">
              <w:rPr>
                <w:rFonts w:asciiTheme="minorHAnsi" w:eastAsia="Times New Roman" w:hAnsiTheme="minorHAnsi" w:cstheme="minorHAnsi"/>
                <w:lang w:val="bs-Latn-BA"/>
              </w:rPr>
              <w:t>Strategije razvoja Federacije Bosne i Hercegovine 2021-2027.</w:t>
            </w:r>
            <w:r w:rsidRPr="007F1ECE">
              <w:rPr>
                <w:rFonts w:asciiTheme="minorHAnsi" w:eastAsia="Times New Roman" w:hAnsiTheme="minorHAnsi" w:cstheme="minorHAnsi"/>
                <w:vertAlign w:val="superscript"/>
                <w:lang w:val="bs-Latn-BA"/>
              </w:rPr>
              <w:footnoteReference w:id="41"/>
            </w:r>
            <w:r w:rsidRPr="007F1ECE">
              <w:rPr>
                <w:rFonts w:asciiTheme="minorHAnsi" w:eastAsia="Times New Roman" w:hAnsiTheme="minorHAnsi" w:cstheme="minorHAnsi"/>
                <w:lang w:val="bs-Latn-BA"/>
              </w:rPr>
              <w:t xml:space="preserve"> </w:t>
            </w:r>
          </w:p>
        </w:tc>
      </w:tr>
      <w:tr w:rsidR="00C75FEE" w:rsidRPr="001972F5" w14:paraId="1FDC940D" w14:textId="77777777" w:rsidTr="004A26E3">
        <w:trPr>
          <w:cnfStyle w:val="000000010000" w:firstRow="0" w:lastRow="0" w:firstColumn="0" w:lastColumn="0" w:oddVBand="0" w:evenVBand="0" w:oddHBand="0" w:evenHBand="1"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2200" w:type="dxa"/>
            <w:vMerge/>
          </w:tcPr>
          <w:p w14:paraId="246D4EA9" w14:textId="77777777" w:rsidR="00C75FEE" w:rsidRPr="008924E0" w:rsidRDefault="00C75FEE" w:rsidP="000B085B">
            <w:pPr>
              <w:widowControl w:val="0"/>
              <w:pBdr>
                <w:top w:val="nil"/>
                <w:left w:val="nil"/>
                <w:bottom w:val="nil"/>
                <w:right w:val="nil"/>
                <w:between w:val="nil"/>
              </w:pBdr>
              <w:spacing w:line="276" w:lineRule="auto"/>
              <w:rPr>
                <w:rFonts w:eastAsia="Times New Roman"/>
                <w:b w:val="0"/>
                <w:lang w:val="bs-Latn-BA"/>
              </w:rPr>
            </w:pPr>
          </w:p>
        </w:tc>
        <w:tc>
          <w:tcPr>
            <w:tcW w:w="6993" w:type="dxa"/>
          </w:tcPr>
          <w:p w14:paraId="106F7B5F" w14:textId="77777777" w:rsidR="00C75FEE" w:rsidRPr="007F1ECE" w:rsidRDefault="00C75FEE" w:rsidP="000B085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lang w:val="bs-Latn-BA"/>
              </w:rPr>
            </w:pPr>
            <w:r w:rsidRPr="007F1ECE">
              <w:rPr>
                <w:rFonts w:asciiTheme="minorHAnsi" w:eastAsia="Times New Roman" w:hAnsiTheme="minorHAnsi" w:cstheme="minorHAnsi"/>
                <w:lang w:val="bs-Latn-BA"/>
              </w:rPr>
              <w:t>Okvir za realizaciju ciljeva održivog razvoja u BiH</w:t>
            </w:r>
            <w:r w:rsidRPr="007F1ECE">
              <w:rPr>
                <w:rFonts w:asciiTheme="minorHAnsi" w:eastAsia="Times New Roman" w:hAnsiTheme="minorHAnsi" w:cstheme="minorHAnsi"/>
                <w:vertAlign w:val="superscript"/>
                <w:lang w:val="bs-Latn-BA"/>
              </w:rPr>
              <w:footnoteReference w:id="42"/>
            </w:r>
            <w:r w:rsidRPr="007F1ECE">
              <w:rPr>
                <w:rFonts w:asciiTheme="minorHAnsi" w:eastAsia="Times New Roman" w:hAnsiTheme="minorHAnsi" w:cstheme="minorHAnsi"/>
                <w:lang w:val="bs-Latn-BA"/>
              </w:rPr>
              <w:t xml:space="preserve"> </w:t>
            </w:r>
          </w:p>
        </w:tc>
      </w:tr>
      <w:tr w:rsidR="00C75FEE" w:rsidRPr="008924E0" w14:paraId="56B34103" w14:textId="77777777" w:rsidTr="004A26E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00" w:type="dxa"/>
            <w:vMerge/>
          </w:tcPr>
          <w:p w14:paraId="6C287476" w14:textId="77777777" w:rsidR="00C75FEE" w:rsidRPr="008924E0" w:rsidRDefault="00C75FEE" w:rsidP="000B085B">
            <w:pPr>
              <w:widowControl w:val="0"/>
              <w:pBdr>
                <w:top w:val="nil"/>
                <w:left w:val="nil"/>
                <w:bottom w:val="nil"/>
                <w:right w:val="nil"/>
                <w:between w:val="nil"/>
              </w:pBdr>
              <w:spacing w:line="276" w:lineRule="auto"/>
              <w:rPr>
                <w:rFonts w:eastAsia="Times New Roman"/>
                <w:b w:val="0"/>
                <w:lang w:val="bs-Latn-BA"/>
              </w:rPr>
            </w:pPr>
          </w:p>
        </w:tc>
        <w:tc>
          <w:tcPr>
            <w:tcW w:w="6993" w:type="dxa"/>
          </w:tcPr>
          <w:p w14:paraId="6708C67B" w14:textId="77777777" w:rsidR="00C75FEE" w:rsidRPr="007F1ECE" w:rsidRDefault="00C75FEE" w:rsidP="000B08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val="bs-Latn-BA"/>
              </w:rPr>
            </w:pPr>
            <w:r w:rsidRPr="007F1ECE">
              <w:rPr>
                <w:rFonts w:asciiTheme="minorHAnsi" w:eastAsia="Times New Roman" w:hAnsiTheme="minorHAnsi" w:cstheme="minorHAnsi"/>
                <w:lang w:val="bs-Latn-BA"/>
              </w:rPr>
              <w:t>Zelena agenda za Zapadni Balkan 2030.</w:t>
            </w:r>
            <w:r w:rsidRPr="007F1ECE">
              <w:rPr>
                <w:rFonts w:asciiTheme="minorHAnsi" w:eastAsia="Times New Roman" w:hAnsiTheme="minorHAnsi" w:cstheme="minorHAnsi"/>
                <w:vertAlign w:val="superscript"/>
                <w:lang w:val="bs-Latn-BA"/>
              </w:rPr>
              <w:footnoteReference w:id="43"/>
            </w:r>
            <w:r w:rsidRPr="007F1ECE">
              <w:rPr>
                <w:rFonts w:asciiTheme="minorHAnsi" w:eastAsia="Times New Roman" w:hAnsiTheme="minorHAnsi" w:cstheme="minorHAnsi"/>
                <w:lang w:val="bs-Latn-BA"/>
              </w:rPr>
              <w:t xml:space="preserve"> </w:t>
            </w:r>
          </w:p>
        </w:tc>
      </w:tr>
      <w:tr w:rsidR="00C75FEE" w:rsidRPr="001972F5" w14:paraId="1073D89C" w14:textId="77777777" w:rsidTr="004A26E3">
        <w:trPr>
          <w:cnfStyle w:val="000000010000" w:firstRow="0" w:lastRow="0" w:firstColumn="0" w:lastColumn="0" w:oddVBand="0" w:evenVBand="0" w:oddHBand="0" w:evenHBand="1"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200" w:type="dxa"/>
            <w:vMerge/>
          </w:tcPr>
          <w:p w14:paraId="35D1F23F" w14:textId="77777777" w:rsidR="00C75FEE" w:rsidRPr="008924E0" w:rsidRDefault="00C75FEE" w:rsidP="000B085B">
            <w:pPr>
              <w:widowControl w:val="0"/>
              <w:pBdr>
                <w:top w:val="nil"/>
                <w:left w:val="nil"/>
                <w:bottom w:val="nil"/>
                <w:right w:val="nil"/>
                <w:between w:val="nil"/>
              </w:pBdr>
              <w:spacing w:line="276" w:lineRule="auto"/>
              <w:rPr>
                <w:rFonts w:eastAsia="Times New Roman"/>
                <w:b w:val="0"/>
                <w:lang w:val="bs-Latn-BA"/>
              </w:rPr>
            </w:pPr>
          </w:p>
        </w:tc>
        <w:tc>
          <w:tcPr>
            <w:tcW w:w="6993" w:type="dxa"/>
          </w:tcPr>
          <w:p w14:paraId="524732C7" w14:textId="77777777" w:rsidR="00C75FEE" w:rsidRPr="007F1ECE" w:rsidRDefault="00C75FEE" w:rsidP="000B085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lang w:val="bs-Latn-BA"/>
              </w:rPr>
            </w:pPr>
            <w:r w:rsidRPr="007F1ECE">
              <w:rPr>
                <w:rFonts w:asciiTheme="minorHAnsi" w:eastAsia="Times New Roman" w:hAnsiTheme="minorHAnsi" w:cstheme="minorHAnsi"/>
                <w:lang w:val="bs-Latn-BA"/>
              </w:rPr>
              <w:t>Akcijski plan za zajedničko regionalno tržište Zapadnog Balkana 2021–2024.</w:t>
            </w:r>
            <w:r w:rsidRPr="007F1ECE">
              <w:rPr>
                <w:rStyle w:val="FootnoteReference"/>
                <w:rFonts w:asciiTheme="minorHAnsi" w:eastAsia="Times New Roman" w:hAnsiTheme="minorHAnsi" w:cstheme="minorHAnsi"/>
                <w:lang w:val="bs-Latn-BA"/>
              </w:rPr>
              <w:footnoteReference w:id="44"/>
            </w:r>
          </w:p>
        </w:tc>
      </w:tr>
      <w:tr w:rsidR="00C75FEE" w:rsidRPr="001972F5" w14:paraId="2A9750F5" w14:textId="77777777" w:rsidTr="004A26E3">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00" w:type="dxa"/>
            <w:vMerge w:val="restart"/>
          </w:tcPr>
          <w:p w14:paraId="474983C1" w14:textId="77777777" w:rsidR="00C75FEE" w:rsidRPr="008924E0" w:rsidRDefault="00C75FEE" w:rsidP="000B085B">
            <w:pPr>
              <w:rPr>
                <w:rFonts w:eastAsia="Times New Roman"/>
                <w:i/>
                <w:lang w:val="bs-Latn-BA"/>
              </w:rPr>
            </w:pPr>
            <w:r w:rsidRPr="008924E0">
              <w:rPr>
                <w:rFonts w:eastAsia="Times New Roman"/>
                <w:lang w:val="bs-Latn-BA"/>
              </w:rPr>
              <w:t>Okoliš i klima</w:t>
            </w:r>
          </w:p>
        </w:tc>
        <w:tc>
          <w:tcPr>
            <w:tcW w:w="6993" w:type="dxa"/>
          </w:tcPr>
          <w:p w14:paraId="6A506DF5" w14:textId="77777777" w:rsidR="00C75FEE" w:rsidRPr="007F1ECE" w:rsidRDefault="00C75FEE" w:rsidP="000B08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val="bs-Latn-BA"/>
              </w:rPr>
            </w:pPr>
            <w:r w:rsidRPr="007F1ECE">
              <w:rPr>
                <w:rFonts w:asciiTheme="minorHAnsi" w:eastAsia="Times New Roman" w:hAnsiTheme="minorHAnsi" w:cstheme="minorHAnsi"/>
                <w:lang w:val="bs-Latn-BA"/>
              </w:rPr>
              <w:t>Strategija prilagođavanja klimatskim promjenama i niskoemisijskog razvoja BiH 2020‒2030.</w:t>
            </w:r>
            <w:r w:rsidRPr="007F1ECE">
              <w:rPr>
                <w:rFonts w:asciiTheme="minorHAnsi" w:eastAsia="Times New Roman" w:hAnsiTheme="minorHAnsi" w:cstheme="minorHAnsi"/>
                <w:vertAlign w:val="superscript"/>
                <w:lang w:val="bs-Latn-BA"/>
              </w:rPr>
              <w:footnoteReference w:id="45"/>
            </w:r>
            <w:r w:rsidRPr="007F1ECE">
              <w:rPr>
                <w:rFonts w:asciiTheme="minorHAnsi" w:eastAsia="Times New Roman" w:hAnsiTheme="minorHAnsi" w:cstheme="minorHAnsi"/>
                <w:lang w:val="bs-Latn-BA"/>
              </w:rPr>
              <w:t xml:space="preserve"> </w:t>
            </w:r>
          </w:p>
        </w:tc>
      </w:tr>
      <w:tr w:rsidR="00C75FEE" w:rsidRPr="008924E0" w14:paraId="1A7556AA" w14:textId="77777777" w:rsidTr="004A26E3">
        <w:trPr>
          <w:cnfStyle w:val="000000010000" w:firstRow="0" w:lastRow="0" w:firstColumn="0" w:lastColumn="0" w:oddVBand="0" w:evenVBand="0" w:oddHBand="0" w:evenHBand="1"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200" w:type="dxa"/>
            <w:vMerge/>
          </w:tcPr>
          <w:p w14:paraId="0A0991A3" w14:textId="77777777" w:rsidR="00C75FEE" w:rsidRPr="008924E0" w:rsidRDefault="00C75FEE" w:rsidP="000B085B">
            <w:pPr>
              <w:widowControl w:val="0"/>
              <w:pBdr>
                <w:top w:val="nil"/>
                <w:left w:val="nil"/>
                <w:bottom w:val="nil"/>
                <w:right w:val="nil"/>
                <w:between w:val="nil"/>
              </w:pBdr>
              <w:spacing w:line="276" w:lineRule="auto"/>
              <w:rPr>
                <w:rFonts w:eastAsia="Times New Roman"/>
                <w:lang w:val="bs-Latn-BA"/>
              </w:rPr>
            </w:pPr>
          </w:p>
        </w:tc>
        <w:tc>
          <w:tcPr>
            <w:tcW w:w="6993" w:type="dxa"/>
          </w:tcPr>
          <w:p w14:paraId="2C24CA65" w14:textId="77777777" w:rsidR="00C75FEE" w:rsidRPr="007F1ECE" w:rsidRDefault="00C75FEE" w:rsidP="000B085B">
            <w:pPr>
              <w:cnfStyle w:val="000000010000" w:firstRow="0" w:lastRow="0" w:firstColumn="0" w:lastColumn="0" w:oddVBand="0" w:evenVBand="0" w:oddHBand="0" w:evenHBand="1" w:firstRowFirstColumn="0" w:firstRowLastColumn="0" w:lastRowFirstColumn="0" w:lastRowLastColumn="0"/>
              <w:rPr>
                <w:rFonts w:asciiTheme="minorHAnsi" w:eastAsia="Times New Roman" w:hAnsiTheme="minorHAnsi" w:cstheme="minorHAnsi"/>
                <w:b/>
                <w:lang w:val="bs-Latn-BA"/>
              </w:rPr>
            </w:pPr>
            <w:r w:rsidRPr="007F1ECE">
              <w:rPr>
                <w:rFonts w:asciiTheme="minorHAnsi" w:eastAsia="Times New Roman" w:hAnsiTheme="minorHAnsi" w:cstheme="minorHAnsi"/>
                <w:lang w:val="bs-Latn-BA"/>
              </w:rPr>
              <w:t>Utvrđeni doprinos BiH 2020‒2030</w:t>
            </w:r>
            <w:r w:rsidRPr="007F1ECE">
              <w:rPr>
                <w:rFonts w:asciiTheme="minorHAnsi" w:eastAsia="Times New Roman" w:hAnsiTheme="minorHAnsi" w:cstheme="minorHAnsi"/>
                <w:vertAlign w:val="superscript"/>
                <w:lang w:val="bs-Latn-BA"/>
              </w:rPr>
              <w:footnoteReference w:id="46"/>
            </w:r>
            <w:r w:rsidRPr="007F1ECE">
              <w:rPr>
                <w:rFonts w:asciiTheme="minorHAnsi" w:eastAsia="Times New Roman" w:hAnsiTheme="minorHAnsi" w:cstheme="minorHAnsi"/>
                <w:lang w:val="bs-Latn-BA"/>
              </w:rPr>
              <w:t xml:space="preserve"> </w:t>
            </w:r>
            <w:r w:rsidRPr="007F1ECE">
              <w:rPr>
                <w:rFonts w:asciiTheme="minorHAnsi" w:eastAsia="Times New Roman" w:hAnsiTheme="minorHAnsi" w:cstheme="minorHAnsi"/>
                <w:i/>
                <w:lang w:val="bs-Latn-BA"/>
              </w:rPr>
              <w:t>(Nationally Determined Contribution - NDC)</w:t>
            </w:r>
          </w:p>
        </w:tc>
      </w:tr>
      <w:tr w:rsidR="00C75FEE" w:rsidRPr="008924E0" w14:paraId="7C1D6EF6" w14:textId="77777777" w:rsidTr="00561D5E">
        <w:trPr>
          <w:cnfStyle w:val="000000100000" w:firstRow="0" w:lastRow="0" w:firstColumn="0" w:lastColumn="0" w:oddVBand="0" w:evenVBand="0" w:oddHBand="1"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2200" w:type="dxa"/>
            <w:vMerge/>
          </w:tcPr>
          <w:p w14:paraId="228A86A9" w14:textId="77777777" w:rsidR="00C75FEE" w:rsidRPr="008924E0" w:rsidRDefault="00C75FEE" w:rsidP="000B085B">
            <w:pPr>
              <w:widowControl w:val="0"/>
              <w:pBdr>
                <w:top w:val="nil"/>
                <w:left w:val="nil"/>
                <w:bottom w:val="nil"/>
                <w:right w:val="nil"/>
                <w:between w:val="nil"/>
              </w:pBdr>
              <w:spacing w:line="276" w:lineRule="auto"/>
              <w:rPr>
                <w:rFonts w:eastAsia="Times New Roman"/>
                <w:b w:val="0"/>
                <w:lang w:val="bs-Latn-BA"/>
              </w:rPr>
            </w:pPr>
          </w:p>
        </w:tc>
        <w:tc>
          <w:tcPr>
            <w:tcW w:w="6993" w:type="dxa"/>
          </w:tcPr>
          <w:p w14:paraId="375CBF23" w14:textId="77777777" w:rsidR="00C75FEE" w:rsidRPr="007F1ECE" w:rsidRDefault="00C75FEE" w:rsidP="000B085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lang w:val="bs-Latn-BA"/>
              </w:rPr>
            </w:pPr>
            <w:r w:rsidRPr="007F1ECE">
              <w:rPr>
                <w:rFonts w:asciiTheme="minorHAnsi" w:eastAsia="Times New Roman" w:hAnsiTheme="minorHAnsi" w:cstheme="minorHAnsi"/>
                <w:lang w:val="bs-Latn-BA"/>
              </w:rPr>
              <w:t>Federalna strategija zaštite okoliša 2022‒2032.</w:t>
            </w:r>
            <w:r w:rsidRPr="007F1ECE">
              <w:rPr>
                <w:rFonts w:asciiTheme="minorHAnsi" w:eastAsia="Times New Roman" w:hAnsiTheme="minorHAnsi" w:cstheme="minorHAnsi"/>
                <w:vertAlign w:val="superscript"/>
                <w:lang w:val="bs-Latn-BA"/>
              </w:rPr>
              <w:footnoteReference w:id="47"/>
            </w:r>
            <w:r w:rsidRPr="007F1ECE">
              <w:rPr>
                <w:rFonts w:asciiTheme="minorHAnsi" w:eastAsia="Times New Roman" w:hAnsiTheme="minorHAnsi" w:cstheme="minorHAnsi"/>
                <w:lang w:val="bs-Latn-BA"/>
              </w:rPr>
              <w:t xml:space="preserve"> </w:t>
            </w:r>
          </w:p>
        </w:tc>
      </w:tr>
    </w:tbl>
    <w:p w14:paraId="1036DDFD" w14:textId="77777777" w:rsidR="00C75FEE" w:rsidRPr="008924E0" w:rsidRDefault="00C75FEE" w:rsidP="00C75FEE">
      <w:pPr>
        <w:rPr>
          <w:lang w:val="bs-Latn-BA"/>
        </w:rPr>
      </w:pPr>
    </w:p>
    <w:p w14:paraId="23EEE7E3" w14:textId="35DC45FA" w:rsidR="00C75FEE" w:rsidRPr="008924E0" w:rsidRDefault="00C75FEE" w:rsidP="00045BB4">
      <w:pPr>
        <w:pStyle w:val="Heading3"/>
        <w:numPr>
          <w:ilvl w:val="2"/>
          <w:numId w:val="33"/>
        </w:numPr>
        <w:ind w:left="1440" w:hanging="864"/>
      </w:pPr>
      <w:bookmarkStart w:id="159" w:name="_Toc134011788"/>
      <w:r w:rsidRPr="008924E0">
        <w:t>Integrirani energetski i klimatski plan za BiH do 2030</w:t>
      </w:r>
      <w:r w:rsidR="00D624F7">
        <w:t>.</w:t>
      </w:r>
      <w:r w:rsidRPr="008924E0">
        <w:t xml:space="preserve"> (National Energy and Climate Plan -NECP 2030) - nacrt 2020.</w:t>
      </w:r>
      <w:bookmarkEnd w:id="159"/>
    </w:p>
    <w:p w14:paraId="1F42B30D" w14:textId="77777777" w:rsidR="00C75FEE" w:rsidRPr="008924E0" w:rsidRDefault="00C75FEE" w:rsidP="00C75FEE">
      <w:pPr>
        <w:rPr>
          <w:lang w:val="bs-Latn-BA"/>
        </w:rPr>
      </w:pPr>
      <w:r w:rsidRPr="008924E0">
        <w:rPr>
          <w:lang w:val="bs-Latn-BA"/>
        </w:rPr>
        <w:t xml:space="preserve">Bosna i Hercegovina je kao ugovorna strana EnZ obvezna da izradi Integrirani nacionalni energetski i klimatski plan (NECP) u skladu s preporukom Ministarskog vijeća EU 2018/1/MC-EnC. Plan obuhvata 5 različite oblasti/dimenzija, a to su: </w:t>
      </w:r>
    </w:p>
    <w:p w14:paraId="5CDBCD6B" w14:textId="2FA15A27" w:rsidR="00C75FEE" w:rsidRPr="008924E0" w:rsidRDefault="009F2821" w:rsidP="00C75FEE">
      <w:pPr>
        <w:numPr>
          <w:ilvl w:val="0"/>
          <w:numId w:val="25"/>
        </w:numPr>
        <w:pBdr>
          <w:top w:val="nil"/>
          <w:left w:val="nil"/>
          <w:bottom w:val="nil"/>
          <w:right w:val="nil"/>
          <w:between w:val="nil"/>
        </w:pBdr>
        <w:spacing w:after="0"/>
        <w:rPr>
          <w:lang w:val="bs-Latn-BA"/>
        </w:rPr>
      </w:pPr>
      <w:r>
        <w:rPr>
          <w:color w:val="000000"/>
          <w:lang w:val="bs-Latn-BA"/>
        </w:rPr>
        <w:t>energetska sigurnost</w:t>
      </w:r>
      <w:r w:rsidR="00C75FEE" w:rsidRPr="008924E0">
        <w:rPr>
          <w:color w:val="000000"/>
          <w:lang w:val="bs-Latn-BA"/>
        </w:rPr>
        <w:t>,</w:t>
      </w:r>
    </w:p>
    <w:p w14:paraId="77645796" w14:textId="77777777" w:rsidR="00C75FEE" w:rsidRPr="008924E0" w:rsidRDefault="00C75FEE" w:rsidP="00C75FEE">
      <w:pPr>
        <w:numPr>
          <w:ilvl w:val="0"/>
          <w:numId w:val="25"/>
        </w:numPr>
        <w:pBdr>
          <w:top w:val="nil"/>
          <w:left w:val="nil"/>
          <w:bottom w:val="nil"/>
          <w:right w:val="nil"/>
          <w:between w:val="nil"/>
        </w:pBdr>
        <w:spacing w:after="0"/>
        <w:rPr>
          <w:lang w:val="bs-Latn-BA"/>
        </w:rPr>
      </w:pPr>
      <w:r w:rsidRPr="008924E0">
        <w:rPr>
          <w:color w:val="000000"/>
          <w:lang w:val="bs-Latn-BA"/>
        </w:rPr>
        <w:lastRenderedPageBreak/>
        <w:t>puna integracija unutrašnjeg tržišta energije,</w:t>
      </w:r>
    </w:p>
    <w:p w14:paraId="5F810DE6" w14:textId="77777777" w:rsidR="00C75FEE" w:rsidRPr="008924E0" w:rsidRDefault="00C75FEE" w:rsidP="00C75FEE">
      <w:pPr>
        <w:numPr>
          <w:ilvl w:val="0"/>
          <w:numId w:val="25"/>
        </w:numPr>
        <w:pBdr>
          <w:top w:val="nil"/>
          <w:left w:val="nil"/>
          <w:bottom w:val="nil"/>
          <w:right w:val="nil"/>
          <w:between w:val="nil"/>
        </w:pBdr>
        <w:spacing w:after="0"/>
        <w:rPr>
          <w:lang w:val="bs-Latn-BA"/>
        </w:rPr>
      </w:pPr>
      <w:r w:rsidRPr="008924E0">
        <w:rPr>
          <w:color w:val="000000"/>
          <w:lang w:val="bs-Latn-BA"/>
        </w:rPr>
        <w:t xml:space="preserve">energijska efikasnost, </w:t>
      </w:r>
    </w:p>
    <w:p w14:paraId="74FF2CDC" w14:textId="77777777" w:rsidR="00C75FEE" w:rsidRPr="008924E0" w:rsidRDefault="00C75FEE" w:rsidP="00C75FEE">
      <w:pPr>
        <w:numPr>
          <w:ilvl w:val="0"/>
          <w:numId w:val="25"/>
        </w:numPr>
        <w:pBdr>
          <w:top w:val="nil"/>
          <w:left w:val="nil"/>
          <w:bottom w:val="nil"/>
          <w:right w:val="nil"/>
          <w:between w:val="nil"/>
        </w:pBdr>
        <w:spacing w:after="0"/>
        <w:rPr>
          <w:lang w:val="bs-Latn-BA"/>
        </w:rPr>
      </w:pPr>
      <w:r w:rsidRPr="008924E0">
        <w:rPr>
          <w:color w:val="000000"/>
          <w:lang w:val="bs-Latn-BA"/>
        </w:rPr>
        <w:t xml:space="preserve">dekarbonizacija, </w:t>
      </w:r>
    </w:p>
    <w:p w14:paraId="7C68DADF" w14:textId="77777777" w:rsidR="00C75FEE" w:rsidRPr="008924E0" w:rsidRDefault="00C75FEE" w:rsidP="00C75FEE">
      <w:pPr>
        <w:numPr>
          <w:ilvl w:val="0"/>
          <w:numId w:val="25"/>
        </w:numPr>
        <w:pBdr>
          <w:top w:val="nil"/>
          <w:left w:val="nil"/>
          <w:bottom w:val="nil"/>
          <w:right w:val="nil"/>
          <w:between w:val="nil"/>
        </w:pBdr>
        <w:rPr>
          <w:lang w:val="bs-Latn-BA"/>
        </w:rPr>
      </w:pPr>
      <w:r w:rsidRPr="008924E0">
        <w:rPr>
          <w:color w:val="000000"/>
          <w:lang w:val="bs-Latn-BA"/>
        </w:rPr>
        <w:t xml:space="preserve">istraživanje, inovacije i konkurentnost. </w:t>
      </w:r>
    </w:p>
    <w:p w14:paraId="5DA18D07" w14:textId="77777777" w:rsidR="00C75FEE" w:rsidRPr="008924E0" w:rsidRDefault="00C75FEE" w:rsidP="00C75FEE">
      <w:pPr>
        <w:rPr>
          <w:color w:val="FF0000"/>
          <w:lang w:val="bs-Latn-BA"/>
        </w:rPr>
      </w:pPr>
      <w:r w:rsidRPr="008924E0">
        <w:rPr>
          <w:lang w:val="bs-Latn-BA"/>
        </w:rPr>
        <w:t>Uredbom EU 2018/1999 o upravljanju energetskom unijom i djelovanjem u području klime, utvrđuje se potrebni zakonodavni temelj za pouzdano, uključivo, troškovno efikasno, transparentno i predvidljivo upravljanje energetskom unijom i djelovanjem u području klime („mehanizam upravljanja”), kojim se osigurava ostvarivanje ciljeva energetske unije za 2030. godinu i dugoročnih ciljeva u skladu s Pariškim sporazumom o promjeni klime.</w:t>
      </w:r>
    </w:p>
    <w:p w14:paraId="19AC34AA" w14:textId="33B7E6B7" w:rsidR="00C75FEE" w:rsidRPr="008924E0" w:rsidRDefault="00C75FEE" w:rsidP="00C75FEE">
      <w:pPr>
        <w:rPr>
          <w:lang w:val="bs-Latn-BA"/>
        </w:rPr>
      </w:pPr>
      <w:r w:rsidRPr="008924E0">
        <w:rPr>
          <w:lang w:val="bs-Latn-BA"/>
        </w:rPr>
        <w:t>Trenutno je u procesu izrada Integriranog energetskog i klimatskog plana BiH za period 2021</w:t>
      </w:r>
      <w:r w:rsidR="00B83D01">
        <w:rPr>
          <w:lang w:val="bs-Latn-BA"/>
        </w:rPr>
        <w:t>.</w:t>
      </w:r>
      <w:r w:rsidRPr="008924E0">
        <w:rPr>
          <w:lang w:val="bs-Latn-BA"/>
        </w:rPr>
        <w:t>-2030. Implementacija NECP-a će omogućiti BiH integraciju energetskih i klimatskih ciljeva kao i odgovarajućih politika i mjera, čime će doprinijeti usklađivanju energetskih politika s politikama Europske unije. Samim tim će se smanjiti administrativna opterećenja i osigurati veća povezanost i dugoročnija predvidljivost investicija.</w:t>
      </w:r>
    </w:p>
    <w:p w14:paraId="7E6D1F8B" w14:textId="77777777" w:rsidR="00C75FEE" w:rsidRPr="008924E0" w:rsidRDefault="00C75FEE" w:rsidP="00045BB4">
      <w:pPr>
        <w:pStyle w:val="Heading3"/>
        <w:numPr>
          <w:ilvl w:val="2"/>
          <w:numId w:val="33"/>
        </w:numPr>
        <w:ind w:left="1440" w:hanging="864"/>
      </w:pPr>
      <w:bookmarkStart w:id="160" w:name="_Toc134011789"/>
      <w:r w:rsidRPr="008924E0">
        <w:t>Okvirna energetska strategija Federacije Bosne i Hercegovine do 2035. godine</w:t>
      </w:r>
      <w:bookmarkEnd w:id="160"/>
      <w:r w:rsidRPr="008924E0">
        <w:t xml:space="preserve">  </w:t>
      </w:r>
    </w:p>
    <w:p w14:paraId="3B6003C5" w14:textId="77777777" w:rsidR="00C75FEE" w:rsidRPr="008924E0" w:rsidRDefault="00C75FEE" w:rsidP="00C75FEE">
      <w:pPr>
        <w:rPr>
          <w:lang w:val="bs-Latn-BA"/>
        </w:rPr>
      </w:pPr>
      <w:r w:rsidRPr="008924E0">
        <w:rPr>
          <w:lang w:val="bs-Latn-BA"/>
        </w:rPr>
        <w:t xml:space="preserve">Okvirna energetska strategija daje kontekst i smjer razvoja energetike u FBIH, te traži pravi balans u kontekstu „energetske trileme”. Pokretanje pravih investicija, tržišnih i regulatornih reformi u svim segmentima energetike, podržanih sa čvrstom i strukturiranom implementacijom od svih ključnih dionika, od kritične je važnosti za FBIH. </w:t>
      </w:r>
    </w:p>
    <w:p w14:paraId="6D7D622C" w14:textId="7B30F07C" w:rsidR="00C75FEE" w:rsidRPr="008924E0" w:rsidRDefault="00C75FEE" w:rsidP="00C75FEE">
      <w:pPr>
        <w:rPr>
          <w:lang w:val="bs-Latn-BA"/>
        </w:rPr>
      </w:pPr>
      <w:r w:rsidRPr="008924E0">
        <w:rPr>
          <w:lang w:val="bs-Latn-BA"/>
        </w:rPr>
        <w:t xml:space="preserve">Smjernice za FBIH baziraju se na politikama održivog razvoja koje u balansu imaju tri aspekta; a) sigurnosti snabdijevanja, b) konkurentnosti cijena, i c) politike dekarbonizacije odnosno čišće energije. Uz ciljanu efikasnost sektora i efikasno korištenje resursa samo će na taj način FBIH, te Bosna i Hercegovina u cijelosti, omogućiti paralelnu konvergenciju preuzetim </w:t>
      </w:r>
      <w:r w:rsidR="00F03625">
        <w:rPr>
          <w:lang w:val="bs-Latn-BA"/>
        </w:rPr>
        <w:t>obvez</w:t>
      </w:r>
      <w:r w:rsidRPr="008924E0">
        <w:rPr>
          <w:lang w:val="bs-Latn-BA"/>
        </w:rPr>
        <w:t xml:space="preserve">ama i politikama EU, te pozicionirati energetiku kao motor stabilnosti i održivog razvoja ekonomije. Sekundarni efekti dovest će do zapošljavanja, smanjenja javnog duga i povećanja konkurentnosti. </w:t>
      </w:r>
    </w:p>
    <w:p w14:paraId="7E2C285E" w14:textId="77777777" w:rsidR="00C75FEE" w:rsidRPr="008924E0" w:rsidRDefault="00C75FEE" w:rsidP="00C75FEE">
      <w:pPr>
        <w:rPr>
          <w:lang w:val="bs-Latn-BA"/>
        </w:rPr>
      </w:pPr>
      <w:r w:rsidRPr="008924E0">
        <w:rPr>
          <w:lang w:val="bs-Latn-BA"/>
        </w:rPr>
        <w:t>Cilj dokumenta je prioritizacija ključnih energetskih strateških smjernica FBIH s jasno postavljanim ciljevima i prioritetima za provedbu u narednim godinama, pri tome imajući u vidu načela slobodnog tržišta i tržišnih faktora koji se ne mogu centralno kontrolirati. Jasne strateške smjernice ovog dokumenta podloga su za prijavu i povlačenje, među ostalim, sredstava IPA i WBIF sredstava za energetiku u BIH, te i za privlačenje drugih investitora u energetski sektor.</w:t>
      </w:r>
    </w:p>
    <w:p w14:paraId="7F159E0C" w14:textId="4C703D75" w:rsidR="00C75FEE" w:rsidRPr="008924E0" w:rsidRDefault="00C75FEE" w:rsidP="00371189">
      <w:pPr>
        <w:pStyle w:val="Heading3"/>
        <w:numPr>
          <w:ilvl w:val="2"/>
          <w:numId w:val="33"/>
        </w:numPr>
        <w:ind w:left="936" w:hanging="360"/>
      </w:pPr>
      <w:bookmarkStart w:id="161" w:name="_Toc134011790"/>
      <w:r w:rsidRPr="008924E0">
        <w:t>Strategije razvoja Federacije Bosne i Hercegovine 2021</w:t>
      </w:r>
      <w:r w:rsidR="00B83D01">
        <w:t>.</w:t>
      </w:r>
      <w:r w:rsidRPr="008924E0">
        <w:t>-2027.</w:t>
      </w:r>
      <w:bookmarkEnd w:id="161"/>
      <w:r w:rsidRPr="008924E0">
        <w:t xml:space="preserve">   </w:t>
      </w:r>
    </w:p>
    <w:p w14:paraId="7B5D34F5" w14:textId="33221B63" w:rsidR="00C75FEE" w:rsidRPr="008924E0" w:rsidRDefault="00C75FEE" w:rsidP="00C75FEE">
      <w:pPr>
        <w:rPr>
          <w:lang w:val="bs-Latn-BA"/>
        </w:rPr>
      </w:pPr>
      <w:r w:rsidRPr="008924E0">
        <w:rPr>
          <w:lang w:val="bs-Latn-BA"/>
        </w:rPr>
        <w:t>Vlada Federacije BiH donijela je Odluku o izradi strategije razvoja Federacije BiH 2021</w:t>
      </w:r>
      <w:r w:rsidR="00B83D01">
        <w:rPr>
          <w:lang w:val="bs-Latn-BA"/>
        </w:rPr>
        <w:t>.</w:t>
      </w:r>
      <w:r w:rsidRPr="008924E0">
        <w:rPr>
          <w:lang w:val="bs-Latn-BA"/>
        </w:rPr>
        <w:t>–2027. Ova strategija čini osnovu izrade Programa Vlade Federacije BiH, program javnih investicija, trogodišnjih i godišnjih planova rada federalnih ministarstava i institucija, dokumenata okvirnog budžeta (DOB) i godišnjeg budžeta, ali i sektorskih strategija. Uredbom je definirana i metodologija kojom je propisan način izrade i sadržaj strateških dokumenata, ali su definirana i četiri strateška cilja – ubrzan ekonomski razvoj, prosperitetan i inkluzivan društveni razvoj, resursno efikasan i održiv razvoj, te efikasan, transparentan i odgovoran javni sektor.</w:t>
      </w:r>
    </w:p>
    <w:p w14:paraId="41C58BEC" w14:textId="77777777" w:rsidR="00C75FEE" w:rsidRPr="008924E0" w:rsidRDefault="00C75FEE" w:rsidP="00C75FEE">
      <w:pPr>
        <w:rPr>
          <w:lang w:val="bs-Latn-BA"/>
        </w:rPr>
      </w:pPr>
      <w:r w:rsidRPr="008924E0">
        <w:rPr>
          <w:lang w:val="bs-Latn-BA"/>
        </w:rPr>
        <w:lastRenderedPageBreak/>
        <w:t>U okviru dokumenta izdvojene su 3 ključne mjere odnosno akceleratori koji značajno ubrzavaju ekonomski razvoj i doprinose rastu zaposlenosti i produktivnosti, što predstavlja najvažnije rezultate realizacije ovog dokument:</w:t>
      </w:r>
    </w:p>
    <w:p w14:paraId="5295AC62" w14:textId="77777777" w:rsidR="00C75FEE" w:rsidRPr="008924E0" w:rsidRDefault="00C75FEE" w:rsidP="00C75FEE">
      <w:pPr>
        <w:pStyle w:val="ListParagraph"/>
        <w:numPr>
          <w:ilvl w:val="0"/>
          <w:numId w:val="45"/>
        </w:numPr>
        <w:spacing w:line="259" w:lineRule="auto"/>
        <w:contextualSpacing/>
      </w:pPr>
      <w:r w:rsidRPr="008924E0">
        <w:t xml:space="preserve">Akcelerator 1: Inovacije i digitalizacija </w:t>
      </w:r>
    </w:p>
    <w:p w14:paraId="530308A9" w14:textId="77777777" w:rsidR="00C75FEE" w:rsidRPr="008924E0" w:rsidRDefault="00C75FEE" w:rsidP="00C75FEE">
      <w:pPr>
        <w:pStyle w:val="ListParagraph"/>
        <w:numPr>
          <w:ilvl w:val="0"/>
          <w:numId w:val="45"/>
        </w:numPr>
        <w:spacing w:line="259" w:lineRule="auto"/>
        <w:contextualSpacing/>
      </w:pPr>
      <w:r w:rsidRPr="008924E0">
        <w:t xml:space="preserve">Akcelerator 2: Otvaranje i razvoj preduzeća </w:t>
      </w:r>
    </w:p>
    <w:p w14:paraId="36702C2A" w14:textId="264841B2" w:rsidR="00C75FEE" w:rsidRPr="008924E0" w:rsidRDefault="00C75FEE" w:rsidP="00C75FEE">
      <w:pPr>
        <w:pStyle w:val="ListParagraph"/>
        <w:numPr>
          <w:ilvl w:val="0"/>
          <w:numId w:val="45"/>
        </w:numPr>
        <w:spacing w:line="259" w:lineRule="auto"/>
        <w:contextualSpacing/>
      </w:pPr>
      <w:r w:rsidRPr="008924E0">
        <w:t xml:space="preserve">Akcelerator 3: </w:t>
      </w:r>
      <w:r w:rsidR="007B690C">
        <w:t>Financ</w:t>
      </w:r>
      <w:r w:rsidRPr="008924E0">
        <w:t xml:space="preserve">ijski sistem i javne </w:t>
      </w:r>
      <w:r w:rsidR="007B690C">
        <w:t>financ</w:t>
      </w:r>
      <w:r w:rsidRPr="008924E0">
        <w:t>ije.</w:t>
      </w:r>
    </w:p>
    <w:p w14:paraId="085B08E6" w14:textId="77777777" w:rsidR="00C75FEE" w:rsidRPr="008924E0" w:rsidRDefault="00C75FEE" w:rsidP="00371189">
      <w:pPr>
        <w:pStyle w:val="Heading3"/>
        <w:numPr>
          <w:ilvl w:val="2"/>
          <w:numId w:val="33"/>
        </w:numPr>
        <w:ind w:left="936" w:hanging="360"/>
      </w:pPr>
      <w:bookmarkStart w:id="162" w:name="_Toc134011791"/>
      <w:r w:rsidRPr="008924E0">
        <w:t>Okvir za realizaciju ciljeva održivog razvoja u BiH</w:t>
      </w:r>
      <w:bookmarkEnd w:id="162"/>
      <w:r w:rsidRPr="008924E0">
        <w:t xml:space="preserve">   </w:t>
      </w:r>
    </w:p>
    <w:p w14:paraId="27711787" w14:textId="0EBD4BD9" w:rsidR="00C75FEE" w:rsidRPr="008924E0" w:rsidRDefault="00C75FEE" w:rsidP="00C75FEE">
      <w:pPr>
        <w:pBdr>
          <w:top w:val="nil"/>
          <w:left w:val="nil"/>
          <w:bottom w:val="nil"/>
          <w:right w:val="nil"/>
          <w:between w:val="nil"/>
        </w:pBdr>
        <w:spacing w:after="120" w:line="276" w:lineRule="auto"/>
        <w:rPr>
          <w:color w:val="000000"/>
          <w:lang w:val="bs-Latn-BA"/>
        </w:rPr>
      </w:pPr>
      <w:r w:rsidRPr="008924E0">
        <w:rPr>
          <w:color w:val="000000"/>
          <w:lang w:val="bs-Latn-BA"/>
        </w:rPr>
        <w:t>Generalna skupština Ujedinjenih naroda u 2015. godini usvojila Agendu održivog razvoja do 2030. godine</w:t>
      </w:r>
      <w:r w:rsidRPr="008924E0">
        <w:rPr>
          <w:color w:val="000000"/>
          <w:vertAlign w:val="superscript"/>
          <w:lang w:val="bs-Latn-BA"/>
        </w:rPr>
        <w:footnoteReference w:id="48"/>
      </w:r>
      <w:r w:rsidRPr="008924E0">
        <w:rPr>
          <w:color w:val="000000"/>
          <w:lang w:val="bs-Latn-BA"/>
        </w:rPr>
        <w:t xml:space="preserve"> i tom prilikom su sve zemlje članice, uključujući i Bosnu i Hercegovinu, preuzele </w:t>
      </w:r>
      <w:r w:rsidR="00F03625">
        <w:rPr>
          <w:color w:val="000000"/>
          <w:lang w:val="bs-Latn-BA"/>
        </w:rPr>
        <w:t>obvez</w:t>
      </w:r>
      <w:r w:rsidRPr="008924E0">
        <w:rPr>
          <w:color w:val="000000"/>
          <w:lang w:val="bs-Latn-BA"/>
        </w:rPr>
        <w:t xml:space="preserve">u provođenja dokumenta Agende 2030 i globalnih Ciljeva održivog razvoja </w:t>
      </w:r>
      <w:r w:rsidRPr="008924E0">
        <w:rPr>
          <w:i/>
          <w:color w:val="000000"/>
          <w:lang w:val="bs-Latn-BA"/>
        </w:rPr>
        <w:t>(Sustainable Development Goals – SDG).</w:t>
      </w:r>
      <w:r w:rsidRPr="008924E0">
        <w:rPr>
          <w:color w:val="000000"/>
          <w:lang w:val="bs-Latn-BA"/>
        </w:rPr>
        <w:t xml:space="preserve"> </w:t>
      </w:r>
      <w:r w:rsidRPr="008924E0">
        <w:rPr>
          <w:lang w:val="bs-Latn-BA"/>
        </w:rPr>
        <w:t xml:space="preserve">Agenda 2030 se sastoji od 17 globalnih ciljeva i 169 podciljeva održivog razvoja, koji predstavljaju plan za stvaranje bolje i održive budućnosti za cijeli svijet. Agenda 2030 se bavi globalnim izazovima sa kojima se cijeli svijet suočava, uključujući siromaštvo, nejednakost, klimatske promjene, degradaciju okoliša, prosperitet, mir i pravdu. </w:t>
      </w:r>
    </w:p>
    <w:p w14:paraId="38A063D2" w14:textId="77777777" w:rsidR="00C75FEE" w:rsidRPr="008924E0" w:rsidRDefault="00C75FEE" w:rsidP="00C75FEE">
      <w:pPr>
        <w:spacing w:after="120" w:line="276" w:lineRule="auto"/>
        <w:rPr>
          <w:lang w:val="bs-Latn-BA"/>
        </w:rPr>
      </w:pPr>
      <w:r w:rsidRPr="008924E0">
        <w:rPr>
          <w:lang w:val="bs-Latn-BA"/>
        </w:rPr>
        <w:t>Okvir za Ciljeve održivog razvoja u Bosni i Hercegovini</w:t>
      </w:r>
      <w:r w:rsidRPr="008924E0">
        <w:rPr>
          <w:vertAlign w:val="superscript"/>
          <w:lang w:val="bs-Latn-BA"/>
        </w:rPr>
        <w:footnoteReference w:id="49"/>
      </w:r>
      <w:r w:rsidRPr="008924E0">
        <w:rPr>
          <w:lang w:val="bs-Latn-BA"/>
        </w:rPr>
        <w:t xml:space="preserve"> (SDG), predstavlja zajednički dokument svih nivoa vlasti kojim se utvrđuju širi razvojni pravci, putem kojih vlasti na svim nivoima i društvo u Bosni i Hercegovini nastoje doprinijeti ostvarivanju Ciljeva održivog razvoja:</w:t>
      </w:r>
    </w:p>
    <w:p w14:paraId="7C223797" w14:textId="77777777" w:rsidR="00C75FEE" w:rsidRPr="008924E0" w:rsidRDefault="00C75FEE" w:rsidP="00C75FEE">
      <w:pPr>
        <w:numPr>
          <w:ilvl w:val="0"/>
          <w:numId w:val="24"/>
        </w:numPr>
        <w:pBdr>
          <w:top w:val="nil"/>
          <w:left w:val="nil"/>
          <w:bottom w:val="nil"/>
          <w:right w:val="nil"/>
          <w:between w:val="nil"/>
        </w:pBdr>
        <w:spacing w:after="0" w:line="276" w:lineRule="auto"/>
        <w:rPr>
          <w:lang w:val="bs-Latn-BA"/>
        </w:rPr>
      </w:pPr>
      <w:r w:rsidRPr="008924E0">
        <w:rPr>
          <w:color w:val="000000"/>
          <w:lang w:val="bs-Latn-BA"/>
        </w:rPr>
        <w:t xml:space="preserve">Dobra uprava i upravljanje javnim sektorom, </w:t>
      </w:r>
    </w:p>
    <w:p w14:paraId="47BBA6EC" w14:textId="77777777" w:rsidR="00C75FEE" w:rsidRPr="008924E0" w:rsidRDefault="00C75FEE" w:rsidP="00C75FEE">
      <w:pPr>
        <w:numPr>
          <w:ilvl w:val="0"/>
          <w:numId w:val="24"/>
        </w:numPr>
        <w:pBdr>
          <w:top w:val="nil"/>
          <w:left w:val="nil"/>
          <w:bottom w:val="nil"/>
          <w:right w:val="nil"/>
          <w:between w:val="nil"/>
        </w:pBdr>
        <w:spacing w:after="0" w:line="276" w:lineRule="auto"/>
        <w:rPr>
          <w:lang w:val="bs-Latn-BA"/>
        </w:rPr>
      </w:pPr>
      <w:r w:rsidRPr="008924E0">
        <w:rPr>
          <w:color w:val="000000"/>
          <w:lang w:val="bs-Latn-BA"/>
        </w:rPr>
        <w:t xml:space="preserve">Pametni rast, </w:t>
      </w:r>
    </w:p>
    <w:p w14:paraId="04FF8A5F" w14:textId="77777777" w:rsidR="00C75FEE" w:rsidRPr="008924E0" w:rsidRDefault="00C75FEE" w:rsidP="00C75FEE">
      <w:pPr>
        <w:numPr>
          <w:ilvl w:val="0"/>
          <w:numId w:val="24"/>
        </w:numPr>
        <w:pBdr>
          <w:top w:val="nil"/>
          <w:left w:val="nil"/>
          <w:bottom w:val="nil"/>
          <w:right w:val="nil"/>
          <w:between w:val="nil"/>
        </w:pBdr>
        <w:spacing w:after="0" w:line="276" w:lineRule="auto"/>
        <w:rPr>
          <w:color w:val="000000"/>
          <w:lang w:val="bs-Latn-BA"/>
        </w:rPr>
      </w:pPr>
      <w:r w:rsidRPr="008924E0">
        <w:rPr>
          <w:color w:val="000000"/>
          <w:lang w:val="bs-Latn-BA"/>
        </w:rPr>
        <w:t>Društvo jednakih mogućnosti.</w:t>
      </w:r>
    </w:p>
    <w:p w14:paraId="5A6C21CC" w14:textId="77777777" w:rsidR="00C75FEE" w:rsidRPr="008924E0" w:rsidRDefault="00C75FEE" w:rsidP="00C75FEE">
      <w:pPr>
        <w:spacing w:after="120" w:line="276" w:lineRule="auto"/>
        <w:rPr>
          <w:color w:val="FF0000"/>
          <w:lang w:val="bs-Latn-BA"/>
        </w:rPr>
      </w:pPr>
      <w:r w:rsidRPr="008924E0">
        <w:rPr>
          <w:lang w:val="bs-Latn-BA"/>
        </w:rPr>
        <w:t xml:space="preserve">Uz navedena tri razvojna pravca SDG okvirom, utvrđene su i dvije horizontalne teme, posebno značajne za kontekstualizaciju Agende 2030 u Bosni i Hercegovini, a to su: „Ulaganje u ljudski kapital za budućnost“, te princip „Niko ne smije biti isključen“. </w:t>
      </w:r>
    </w:p>
    <w:p w14:paraId="01596D4C" w14:textId="77777777" w:rsidR="00C75FEE" w:rsidRPr="008924E0" w:rsidRDefault="00C75FEE" w:rsidP="00371189">
      <w:pPr>
        <w:pStyle w:val="Heading3"/>
        <w:numPr>
          <w:ilvl w:val="2"/>
          <w:numId w:val="33"/>
        </w:numPr>
        <w:ind w:left="936" w:hanging="360"/>
      </w:pPr>
      <w:bookmarkStart w:id="163" w:name="_Toc134011792"/>
      <w:r w:rsidRPr="008924E0">
        <w:t>Zelena agenda za Zapadni Balkan 2030.</w:t>
      </w:r>
      <w:bookmarkEnd w:id="163"/>
      <w:r w:rsidRPr="008924E0">
        <w:t xml:space="preserve">  </w:t>
      </w:r>
    </w:p>
    <w:p w14:paraId="5EC2BC72" w14:textId="56FC57AF" w:rsidR="00C75FEE" w:rsidRPr="008924E0" w:rsidRDefault="00C75FEE" w:rsidP="00C75FEE">
      <w:pPr>
        <w:pBdr>
          <w:top w:val="nil"/>
          <w:left w:val="nil"/>
          <w:bottom w:val="nil"/>
          <w:right w:val="nil"/>
          <w:between w:val="nil"/>
        </w:pBdr>
        <w:spacing w:after="120" w:line="276" w:lineRule="auto"/>
        <w:rPr>
          <w:color w:val="000000"/>
          <w:lang w:val="bs-Latn-BA"/>
        </w:rPr>
      </w:pPr>
      <w:r w:rsidRPr="008924E0">
        <w:rPr>
          <w:color w:val="000000"/>
          <w:lang w:val="bs-Latn-BA"/>
        </w:rPr>
        <w:t>Europskim zelenim planom predviđena je i Zelena agenda za Zapadni Balkan</w:t>
      </w:r>
      <w:r w:rsidRPr="008924E0">
        <w:rPr>
          <w:color w:val="000000"/>
          <w:vertAlign w:val="superscript"/>
          <w:lang w:val="bs-Latn-BA"/>
        </w:rPr>
        <w:footnoteReference w:id="50"/>
      </w:r>
      <w:r w:rsidRPr="008924E0">
        <w:rPr>
          <w:color w:val="000000"/>
          <w:lang w:val="bs-Latn-BA"/>
        </w:rPr>
        <w:t xml:space="preserve">. Bosna i Hercegovina je, 10. novembra 2020. godine, na Samitu u Sofiji, potpisala Deklaraciju o Zelenoj agendi za Zapadni Balkan, kojom se </w:t>
      </w:r>
      <w:r w:rsidR="00F03625">
        <w:rPr>
          <w:color w:val="000000"/>
          <w:lang w:val="bs-Latn-BA"/>
        </w:rPr>
        <w:t>obvez</w:t>
      </w:r>
      <w:r w:rsidRPr="008924E0">
        <w:rPr>
          <w:color w:val="000000"/>
          <w:lang w:val="bs-Latn-BA"/>
        </w:rPr>
        <w:t xml:space="preserve">ala na provođenje ovog dokumenta kroz pet ključnih oblasti: klimatske promjene (dekarbonizacija, energetika, mobilnost), cirkularna ekonomija (otpad, recikliranje, održiva proizvodnja, efikasna upotreba resursa), biodiverzitet (zaštita i obnova ekosistema), borba protiv zagađenja zraka, vode, zemljišta i tla, te održivost ruralnih područja. Time se BiH </w:t>
      </w:r>
      <w:r w:rsidR="00F03625">
        <w:rPr>
          <w:color w:val="000000"/>
          <w:lang w:val="bs-Latn-BA"/>
        </w:rPr>
        <w:t>obvez</w:t>
      </w:r>
      <w:r w:rsidRPr="008924E0">
        <w:rPr>
          <w:color w:val="000000"/>
          <w:lang w:val="bs-Latn-BA"/>
        </w:rPr>
        <w:t xml:space="preserve">ala da će zajedno sa EU i ostalim državama potpisnicama Deklaracije raditi na cilju postizanja ugljične neutralnosti kontinenta do 2050. godine, uvođenjem stroge klimatske politike i reformom energetskog i transportnog sektora, a posebno, </w:t>
      </w:r>
      <w:r w:rsidRPr="008924E0">
        <w:rPr>
          <w:color w:val="000000"/>
          <w:lang w:val="bs-Latn-BA"/>
        </w:rPr>
        <w:lastRenderedPageBreak/>
        <w:t xml:space="preserve">između ostalog, dati prednost energijskoj efikasnosti i poboljšati je u svim sektorima, kao i podržati privatne i javne šeme obnove zgrada, osigurati adekvatno </w:t>
      </w:r>
      <w:r w:rsidR="007B690C">
        <w:rPr>
          <w:color w:val="000000"/>
          <w:lang w:val="bs-Latn-BA"/>
        </w:rPr>
        <w:t>financ</w:t>
      </w:r>
      <w:r w:rsidRPr="008924E0">
        <w:rPr>
          <w:color w:val="000000"/>
          <w:lang w:val="bs-Latn-BA"/>
        </w:rPr>
        <w:t>iranje i potpuno izvršenje Direktive 2010/31/EU o energijskim svojstvima zgrada</w:t>
      </w:r>
      <w:r w:rsidRPr="008924E0">
        <w:rPr>
          <w:color w:val="000000"/>
          <w:vertAlign w:val="superscript"/>
          <w:lang w:val="bs-Latn-BA"/>
        </w:rPr>
        <w:footnoteReference w:id="51"/>
      </w:r>
      <w:r w:rsidRPr="008924E0">
        <w:rPr>
          <w:color w:val="000000"/>
          <w:lang w:val="bs-Latn-BA"/>
        </w:rPr>
        <w:t xml:space="preserve"> (EPBD), koja je prilagođena okviru Energetske Zajednice.</w:t>
      </w:r>
      <w:r w:rsidRPr="008924E0">
        <w:rPr>
          <w:color w:val="000000"/>
          <w:vertAlign w:val="superscript"/>
          <w:lang w:val="bs-Latn-BA"/>
        </w:rPr>
        <w:footnoteReference w:id="52"/>
      </w:r>
      <w:r w:rsidRPr="008924E0">
        <w:rPr>
          <w:color w:val="000000"/>
          <w:lang w:val="bs-Latn-BA"/>
        </w:rPr>
        <w:t xml:space="preserve"> </w:t>
      </w:r>
    </w:p>
    <w:p w14:paraId="6FC45853" w14:textId="77777777" w:rsidR="00C75FEE" w:rsidRPr="008924E0" w:rsidRDefault="00C75FEE" w:rsidP="00045BB4">
      <w:pPr>
        <w:pStyle w:val="Heading3"/>
        <w:numPr>
          <w:ilvl w:val="2"/>
          <w:numId w:val="33"/>
        </w:numPr>
        <w:ind w:left="1440" w:hanging="864"/>
      </w:pPr>
      <w:bookmarkStart w:id="164" w:name="_Toc134011793"/>
      <w:r w:rsidRPr="008924E0">
        <w:t>Akcijski plan za zajedničko regionalno tržište Zapadnog Balkana 2021–2024.</w:t>
      </w:r>
      <w:bookmarkEnd w:id="164"/>
      <w:r w:rsidRPr="008924E0">
        <w:t xml:space="preserve">  </w:t>
      </w:r>
    </w:p>
    <w:p w14:paraId="5A7D5792" w14:textId="77777777" w:rsidR="00C75FEE" w:rsidRPr="008924E0" w:rsidRDefault="00C75FEE" w:rsidP="00C75FEE">
      <w:pPr>
        <w:rPr>
          <w:color w:val="000000"/>
          <w:lang w:val="bs-Latn-BA"/>
        </w:rPr>
      </w:pPr>
      <w:r w:rsidRPr="008924E0">
        <w:rPr>
          <w:color w:val="000000"/>
          <w:lang w:val="bs-Latn-BA"/>
        </w:rPr>
        <w:t xml:space="preserve">Zemlje Zapadnog Balkana dijele zajedničku ambiciju: demokratska, prosperitetna regija koja promovira otvorena društva temeljena na zajedničkim vrijednostima pluralizma, solidarnosti i pravde, potkrijepljena snažnom vladavinom prava. Zapadni Balkan je odlučan raditi zajedno kako bi ispunio ovu ambiciju i suočio se s privrednim, društvenim, okolinskim, sigurnosnim i političkim izazovima s kojima se regija suočava. Zemlje Zapadnog Balkana uvjerene su da jedini odgovarajući odgovor na ove izazove leži u regionalnoj suradnji i integraciji u Europsku uniju. Akcijski plan za zajedničko regionalno tržište </w:t>
      </w:r>
      <w:r w:rsidRPr="00C9093A">
        <w:rPr>
          <w:i/>
          <w:iCs/>
          <w:color w:val="000000"/>
          <w:lang w:val="bs-Latn-BA"/>
        </w:rPr>
        <w:t>(Common Regional Market - CRM)</w:t>
      </w:r>
      <w:r w:rsidRPr="008924E0">
        <w:rPr>
          <w:color w:val="000000"/>
          <w:lang w:val="bs-Latn-BA"/>
        </w:rPr>
        <w:t xml:space="preserve"> koji će se provesti do kraja 2024. se od ciljanih radnji u četiri ključna područja:</w:t>
      </w:r>
    </w:p>
    <w:p w14:paraId="159559C7" w14:textId="77777777" w:rsidR="00C75FEE" w:rsidRPr="008924E0" w:rsidRDefault="00C75FEE" w:rsidP="00C75FEE">
      <w:pPr>
        <w:pStyle w:val="ListParagraph"/>
        <w:numPr>
          <w:ilvl w:val="0"/>
          <w:numId w:val="44"/>
        </w:numPr>
        <w:spacing w:line="259" w:lineRule="auto"/>
        <w:contextualSpacing/>
        <w:rPr>
          <w:color w:val="000000"/>
        </w:rPr>
      </w:pPr>
      <w:r w:rsidRPr="008924E0">
        <w:rPr>
          <w:color w:val="000000"/>
        </w:rPr>
        <w:t>regionalno trgovinsko područje: slobodno kretanje roba, usluga, kapitala i ljudi, uključujući međusektorske mjere, kao što su Zelene staze</w:t>
      </w:r>
      <w:r w:rsidRPr="008924E0">
        <w:rPr>
          <w:shd w:val="clear" w:color="auto" w:fill="FFFFFF"/>
        </w:rPr>
        <w:t xml:space="preserve"> </w:t>
      </w:r>
      <w:r w:rsidRPr="008924E0">
        <w:rPr>
          <w:i/>
          <w:iCs/>
          <w:shd w:val="clear" w:color="auto" w:fill="FFFFFF"/>
        </w:rPr>
        <w:t>(Green Lanes)</w:t>
      </w:r>
      <w:r w:rsidRPr="008924E0">
        <w:rPr>
          <w:i/>
          <w:iCs/>
          <w:color w:val="000000"/>
        </w:rPr>
        <w:t>,</w:t>
      </w:r>
      <w:r w:rsidRPr="008924E0">
        <w:rPr>
          <w:color w:val="000000"/>
        </w:rPr>
        <w:t xml:space="preserve"> radi usklađivanja s pravilima i standardima koji su usklađeni s EU-om i pružanja mogućnosti tvrtkama i građanima;</w:t>
      </w:r>
    </w:p>
    <w:p w14:paraId="1DA1E3B0" w14:textId="77777777" w:rsidR="00C75FEE" w:rsidRPr="008924E0" w:rsidRDefault="00C75FEE" w:rsidP="00C75FEE">
      <w:pPr>
        <w:pStyle w:val="ListParagraph"/>
        <w:numPr>
          <w:ilvl w:val="0"/>
          <w:numId w:val="44"/>
        </w:numPr>
        <w:spacing w:line="259" w:lineRule="auto"/>
        <w:contextualSpacing/>
        <w:rPr>
          <w:color w:val="000000"/>
        </w:rPr>
      </w:pPr>
      <w:r w:rsidRPr="008924E0">
        <w:rPr>
          <w:color w:val="000000"/>
        </w:rPr>
        <w:t>regionalno investicijsko područje, uskladiti investicijske politike sa standardima EU i najboljom međunarodnom praksom te promovirati regiju stranim ulagačima;</w:t>
      </w:r>
    </w:p>
    <w:p w14:paraId="66A899D9" w14:textId="77777777" w:rsidR="00C75FEE" w:rsidRPr="008924E0" w:rsidRDefault="00C75FEE" w:rsidP="00C75FEE">
      <w:pPr>
        <w:pStyle w:val="ListParagraph"/>
        <w:numPr>
          <w:ilvl w:val="0"/>
          <w:numId w:val="44"/>
        </w:numPr>
        <w:spacing w:line="259" w:lineRule="auto"/>
        <w:contextualSpacing/>
        <w:rPr>
          <w:color w:val="000000"/>
        </w:rPr>
      </w:pPr>
      <w:r w:rsidRPr="008924E0">
        <w:rPr>
          <w:color w:val="000000"/>
        </w:rPr>
        <w:t>regionalno digitalno područje, za integraciju Zapadnog Balkana u paneuropsko digitalno tržište; i</w:t>
      </w:r>
    </w:p>
    <w:p w14:paraId="6D22FB89" w14:textId="77777777" w:rsidR="00C75FEE" w:rsidRPr="008924E0" w:rsidRDefault="00C75FEE" w:rsidP="00C75FEE">
      <w:pPr>
        <w:pStyle w:val="ListParagraph"/>
        <w:numPr>
          <w:ilvl w:val="0"/>
          <w:numId w:val="44"/>
        </w:numPr>
        <w:spacing w:line="259" w:lineRule="auto"/>
        <w:contextualSpacing/>
        <w:rPr>
          <w:color w:val="000000"/>
        </w:rPr>
      </w:pPr>
      <w:r w:rsidRPr="008924E0">
        <w:rPr>
          <w:color w:val="000000"/>
        </w:rPr>
        <w:t>regionalno industrijsko i inovacijsko područje, transformirati industrijske sektore, oblikovati lance vrijednosti kojima pripadaju i pripremiti ih za realnost današnjice i izazove sutrašnjice.</w:t>
      </w:r>
    </w:p>
    <w:p w14:paraId="7218B193" w14:textId="77777777" w:rsidR="00C75FEE" w:rsidRPr="008924E0" w:rsidRDefault="00C75FEE" w:rsidP="00C75FEE">
      <w:pPr>
        <w:rPr>
          <w:color w:val="000000"/>
          <w:lang w:val="bs-Latn-BA"/>
        </w:rPr>
      </w:pPr>
      <w:r w:rsidRPr="008924E0">
        <w:rPr>
          <w:color w:val="000000"/>
          <w:lang w:val="bs-Latn-BA"/>
        </w:rPr>
        <w:t>Ova agenda će donijeti opipljive i konkretne rezultate na dobrobit građana i tvrtki iz regije.</w:t>
      </w:r>
    </w:p>
    <w:p w14:paraId="38614984" w14:textId="77777777" w:rsidR="00C75FEE" w:rsidRPr="008924E0" w:rsidRDefault="00C75FEE" w:rsidP="00045BB4">
      <w:pPr>
        <w:pStyle w:val="Heading3"/>
        <w:numPr>
          <w:ilvl w:val="2"/>
          <w:numId w:val="33"/>
        </w:numPr>
        <w:ind w:left="1440" w:hanging="864"/>
      </w:pPr>
      <w:bookmarkStart w:id="165" w:name="_Toc134011794"/>
      <w:r w:rsidRPr="008924E0">
        <w:t>Strategija prilagođavanja klimatskim promjenama i niskoemisijskog razvoja BiH 2020‒2030.</w:t>
      </w:r>
      <w:bookmarkEnd w:id="165"/>
      <w:r w:rsidRPr="008924E0">
        <w:t xml:space="preserve">  </w:t>
      </w:r>
    </w:p>
    <w:p w14:paraId="074E2333" w14:textId="3250140D" w:rsidR="00C75FEE" w:rsidRPr="008924E0" w:rsidRDefault="00C75FEE" w:rsidP="00C75FEE">
      <w:pPr>
        <w:rPr>
          <w:lang w:val="bs-Latn-BA"/>
        </w:rPr>
      </w:pPr>
      <w:r w:rsidRPr="008924E0">
        <w:rPr>
          <w:lang w:val="bs-Latn-BA"/>
        </w:rPr>
        <w:t xml:space="preserve">Strategija prilagođavanja klimatskim promjenama i niskoemisijskog razvoja BiH 2020‒2030.  za cilj ima povećanje otpornosti na klimatsku varijabilnost i klimatske promjene, pri čemu će osigurati razvojne dobiti, te dostizanje najviše vrijednosti i prestanak rasta nivoa emisija stakleničkih plinova do 2025. godine na nivou koji je ispod prosjeka emisija EU27 (trenutnih zemalja članica EU) po glavi stanovnika. Mjere za ublažavanje klimatskih promjena neophodne su kako bi se smanjili utjecaji klimatskih promjena, te osiguralo da se tim promjenama može upravljati. Također, ova strategija uključuje i komponente smanjenja rizika po društvenoosjetljive grupe, što je u skladu s perspektivom ravnopravnosti spolova, društvene jednakosti i siromaštva, koja je bila uzeta u obzir tokom procesa izrade Strategije. Strategijom prilagođavanja klimatskim promjenama definirano je sedam prioritetnih sektora, što su: poljoprivreda, biodiverzitet i osjetljivi ekosistemi, energija (hidroenergija), šumarstvo, zdravlje ljudi, turizam i vodni 169 resursi/vodoprivreda. Također, identificirana su četiri sektora koji su prioritetni za Strategiju niskoemisijskog razvoja – proizvodnja električne energije, </w:t>
      </w:r>
      <w:r w:rsidR="00F311F8">
        <w:rPr>
          <w:lang w:val="bs-Latn-BA"/>
        </w:rPr>
        <w:t>energij</w:t>
      </w:r>
      <w:r w:rsidRPr="008924E0">
        <w:rPr>
          <w:lang w:val="bs-Latn-BA"/>
        </w:rPr>
        <w:t>ska efikasnost u zgradarstvu, sistem daljinskog grijanja, te prijevoz/saobraćaj.</w:t>
      </w:r>
    </w:p>
    <w:p w14:paraId="5BA911A0" w14:textId="77777777" w:rsidR="00C75FEE" w:rsidRPr="008924E0" w:rsidRDefault="00C75FEE" w:rsidP="00BB1073">
      <w:pPr>
        <w:pStyle w:val="Heading3"/>
        <w:numPr>
          <w:ilvl w:val="2"/>
          <w:numId w:val="33"/>
        </w:numPr>
        <w:ind w:left="1260" w:hanging="684"/>
      </w:pPr>
      <w:bookmarkStart w:id="166" w:name="_Toc134011795"/>
      <w:r w:rsidRPr="008924E0">
        <w:lastRenderedPageBreak/>
        <w:t>Utvrđeni doprinos BiH 2020‒2030  (Nationally Determined Contribution - NDC)</w:t>
      </w:r>
      <w:bookmarkEnd w:id="166"/>
    </w:p>
    <w:p w14:paraId="00160683" w14:textId="480B7834" w:rsidR="00C75FEE" w:rsidRPr="008924E0" w:rsidRDefault="00C75FEE" w:rsidP="00C75FEE">
      <w:pPr>
        <w:rPr>
          <w:lang w:val="bs-Latn-BA"/>
        </w:rPr>
      </w:pPr>
      <w:r w:rsidRPr="008924E0">
        <w:rPr>
          <w:color w:val="000000"/>
          <w:lang w:val="bs-Latn-BA"/>
        </w:rPr>
        <w:t xml:space="preserve">Bosna i Hercegovina </w:t>
      </w:r>
      <w:r w:rsidRPr="008924E0">
        <w:rPr>
          <w:lang w:val="bs-Latn-BA"/>
        </w:rPr>
        <w:t xml:space="preserve">je 2015. godine podnijela prvi Izvještaj o namjeravanom nacionalnom utvrđenom doprinosu </w:t>
      </w:r>
      <w:r w:rsidRPr="00C9093A">
        <w:rPr>
          <w:i/>
          <w:iCs/>
          <w:lang w:val="bs-Latn-BA"/>
        </w:rPr>
        <w:t>(eng. Intended Nationally Determined Contribution – INDC),</w:t>
      </w:r>
      <w:r w:rsidRPr="008924E0">
        <w:rPr>
          <w:lang w:val="bs-Latn-BA"/>
        </w:rPr>
        <w:t xml:space="preserve"> te ratificirala Pariški sporazum Odlukom o ratifikaciji Pariškog sporazuma u skladu s UNFCCC-om. Prema odredbama Sporazuma, države imaju </w:t>
      </w:r>
      <w:r w:rsidR="00F03625">
        <w:rPr>
          <w:lang w:val="bs-Latn-BA"/>
        </w:rPr>
        <w:t>obvez</w:t>
      </w:r>
      <w:r w:rsidRPr="008924E0">
        <w:rPr>
          <w:lang w:val="bs-Latn-BA"/>
        </w:rPr>
        <w:t xml:space="preserve">u dostavljanja ažuriranih dokumenata o aktivnostima ublažavanja klimatskih promjena svakih pet godina. Zbog toga, BiH je pripremila dokument Utvrđeni doprinos BiH za period 2020‒2030 </w:t>
      </w:r>
      <w:r w:rsidRPr="00C9093A">
        <w:rPr>
          <w:i/>
          <w:iCs/>
          <w:lang w:val="bs-Latn-BA"/>
        </w:rPr>
        <w:t>(eng. Nationally Determined Contribution – NDC)</w:t>
      </w:r>
      <w:r w:rsidR="003727C4">
        <w:rPr>
          <w:lang w:val="bs-Latn-BA"/>
        </w:rPr>
        <w:t>.</w:t>
      </w:r>
    </w:p>
    <w:p w14:paraId="68048BD4" w14:textId="5EC9AC8E" w:rsidR="00C75FEE" w:rsidRPr="008924E0" w:rsidRDefault="00C75FEE" w:rsidP="00371189">
      <w:pPr>
        <w:pStyle w:val="Heading3"/>
        <w:numPr>
          <w:ilvl w:val="2"/>
          <w:numId w:val="33"/>
        </w:numPr>
        <w:ind w:left="936" w:hanging="360"/>
      </w:pPr>
      <w:bookmarkStart w:id="167" w:name="_Toc134011796"/>
      <w:r w:rsidRPr="008924E0">
        <w:t>Federalna strategija zaštite okoliša 2022</w:t>
      </w:r>
      <w:r w:rsidR="00B83D01">
        <w:t>.</w:t>
      </w:r>
      <w:r w:rsidRPr="008924E0">
        <w:t>‒2032.</w:t>
      </w:r>
      <w:bookmarkEnd w:id="167"/>
      <w:r w:rsidRPr="008924E0">
        <w:t xml:space="preserve">  </w:t>
      </w:r>
    </w:p>
    <w:p w14:paraId="117545B9" w14:textId="12ECFFDC" w:rsidR="00C75FEE" w:rsidRPr="008924E0" w:rsidRDefault="00F03625" w:rsidP="00C75FEE">
      <w:pPr>
        <w:rPr>
          <w:lang w:val="bs-Latn-BA"/>
        </w:rPr>
      </w:pPr>
      <w:r>
        <w:rPr>
          <w:lang w:val="bs-Latn-BA"/>
        </w:rPr>
        <w:t>Obvez</w:t>
      </w:r>
      <w:r w:rsidR="00C75FEE" w:rsidRPr="008924E0">
        <w:rPr>
          <w:lang w:val="bs-Latn-BA"/>
        </w:rPr>
        <w:t>a izrade Federalne strategije zaštite okoliša propisana je članom 44. Zakona o zaštiti okoliša Federacije BiH (</w:t>
      </w:r>
      <w:r w:rsidR="007F46D7" w:rsidRPr="007F46D7">
        <w:rPr>
          <w:lang w:val="bs-Latn-BA"/>
        </w:rPr>
        <w:t xml:space="preserve">„Službene novine Federacije BiH“, broj </w:t>
      </w:r>
      <w:r w:rsidR="00C75FEE" w:rsidRPr="008924E0">
        <w:rPr>
          <w:lang w:val="bs-Latn-BA"/>
        </w:rPr>
        <w:t xml:space="preserve">15/21). U skladu sa Zakonom, Strategijom se utvrđuju ciljevi i prioriteti zaštite okoliša u Federaciji BiH, način njihova ostvarivanja, </w:t>
      </w:r>
      <w:r w:rsidR="007B690C">
        <w:rPr>
          <w:lang w:val="bs-Latn-BA"/>
        </w:rPr>
        <w:t>financ</w:t>
      </w:r>
      <w:r w:rsidR="00C75FEE" w:rsidRPr="008924E0">
        <w:rPr>
          <w:lang w:val="bs-Latn-BA"/>
        </w:rPr>
        <w:t xml:space="preserve">ijski i institucionalni okvir za implementaciju, monitoring, evaluaciju i izvještavanje. </w:t>
      </w:r>
    </w:p>
    <w:p w14:paraId="5B007511" w14:textId="5C0C57DE" w:rsidR="00C75FEE" w:rsidRPr="008924E0" w:rsidRDefault="00C75FEE" w:rsidP="00C75FEE">
      <w:pPr>
        <w:rPr>
          <w:lang w:val="bs-Latn-BA"/>
        </w:rPr>
      </w:pPr>
      <w:r w:rsidRPr="008924E0">
        <w:rPr>
          <w:lang w:val="bs-Latn-BA"/>
        </w:rPr>
        <w:t xml:space="preserve">Dokument je razvijen za period 2022.‒2032. godina, a uključuje sveobuhvatne strateške ciljeve zaštite okoliša i planove konkretnih akcija za postizanje tih ciljeva u Federaciji BiH. Dokument je ključan za pružanje podrške relevantnim institucijama u stvaranju </w:t>
      </w:r>
      <w:r w:rsidR="00540A41">
        <w:rPr>
          <w:lang w:val="bs-Latn-BA"/>
        </w:rPr>
        <w:t>uvjet</w:t>
      </w:r>
      <w:r w:rsidRPr="008924E0">
        <w:rPr>
          <w:lang w:val="bs-Latn-BA"/>
        </w:rPr>
        <w:t>a koji vode ka održivosti u narednoj deceniji, kao i poboljšanju zdravlja i dobrobiti građana. Posebne napore usmjerava ka donošenju javnih politika kojima bi se: ublažio i smanjio negativan utjecaj, te povećala otpornost na klimatske promjene, povećala usklađenost djelovanja Federacije BiH s propisima EU i relevantnim međunarodnim sporazumima, te osigurale održivije javne usluge, ali i ojačao okvir za zaštitu okoliša, te olakšala transpozicija pravne stečevine EU. 2 Sadržaj dokumenta, kojI je u skladu sa sedam tematskih oblasti pravne stečevine EU i navedenim skupom strateških aktivnosti, te uključuju: upravljanje vodama; upravljanje otpadom; biodiverzitet i zaštitu prirode; kvalitet zraka, klimatske promjene i energiju; hemijsku sigurnost i buku; održivo upravljanje resursima (uključujući poljoprivredu, šumarstvo, ribarstvo i rudarske aktivnosti); i upravljanje okolišem (kao horizontalnu politiku).</w:t>
      </w:r>
    </w:p>
    <w:p w14:paraId="3B97E31E" w14:textId="77777777" w:rsidR="00C75FEE" w:rsidRPr="008924E0" w:rsidRDefault="00C75FEE" w:rsidP="00C75FEE">
      <w:pPr>
        <w:pStyle w:val="Caption"/>
        <w:keepNext/>
        <w:sectPr w:rsidR="00C75FEE" w:rsidRPr="008924E0">
          <w:pgSz w:w="12240" w:h="15840"/>
          <w:pgMar w:top="1440" w:right="1440" w:bottom="1440" w:left="1440" w:header="720" w:footer="720" w:gutter="0"/>
          <w:cols w:space="720"/>
          <w:docGrid w:linePitch="360"/>
        </w:sectPr>
      </w:pPr>
    </w:p>
    <w:p w14:paraId="4CF0DCD9" w14:textId="07EBBBC5" w:rsidR="00C75FEE" w:rsidRPr="008924E0" w:rsidRDefault="00C75FEE" w:rsidP="00C75FEE">
      <w:pPr>
        <w:pStyle w:val="Caption"/>
        <w:keepNext/>
        <w:rPr>
          <w:color w:val="000000"/>
        </w:rPr>
      </w:pPr>
      <w:bookmarkStart w:id="168" w:name="_Toc133499572"/>
      <w:r w:rsidRPr="008924E0">
        <w:lastRenderedPageBreak/>
        <w:t xml:space="preserve">Tabela </w:t>
      </w:r>
      <w:fldSimple w:instr=" STYLEREF 1 \s ">
        <w:r w:rsidR="004A246B">
          <w:rPr>
            <w:noProof/>
          </w:rPr>
          <w:t>8</w:t>
        </w:r>
      </w:fldSimple>
      <w:r w:rsidR="004A246B">
        <w:t>.</w:t>
      </w:r>
      <w:r w:rsidR="00000000">
        <w:fldChar w:fldCharType="begin"/>
      </w:r>
      <w:r w:rsidR="00000000">
        <w:instrText xml:space="preserve"> SEQ Tabela \* ARABIC \s 1 </w:instrText>
      </w:r>
      <w:r w:rsidR="00000000">
        <w:fldChar w:fldCharType="separate"/>
      </w:r>
      <w:r w:rsidR="004A246B">
        <w:rPr>
          <w:noProof/>
        </w:rPr>
        <w:t>1</w:t>
      </w:r>
      <w:r w:rsidR="00000000">
        <w:rPr>
          <w:noProof/>
        </w:rPr>
        <w:fldChar w:fldCharType="end"/>
      </w:r>
      <w:r w:rsidRPr="008924E0">
        <w:t xml:space="preserve"> </w:t>
      </w:r>
      <w:r w:rsidRPr="008924E0">
        <w:rPr>
          <w:color w:val="000000"/>
        </w:rPr>
        <w:t>Pregled usklađenosti prioriteta Strategije sa relevantnim strateškim, planskim i razvojnim dokumentima</w:t>
      </w:r>
      <w:bookmarkEnd w:id="168"/>
    </w:p>
    <w:tbl>
      <w:tblPr>
        <w:tblStyle w:val="9"/>
        <w:tblW w:w="1349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035"/>
        <w:gridCol w:w="4410"/>
        <w:gridCol w:w="4050"/>
      </w:tblGrid>
      <w:tr w:rsidR="00C75FEE" w:rsidRPr="001972F5" w14:paraId="6A962C92" w14:textId="77777777" w:rsidTr="005D2C94">
        <w:trPr>
          <w:cnfStyle w:val="100000000000" w:firstRow="1" w:lastRow="0" w:firstColumn="0" w:lastColumn="0" w:oddVBand="0" w:evenVBand="0" w:oddHBand="0" w:evenHBand="0" w:firstRowFirstColumn="0" w:firstRowLastColumn="0" w:lastRowFirstColumn="0" w:lastRowLastColumn="0"/>
          <w:trHeight w:val="872"/>
        </w:trPr>
        <w:tc>
          <w:tcPr>
            <w:cnfStyle w:val="001000000000" w:firstRow="0" w:lastRow="0" w:firstColumn="1" w:lastColumn="0" w:oddVBand="0" w:evenVBand="0" w:oddHBand="0" w:evenHBand="0" w:firstRowFirstColumn="0" w:firstRowLastColumn="0" w:lastRowFirstColumn="0" w:lastRowLastColumn="0"/>
            <w:tcW w:w="5035" w:type="dxa"/>
            <w:vMerge w:val="restart"/>
            <w:tcBorders>
              <w:top w:val="none" w:sz="0" w:space="0" w:color="auto"/>
              <w:left w:val="none" w:sz="0" w:space="0" w:color="auto"/>
              <w:bottom w:val="none" w:sz="0" w:space="0" w:color="auto"/>
              <w:right w:val="none" w:sz="0" w:space="0" w:color="auto"/>
            </w:tcBorders>
            <w:vAlign w:val="center"/>
          </w:tcPr>
          <w:p w14:paraId="196B9423" w14:textId="2AB4F712" w:rsidR="00C75FEE" w:rsidRPr="00B83005" w:rsidRDefault="00352E09" w:rsidP="00501DCF">
            <w:pPr>
              <w:rPr>
                <w:rFonts w:asciiTheme="minorHAnsi" w:hAnsiTheme="minorHAnsi" w:cstheme="minorHAnsi"/>
                <w:b w:val="0"/>
                <w:bCs/>
                <w:sz w:val="22"/>
                <w:szCs w:val="22"/>
                <w:lang w:val="bs-Latn-BA"/>
              </w:rPr>
            </w:pPr>
            <w:r w:rsidRPr="00B83005">
              <w:rPr>
                <w:rFonts w:asciiTheme="minorHAnsi" w:hAnsiTheme="minorHAnsi" w:cstheme="minorHAnsi"/>
                <w:bCs/>
                <w:color w:val="FFFFFF" w:themeColor="background1"/>
                <w:sz w:val="22"/>
                <w:szCs w:val="22"/>
                <w:lang w:val="bs-Latn-BA"/>
              </w:rPr>
              <w:t>Relevantni strateški, planski i razvojni dokumenti</w:t>
            </w:r>
            <w:r w:rsidRPr="00B83005" w:rsidDel="00352E09">
              <w:rPr>
                <w:rFonts w:asciiTheme="minorHAnsi" w:hAnsiTheme="minorHAnsi" w:cstheme="minorHAnsi"/>
                <w:bCs/>
                <w:color w:val="FFFFFF" w:themeColor="background1"/>
                <w:sz w:val="22"/>
                <w:szCs w:val="22"/>
                <w:lang w:val="bs-Latn-BA"/>
              </w:rPr>
              <w:t xml:space="preserve"> </w:t>
            </w:r>
          </w:p>
        </w:tc>
        <w:tc>
          <w:tcPr>
            <w:tcW w:w="8460" w:type="dxa"/>
            <w:gridSpan w:val="2"/>
            <w:tcBorders>
              <w:top w:val="none" w:sz="0" w:space="0" w:color="auto"/>
              <w:left w:val="none" w:sz="0" w:space="0" w:color="auto"/>
              <w:bottom w:val="none" w:sz="0" w:space="0" w:color="auto"/>
              <w:right w:val="none" w:sz="0" w:space="0" w:color="auto"/>
            </w:tcBorders>
            <w:vAlign w:val="center"/>
          </w:tcPr>
          <w:p w14:paraId="6BF35ECE" w14:textId="77777777" w:rsidR="00D9221F" w:rsidRPr="00B83005" w:rsidRDefault="00352E09" w:rsidP="00352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sz w:val="22"/>
                <w:szCs w:val="22"/>
                <w:lang w:val="bs-Latn-BA"/>
              </w:rPr>
            </w:pPr>
            <w:r w:rsidRPr="00B83005">
              <w:rPr>
                <w:rFonts w:asciiTheme="minorHAnsi" w:hAnsiTheme="minorHAnsi" w:cstheme="minorHAnsi"/>
                <w:bCs/>
                <w:sz w:val="22"/>
                <w:szCs w:val="22"/>
                <w:lang w:val="bs-Latn-BA"/>
              </w:rPr>
              <w:t xml:space="preserve">Prioriteti strateškog cilja </w:t>
            </w:r>
          </w:p>
          <w:p w14:paraId="4F1EC5C6" w14:textId="225F3991" w:rsidR="00C75FEE" w:rsidRPr="00B83005" w:rsidRDefault="00352E09" w:rsidP="00352E09">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color w:val="FFFFFF" w:themeColor="background1"/>
                <w:sz w:val="22"/>
                <w:szCs w:val="22"/>
                <w:lang w:val="bs-Latn-BA"/>
              </w:rPr>
            </w:pPr>
            <w:r w:rsidRPr="00B83005">
              <w:rPr>
                <w:rFonts w:asciiTheme="minorHAnsi" w:hAnsiTheme="minorHAnsi" w:cstheme="minorHAnsi"/>
                <w:bCs/>
                <w:color w:val="FFFFFF" w:themeColor="background1"/>
                <w:sz w:val="22"/>
                <w:szCs w:val="22"/>
                <w:lang w:val="bs-Latn-BA"/>
              </w:rPr>
              <w:t>Postojeći fond zgrada je transformiran u energijski visokoefikasan i dekarboniziran fond zgrada</w:t>
            </w:r>
            <w:r w:rsidRPr="00B83005">
              <w:rPr>
                <w:rFonts w:asciiTheme="minorHAnsi" w:hAnsiTheme="minorHAnsi" w:cstheme="minorHAnsi"/>
                <w:b w:val="0"/>
                <w:bCs/>
                <w:color w:val="FFFFFF" w:themeColor="background1"/>
                <w:sz w:val="22"/>
                <w:szCs w:val="22"/>
                <w:lang w:val="bs-Latn-BA"/>
              </w:rPr>
              <w:t xml:space="preserve"> </w:t>
            </w:r>
            <w:r w:rsidRPr="00B83005">
              <w:rPr>
                <w:rFonts w:asciiTheme="minorHAnsi" w:hAnsiTheme="minorHAnsi" w:cstheme="minorHAnsi"/>
                <w:bCs/>
                <w:color w:val="FFFFFF" w:themeColor="background1"/>
                <w:sz w:val="22"/>
                <w:szCs w:val="22"/>
                <w:lang w:val="bs-Latn-BA"/>
              </w:rPr>
              <w:t>do 2050. godine</w:t>
            </w:r>
          </w:p>
        </w:tc>
      </w:tr>
      <w:tr w:rsidR="00352E09" w:rsidRPr="001972F5" w14:paraId="02701C76" w14:textId="77777777" w:rsidTr="005D2C94">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035" w:type="dxa"/>
            <w:vMerge/>
          </w:tcPr>
          <w:p w14:paraId="1E38CF9B" w14:textId="77777777" w:rsidR="00352E09" w:rsidRPr="00B83005" w:rsidRDefault="00352E09" w:rsidP="00501DCF">
            <w:pPr>
              <w:rPr>
                <w:rFonts w:asciiTheme="minorHAnsi" w:hAnsiTheme="minorHAnsi" w:cstheme="minorHAnsi"/>
                <w:sz w:val="22"/>
                <w:szCs w:val="22"/>
                <w:lang w:val="bs-Latn-BA"/>
              </w:rPr>
            </w:pPr>
          </w:p>
        </w:tc>
        <w:tc>
          <w:tcPr>
            <w:tcW w:w="4410" w:type="dxa"/>
            <w:shd w:val="clear" w:color="auto" w:fill="006432"/>
          </w:tcPr>
          <w:p w14:paraId="035AAF55" w14:textId="77777777" w:rsidR="00D9090D" w:rsidRDefault="00352E09" w:rsidP="00B830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2"/>
                <w:szCs w:val="22"/>
                <w:lang w:val="bs-Latn-BA"/>
              </w:rPr>
            </w:pPr>
            <w:r w:rsidRPr="00B83005">
              <w:rPr>
                <w:rFonts w:asciiTheme="minorHAnsi" w:hAnsiTheme="minorHAnsi" w:cstheme="minorHAnsi"/>
                <w:b/>
                <w:bCs/>
                <w:color w:val="FFFFFF" w:themeColor="background1"/>
                <w:sz w:val="22"/>
                <w:szCs w:val="22"/>
                <w:lang w:val="bs-Latn-BA"/>
              </w:rPr>
              <w:t>Transformirati postojeći fond zgrada FBiH</w:t>
            </w:r>
          </w:p>
          <w:p w14:paraId="04813CBD" w14:textId="675357C3" w:rsidR="00352E09" w:rsidRPr="00B83005" w:rsidRDefault="00352E09" w:rsidP="00B830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FFFF" w:themeColor="background1"/>
                <w:sz w:val="22"/>
                <w:szCs w:val="22"/>
                <w:lang w:val="bs-Latn-BA"/>
              </w:rPr>
            </w:pPr>
            <w:r w:rsidRPr="00B83005">
              <w:rPr>
                <w:rFonts w:asciiTheme="minorHAnsi" w:hAnsiTheme="minorHAnsi" w:cstheme="minorHAnsi"/>
                <w:b/>
                <w:bCs/>
                <w:color w:val="FFFFFF" w:themeColor="background1"/>
                <w:sz w:val="22"/>
                <w:szCs w:val="22"/>
                <w:lang w:val="bs-Latn-BA"/>
              </w:rPr>
              <w:t xml:space="preserve"> u energijski visokoefikasan</w:t>
            </w:r>
          </w:p>
        </w:tc>
        <w:tc>
          <w:tcPr>
            <w:tcW w:w="4050" w:type="dxa"/>
            <w:shd w:val="clear" w:color="auto" w:fill="006432"/>
          </w:tcPr>
          <w:p w14:paraId="6D3547AD" w14:textId="77777777" w:rsidR="00D9090D" w:rsidRDefault="00352E09" w:rsidP="00B830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FFFFFF" w:themeColor="background1"/>
                <w:sz w:val="22"/>
                <w:szCs w:val="22"/>
                <w:lang w:val="bs-Latn-BA"/>
              </w:rPr>
            </w:pPr>
            <w:r w:rsidRPr="00B83005">
              <w:rPr>
                <w:rFonts w:asciiTheme="minorHAnsi" w:hAnsiTheme="minorHAnsi" w:cstheme="minorHAnsi"/>
                <w:b/>
                <w:bCs/>
                <w:color w:val="FFFFFF" w:themeColor="background1"/>
                <w:sz w:val="22"/>
                <w:szCs w:val="22"/>
                <w:lang w:val="bs-Latn-BA"/>
              </w:rPr>
              <w:t xml:space="preserve">Dekarbonizirati postojeći </w:t>
            </w:r>
          </w:p>
          <w:p w14:paraId="6D03C073" w14:textId="3CCF0666" w:rsidR="00352E09" w:rsidRPr="00B83005" w:rsidRDefault="00352E09" w:rsidP="00B83005">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FFFFFF" w:themeColor="background1"/>
                <w:sz w:val="22"/>
                <w:szCs w:val="22"/>
                <w:lang w:val="bs-Latn-BA"/>
              </w:rPr>
            </w:pPr>
            <w:r w:rsidRPr="00B83005">
              <w:rPr>
                <w:rFonts w:asciiTheme="minorHAnsi" w:hAnsiTheme="minorHAnsi" w:cstheme="minorHAnsi"/>
                <w:b/>
                <w:bCs/>
                <w:color w:val="FFFFFF" w:themeColor="background1"/>
                <w:sz w:val="22"/>
                <w:szCs w:val="22"/>
                <w:lang w:val="bs-Latn-BA"/>
              </w:rPr>
              <w:t>fond zgrada FBiH</w:t>
            </w:r>
          </w:p>
        </w:tc>
      </w:tr>
      <w:tr w:rsidR="00D9221F" w:rsidRPr="005D2C94" w14:paraId="09424D1A" w14:textId="77777777" w:rsidTr="005D2C94">
        <w:trPr>
          <w:cnfStyle w:val="000000010000" w:firstRow="0" w:lastRow="0" w:firstColumn="0" w:lastColumn="0" w:oddVBand="0" w:evenVBand="0" w:oddHBand="0" w:evenHBand="1"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2200916B" w14:textId="2FF37E32" w:rsidR="00D9221F" w:rsidRPr="005D2C94" w:rsidRDefault="00D9221F" w:rsidP="00D9221F">
            <w:pPr>
              <w:spacing w:after="120"/>
              <w:rPr>
                <w:bCs/>
                <w:sz w:val="22"/>
                <w:szCs w:val="22"/>
                <w:lang w:val="bs-Latn-BA"/>
              </w:rPr>
            </w:pPr>
            <w:r w:rsidRPr="005D2C94">
              <w:rPr>
                <w:bCs/>
                <w:sz w:val="22"/>
                <w:szCs w:val="22"/>
                <w:lang w:val="bs-Latn-BA"/>
              </w:rPr>
              <w:t>Integrirani energetski i klimatski plan za BiH do 2030 (National Energy and Climate Plan -NECP 2030) -nacrt 2020.</w:t>
            </w:r>
          </w:p>
        </w:tc>
        <w:tc>
          <w:tcPr>
            <w:tcW w:w="4410" w:type="dxa"/>
            <w:vAlign w:val="center"/>
          </w:tcPr>
          <w:p w14:paraId="0AD77258" w14:textId="2B3D02A8"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064A547E" w14:textId="5E9BAD3D"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6294042B" w14:textId="77777777" w:rsidTr="005D2C9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4F948A0E" w14:textId="1551DE92" w:rsidR="00D9221F" w:rsidRPr="005D2C94" w:rsidRDefault="00D9221F" w:rsidP="00D9221F">
            <w:pPr>
              <w:spacing w:after="120"/>
              <w:rPr>
                <w:bCs/>
                <w:sz w:val="22"/>
                <w:szCs w:val="22"/>
                <w:lang w:val="bs-Latn-BA"/>
              </w:rPr>
            </w:pPr>
            <w:r w:rsidRPr="005D2C94">
              <w:rPr>
                <w:bCs/>
                <w:sz w:val="22"/>
                <w:szCs w:val="22"/>
                <w:lang w:val="bs-Latn-BA"/>
              </w:rPr>
              <w:t xml:space="preserve">Okvirna energetska strategija Bosne i Hercegovine do 2035. godine  </w:t>
            </w:r>
          </w:p>
        </w:tc>
        <w:tc>
          <w:tcPr>
            <w:tcW w:w="4410" w:type="dxa"/>
            <w:vAlign w:val="center"/>
          </w:tcPr>
          <w:p w14:paraId="108109FD" w14:textId="00D43F9D"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4168ECA7" w14:textId="6BA250CF"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0CB07CF0" w14:textId="77777777" w:rsidTr="005D2C94">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370D75C" w14:textId="699922D4" w:rsidR="00D9221F" w:rsidRPr="005D2C94" w:rsidRDefault="00D9221F" w:rsidP="00D9221F">
            <w:pPr>
              <w:spacing w:after="120"/>
              <w:rPr>
                <w:bCs/>
                <w:sz w:val="22"/>
                <w:szCs w:val="22"/>
                <w:lang w:val="bs-Latn-BA"/>
              </w:rPr>
            </w:pPr>
            <w:r w:rsidRPr="005D2C94">
              <w:rPr>
                <w:bCs/>
                <w:sz w:val="22"/>
                <w:szCs w:val="22"/>
                <w:lang w:val="bs-Latn-BA"/>
              </w:rPr>
              <w:t>Strategije razvoja Federacije Bosne i Hercegovine 2021-2027</w:t>
            </w:r>
          </w:p>
        </w:tc>
        <w:tc>
          <w:tcPr>
            <w:tcW w:w="4410" w:type="dxa"/>
            <w:vAlign w:val="center"/>
          </w:tcPr>
          <w:p w14:paraId="7B02DA48" w14:textId="32DA1315"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377CF1A5" w14:textId="731AD96D"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1119DF09" w14:textId="77777777" w:rsidTr="005D2C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9B5C98B" w14:textId="69C6201D" w:rsidR="00D9221F" w:rsidRPr="005D2C94" w:rsidRDefault="00D9221F" w:rsidP="00D9221F">
            <w:pPr>
              <w:spacing w:after="120"/>
              <w:rPr>
                <w:bCs/>
                <w:sz w:val="22"/>
                <w:szCs w:val="22"/>
                <w:lang w:val="bs-Latn-BA"/>
              </w:rPr>
            </w:pPr>
            <w:r w:rsidRPr="005D2C94">
              <w:rPr>
                <w:bCs/>
                <w:sz w:val="22"/>
                <w:szCs w:val="22"/>
                <w:lang w:val="bs-Latn-BA"/>
              </w:rPr>
              <w:t xml:space="preserve">Okvir za realizaciju ciljeva održivog razvoja u BiH   </w:t>
            </w:r>
          </w:p>
        </w:tc>
        <w:tc>
          <w:tcPr>
            <w:tcW w:w="4410" w:type="dxa"/>
            <w:vAlign w:val="center"/>
          </w:tcPr>
          <w:p w14:paraId="7E01C8D6" w14:textId="70CAF8A9"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2582B6CD" w14:textId="35B25C76"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3885E123" w14:textId="77777777" w:rsidTr="005D2C94">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288E29AC" w14:textId="1691F875" w:rsidR="00D9221F" w:rsidRPr="005D2C94" w:rsidRDefault="00D9221F" w:rsidP="00D9221F">
            <w:pPr>
              <w:spacing w:after="120"/>
              <w:rPr>
                <w:bCs/>
                <w:sz w:val="22"/>
                <w:szCs w:val="22"/>
                <w:lang w:val="bs-Latn-BA"/>
              </w:rPr>
            </w:pPr>
            <w:r w:rsidRPr="005D2C94">
              <w:rPr>
                <w:bCs/>
                <w:sz w:val="22"/>
                <w:szCs w:val="22"/>
                <w:lang w:val="bs-Latn-BA"/>
              </w:rPr>
              <w:t xml:space="preserve">Zelena agenda za Zapadni Balkan 2030.  </w:t>
            </w:r>
          </w:p>
        </w:tc>
        <w:tc>
          <w:tcPr>
            <w:tcW w:w="4410" w:type="dxa"/>
            <w:vAlign w:val="center"/>
          </w:tcPr>
          <w:p w14:paraId="70E1774F" w14:textId="78F54EF5"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14AB0B03" w14:textId="75E2FE84"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3AE79B97" w14:textId="77777777" w:rsidTr="005D2C94">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031AC0E1" w14:textId="7B7ED9DC" w:rsidR="00D9221F" w:rsidRPr="005D2C94" w:rsidRDefault="00D9221F" w:rsidP="00D9221F">
            <w:pPr>
              <w:spacing w:after="120"/>
              <w:rPr>
                <w:bCs/>
                <w:sz w:val="22"/>
                <w:szCs w:val="22"/>
                <w:lang w:val="bs-Latn-BA"/>
              </w:rPr>
            </w:pPr>
            <w:r w:rsidRPr="005D2C94">
              <w:rPr>
                <w:bCs/>
                <w:sz w:val="22"/>
                <w:szCs w:val="22"/>
                <w:lang w:val="bs-Latn-BA"/>
              </w:rPr>
              <w:t xml:space="preserve">Akcijski plan za zajedničko regionalno tržište Zapadnog Balkana 2021–2024.  </w:t>
            </w:r>
          </w:p>
        </w:tc>
        <w:tc>
          <w:tcPr>
            <w:tcW w:w="4410" w:type="dxa"/>
            <w:vAlign w:val="center"/>
          </w:tcPr>
          <w:p w14:paraId="34661DF4" w14:textId="4C78C7A7"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4C97E58B" w14:textId="50903FE3"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352F7857" w14:textId="77777777" w:rsidTr="005D2C94">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248C38C" w14:textId="31F43235" w:rsidR="00D9221F" w:rsidRPr="005D2C94" w:rsidRDefault="00D9221F" w:rsidP="00D9221F">
            <w:pPr>
              <w:spacing w:after="120"/>
              <w:rPr>
                <w:bCs/>
                <w:sz w:val="22"/>
                <w:szCs w:val="22"/>
                <w:lang w:val="bs-Latn-BA"/>
              </w:rPr>
            </w:pPr>
            <w:r w:rsidRPr="005D2C94">
              <w:rPr>
                <w:bCs/>
                <w:sz w:val="22"/>
                <w:szCs w:val="22"/>
                <w:lang w:val="bs-Latn-BA"/>
              </w:rPr>
              <w:t xml:space="preserve">Strategija prilagođavanja klimatskim promjenama i niskoemisijskog razvoja BiH 2020‒2030. </w:t>
            </w:r>
          </w:p>
        </w:tc>
        <w:tc>
          <w:tcPr>
            <w:tcW w:w="4410" w:type="dxa"/>
            <w:vAlign w:val="center"/>
          </w:tcPr>
          <w:p w14:paraId="1C82CDF1" w14:textId="0036DC4C"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61236898" w14:textId="53ADF632"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17959B0D" w14:textId="77777777" w:rsidTr="005D2C94">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1FC9556B" w14:textId="53CACAE9" w:rsidR="00D9221F" w:rsidRPr="005D2C94" w:rsidRDefault="00D9221F" w:rsidP="00D9221F">
            <w:pPr>
              <w:spacing w:after="120"/>
              <w:rPr>
                <w:bCs/>
                <w:sz w:val="22"/>
                <w:szCs w:val="22"/>
                <w:lang w:val="bs-Latn-BA"/>
              </w:rPr>
            </w:pPr>
            <w:r w:rsidRPr="005D2C94">
              <w:rPr>
                <w:bCs/>
                <w:sz w:val="22"/>
                <w:szCs w:val="22"/>
                <w:lang w:val="bs-Latn-BA"/>
              </w:rPr>
              <w:t>Utvrđeni doprinos BiH 2020‒2030  (Nationally Determined Contribution - NDC)</w:t>
            </w:r>
          </w:p>
        </w:tc>
        <w:tc>
          <w:tcPr>
            <w:tcW w:w="4410" w:type="dxa"/>
            <w:vAlign w:val="center"/>
          </w:tcPr>
          <w:p w14:paraId="09DE9ED9" w14:textId="25D72057"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3C80AE6B" w14:textId="49007F53" w:rsidR="00D9221F" w:rsidRPr="005D2C94" w:rsidRDefault="00D9221F" w:rsidP="00D9221F">
            <w:pPr>
              <w:spacing w:after="120"/>
              <w:jc w:val="center"/>
              <w:cnfStyle w:val="000000100000" w:firstRow="0" w:lastRow="0" w:firstColumn="0" w:lastColumn="0" w:oddVBand="0" w:evenVBand="0" w:oddHBand="1" w:evenHBand="0" w:firstRowFirstColumn="0" w:firstRowLastColumn="0" w:lastRowFirstColumn="0" w:lastRowLastColumn="0"/>
              <w:rPr>
                <w:sz w:val="22"/>
                <w:szCs w:val="22"/>
                <w:lang w:val="bs-Latn-BA"/>
              </w:rPr>
            </w:pPr>
            <w:r w:rsidRPr="005D2C94">
              <w:rPr>
                <w:sz w:val="22"/>
                <w:szCs w:val="22"/>
                <w:lang w:val="bs-Latn-BA"/>
              </w:rPr>
              <w:t>X</w:t>
            </w:r>
          </w:p>
        </w:tc>
      </w:tr>
      <w:tr w:rsidR="00D9221F" w:rsidRPr="005D2C94" w14:paraId="1880B76C" w14:textId="77777777" w:rsidTr="005D2C94">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5035" w:type="dxa"/>
            <w:vAlign w:val="center"/>
          </w:tcPr>
          <w:p w14:paraId="6169F233" w14:textId="23342B66" w:rsidR="00D9221F" w:rsidRPr="005D2C94" w:rsidRDefault="00D9221F" w:rsidP="00D9221F">
            <w:pPr>
              <w:spacing w:after="120"/>
              <w:rPr>
                <w:bCs/>
                <w:sz w:val="22"/>
                <w:szCs w:val="22"/>
                <w:lang w:val="bs-Latn-BA"/>
              </w:rPr>
            </w:pPr>
            <w:r w:rsidRPr="005D2C94">
              <w:rPr>
                <w:bCs/>
                <w:sz w:val="22"/>
                <w:szCs w:val="22"/>
                <w:lang w:val="bs-Latn-BA"/>
              </w:rPr>
              <w:t xml:space="preserve">Federalna strategija zaštite okoliša 2022‒2032.  </w:t>
            </w:r>
          </w:p>
        </w:tc>
        <w:tc>
          <w:tcPr>
            <w:tcW w:w="4410" w:type="dxa"/>
            <w:vAlign w:val="center"/>
          </w:tcPr>
          <w:p w14:paraId="387D7C5F" w14:textId="2371A1AD"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c>
          <w:tcPr>
            <w:tcW w:w="4050" w:type="dxa"/>
            <w:vAlign w:val="center"/>
          </w:tcPr>
          <w:p w14:paraId="41192D4A" w14:textId="59543779" w:rsidR="00D9221F" w:rsidRPr="005D2C94" w:rsidRDefault="00D9221F" w:rsidP="00D9221F">
            <w:pPr>
              <w:spacing w:after="120"/>
              <w:jc w:val="center"/>
              <w:cnfStyle w:val="000000010000" w:firstRow="0" w:lastRow="0" w:firstColumn="0" w:lastColumn="0" w:oddVBand="0" w:evenVBand="0" w:oddHBand="0" w:evenHBand="1" w:firstRowFirstColumn="0" w:firstRowLastColumn="0" w:lastRowFirstColumn="0" w:lastRowLastColumn="0"/>
              <w:rPr>
                <w:sz w:val="22"/>
                <w:szCs w:val="22"/>
                <w:lang w:val="bs-Latn-BA"/>
              </w:rPr>
            </w:pPr>
            <w:r w:rsidRPr="005D2C94">
              <w:rPr>
                <w:sz w:val="22"/>
                <w:szCs w:val="22"/>
                <w:lang w:val="bs-Latn-BA"/>
              </w:rPr>
              <w:t>X</w:t>
            </w:r>
          </w:p>
        </w:tc>
      </w:tr>
    </w:tbl>
    <w:p w14:paraId="1D09607C" w14:textId="77777777" w:rsidR="00C75FEE" w:rsidRPr="008924E0" w:rsidRDefault="00C75FEE" w:rsidP="00C75FEE">
      <w:pPr>
        <w:rPr>
          <w:lang w:val="bs-Latn-BA"/>
        </w:rPr>
      </w:pPr>
    </w:p>
    <w:p w14:paraId="0BC73C02" w14:textId="77777777" w:rsidR="00C75FEE" w:rsidRPr="008924E0" w:rsidRDefault="00C75FEE" w:rsidP="00C75FEE">
      <w:pPr>
        <w:rPr>
          <w:lang w:val="bs-Latn-BA"/>
        </w:rPr>
      </w:pPr>
    </w:p>
    <w:p w14:paraId="40C8F5F9" w14:textId="77777777" w:rsidR="00EC6B22" w:rsidRPr="008924E0" w:rsidRDefault="00EC6B22" w:rsidP="00C75FEE">
      <w:pPr>
        <w:rPr>
          <w:lang w:val="bs-Latn-BA"/>
        </w:rPr>
        <w:sectPr w:rsidR="00EC6B22" w:rsidRPr="008924E0" w:rsidSect="00EC6B22">
          <w:pgSz w:w="16840" w:h="11907" w:orient="landscape"/>
          <w:pgMar w:top="1440" w:right="1282" w:bottom="1440" w:left="1440" w:header="288" w:footer="288" w:gutter="0"/>
          <w:cols w:space="720"/>
          <w:titlePg/>
        </w:sectPr>
      </w:pPr>
    </w:p>
    <w:p w14:paraId="053E6D5F" w14:textId="4705BBC9" w:rsidR="00740D4F" w:rsidRDefault="00740D4F" w:rsidP="00B254A7">
      <w:pPr>
        <w:pStyle w:val="Heading1"/>
        <w:numPr>
          <w:ilvl w:val="0"/>
          <w:numId w:val="33"/>
        </w:numPr>
        <w:rPr>
          <w:lang w:val="bs-Latn-BA"/>
        </w:rPr>
      </w:pPr>
      <w:bookmarkStart w:id="169" w:name="_Toc134011797"/>
      <w:r w:rsidRPr="008924E0">
        <w:rPr>
          <w:lang w:val="bs-Latn-BA"/>
        </w:rPr>
        <w:lastRenderedPageBreak/>
        <w:t xml:space="preserve">Indikativni </w:t>
      </w:r>
      <w:r w:rsidR="007B690C">
        <w:rPr>
          <w:lang w:val="bs-Latn-BA"/>
        </w:rPr>
        <w:t>financ</w:t>
      </w:r>
      <w:r w:rsidRPr="008924E0">
        <w:rPr>
          <w:lang w:val="bs-Latn-BA"/>
        </w:rPr>
        <w:t>ijski okvir</w:t>
      </w:r>
      <w:bookmarkEnd w:id="169"/>
    </w:p>
    <w:p w14:paraId="6A2D9A57" w14:textId="63B96980" w:rsidR="00E04EF4" w:rsidRPr="00E04EF4" w:rsidRDefault="00E04EF4" w:rsidP="00E04EF4">
      <w:pPr>
        <w:pStyle w:val="Caption"/>
        <w:keepNext/>
      </w:pPr>
      <w:bookmarkStart w:id="170" w:name="_Toc133499573"/>
      <w:r w:rsidRPr="008924E0">
        <w:t xml:space="preserve">Tabela </w:t>
      </w:r>
      <w:fldSimple w:instr=" STYLEREF 1 \s ">
        <w:r w:rsidR="004A246B">
          <w:rPr>
            <w:noProof/>
          </w:rPr>
          <w:t>9</w:t>
        </w:r>
      </w:fldSimple>
      <w:r w:rsidR="004A246B">
        <w:t>.</w:t>
      </w:r>
      <w:r w:rsidR="00000000">
        <w:fldChar w:fldCharType="begin"/>
      </w:r>
      <w:r w:rsidR="00000000">
        <w:instrText xml:space="preserve"> SEQ Tabela \* ARABIC \s 1 </w:instrText>
      </w:r>
      <w:r w:rsidR="00000000">
        <w:fldChar w:fldCharType="separate"/>
      </w:r>
      <w:r w:rsidR="004A246B">
        <w:rPr>
          <w:noProof/>
        </w:rPr>
        <w:t>1</w:t>
      </w:r>
      <w:r w:rsidR="00000000">
        <w:rPr>
          <w:noProof/>
        </w:rPr>
        <w:fldChar w:fldCharType="end"/>
      </w:r>
      <w:r w:rsidRPr="008924E0">
        <w:t xml:space="preserve"> </w:t>
      </w:r>
      <w:r w:rsidRPr="00E04EF4">
        <w:t>indikativni financijski okvir</w:t>
      </w:r>
      <w:r>
        <w:t xml:space="preserve"> do 2050. godine</w:t>
      </w:r>
      <w:bookmarkEnd w:id="170"/>
    </w:p>
    <w:tbl>
      <w:tblPr>
        <w:tblW w:w="14215" w:type="dxa"/>
        <w:tblInd w:w="27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left w:w="29" w:type="dxa"/>
          <w:right w:w="29" w:type="dxa"/>
        </w:tblCellMar>
        <w:tblLook w:val="01E0" w:firstRow="1" w:lastRow="1" w:firstColumn="1" w:lastColumn="1" w:noHBand="0" w:noVBand="0"/>
      </w:tblPr>
      <w:tblGrid>
        <w:gridCol w:w="3442"/>
        <w:gridCol w:w="2169"/>
        <w:gridCol w:w="753"/>
        <w:gridCol w:w="956"/>
        <w:gridCol w:w="1797"/>
        <w:gridCol w:w="1172"/>
        <w:gridCol w:w="515"/>
        <w:gridCol w:w="1440"/>
        <w:gridCol w:w="1971"/>
      </w:tblGrid>
      <w:tr w:rsidR="00E606B9" w:rsidRPr="00045BB4" w14:paraId="5B90B0EA" w14:textId="77777777" w:rsidTr="004D2CBA">
        <w:trPr>
          <w:trHeight w:val="611"/>
        </w:trPr>
        <w:tc>
          <w:tcPr>
            <w:tcW w:w="14215" w:type="dxa"/>
            <w:gridSpan w:val="9"/>
            <w:shd w:val="clear" w:color="auto" w:fill="006432"/>
            <w:vAlign w:val="center"/>
          </w:tcPr>
          <w:p w14:paraId="119B7454" w14:textId="7ACC979B" w:rsidR="00E606B9" w:rsidRPr="00045BB4" w:rsidRDefault="00E606B9" w:rsidP="000B085B">
            <w:pPr>
              <w:pStyle w:val="TableParagraph"/>
              <w:spacing w:before="20"/>
              <w:ind w:left="4746" w:right="4730"/>
              <w:jc w:val="center"/>
              <w:rPr>
                <w:rFonts w:asciiTheme="minorHAnsi" w:hAnsiTheme="minorHAnsi" w:cstheme="minorHAnsi"/>
                <w:b/>
                <w:sz w:val="20"/>
                <w:szCs w:val="20"/>
                <w:lang w:val="bs-Latn-BA"/>
              </w:rPr>
            </w:pPr>
            <w:r w:rsidRPr="00045BB4">
              <w:rPr>
                <w:rFonts w:asciiTheme="minorHAnsi" w:hAnsiTheme="minorHAnsi" w:cstheme="minorHAnsi"/>
                <w:b/>
                <w:color w:val="FFFFFF"/>
                <w:sz w:val="20"/>
                <w:szCs w:val="20"/>
                <w:lang w:val="bs-Latn-BA"/>
              </w:rPr>
              <w:t>INDIKATIVNI</w:t>
            </w:r>
            <w:r w:rsidRPr="00045BB4">
              <w:rPr>
                <w:rFonts w:asciiTheme="minorHAnsi" w:hAnsiTheme="minorHAnsi" w:cstheme="minorHAnsi"/>
                <w:b/>
                <w:color w:val="FFFFFF"/>
                <w:spacing w:val="-4"/>
                <w:sz w:val="20"/>
                <w:szCs w:val="20"/>
                <w:lang w:val="bs-Latn-BA"/>
              </w:rPr>
              <w:t xml:space="preserve"> </w:t>
            </w:r>
            <w:r w:rsidR="007B690C" w:rsidRPr="00045BB4">
              <w:rPr>
                <w:rFonts w:asciiTheme="minorHAnsi" w:hAnsiTheme="minorHAnsi" w:cstheme="minorHAnsi"/>
                <w:b/>
                <w:color w:val="FFFFFF"/>
                <w:sz w:val="20"/>
                <w:szCs w:val="20"/>
                <w:lang w:val="bs-Latn-BA"/>
              </w:rPr>
              <w:t>FINANC</w:t>
            </w:r>
            <w:r w:rsidRPr="00045BB4">
              <w:rPr>
                <w:rFonts w:asciiTheme="minorHAnsi" w:hAnsiTheme="minorHAnsi" w:cstheme="minorHAnsi"/>
                <w:b/>
                <w:color w:val="FFFFFF"/>
                <w:sz w:val="20"/>
                <w:szCs w:val="20"/>
                <w:lang w:val="bs-Latn-BA"/>
              </w:rPr>
              <w:t>IJSKI</w:t>
            </w:r>
            <w:r w:rsidRPr="00045BB4">
              <w:rPr>
                <w:rFonts w:asciiTheme="minorHAnsi" w:hAnsiTheme="minorHAnsi" w:cstheme="minorHAnsi"/>
                <w:b/>
                <w:color w:val="FFFFFF"/>
                <w:spacing w:val="-2"/>
                <w:sz w:val="20"/>
                <w:szCs w:val="20"/>
                <w:lang w:val="bs-Latn-BA"/>
              </w:rPr>
              <w:t xml:space="preserve"> </w:t>
            </w:r>
            <w:r w:rsidRPr="00045BB4">
              <w:rPr>
                <w:rFonts w:asciiTheme="minorHAnsi" w:hAnsiTheme="minorHAnsi" w:cstheme="minorHAnsi"/>
                <w:b/>
                <w:color w:val="FFFFFF"/>
                <w:sz w:val="20"/>
                <w:szCs w:val="20"/>
                <w:lang w:val="bs-Latn-BA"/>
              </w:rPr>
              <w:t>OKVIR</w:t>
            </w:r>
          </w:p>
          <w:p w14:paraId="13CA8659" w14:textId="77777777" w:rsidR="00E606B9" w:rsidRPr="00045BB4" w:rsidRDefault="00E606B9" w:rsidP="000B085B">
            <w:pPr>
              <w:jc w:val="center"/>
              <w:rPr>
                <w:rFonts w:asciiTheme="minorHAnsi" w:hAnsiTheme="minorHAnsi" w:cstheme="minorHAnsi"/>
                <w:b/>
                <w:sz w:val="20"/>
                <w:szCs w:val="20"/>
                <w:lang w:val="bs-Latn-BA"/>
              </w:rPr>
            </w:pPr>
            <w:r w:rsidRPr="00045BB4">
              <w:rPr>
                <w:rFonts w:asciiTheme="minorHAnsi" w:hAnsiTheme="minorHAnsi" w:cstheme="minorHAnsi"/>
                <w:b/>
                <w:color w:val="FFFFFF" w:themeColor="background1"/>
                <w:sz w:val="20"/>
                <w:szCs w:val="20"/>
                <w:lang w:val="bs-Latn-BA"/>
              </w:rPr>
              <w:t>Strategija obnove zgrada u FBiH do 2050. godine</w:t>
            </w:r>
          </w:p>
        </w:tc>
      </w:tr>
      <w:tr w:rsidR="00963172" w:rsidRPr="00045BB4" w14:paraId="6C888F39" w14:textId="77777777" w:rsidTr="004A5010">
        <w:trPr>
          <w:trHeight w:val="408"/>
        </w:trPr>
        <w:tc>
          <w:tcPr>
            <w:tcW w:w="5611" w:type="dxa"/>
            <w:gridSpan w:val="2"/>
            <w:vMerge w:val="restart"/>
            <w:shd w:val="clear" w:color="auto" w:fill="006432"/>
          </w:tcPr>
          <w:p w14:paraId="7AC87E78" w14:textId="77777777" w:rsidR="004916CB" w:rsidRPr="00045BB4" w:rsidRDefault="004916CB" w:rsidP="000B085B">
            <w:pPr>
              <w:pStyle w:val="TableParagraph"/>
              <w:rPr>
                <w:rFonts w:asciiTheme="minorHAnsi" w:hAnsiTheme="minorHAnsi" w:cstheme="minorHAnsi"/>
                <w:b/>
                <w:color w:val="FFFFFF" w:themeColor="background1"/>
                <w:sz w:val="20"/>
                <w:szCs w:val="20"/>
                <w:lang w:val="bs-Latn-BA"/>
              </w:rPr>
            </w:pPr>
          </w:p>
          <w:p w14:paraId="33CAB7FD" w14:textId="77777777" w:rsidR="00E606B9" w:rsidRPr="00045BB4" w:rsidRDefault="00E606B9" w:rsidP="004D2CBA">
            <w:pPr>
              <w:pStyle w:val="TableParagraph"/>
              <w:jc w:val="both"/>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 xml:space="preserve">Strateški cilj - Postojeći fond zgrada FBiH transformiran </w:t>
            </w:r>
          </w:p>
          <w:p w14:paraId="1E3D827A" w14:textId="77777777" w:rsidR="00FE6C56" w:rsidRPr="00045BB4" w:rsidRDefault="00E606B9" w:rsidP="004D2CBA">
            <w:pPr>
              <w:pStyle w:val="TableParagraph"/>
              <w:jc w:val="both"/>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 xml:space="preserve">u energijski visokoefikasan i dekarboniziran fond zgrada </w:t>
            </w:r>
          </w:p>
          <w:p w14:paraId="030141C0" w14:textId="700C2D94" w:rsidR="00E606B9" w:rsidRPr="00045BB4" w:rsidRDefault="00E606B9" w:rsidP="004D2CBA">
            <w:pPr>
              <w:pStyle w:val="TableParagraph"/>
              <w:jc w:val="both"/>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 xml:space="preserve">do 2050. godine </w:t>
            </w:r>
          </w:p>
          <w:p w14:paraId="6244183F" w14:textId="77777777" w:rsidR="00E606B9" w:rsidRPr="00045BB4" w:rsidRDefault="00E606B9" w:rsidP="000B085B">
            <w:pPr>
              <w:pStyle w:val="TableParagraph"/>
              <w:ind w:left="379"/>
              <w:rPr>
                <w:rFonts w:asciiTheme="minorHAnsi" w:hAnsiTheme="minorHAnsi" w:cstheme="minorHAnsi"/>
                <w:b/>
                <w:color w:val="FFFFFF" w:themeColor="background1"/>
                <w:sz w:val="20"/>
                <w:szCs w:val="20"/>
                <w:lang w:val="bs-Latn-BA"/>
              </w:rPr>
            </w:pPr>
          </w:p>
        </w:tc>
        <w:tc>
          <w:tcPr>
            <w:tcW w:w="1709" w:type="dxa"/>
            <w:gridSpan w:val="2"/>
            <w:vMerge w:val="restart"/>
            <w:shd w:val="clear" w:color="auto" w:fill="006432"/>
          </w:tcPr>
          <w:p w14:paraId="69631D40" w14:textId="77777777" w:rsidR="00E606B9" w:rsidRPr="00045BB4" w:rsidRDefault="00E606B9" w:rsidP="001627EE">
            <w:pPr>
              <w:pStyle w:val="TableParagraph"/>
              <w:spacing w:before="11"/>
              <w:jc w:val="right"/>
              <w:rPr>
                <w:rFonts w:asciiTheme="minorHAnsi" w:hAnsiTheme="minorHAnsi" w:cstheme="minorHAnsi"/>
                <w:b/>
                <w:color w:val="FFFFFF" w:themeColor="background1"/>
                <w:sz w:val="20"/>
                <w:szCs w:val="20"/>
                <w:lang w:val="bs-Latn-BA"/>
              </w:rPr>
            </w:pPr>
          </w:p>
          <w:p w14:paraId="1A661477" w14:textId="7802E8C0" w:rsidR="00E606B9" w:rsidRPr="00045BB4" w:rsidRDefault="00E606B9" w:rsidP="007F1ECE">
            <w:pPr>
              <w:pStyle w:val="TableParagraph"/>
              <w:spacing w:line="278" w:lineRule="auto"/>
              <w:ind w:right="93"/>
              <w:jc w:val="right"/>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Struktura</w:t>
            </w:r>
            <w:r w:rsidRPr="00045BB4">
              <w:rPr>
                <w:rFonts w:asciiTheme="minorHAnsi" w:hAnsiTheme="minorHAnsi" w:cstheme="minorHAnsi"/>
                <w:b/>
                <w:color w:val="FFFFFF" w:themeColor="background1"/>
                <w:spacing w:val="1"/>
                <w:sz w:val="20"/>
                <w:szCs w:val="20"/>
                <w:lang w:val="bs-Latn-BA"/>
              </w:rPr>
              <w:t xml:space="preserve"> </w:t>
            </w:r>
            <w:r w:rsidR="007B690C" w:rsidRPr="00045BB4">
              <w:rPr>
                <w:rFonts w:asciiTheme="minorHAnsi" w:hAnsiTheme="minorHAnsi" w:cstheme="minorHAnsi"/>
                <w:b/>
                <w:color w:val="FFFFFF" w:themeColor="background1"/>
                <w:sz w:val="20"/>
                <w:szCs w:val="20"/>
                <w:lang w:val="bs-Latn-BA"/>
              </w:rPr>
              <w:t>financ</w:t>
            </w:r>
            <w:r w:rsidRPr="00045BB4">
              <w:rPr>
                <w:rFonts w:asciiTheme="minorHAnsi" w:hAnsiTheme="minorHAnsi" w:cstheme="minorHAnsi"/>
                <w:b/>
                <w:color w:val="FFFFFF" w:themeColor="background1"/>
                <w:sz w:val="20"/>
                <w:szCs w:val="20"/>
                <w:lang w:val="bs-Latn-BA"/>
              </w:rPr>
              <w:t>iranja (%)*</w:t>
            </w:r>
          </w:p>
        </w:tc>
        <w:tc>
          <w:tcPr>
            <w:tcW w:w="1797" w:type="dxa"/>
            <w:vMerge w:val="restart"/>
            <w:shd w:val="clear" w:color="auto" w:fill="006432"/>
          </w:tcPr>
          <w:p w14:paraId="592BE881" w14:textId="77777777" w:rsidR="00E606B9" w:rsidRPr="00045BB4" w:rsidRDefault="00E606B9" w:rsidP="001627EE">
            <w:pPr>
              <w:pStyle w:val="TableParagraph"/>
              <w:jc w:val="right"/>
              <w:rPr>
                <w:rFonts w:asciiTheme="minorHAnsi" w:hAnsiTheme="minorHAnsi" w:cstheme="minorHAnsi"/>
                <w:b/>
                <w:color w:val="FFFFFF" w:themeColor="background1"/>
                <w:sz w:val="20"/>
                <w:szCs w:val="20"/>
                <w:lang w:val="bs-Latn-BA"/>
              </w:rPr>
            </w:pPr>
          </w:p>
          <w:p w14:paraId="04837D73" w14:textId="77777777" w:rsidR="00E606B9" w:rsidRPr="00045BB4" w:rsidRDefault="00E606B9" w:rsidP="001627EE">
            <w:pPr>
              <w:pStyle w:val="TableParagraph"/>
              <w:tabs>
                <w:tab w:val="left" w:pos="1382"/>
              </w:tabs>
              <w:jc w:val="right"/>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Ukupno</w:t>
            </w:r>
          </w:p>
          <w:p w14:paraId="43705D6C" w14:textId="77777777" w:rsidR="00E606B9" w:rsidRPr="00045BB4" w:rsidRDefault="00E606B9" w:rsidP="001627EE">
            <w:pPr>
              <w:pStyle w:val="TableParagraph"/>
              <w:tabs>
                <w:tab w:val="left" w:pos="1382"/>
              </w:tabs>
              <w:jc w:val="right"/>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(mil. KM)</w:t>
            </w:r>
          </w:p>
        </w:tc>
        <w:tc>
          <w:tcPr>
            <w:tcW w:w="1687" w:type="dxa"/>
            <w:gridSpan w:val="2"/>
            <w:vMerge w:val="restart"/>
            <w:shd w:val="clear" w:color="auto" w:fill="006432"/>
          </w:tcPr>
          <w:p w14:paraId="48BCDE5D" w14:textId="77777777" w:rsidR="00E606B9" w:rsidRPr="00045BB4" w:rsidRDefault="00E606B9" w:rsidP="001627EE">
            <w:pPr>
              <w:pStyle w:val="TableParagraph"/>
              <w:jc w:val="right"/>
              <w:rPr>
                <w:rFonts w:asciiTheme="minorHAnsi" w:hAnsiTheme="minorHAnsi" w:cstheme="minorHAnsi"/>
                <w:b/>
                <w:color w:val="FFFFFF" w:themeColor="background1"/>
                <w:sz w:val="20"/>
                <w:szCs w:val="20"/>
                <w:lang w:val="bs-Latn-BA"/>
              </w:rPr>
            </w:pPr>
          </w:p>
          <w:p w14:paraId="10AB5F5E" w14:textId="77777777" w:rsidR="00E606B9" w:rsidRPr="00045BB4" w:rsidRDefault="00E606B9" w:rsidP="001627EE">
            <w:pPr>
              <w:pStyle w:val="TableParagraph"/>
              <w:tabs>
                <w:tab w:val="left" w:pos="1858"/>
              </w:tabs>
              <w:jc w:val="right"/>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Budžet institucije (mil. KM)</w:t>
            </w:r>
          </w:p>
        </w:tc>
        <w:tc>
          <w:tcPr>
            <w:tcW w:w="3411" w:type="dxa"/>
            <w:gridSpan w:val="2"/>
            <w:shd w:val="clear" w:color="auto" w:fill="006432"/>
            <w:vAlign w:val="center"/>
          </w:tcPr>
          <w:p w14:paraId="19765ADD" w14:textId="1C2B93BB" w:rsidR="00E606B9" w:rsidRPr="00045BB4" w:rsidRDefault="00E606B9" w:rsidP="004D2CBA">
            <w:pPr>
              <w:pStyle w:val="TableParagraph"/>
              <w:spacing w:before="1"/>
              <w:ind w:right="1896"/>
              <w:jc w:val="center"/>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Ostali izvori</w:t>
            </w:r>
          </w:p>
        </w:tc>
      </w:tr>
      <w:tr w:rsidR="00DB4208" w:rsidRPr="00045BB4" w14:paraId="2310C59F" w14:textId="77777777" w:rsidTr="004A5010">
        <w:trPr>
          <w:trHeight w:val="575"/>
        </w:trPr>
        <w:tc>
          <w:tcPr>
            <w:tcW w:w="5611" w:type="dxa"/>
            <w:gridSpan w:val="2"/>
            <w:vMerge/>
            <w:tcBorders>
              <w:top w:val="nil"/>
            </w:tcBorders>
            <w:shd w:val="clear" w:color="auto" w:fill="006432"/>
          </w:tcPr>
          <w:p w14:paraId="4DEB6DB9" w14:textId="77777777" w:rsidR="00E606B9" w:rsidRPr="00045BB4" w:rsidRDefault="00E606B9" w:rsidP="000B085B">
            <w:pPr>
              <w:rPr>
                <w:rFonts w:asciiTheme="minorHAnsi" w:hAnsiTheme="minorHAnsi" w:cstheme="minorHAnsi"/>
                <w:color w:val="FFFFFF" w:themeColor="background1"/>
                <w:sz w:val="20"/>
                <w:szCs w:val="20"/>
                <w:lang w:val="bs-Latn-BA"/>
              </w:rPr>
            </w:pPr>
          </w:p>
        </w:tc>
        <w:tc>
          <w:tcPr>
            <w:tcW w:w="1709" w:type="dxa"/>
            <w:gridSpan w:val="2"/>
            <w:vMerge/>
            <w:tcBorders>
              <w:top w:val="nil"/>
            </w:tcBorders>
            <w:shd w:val="clear" w:color="auto" w:fill="006432"/>
          </w:tcPr>
          <w:p w14:paraId="5BDD4153" w14:textId="77777777" w:rsidR="00E606B9" w:rsidRPr="00045BB4" w:rsidRDefault="00E606B9" w:rsidP="000B085B">
            <w:pPr>
              <w:jc w:val="right"/>
              <w:rPr>
                <w:rFonts w:asciiTheme="minorHAnsi" w:hAnsiTheme="minorHAnsi" w:cstheme="minorHAnsi"/>
                <w:color w:val="FFFFFF" w:themeColor="background1"/>
                <w:sz w:val="20"/>
                <w:szCs w:val="20"/>
                <w:lang w:val="bs-Latn-BA"/>
              </w:rPr>
            </w:pPr>
          </w:p>
        </w:tc>
        <w:tc>
          <w:tcPr>
            <w:tcW w:w="1797" w:type="dxa"/>
            <w:vMerge/>
            <w:tcBorders>
              <w:top w:val="nil"/>
            </w:tcBorders>
            <w:shd w:val="clear" w:color="auto" w:fill="006432"/>
          </w:tcPr>
          <w:p w14:paraId="521FF54D" w14:textId="77777777" w:rsidR="00E606B9" w:rsidRPr="00045BB4" w:rsidRDefault="00E606B9" w:rsidP="000B085B">
            <w:pPr>
              <w:jc w:val="right"/>
              <w:rPr>
                <w:rFonts w:asciiTheme="minorHAnsi" w:hAnsiTheme="minorHAnsi" w:cstheme="minorHAnsi"/>
                <w:color w:val="FFFFFF" w:themeColor="background1"/>
                <w:sz w:val="20"/>
                <w:szCs w:val="20"/>
                <w:lang w:val="bs-Latn-BA"/>
              </w:rPr>
            </w:pPr>
          </w:p>
        </w:tc>
        <w:tc>
          <w:tcPr>
            <w:tcW w:w="1687" w:type="dxa"/>
            <w:gridSpan w:val="2"/>
            <w:vMerge/>
            <w:tcBorders>
              <w:top w:val="nil"/>
            </w:tcBorders>
            <w:shd w:val="clear" w:color="auto" w:fill="006432"/>
          </w:tcPr>
          <w:p w14:paraId="2F12773F" w14:textId="77777777" w:rsidR="00E606B9" w:rsidRPr="00045BB4" w:rsidRDefault="00E606B9" w:rsidP="000B085B">
            <w:pPr>
              <w:jc w:val="right"/>
              <w:rPr>
                <w:rFonts w:asciiTheme="minorHAnsi" w:hAnsiTheme="minorHAnsi" w:cstheme="minorHAnsi"/>
                <w:color w:val="FFFFFF" w:themeColor="background1"/>
                <w:sz w:val="20"/>
                <w:szCs w:val="20"/>
                <w:lang w:val="bs-Latn-BA"/>
              </w:rPr>
            </w:pPr>
          </w:p>
        </w:tc>
        <w:tc>
          <w:tcPr>
            <w:tcW w:w="1440" w:type="dxa"/>
            <w:shd w:val="clear" w:color="auto" w:fill="006432"/>
          </w:tcPr>
          <w:p w14:paraId="7275716B" w14:textId="77777777" w:rsidR="00E606B9" w:rsidRPr="00045BB4" w:rsidRDefault="00E606B9" w:rsidP="000B085B">
            <w:pPr>
              <w:pStyle w:val="TableParagraph"/>
              <w:spacing w:before="135"/>
              <w:ind w:left="127" w:right="112"/>
              <w:jc w:val="right"/>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(mil. KM)</w:t>
            </w:r>
          </w:p>
        </w:tc>
        <w:tc>
          <w:tcPr>
            <w:tcW w:w="1971" w:type="dxa"/>
            <w:shd w:val="clear" w:color="auto" w:fill="006432"/>
          </w:tcPr>
          <w:p w14:paraId="1E8D054B" w14:textId="7BDDCF03" w:rsidR="00E606B9" w:rsidRPr="00045BB4" w:rsidRDefault="00D77AFA" w:rsidP="004D2CBA">
            <w:pPr>
              <w:pStyle w:val="TableParagraph"/>
              <w:rPr>
                <w:rFonts w:asciiTheme="minorHAnsi" w:hAnsiTheme="minorHAnsi" w:cstheme="minorHAnsi"/>
                <w:b/>
                <w:bCs/>
                <w:color w:val="FFFFFF" w:themeColor="background1"/>
                <w:sz w:val="20"/>
                <w:szCs w:val="20"/>
                <w:lang w:val="bs-Latn-BA"/>
              </w:rPr>
            </w:pPr>
            <w:r w:rsidRPr="00045BB4">
              <w:rPr>
                <w:rFonts w:asciiTheme="minorHAnsi" w:hAnsiTheme="minorHAnsi" w:cstheme="minorHAnsi"/>
                <w:b/>
                <w:bCs/>
                <w:color w:val="FFFFFF" w:themeColor="background1"/>
                <w:sz w:val="20"/>
                <w:szCs w:val="20"/>
                <w:lang w:val="bs-Latn-BA"/>
              </w:rPr>
              <w:t>Naziv potencijalnog izvora</w:t>
            </w:r>
          </w:p>
        </w:tc>
      </w:tr>
      <w:tr w:rsidR="00DB4208" w:rsidRPr="00045BB4" w14:paraId="22C748A9" w14:textId="77777777" w:rsidTr="004A5010">
        <w:trPr>
          <w:trHeight w:val="575"/>
        </w:trPr>
        <w:tc>
          <w:tcPr>
            <w:tcW w:w="5611" w:type="dxa"/>
            <w:gridSpan w:val="2"/>
            <w:shd w:val="clear" w:color="auto" w:fill="006432"/>
            <w:vAlign w:val="center"/>
          </w:tcPr>
          <w:p w14:paraId="557A2127" w14:textId="77777777" w:rsidR="00E606B9" w:rsidRPr="00045BB4" w:rsidRDefault="00E606B9" w:rsidP="000B085B">
            <w:pPr>
              <w:pStyle w:val="TableParagraph"/>
              <w:spacing w:before="30"/>
              <w:ind w:left="110"/>
              <w:rPr>
                <w:rFonts w:asciiTheme="minorHAnsi" w:hAnsiTheme="minorHAnsi" w:cstheme="minorHAnsi"/>
                <w:b/>
                <w:color w:val="FFFFFF" w:themeColor="background1"/>
                <w:sz w:val="20"/>
                <w:szCs w:val="20"/>
                <w:lang w:val="bs-Latn-BA"/>
              </w:rPr>
            </w:pPr>
            <w:r w:rsidRPr="00045BB4">
              <w:rPr>
                <w:rFonts w:asciiTheme="minorHAnsi" w:hAnsiTheme="minorHAnsi" w:cstheme="minorHAnsi"/>
                <w:b/>
                <w:color w:val="FFFFFF" w:themeColor="background1"/>
                <w:sz w:val="20"/>
                <w:szCs w:val="20"/>
                <w:lang w:val="bs-Latn-BA"/>
              </w:rPr>
              <w:t xml:space="preserve">Redni broj i oznaka prioriteta i mjere </w:t>
            </w:r>
          </w:p>
        </w:tc>
        <w:tc>
          <w:tcPr>
            <w:tcW w:w="1709" w:type="dxa"/>
            <w:gridSpan w:val="2"/>
            <w:shd w:val="clear" w:color="auto" w:fill="006432"/>
            <w:vAlign w:val="center"/>
          </w:tcPr>
          <w:p w14:paraId="4956BE71" w14:textId="77777777" w:rsidR="00E606B9" w:rsidRPr="00045BB4" w:rsidRDefault="00E606B9" w:rsidP="004916CB">
            <w:pPr>
              <w:pStyle w:val="TableParagraph"/>
              <w:spacing w:before="30"/>
              <w:ind w:right="90"/>
              <w:jc w:val="right"/>
              <w:rPr>
                <w:rFonts w:asciiTheme="minorHAnsi" w:hAnsiTheme="minorHAnsi" w:cstheme="minorHAnsi"/>
                <w:b/>
                <w:color w:val="FFFFFF" w:themeColor="background1"/>
                <w:sz w:val="20"/>
                <w:szCs w:val="20"/>
                <w:lang w:val="bs-Latn-BA"/>
              </w:rPr>
            </w:pPr>
          </w:p>
        </w:tc>
        <w:tc>
          <w:tcPr>
            <w:tcW w:w="1797" w:type="dxa"/>
            <w:shd w:val="clear" w:color="auto" w:fill="006432"/>
            <w:vAlign w:val="center"/>
          </w:tcPr>
          <w:p w14:paraId="1FD4D6C2" w14:textId="77777777" w:rsidR="00E606B9" w:rsidRPr="00045BB4" w:rsidRDefault="00E606B9" w:rsidP="000B085B">
            <w:pPr>
              <w:pStyle w:val="TableParagraph"/>
              <w:spacing w:before="30"/>
              <w:ind w:right="96"/>
              <w:jc w:val="right"/>
              <w:rPr>
                <w:rFonts w:asciiTheme="minorHAnsi" w:hAnsiTheme="minorHAnsi" w:cstheme="minorHAnsi"/>
                <w:b/>
                <w:color w:val="FFFFFF" w:themeColor="background1"/>
                <w:sz w:val="20"/>
                <w:szCs w:val="20"/>
                <w:lang w:val="bs-Latn-BA"/>
              </w:rPr>
            </w:pPr>
          </w:p>
        </w:tc>
        <w:tc>
          <w:tcPr>
            <w:tcW w:w="1687" w:type="dxa"/>
            <w:gridSpan w:val="2"/>
            <w:shd w:val="clear" w:color="auto" w:fill="006432"/>
            <w:vAlign w:val="center"/>
          </w:tcPr>
          <w:p w14:paraId="433FA4EC" w14:textId="77777777" w:rsidR="00E606B9" w:rsidRPr="00045BB4" w:rsidRDefault="00E606B9" w:rsidP="000B085B">
            <w:pPr>
              <w:pStyle w:val="TableParagraph"/>
              <w:spacing w:before="30"/>
              <w:ind w:right="91"/>
              <w:jc w:val="right"/>
              <w:rPr>
                <w:rFonts w:asciiTheme="minorHAnsi" w:hAnsiTheme="minorHAnsi" w:cstheme="minorHAnsi"/>
                <w:b/>
                <w:color w:val="FFFFFF" w:themeColor="background1"/>
                <w:sz w:val="20"/>
                <w:szCs w:val="20"/>
                <w:lang w:val="bs-Latn-BA"/>
              </w:rPr>
            </w:pPr>
          </w:p>
        </w:tc>
        <w:tc>
          <w:tcPr>
            <w:tcW w:w="1440" w:type="dxa"/>
            <w:shd w:val="clear" w:color="auto" w:fill="006432"/>
            <w:vAlign w:val="center"/>
          </w:tcPr>
          <w:p w14:paraId="7BA6C068" w14:textId="77777777" w:rsidR="00E606B9" w:rsidRPr="00045BB4" w:rsidRDefault="00E606B9" w:rsidP="000B085B">
            <w:pPr>
              <w:pStyle w:val="TableParagraph"/>
              <w:spacing w:before="30"/>
              <w:ind w:right="91"/>
              <w:jc w:val="right"/>
              <w:rPr>
                <w:rFonts w:asciiTheme="minorHAnsi" w:hAnsiTheme="minorHAnsi" w:cstheme="minorHAnsi"/>
                <w:b/>
                <w:color w:val="FFFFFF" w:themeColor="background1"/>
                <w:sz w:val="20"/>
                <w:szCs w:val="20"/>
                <w:lang w:val="bs-Latn-BA"/>
              </w:rPr>
            </w:pPr>
          </w:p>
        </w:tc>
        <w:tc>
          <w:tcPr>
            <w:tcW w:w="1971" w:type="dxa"/>
            <w:shd w:val="clear" w:color="auto" w:fill="006432"/>
            <w:vAlign w:val="center"/>
          </w:tcPr>
          <w:p w14:paraId="47304B58" w14:textId="77777777" w:rsidR="00E606B9" w:rsidRPr="00045BB4" w:rsidRDefault="00E606B9" w:rsidP="004D2CBA">
            <w:pPr>
              <w:pStyle w:val="TableParagraph"/>
              <w:rPr>
                <w:rFonts w:asciiTheme="minorHAnsi" w:hAnsiTheme="minorHAnsi" w:cstheme="minorHAnsi"/>
                <w:color w:val="FFFFFF" w:themeColor="background1"/>
                <w:sz w:val="20"/>
                <w:szCs w:val="20"/>
                <w:lang w:val="bs-Latn-BA"/>
              </w:rPr>
            </w:pPr>
          </w:p>
        </w:tc>
      </w:tr>
      <w:tr w:rsidR="004A5010" w:rsidRPr="00045BB4" w14:paraId="2C21AD8B" w14:textId="77777777" w:rsidTr="004A5010">
        <w:trPr>
          <w:trHeight w:val="447"/>
        </w:trPr>
        <w:tc>
          <w:tcPr>
            <w:tcW w:w="5611" w:type="dxa"/>
            <w:gridSpan w:val="2"/>
            <w:shd w:val="clear" w:color="auto" w:fill="D8D8D8"/>
            <w:vAlign w:val="center"/>
          </w:tcPr>
          <w:p w14:paraId="523B3F21" w14:textId="2AC87906" w:rsidR="004A5010" w:rsidRPr="00045BB4" w:rsidRDefault="004A5010" w:rsidP="004A5010">
            <w:pPr>
              <w:pStyle w:val="TableParagraph"/>
              <w:spacing w:before="20"/>
              <w:rPr>
                <w:rFonts w:asciiTheme="minorHAnsi" w:hAnsiTheme="minorHAnsi" w:cstheme="minorHAnsi"/>
                <w:sz w:val="20"/>
                <w:szCs w:val="20"/>
                <w:lang w:val="bs-Latn-BA"/>
              </w:rPr>
            </w:pPr>
            <w:r w:rsidRPr="00045BB4">
              <w:rPr>
                <w:rFonts w:asciiTheme="minorHAnsi" w:hAnsiTheme="minorHAnsi" w:cstheme="minorHAnsi"/>
                <w:b/>
                <w:bCs/>
                <w:color w:val="000000"/>
              </w:rPr>
              <w:t xml:space="preserve">1.1. Transformirati postojeći fond zgrada FBiH u energijski visokoefikasan </w:t>
            </w:r>
          </w:p>
        </w:tc>
        <w:tc>
          <w:tcPr>
            <w:tcW w:w="1709" w:type="dxa"/>
            <w:gridSpan w:val="2"/>
            <w:shd w:val="clear" w:color="auto" w:fill="D8D8D8"/>
            <w:vAlign w:val="center"/>
          </w:tcPr>
          <w:p w14:paraId="45F1B69F" w14:textId="5E4B0E00" w:rsidR="004A5010" w:rsidRPr="00045BB4" w:rsidRDefault="004A5010" w:rsidP="004A5010">
            <w:pPr>
              <w:pStyle w:val="TableParagraph"/>
              <w:spacing w:before="20"/>
              <w:ind w:left="490"/>
              <w:jc w:val="right"/>
              <w:rPr>
                <w:rFonts w:asciiTheme="minorHAnsi" w:hAnsiTheme="minorHAnsi" w:cstheme="minorHAnsi"/>
                <w:b/>
                <w:lang w:val="bs-Latn-BA"/>
              </w:rPr>
            </w:pPr>
            <w:r w:rsidRPr="00045BB4">
              <w:rPr>
                <w:rFonts w:asciiTheme="minorHAnsi" w:hAnsiTheme="minorHAnsi" w:cstheme="minorHAnsi"/>
                <w:b/>
                <w:bCs/>
              </w:rPr>
              <w:t>78</w:t>
            </w:r>
            <w:r w:rsidR="003C21F9" w:rsidRPr="00045BB4">
              <w:rPr>
                <w:rFonts w:asciiTheme="minorHAnsi" w:hAnsiTheme="minorHAnsi" w:cstheme="minorHAnsi"/>
                <w:b/>
                <w:bCs/>
              </w:rPr>
              <w:t>,</w:t>
            </w:r>
            <w:r w:rsidRPr="00045BB4">
              <w:rPr>
                <w:rFonts w:asciiTheme="minorHAnsi" w:hAnsiTheme="minorHAnsi" w:cstheme="minorHAnsi"/>
                <w:b/>
                <w:bCs/>
              </w:rPr>
              <w:t>62%</w:t>
            </w:r>
          </w:p>
        </w:tc>
        <w:tc>
          <w:tcPr>
            <w:tcW w:w="1797" w:type="dxa"/>
            <w:shd w:val="clear" w:color="auto" w:fill="D8D8D8"/>
            <w:vAlign w:val="center"/>
          </w:tcPr>
          <w:p w14:paraId="64F7BF3C" w14:textId="2FEC8FCF" w:rsidR="004A5010" w:rsidRPr="00045BB4" w:rsidRDefault="004A5010" w:rsidP="004A5010">
            <w:pPr>
              <w:pStyle w:val="TableParagraph"/>
              <w:spacing w:before="20"/>
              <w:ind w:right="96"/>
              <w:jc w:val="right"/>
              <w:rPr>
                <w:rFonts w:asciiTheme="minorHAnsi" w:hAnsiTheme="minorHAnsi" w:cstheme="minorHAnsi"/>
                <w:b/>
                <w:lang w:val="bs-Latn-BA"/>
              </w:rPr>
            </w:pPr>
            <w:r w:rsidRPr="00045BB4">
              <w:rPr>
                <w:rFonts w:asciiTheme="minorHAnsi" w:hAnsiTheme="minorHAnsi" w:cstheme="minorHAnsi"/>
                <w:b/>
                <w:bCs/>
              </w:rPr>
              <w:t>16,757</w:t>
            </w:r>
            <w:r w:rsidR="003C21F9" w:rsidRPr="00045BB4">
              <w:rPr>
                <w:rFonts w:asciiTheme="minorHAnsi" w:hAnsiTheme="minorHAnsi" w:cstheme="minorHAnsi"/>
                <w:b/>
                <w:bCs/>
              </w:rPr>
              <w:t>,</w:t>
            </w:r>
            <w:r w:rsidRPr="00045BB4">
              <w:rPr>
                <w:rFonts w:asciiTheme="minorHAnsi" w:hAnsiTheme="minorHAnsi" w:cstheme="minorHAnsi"/>
                <w:b/>
                <w:bCs/>
              </w:rPr>
              <w:t>04</w:t>
            </w:r>
          </w:p>
        </w:tc>
        <w:tc>
          <w:tcPr>
            <w:tcW w:w="1687" w:type="dxa"/>
            <w:gridSpan w:val="2"/>
            <w:shd w:val="clear" w:color="auto" w:fill="D8D8D8"/>
            <w:vAlign w:val="center"/>
          </w:tcPr>
          <w:p w14:paraId="0F7059F6" w14:textId="3DA7C1E1" w:rsidR="004A5010" w:rsidRPr="00045BB4" w:rsidRDefault="004A5010" w:rsidP="004A5010">
            <w:pPr>
              <w:pStyle w:val="TableParagraph"/>
              <w:spacing w:before="20"/>
              <w:ind w:right="91"/>
              <w:jc w:val="right"/>
              <w:rPr>
                <w:rFonts w:asciiTheme="minorHAnsi" w:hAnsiTheme="minorHAnsi" w:cstheme="minorHAnsi"/>
                <w:b/>
                <w:lang w:val="bs-Latn-BA"/>
              </w:rPr>
            </w:pPr>
            <w:r w:rsidRPr="00045BB4">
              <w:rPr>
                <w:rFonts w:asciiTheme="minorHAnsi" w:hAnsiTheme="minorHAnsi" w:cstheme="minorHAnsi"/>
                <w:b/>
                <w:bCs/>
              </w:rPr>
              <w:t>3</w:t>
            </w:r>
            <w:r w:rsidR="003C21F9" w:rsidRPr="00045BB4">
              <w:rPr>
                <w:rFonts w:asciiTheme="minorHAnsi" w:hAnsiTheme="minorHAnsi" w:cstheme="minorHAnsi"/>
                <w:b/>
                <w:bCs/>
              </w:rPr>
              <w:t>.</w:t>
            </w:r>
            <w:r w:rsidRPr="00045BB4">
              <w:rPr>
                <w:rFonts w:asciiTheme="minorHAnsi" w:hAnsiTheme="minorHAnsi" w:cstheme="minorHAnsi"/>
                <w:b/>
                <w:bCs/>
              </w:rPr>
              <w:t>019</w:t>
            </w:r>
            <w:r w:rsidR="003C21F9" w:rsidRPr="00045BB4">
              <w:rPr>
                <w:rFonts w:asciiTheme="minorHAnsi" w:hAnsiTheme="minorHAnsi" w:cstheme="minorHAnsi"/>
                <w:b/>
                <w:bCs/>
              </w:rPr>
              <w:t>,</w:t>
            </w:r>
            <w:r w:rsidRPr="00045BB4">
              <w:rPr>
                <w:rFonts w:asciiTheme="minorHAnsi" w:hAnsiTheme="minorHAnsi" w:cstheme="minorHAnsi"/>
                <w:b/>
                <w:bCs/>
              </w:rPr>
              <w:t>83</w:t>
            </w:r>
          </w:p>
        </w:tc>
        <w:tc>
          <w:tcPr>
            <w:tcW w:w="1440" w:type="dxa"/>
            <w:shd w:val="clear" w:color="auto" w:fill="D8D8D8"/>
            <w:vAlign w:val="center"/>
          </w:tcPr>
          <w:p w14:paraId="6437DAD4" w14:textId="667E9A83" w:rsidR="004A5010" w:rsidRPr="00045BB4" w:rsidRDefault="004A5010" w:rsidP="004A5010">
            <w:pPr>
              <w:pStyle w:val="TableParagraph"/>
              <w:spacing w:before="20"/>
              <w:ind w:right="91"/>
              <w:jc w:val="right"/>
              <w:rPr>
                <w:rFonts w:asciiTheme="minorHAnsi" w:hAnsiTheme="minorHAnsi" w:cstheme="minorHAnsi"/>
                <w:b/>
                <w:lang w:val="bs-Latn-BA"/>
              </w:rPr>
            </w:pPr>
            <w:r w:rsidRPr="00045BB4">
              <w:rPr>
                <w:rFonts w:asciiTheme="minorHAnsi" w:hAnsiTheme="minorHAnsi" w:cstheme="minorHAnsi"/>
                <w:b/>
                <w:bCs/>
              </w:rPr>
              <w:t>13,737</w:t>
            </w:r>
            <w:r w:rsidR="003C21F9" w:rsidRPr="00045BB4">
              <w:rPr>
                <w:rFonts w:asciiTheme="minorHAnsi" w:hAnsiTheme="minorHAnsi" w:cstheme="minorHAnsi"/>
                <w:b/>
                <w:bCs/>
              </w:rPr>
              <w:t>,</w:t>
            </w:r>
            <w:r w:rsidRPr="00045BB4">
              <w:rPr>
                <w:rFonts w:asciiTheme="minorHAnsi" w:hAnsiTheme="minorHAnsi" w:cstheme="minorHAnsi"/>
                <w:b/>
                <w:bCs/>
              </w:rPr>
              <w:t>21</w:t>
            </w:r>
          </w:p>
        </w:tc>
        <w:tc>
          <w:tcPr>
            <w:tcW w:w="1971" w:type="dxa"/>
            <w:shd w:val="clear" w:color="auto" w:fill="D8D8D8"/>
            <w:vAlign w:val="center"/>
          </w:tcPr>
          <w:p w14:paraId="4DD2D427" w14:textId="1DD0DB2F" w:rsidR="004A5010" w:rsidRPr="00045BB4" w:rsidRDefault="004A5010" w:rsidP="004A5010">
            <w:pPr>
              <w:pStyle w:val="TableParagraph"/>
              <w:rPr>
                <w:rFonts w:asciiTheme="minorHAnsi" w:hAnsiTheme="minorHAnsi" w:cstheme="minorHAnsi"/>
                <w:sz w:val="20"/>
                <w:szCs w:val="20"/>
                <w:lang w:val="bs-Latn-BA"/>
              </w:rPr>
            </w:pPr>
          </w:p>
        </w:tc>
      </w:tr>
      <w:tr w:rsidR="004A5010" w:rsidRPr="00045BB4" w14:paraId="10F36543" w14:textId="77777777" w:rsidTr="004A5010">
        <w:trPr>
          <w:trHeight w:val="550"/>
        </w:trPr>
        <w:tc>
          <w:tcPr>
            <w:tcW w:w="5611" w:type="dxa"/>
            <w:gridSpan w:val="2"/>
            <w:vAlign w:val="center"/>
          </w:tcPr>
          <w:p w14:paraId="230B6B04" w14:textId="67D79FD0" w:rsidR="004A5010" w:rsidRPr="00045BB4" w:rsidRDefault="004A5010" w:rsidP="004A5010">
            <w:pPr>
              <w:pStyle w:val="TableParagraph"/>
              <w:ind w:left="110"/>
              <w:rPr>
                <w:rFonts w:asciiTheme="minorHAnsi" w:hAnsiTheme="minorHAnsi" w:cstheme="minorHAnsi"/>
                <w:b/>
                <w:sz w:val="20"/>
                <w:szCs w:val="20"/>
                <w:lang w:val="bs-Latn-BA"/>
              </w:rPr>
            </w:pPr>
            <w:r w:rsidRPr="00045BB4">
              <w:rPr>
                <w:rFonts w:asciiTheme="minorHAnsi" w:hAnsiTheme="minorHAnsi" w:cstheme="minorHAnsi"/>
                <w:color w:val="000000"/>
              </w:rPr>
              <w:t>1.1.1.</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Unaprijediti regulatorni okvir u cilju ostvarivanja potpune harmonizacije s pravnom stečevinom EU u oblasti EE koji će omogućiti energijsku obnovu zgrada</w:t>
            </w:r>
          </w:p>
        </w:tc>
        <w:tc>
          <w:tcPr>
            <w:tcW w:w="1709" w:type="dxa"/>
            <w:gridSpan w:val="2"/>
            <w:vAlign w:val="center"/>
          </w:tcPr>
          <w:p w14:paraId="081530CE" w14:textId="6101D413" w:rsidR="004A5010" w:rsidRPr="00045BB4" w:rsidRDefault="004A5010" w:rsidP="004A5010">
            <w:pPr>
              <w:pStyle w:val="TableParagraph"/>
              <w:ind w:left="490" w:right="472"/>
              <w:jc w:val="right"/>
              <w:rPr>
                <w:rFonts w:asciiTheme="minorHAnsi" w:hAnsiTheme="minorHAnsi" w:cstheme="minorHAnsi"/>
                <w:bCs/>
                <w:lang w:val="bs-Latn-BA"/>
              </w:rPr>
            </w:pPr>
            <w:r w:rsidRPr="00045BB4">
              <w:rPr>
                <w:rFonts w:asciiTheme="minorHAnsi" w:hAnsiTheme="minorHAnsi" w:cstheme="minorHAnsi"/>
              </w:rPr>
              <w:t> </w:t>
            </w:r>
          </w:p>
        </w:tc>
        <w:tc>
          <w:tcPr>
            <w:tcW w:w="1797" w:type="dxa"/>
            <w:vAlign w:val="center"/>
          </w:tcPr>
          <w:p w14:paraId="2FFDF2BA" w14:textId="24C28765" w:rsidR="004A5010" w:rsidRPr="00045BB4" w:rsidRDefault="004A5010" w:rsidP="004A5010">
            <w:pPr>
              <w:pStyle w:val="TableParagraph"/>
              <w:ind w:right="96"/>
              <w:jc w:val="right"/>
              <w:rPr>
                <w:rFonts w:asciiTheme="minorHAnsi" w:hAnsiTheme="minorHAnsi" w:cstheme="minorHAnsi"/>
                <w:bCs/>
                <w:lang w:val="bs-Latn-BA"/>
              </w:rPr>
            </w:pPr>
            <w:r w:rsidRPr="00045BB4">
              <w:rPr>
                <w:rFonts w:asciiTheme="minorHAnsi" w:hAnsiTheme="minorHAnsi" w:cstheme="minorHAnsi"/>
              </w:rPr>
              <w:t>1</w:t>
            </w:r>
            <w:r w:rsidR="003C21F9" w:rsidRPr="00045BB4">
              <w:rPr>
                <w:rFonts w:asciiTheme="minorHAnsi" w:hAnsiTheme="minorHAnsi" w:cstheme="minorHAnsi"/>
              </w:rPr>
              <w:t>,</w:t>
            </w:r>
            <w:r w:rsidRPr="00045BB4">
              <w:rPr>
                <w:rFonts w:asciiTheme="minorHAnsi" w:hAnsiTheme="minorHAnsi" w:cstheme="minorHAnsi"/>
              </w:rPr>
              <w:t>80</w:t>
            </w:r>
          </w:p>
        </w:tc>
        <w:tc>
          <w:tcPr>
            <w:tcW w:w="1687" w:type="dxa"/>
            <w:gridSpan w:val="2"/>
            <w:vAlign w:val="center"/>
          </w:tcPr>
          <w:p w14:paraId="3C55A3A2" w14:textId="4BFE81E7"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0</w:t>
            </w:r>
            <w:r w:rsidR="003C21F9" w:rsidRPr="00045BB4">
              <w:rPr>
                <w:rFonts w:asciiTheme="minorHAnsi" w:hAnsiTheme="minorHAnsi" w:cstheme="minorHAnsi"/>
              </w:rPr>
              <w:t>,</w:t>
            </w:r>
            <w:r w:rsidRPr="00045BB4">
              <w:rPr>
                <w:rFonts w:asciiTheme="minorHAnsi" w:hAnsiTheme="minorHAnsi" w:cstheme="minorHAnsi"/>
              </w:rPr>
              <w:t>90</w:t>
            </w:r>
          </w:p>
        </w:tc>
        <w:tc>
          <w:tcPr>
            <w:tcW w:w="1440" w:type="dxa"/>
            <w:vAlign w:val="center"/>
          </w:tcPr>
          <w:p w14:paraId="3C73646E" w14:textId="54A9D917"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0</w:t>
            </w:r>
            <w:r w:rsidR="003C21F9" w:rsidRPr="00045BB4">
              <w:rPr>
                <w:rFonts w:asciiTheme="minorHAnsi" w:hAnsiTheme="minorHAnsi" w:cstheme="minorHAnsi"/>
              </w:rPr>
              <w:t>,</w:t>
            </w:r>
            <w:r w:rsidRPr="00045BB4">
              <w:rPr>
                <w:rFonts w:asciiTheme="minorHAnsi" w:hAnsiTheme="minorHAnsi" w:cstheme="minorHAnsi"/>
              </w:rPr>
              <w:t>90</w:t>
            </w:r>
          </w:p>
        </w:tc>
        <w:tc>
          <w:tcPr>
            <w:tcW w:w="1971" w:type="dxa"/>
            <w:vAlign w:val="center"/>
          </w:tcPr>
          <w:p w14:paraId="31E09CFD" w14:textId="50DDC80E"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tc>
      </w:tr>
      <w:tr w:rsidR="004A5010" w:rsidRPr="00045BB4" w14:paraId="54919A78" w14:textId="77777777" w:rsidTr="004A5010">
        <w:trPr>
          <w:trHeight w:val="550"/>
        </w:trPr>
        <w:tc>
          <w:tcPr>
            <w:tcW w:w="5611" w:type="dxa"/>
            <w:gridSpan w:val="2"/>
            <w:vAlign w:val="center"/>
          </w:tcPr>
          <w:p w14:paraId="4B075448" w14:textId="3FE7FECB" w:rsidR="004A5010" w:rsidRPr="00045BB4" w:rsidRDefault="004A5010" w:rsidP="004A5010">
            <w:pPr>
              <w:pStyle w:val="TableParagraph"/>
              <w:ind w:left="110"/>
              <w:rPr>
                <w:rFonts w:asciiTheme="minorHAnsi" w:hAnsiTheme="minorHAnsi" w:cstheme="minorHAnsi"/>
                <w:color w:val="000000"/>
              </w:rPr>
            </w:pPr>
            <w:r w:rsidRPr="00045BB4">
              <w:rPr>
                <w:rFonts w:asciiTheme="minorHAnsi" w:hAnsiTheme="minorHAnsi" w:cstheme="minorHAnsi"/>
                <w:color w:val="000000"/>
              </w:rPr>
              <w:t xml:space="preserve">1.1.2.       Jačati institucionalne kapacitete na svim nivoima vlasti i međusektorsku saradnju </w:t>
            </w:r>
            <w:r w:rsidR="00F847CA" w:rsidRPr="00045BB4">
              <w:rPr>
                <w:rFonts w:asciiTheme="minorHAnsi" w:hAnsiTheme="minorHAnsi" w:cstheme="minorHAnsi"/>
                <w:color w:val="000000"/>
              </w:rPr>
              <w:t>u cilju</w:t>
            </w:r>
            <w:r w:rsidRPr="00045BB4">
              <w:rPr>
                <w:rFonts w:asciiTheme="minorHAnsi" w:hAnsiTheme="minorHAnsi" w:cstheme="minorHAnsi"/>
                <w:color w:val="000000"/>
              </w:rPr>
              <w:t xml:space="preserve"> energijsk</w:t>
            </w:r>
            <w:r w:rsidR="00F847CA" w:rsidRPr="00045BB4">
              <w:rPr>
                <w:rFonts w:asciiTheme="minorHAnsi" w:hAnsiTheme="minorHAnsi" w:cstheme="minorHAnsi"/>
                <w:color w:val="000000"/>
              </w:rPr>
              <w:t>e</w:t>
            </w:r>
            <w:r w:rsidRPr="00045BB4">
              <w:rPr>
                <w:rFonts w:asciiTheme="minorHAnsi" w:hAnsiTheme="minorHAnsi" w:cstheme="minorHAnsi"/>
                <w:color w:val="000000"/>
              </w:rPr>
              <w:t xml:space="preserve"> obnov</w:t>
            </w:r>
            <w:r w:rsidR="00F847CA" w:rsidRPr="00045BB4">
              <w:rPr>
                <w:rFonts w:asciiTheme="minorHAnsi" w:hAnsiTheme="minorHAnsi" w:cstheme="minorHAnsi"/>
                <w:color w:val="000000"/>
              </w:rPr>
              <w:t>e</w:t>
            </w:r>
            <w:r w:rsidRPr="00045BB4">
              <w:rPr>
                <w:rFonts w:asciiTheme="minorHAnsi" w:hAnsiTheme="minorHAnsi" w:cstheme="minorHAnsi"/>
                <w:color w:val="000000"/>
              </w:rPr>
              <w:t xml:space="preserve"> zgrada</w:t>
            </w:r>
          </w:p>
        </w:tc>
        <w:tc>
          <w:tcPr>
            <w:tcW w:w="1709" w:type="dxa"/>
            <w:gridSpan w:val="2"/>
            <w:vAlign w:val="center"/>
          </w:tcPr>
          <w:p w14:paraId="733923DF" w14:textId="60A3C592" w:rsidR="004A5010" w:rsidRPr="00045BB4" w:rsidRDefault="004A5010" w:rsidP="004A5010">
            <w:pPr>
              <w:pStyle w:val="TableParagraph"/>
              <w:ind w:left="490" w:right="472"/>
              <w:jc w:val="right"/>
              <w:rPr>
                <w:rFonts w:asciiTheme="minorHAnsi" w:hAnsiTheme="minorHAnsi" w:cstheme="minorHAnsi"/>
                <w:bCs/>
                <w:lang w:val="bs-Latn-BA"/>
              </w:rPr>
            </w:pPr>
            <w:r w:rsidRPr="00045BB4">
              <w:rPr>
                <w:rFonts w:asciiTheme="minorHAnsi" w:hAnsiTheme="minorHAnsi" w:cstheme="minorHAnsi"/>
              </w:rPr>
              <w:t> </w:t>
            </w:r>
          </w:p>
        </w:tc>
        <w:tc>
          <w:tcPr>
            <w:tcW w:w="1797" w:type="dxa"/>
            <w:vAlign w:val="center"/>
          </w:tcPr>
          <w:p w14:paraId="72221A6B" w14:textId="213448B3" w:rsidR="004A5010" w:rsidRPr="00045BB4" w:rsidRDefault="004A5010" w:rsidP="004A5010">
            <w:pPr>
              <w:pStyle w:val="TableParagraph"/>
              <w:ind w:right="96"/>
              <w:jc w:val="right"/>
              <w:rPr>
                <w:rFonts w:asciiTheme="minorHAnsi" w:hAnsiTheme="minorHAnsi" w:cstheme="minorHAnsi"/>
                <w:bCs/>
                <w:lang w:val="bs-Latn-BA"/>
              </w:rPr>
            </w:pPr>
            <w:r w:rsidRPr="00045BB4">
              <w:rPr>
                <w:rFonts w:asciiTheme="minorHAnsi" w:hAnsiTheme="minorHAnsi" w:cstheme="minorHAnsi"/>
              </w:rPr>
              <w:t>77</w:t>
            </w:r>
            <w:r w:rsidR="003C21F9" w:rsidRPr="00045BB4">
              <w:rPr>
                <w:rFonts w:asciiTheme="minorHAnsi" w:hAnsiTheme="minorHAnsi" w:cstheme="minorHAnsi"/>
              </w:rPr>
              <w:t>,</w:t>
            </w:r>
            <w:r w:rsidRPr="00045BB4">
              <w:rPr>
                <w:rFonts w:asciiTheme="minorHAnsi" w:hAnsiTheme="minorHAnsi" w:cstheme="minorHAnsi"/>
              </w:rPr>
              <w:t>40</w:t>
            </w:r>
          </w:p>
        </w:tc>
        <w:tc>
          <w:tcPr>
            <w:tcW w:w="1687" w:type="dxa"/>
            <w:gridSpan w:val="2"/>
            <w:vAlign w:val="center"/>
          </w:tcPr>
          <w:p w14:paraId="215C772E" w14:textId="3CBEF811"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13</w:t>
            </w:r>
            <w:r w:rsidR="003C21F9" w:rsidRPr="00045BB4">
              <w:rPr>
                <w:rFonts w:asciiTheme="minorHAnsi" w:hAnsiTheme="minorHAnsi" w:cstheme="minorHAnsi"/>
              </w:rPr>
              <w:t>,</w:t>
            </w:r>
            <w:r w:rsidRPr="00045BB4">
              <w:rPr>
                <w:rFonts w:asciiTheme="minorHAnsi" w:hAnsiTheme="minorHAnsi" w:cstheme="minorHAnsi"/>
              </w:rPr>
              <w:t>93</w:t>
            </w:r>
          </w:p>
        </w:tc>
        <w:tc>
          <w:tcPr>
            <w:tcW w:w="1440" w:type="dxa"/>
            <w:vAlign w:val="center"/>
          </w:tcPr>
          <w:p w14:paraId="7354E05F" w14:textId="6E11C54C"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63</w:t>
            </w:r>
            <w:r w:rsidR="003C21F9" w:rsidRPr="00045BB4">
              <w:rPr>
                <w:rFonts w:asciiTheme="minorHAnsi" w:hAnsiTheme="minorHAnsi" w:cstheme="minorHAnsi"/>
              </w:rPr>
              <w:t>,</w:t>
            </w:r>
            <w:r w:rsidRPr="00045BB4">
              <w:rPr>
                <w:rFonts w:asciiTheme="minorHAnsi" w:hAnsiTheme="minorHAnsi" w:cstheme="minorHAnsi"/>
              </w:rPr>
              <w:t>47</w:t>
            </w:r>
          </w:p>
        </w:tc>
        <w:tc>
          <w:tcPr>
            <w:tcW w:w="1971" w:type="dxa"/>
            <w:vAlign w:val="center"/>
          </w:tcPr>
          <w:p w14:paraId="6E5E8781" w14:textId="77777777" w:rsidR="00A100BA" w:rsidRPr="00045BB4" w:rsidRDefault="00A100BA" w:rsidP="00A100BA">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Kreditna sredstva</w:t>
            </w:r>
          </w:p>
          <w:p w14:paraId="3B814864" w14:textId="77777777" w:rsidR="00A100BA" w:rsidRPr="00045BB4" w:rsidRDefault="00A100BA" w:rsidP="00A100BA">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p w14:paraId="1A30935A" w14:textId="69C2E6CA" w:rsidR="004A5010" w:rsidRPr="00045BB4" w:rsidRDefault="00A100BA" w:rsidP="00A100BA">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Ostale donacije</w:t>
            </w:r>
          </w:p>
        </w:tc>
      </w:tr>
      <w:tr w:rsidR="004A5010" w:rsidRPr="00045BB4" w14:paraId="2EB00606" w14:textId="77777777" w:rsidTr="004A5010">
        <w:trPr>
          <w:trHeight w:val="550"/>
        </w:trPr>
        <w:tc>
          <w:tcPr>
            <w:tcW w:w="5611" w:type="dxa"/>
            <w:gridSpan w:val="2"/>
            <w:vAlign w:val="center"/>
          </w:tcPr>
          <w:p w14:paraId="44634059" w14:textId="54AD29BC" w:rsidR="004A5010" w:rsidRPr="00045BB4" w:rsidRDefault="004A5010" w:rsidP="004A5010">
            <w:pPr>
              <w:pStyle w:val="TableParagraph"/>
              <w:ind w:left="110"/>
              <w:rPr>
                <w:rFonts w:asciiTheme="minorHAnsi" w:hAnsiTheme="minorHAnsi" w:cstheme="minorHAnsi"/>
                <w:sz w:val="20"/>
                <w:szCs w:val="20"/>
                <w:lang w:val="bs-Latn-BA"/>
              </w:rPr>
            </w:pPr>
            <w:r w:rsidRPr="00045BB4">
              <w:rPr>
                <w:rFonts w:asciiTheme="minorHAnsi" w:hAnsiTheme="minorHAnsi" w:cstheme="minorHAnsi"/>
                <w:color w:val="000000"/>
              </w:rPr>
              <w:t>1.1.3.</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 xml:space="preserve">Uspostaviti održiv </w:t>
            </w:r>
            <w:r w:rsidR="007B690C" w:rsidRPr="00045BB4">
              <w:rPr>
                <w:rFonts w:asciiTheme="minorHAnsi" w:hAnsiTheme="minorHAnsi" w:cstheme="minorHAnsi"/>
                <w:color w:val="000000"/>
              </w:rPr>
              <w:t>financ</w:t>
            </w:r>
            <w:r w:rsidRPr="00045BB4">
              <w:rPr>
                <w:rFonts w:asciiTheme="minorHAnsi" w:hAnsiTheme="minorHAnsi" w:cstheme="minorHAnsi"/>
                <w:color w:val="000000"/>
              </w:rPr>
              <w:t xml:space="preserve">ijski okvir koji će omogućiti podsticaj i kontinuirano </w:t>
            </w:r>
            <w:r w:rsidR="007B690C" w:rsidRPr="00045BB4">
              <w:rPr>
                <w:rFonts w:asciiTheme="minorHAnsi" w:hAnsiTheme="minorHAnsi" w:cstheme="minorHAnsi"/>
                <w:color w:val="000000"/>
              </w:rPr>
              <w:t>financ</w:t>
            </w:r>
            <w:r w:rsidRPr="00045BB4">
              <w:rPr>
                <w:rFonts w:asciiTheme="minorHAnsi" w:hAnsiTheme="minorHAnsi" w:cstheme="minorHAnsi"/>
                <w:color w:val="000000"/>
              </w:rPr>
              <w:t>iranje obnove sektora zgradarstva</w:t>
            </w:r>
          </w:p>
        </w:tc>
        <w:tc>
          <w:tcPr>
            <w:tcW w:w="1709" w:type="dxa"/>
            <w:gridSpan w:val="2"/>
            <w:vAlign w:val="center"/>
          </w:tcPr>
          <w:p w14:paraId="2EA87CC3" w14:textId="60D61CFC" w:rsidR="004A5010" w:rsidRPr="00045BB4" w:rsidRDefault="004A5010" w:rsidP="004A5010">
            <w:pPr>
              <w:pStyle w:val="TableParagraph"/>
              <w:ind w:left="490" w:right="472"/>
              <w:jc w:val="right"/>
              <w:rPr>
                <w:rFonts w:asciiTheme="minorHAnsi" w:hAnsiTheme="minorHAnsi" w:cstheme="minorHAnsi"/>
                <w:bCs/>
                <w:lang w:val="bs-Latn-BA"/>
              </w:rPr>
            </w:pPr>
            <w:r w:rsidRPr="00045BB4">
              <w:rPr>
                <w:rFonts w:asciiTheme="minorHAnsi" w:hAnsiTheme="minorHAnsi" w:cstheme="minorHAnsi"/>
              </w:rPr>
              <w:t> </w:t>
            </w:r>
          </w:p>
        </w:tc>
        <w:tc>
          <w:tcPr>
            <w:tcW w:w="1797" w:type="dxa"/>
            <w:vAlign w:val="center"/>
          </w:tcPr>
          <w:p w14:paraId="10C703EF" w14:textId="15A8F220" w:rsidR="004A5010" w:rsidRPr="00045BB4" w:rsidRDefault="004A5010" w:rsidP="004A5010">
            <w:pPr>
              <w:pStyle w:val="TableParagraph"/>
              <w:ind w:right="96"/>
              <w:jc w:val="right"/>
              <w:rPr>
                <w:rFonts w:asciiTheme="minorHAnsi" w:hAnsiTheme="minorHAnsi" w:cstheme="minorHAnsi"/>
                <w:bCs/>
                <w:lang w:val="bs-Latn-BA"/>
              </w:rPr>
            </w:pPr>
            <w:r w:rsidRPr="00045BB4">
              <w:rPr>
                <w:rFonts w:asciiTheme="minorHAnsi" w:hAnsiTheme="minorHAnsi" w:cstheme="minorHAnsi"/>
              </w:rPr>
              <w:t>49</w:t>
            </w:r>
            <w:r w:rsidR="003C21F9" w:rsidRPr="00045BB4">
              <w:rPr>
                <w:rFonts w:asciiTheme="minorHAnsi" w:hAnsiTheme="minorHAnsi" w:cstheme="minorHAnsi"/>
              </w:rPr>
              <w:t>,</w:t>
            </w:r>
            <w:r w:rsidRPr="00045BB4">
              <w:rPr>
                <w:rFonts w:asciiTheme="minorHAnsi" w:hAnsiTheme="minorHAnsi" w:cstheme="minorHAnsi"/>
              </w:rPr>
              <w:t>00</w:t>
            </w:r>
          </w:p>
        </w:tc>
        <w:tc>
          <w:tcPr>
            <w:tcW w:w="1687" w:type="dxa"/>
            <w:gridSpan w:val="2"/>
            <w:vAlign w:val="center"/>
          </w:tcPr>
          <w:p w14:paraId="3DEE990D" w14:textId="545C3331"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9</w:t>
            </w:r>
            <w:r w:rsidR="003C21F9" w:rsidRPr="00045BB4">
              <w:rPr>
                <w:rFonts w:asciiTheme="minorHAnsi" w:hAnsiTheme="minorHAnsi" w:cstheme="minorHAnsi"/>
              </w:rPr>
              <w:t>,</w:t>
            </w:r>
            <w:r w:rsidRPr="00045BB4">
              <w:rPr>
                <w:rFonts w:asciiTheme="minorHAnsi" w:hAnsiTheme="minorHAnsi" w:cstheme="minorHAnsi"/>
              </w:rPr>
              <w:t>80</w:t>
            </w:r>
          </w:p>
        </w:tc>
        <w:tc>
          <w:tcPr>
            <w:tcW w:w="1440" w:type="dxa"/>
            <w:vAlign w:val="center"/>
          </w:tcPr>
          <w:p w14:paraId="05726E87" w14:textId="4F1C3719"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39</w:t>
            </w:r>
            <w:r w:rsidR="003C21F9" w:rsidRPr="00045BB4">
              <w:rPr>
                <w:rFonts w:asciiTheme="minorHAnsi" w:hAnsiTheme="minorHAnsi" w:cstheme="minorHAnsi"/>
              </w:rPr>
              <w:t>,</w:t>
            </w:r>
            <w:r w:rsidRPr="00045BB4">
              <w:rPr>
                <w:rFonts w:asciiTheme="minorHAnsi" w:hAnsiTheme="minorHAnsi" w:cstheme="minorHAnsi"/>
              </w:rPr>
              <w:t>20</w:t>
            </w:r>
          </w:p>
        </w:tc>
        <w:tc>
          <w:tcPr>
            <w:tcW w:w="1971" w:type="dxa"/>
          </w:tcPr>
          <w:p w14:paraId="090E8C0B"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Kreditna sredstva</w:t>
            </w:r>
          </w:p>
          <w:p w14:paraId="0E1F3254"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p w14:paraId="1206EC9D" w14:textId="5DDA7A0F" w:rsidR="004A5010" w:rsidRPr="00045BB4" w:rsidRDefault="004A5010" w:rsidP="004A5010">
            <w:pPr>
              <w:pStyle w:val="TableParagraph"/>
              <w:spacing w:line="219" w:lineRule="exact"/>
              <w:jc w:val="both"/>
              <w:rPr>
                <w:rFonts w:asciiTheme="minorHAnsi" w:hAnsiTheme="minorHAnsi" w:cstheme="minorHAnsi"/>
                <w:bCs/>
                <w:sz w:val="20"/>
                <w:szCs w:val="20"/>
                <w:lang w:val="bs-Latn-BA"/>
              </w:rPr>
            </w:pPr>
            <w:r w:rsidRPr="00045BB4">
              <w:rPr>
                <w:rFonts w:asciiTheme="minorHAnsi" w:hAnsiTheme="minorHAnsi" w:cstheme="minorHAnsi"/>
                <w:sz w:val="20"/>
                <w:szCs w:val="20"/>
                <w:lang w:val="bs-Latn-BA"/>
              </w:rPr>
              <w:t>Ostale donacije</w:t>
            </w:r>
          </w:p>
        </w:tc>
      </w:tr>
      <w:tr w:rsidR="004A5010" w:rsidRPr="00045BB4" w14:paraId="699EA63B" w14:textId="77777777" w:rsidTr="004A5010">
        <w:trPr>
          <w:trHeight w:val="350"/>
        </w:trPr>
        <w:tc>
          <w:tcPr>
            <w:tcW w:w="5611" w:type="dxa"/>
            <w:gridSpan w:val="2"/>
            <w:vAlign w:val="center"/>
          </w:tcPr>
          <w:p w14:paraId="31E3D67E" w14:textId="2C920351" w:rsidR="004A5010" w:rsidRPr="00045BB4" w:rsidRDefault="004A5010" w:rsidP="004A5010">
            <w:pPr>
              <w:pStyle w:val="TableParagraph"/>
              <w:ind w:left="110"/>
              <w:rPr>
                <w:rFonts w:asciiTheme="minorHAnsi" w:hAnsiTheme="minorHAnsi" w:cstheme="minorHAnsi"/>
                <w:sz w:val="20"/>
                <w:szCs w:val="20"/>
                <w:lang w:val="bs-Latn-BA"/>
              </w:rPr>
            </w:pPr>
            <w:r w:rsidRPr="00045BB4">
              <w:rPr>
                <w:rFonts w:asciiTheme="minorHAnsi" w:hAnsiTheme="minorHAnsi" w:cstheme="minorHAnsi"/>
                <w:color w:val="000000"/>
              </w:rPr>
              <w:t>1.1.4.</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Energijski obnoviti postojeći fond zgrada</w:t>
            </w:r>
          </w:p>
        </w:tc>
        <w:tc>
          <w:tcPr>
            <w:tcW w:w="1709" w:type="dxa"/>
            <w:gridSpan w:val="2"/>
            <w:vAlign w:val="center"/>
          </w:tcPr>
          <w:p w14:paraId="0CA8701A" w14:textId="7265718E" w:rsidR="004A5010" w:rsidRPr="00045BB4" w:rsidRDefault="004A5010" w:rsidP="004A5010">
            <w:pPr>
              <w:pStyle w:val="TableParagraph"/>
              <w:ind w:left="490" w:right="472"/>
              <w:jc w:val="right"/>
              <w:rPr>
                <w:rFonts w:asciiTheme="minorHAnsi" w:hAnsiTheme="minorHAnsi" w:cstheme="minorHAnsi"/>
                <w:bCs/>
                <w:lang w:val="bs-Latn-BA"/>
              </w:rPr>
            </w:pPr>
            <w:r w:rsidRPr="00045BB4">
              <w:rPr>
                <w:rFonts w:asciiTheme="minorHAnsi" w:hAnsiTheme="minorHAnsi" w:cstheme="minorHAnsi"/>
              </w:rPr>
              <w:t> </w:t>
            </w:r>
          </w:p>
        </w:tc>
        <w:tc>
          <w:tcPr>
            <w:tcW w:w="1797" w:type="dxa"/>
            <w:vAlign w:val="center"/>
          </w:tcPr>
          <w:p w14:paraId="34E13E22" w14:textId="23BC1B5D" w:rsidR="004A5010" w:rsidRPr="00045BB4" w:rsidRDefault="004A5010" w:rsidP="004A5010">
            <w:pPr>
              <w:pStyle w:val="TableParagraph"/>
              <w:ind w:right="96"/>
              <w:jc w:val="right"/>
              <w:rPr>
                <w:rFonts w:asciiTheme="minorHAnsi" w:hAnsiTheme="minorHAnsi" w:cstheme="minorHAnsi"/>
                <w:bCs/>
                <w:lang w:val="bs-Latn-BA"/>
              </w:rPr>
            </w:pPr>
            <w:r w:rsidRPr="00045BB4">
              <w:rPr>
                <w:rFonts w:asciiTheme="minorHAnsi" w:hAnsiTheme="minorHAnsi" w:cstheme="minorHAnsi"/>
              </w:rPr>
              <w:t>16</w:t>
            </w:r>
            <w:r w:rsidR="003C21F9" w:rsidRPr="00045BB4">
              <w:rPr>
                <w:rFonts w:asciiTheme="minorHAnsi" w:hAnsiTheme="minorHAnsi" w:cstheme="minorHAnsi"/>
              </w:rPr>
              <w:t>.</w:t>
            </w:r>
            <w:r w:rsidRPr="00045BB4">
              <w:rPr>
                <w:rFonts w:asciiTheme="minorHAnsi" w:hAnsiTheme="minorHAnsi" w:cstheme="minorHAnsi"/>
              </w:rPr>
              <w:t>528</w:t>
            </w:r>
            <w:r w:rsidR="003C21F9" w:rsidRPr="00045BB4">
              <w:rPr>
                <w:rFonts w:asciiTheme="minorHAnsi" w:hAnsiTheme="minorHAnsi" w:cstheme="minorHAnsi"/>
              </w:rPr>
              <w:t>,</w:t>
            </w:r>
            <w:r w:rsidRPr="00045BB4">
              <w:rPr>
                <w:rFonts w:asciiTheme="minorHAnsi" w:hAnsiTheme="minorHAnsi" w:cstheme="minorHAnsi"/>
              </w:rPr>
              <w:t>64</w:t>
            </w:r>
          </w:p>
        </w:tc>
        <w:tc>
          <w:tcPr>
            <w:tcW w:w="1687" w:type="dxa"/>
            <w:gridSpan w:val="2"/>
            <w:vAlign w:val="center"/>
          </w:tcPr>
          <w:p w14:paraId="40196A08" w14:textId="7DF7AA97"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2</w:t>
            </w:r>
            <w:r w:rsidR="003C21F9" w:rsidRPr="00045BB4">
              <w:rPr>
                <w:rFonts w:asciiTheme="minorHAnsi" w:hAnsiTheme="minorHAnsi" w:cstheme="minorHAnsi"/>
              </w:rPr>
              <w:t>.</w:t>
            </w:r>
            <w:r w:rsidRPr="00045BB4">
              <w:rPr>
                <w:rFonts w:asciiTheme="minorHAnsi" w:hAnsiTheme="minorHAnsi" w:cstheme="minorHAnsi"/>
              </w:rPr>
              <w:t>975</w:t>
            </w:r>
            <w:r w:rsidR="003C21F9" w:rsidRPr="00045BB4">
              <w:rPr>
                <w:rFonts w:asciiTheme="minorHAnsi" w:hAnsiTheme="minorHAnsi" w:cstheme="minorHAnsi"/>
              </w:rPr>
              <w:t>,</w:t>
            </w:r>
            <w:r w:rsidRPr="00045BB4">
              <w:rPr>
                <w:rFonts w:asciiTheme="minorHAnsi" w:hAnsiTheme="minorHAnsi" w:cstheme="minorHAnsi"/>
              </w:rPr>
              <w:t>16</w:t>
            </w:r>
          </w:p>
        </w:tc>
        <w:tc>
          <w:tcPr>
            <w:tcW w:w="1440" w:type="dxa"/>
            <w:vAlign w:val="center"/>
          </w:tcPr>
          <w:p w14:paraId="2A0579EB" w14:textId="581950E6"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13</w:t>
            </w:r>
            <w:r w:rsidR="003C21F9" w:rsidRPr="00045BB4">
              <w:rPr>
                <w:rFonts w:asciiTheme="minorHAnsi" w:hAnsiTheme="minorHAnsi" w:cstheme="minorHAnsi"/>
              </w:rPr>
              <w:t>.</w:t>
            </w:r>
            <w:r w:rsidRPr="00045BB4">
              <w:rPr>
                <w:rFonts w:asciiTheme="minorHAnsi" w:hAnsiTheme="minorHAnsi" w:cstheme="minorHAnsi"/>
              </w:rPr>
              <w:t>553</w:t>
            </w:r>
            <w:r w:rsidR="003C21F9" w:rsidRPr="00045BB4">
              <w:rPr>
                <w:rFonts w:asciiTheme="minorHAnsi" w:hAnsiTheme="minorHAnsi" w:cstheme="minorHAnsi"/>
              </w:rPr>
              <w:t>,</w:t>
            </w:r>
            <w:r w:rsidRPr="00045BB4">
              <w:rPr>
                <w:rFonts w:asciiTheme="minorHAnsi" w:hAnsiTheme="minorHAnsi" w:cstheme="minorHAnsi"/>
              </w:rPr>
              <w:t>48</w:t>
            </w:r>
          </w:p>
        </w:tc>
        <w:tc>
          <w:tcPr>
            <w:tcW w:w="1971" w:type="dxa"/>
            <w:vAlign w:val="center"/>
          </w:tcPr>
          <w:p w14:paraId="51EFE50F" w14:textId="4226788E" w:rsidR="004A5010" w:rsidRPr="00045BB4" w:rsidRDefault="001627EE"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 xml:space="preserve">*) </w:t>
            </w:r>
            <w:r w:rsidR="004A5010" w:rsidRPr="00045BB4">
              <w:rPr>
                <w:rFonts w:asciiTheme="minorHAnsi" w:hAnsiTheme="minorHAnsi" w:cstheme="minorHAnsi"/>
                <w:sz w:val="20"/>
                <w:szCs w:val="20"/>
                <w:lang w:val="bs-Latn-BA"/>
              </w:rPr>
              <w:t>Kreditna sredstva</w:t>
            </w:r>
          </w:p>
          <w:p w14:paraId="7B334291"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p w14:paraId="2F22EB03" w14:textId="788DB7DF" w:rsidR="004A5010" w:rsidRPr="00045BB4" w:rsidRDefault="004A5010" w:rsidP="004A5010">
            <w:pPr>
              <w:pStyle w:val="TableParagraph"/>
              <w:spacing w:line="219" w:lineRule="exact"/>
              <w:jc w:val="both"/>
              <w:rPr>
                <w:rFonts w:asciiTheme="minorHAnsi" w:hAnsiTheme="minorHAnsi" w:cstheme="minorHAnsi"/>
                <w:bCs/>
                <w:sz w:val="20"/>
                <w:szCs w:val="20"/>
                <w:lang w:val="bs-Latn-BA"/>
              </w:rPr>
            </w:pPr>
            <w:r w:rsidRPr="00045BB4">
              <w:rPr>
                <w:rFonts w:asciiTheme="minorHAnsi" w:hAnsiTheme="minorHAnsi" w:cstheme="minorHAnsi"/>
                <w:sz w:val="20"/>
                <w:szCs w:val="20"/>
                <w:lang w:val="bs-Latn-BA"/>
              </w:rPr>
              <w:t>Ostale donacije</w:t>
            </w:r>
          </w:p>
        </w:tc>
      </w:tr>
      <w:tr w:rsidR="004A5010" w:rsidRPr="00045BB4" w14:paraId="47612397" w14:textId="77777777" w:rsidTr="007F46D7">
        <w:trPr>
          <w:trHeight w:val="550"/>
        </w:trPr>
        <w:tc>
          <w:tcPr>
            <w:tcW w:w="5611" w:type="dxa"/>
            <w:gridSpan w:val="2"/>
            <w:vAlign w:val="center"/>
          </w:tcPr>
          <w:p w14:paraId="065C24F7" w14:textId="6432D36B" w:rsidR="004A5010" w:rsidRPr="00045BB4" w:rsidRDefault="004A5010" w:rsidP="004A5010">
            <w:pPr>
              <w:pStyle w:val="TableParagraph"/>
              <w:ind w:left="110"/>
              <w:rPr>
                <w:rFonts w:asciiTheme="minorHAnsi" w:hAnsiTheme="minorHAnsi" w:cstheme="minorHAnsi"/>
                <w:sz w:val="20"/>
                <w:szCs w:val="20"/>
                <w:lang w:val="bs-Latn-BA"/>
              </w:rPr>
            </w:pPr>
            <w:r w:rsidRPr="00045BB4">
              <w:rPr>
                <w:rFonts w:asciiTheme="minorHAnsi" w:hAnsiTheme="minorHAnsi" w:cstheme="minorHAnsi"/>
                <w:color w:val="000000"/>
              </w:rPr>
              <w:t>1.1.5.</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Promovirati izgradnju novih stambenih i nestambenih zgrada prema standardima propisanim za nZEB</w:t>
            </w:r>
          </w:p>
        </w:tc>
        <w:tc>
          <w:tcPr>
            <w:tcW w:w="1709" w:type="dxa"/>
            <w:gridSpan w:val="2"/>
            <w:vAlign w:val="center"/>
          </w:tcPr>
          <w:p w14:paraId="1802D10E" w14:textId="490FB001" w:rsidR="004A5010" w:rsidRPr="00045BB4" w:rsidRDefault="004A5010" w:rsidP="004A5010">
            <w:pPr>
              <w:pStyle w:val="TableParagraph"/>
              <w:ind w:left="490" w:right="472"/>
              <w:jc w:val="right"/>
              <w:rPr>
                <w:rFonts w:asciiTheme="minorHAnsi" w:hAnsiTheme="minorHAnsi" w:cstheme="minorHAnsi"/>
                <w:bCs/>
                <w:lang w:val="bs-Latn-BA"/>
              </w:rPr>
            </w:pPr>
            <w:r w:rsidRPr="00045BB4">
              <w:rPr>
                <w:rFonts w:asciiTheme="minorHAnsi" w:hAnsiTheme="minorHAnsi" w:cstheme="minorHAnsi"/>
              </w:rPr>
              <w:t> </w:t>
            </w:r>
          </w:p>
        </w:tc>
        <w:tc>
          <w:tcPr>
            <w:tcW w:w="1797" w:type="dxa"/>
            <w:vAlign w:val="center"/>
          </w:tcPr>
          <w:p w14:paraId="3F1AB7D7" w14:textId="491229EC" w:rsidR="004A5010" w:rsidRPr="00045BB4" w:rsidRDefault="004A5010" w:rsidP="004A5010">
            <w:pPr>
              <w:pStyle w:val="TableParagraph"/>
              <w:ind w:right="96"/>
              <w:jc w:val="right"/>
              <w:rPr>
                <w:rFonts w:asciiTheme="minorHAnsi" w:hAnsiTheme="minorHAnsi" w:cstheme="minorHAnsi"/>
                <w:bCs/>
                <w:lang w:val="bs-Latn-BA"/>
              </w:rPr>
            </w:pPr>
            <w:r w:rsidRPr="00045BB4">
              <w:rPr>
                <w:rFonts w:asciiTheme="minorHAnsi" w:hAnsiTheme="minorHAnsi" w:cstheme="minorHAnsi"/>
              </w:rPr>
              <w:t>1</w:t>
            </w:r>
            <w:r w:rsidR="003C21F9" w:rsidRPr="00045BB4">
              <w:rPr>
                <w:rFonts w:asciiTheme="minorHAnsi" w:hAnsiTheme="minorHAnsi" w:cstheme="minorHAnsi"/>
              </w:rPr>
              <w:t>,</w:t>
            </w:r>
            <w:r w:rsidRPr="00045BB4">
              <w:rPr>
                <w:rFonts w:asciiTheme="minorHAnsi" w:hAnsiTheme="minorHAnsi" w:cstheme="minorHAnsi"/>
              </w:rPr>
              <w:t>00</w:t>
            </w:r>
          </w:p>
        </w:tc>
        <w:tc>
          <w:tcPr>
            <w:tcW w:w="1687" w:type="dxa"/>
            <w:gridSpan w:val="2"/>
            <w:vAlign w:val="center"/>
          </w:tcPr>
          <w:p w14:paraId="7F0B7DF5" w14:textId="0429B021"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0</w:t>
            </w:r>
            <w:r w:rsidR="003C21F9" w:rsidRPr="00045BB4">
              <w:rPr>
                <w:rFonts w:asciiTheme="minorHAnsi" w:hAnsiTheme="minorHAnsi" w:cstheme="minorHAnsi"/>
              </w:rPr>
              <w:t>,</w:t>
            </w:r>
            <w:r w:rsidRPr="00045BB4">
              <w:rPr>
                <w:rFonts w:asciiTheme="minorHAnsi" w:hAnsiTheme="minorHAnsi" w:cstheme="minorHAnsi"/>
              </w:rPr>
              <w:t>20</w:t>
            </w:r>
          </w:p>
        </w:tc>
        <w:tc>
          <w:tcPr>
            <w:tcW w:w="1440" w:type="dxa"/>
            <w:vAlign w:val="center"/>
          </w:tcPr>
          <w:p w14:paraId="76EC0B73" w14:textId="684F6351"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0</w:t>
            </w:r>
            <w:r w:rsidR="003C21F9" w:rsidRPr="00045BB4">
              <w:rPr>
                <w:rFonts w:asciiTheme="minorHAnsi" w:hAnsiTheme="minorHAnsi" w:cstheme="minorHAnsi"/>
              </w:rPr>
              <w:t>,</w:t>
            </w:r>
            <w:r w:rsidRPr="00045BB4">
              <w:rPr>
                <w:rFonts w:asciiTheme="minorHAnsi" w:hAnsiTheme="minorHAnsi" w:cstheme="minorHAnsi"/>
              </w:rPr>
              <w:t>80</w:t>
            </w:r>
          </w:p>
        </w:tc>
        <w:tc>
          <w:tcPr>
            <w:tcW w:w="1971" w:type="dxa"/>
            <w:vAlign w:val="center"/>
          </w:tcPr>
          <w:p w14:paraId="588026E6" w14:textId="0ABB31C6"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tc>
      </w:tr>
      <w:tr w:rsidR="004A5010" w:rsidRPr="00045BB4" w14:paraId="7F2696C0" w14:textId="77777777" w:rsidTr="004A5010">
        <w:trPr>
          <w:trHeight w:val="550"/>
        </w:trPr>
        <w:tc>
          <w:tcPr>
            <w:tcW w:w="5611" w:type="dxa"/>
            <w:gridSpan w:val="2"/>
            <w:vAlign w:val="center"/>
          </w:tcPr>
          <w:p w14:paraId="749F301E" w14:textId="2E58401D" w:rsidR="004A5010" w:rsidRPr="00045BB4" w:rsidRDefault="004A5010" w:rsidP="004A5010">
            <w:pPr>
              <w:pStyle w:val="TableParagraph"/>
              <w:ind w:left="110"/>
              <w:rPr>
                <w:rFonts w:asciiTheme="minorHAnsi" w:hAnsiTheme="minorHAnsi" w:cstheme="minorHAnsi"/>
                <w:sz w:val="20"/>
                <w:szCs w:val="20"/>
                <w:lang w:val="bs-Latn-BA"/>
              </w:rPr>
            </w:pPr>
            <w:r w:rsidRPr="00045BB4">
              <w:rPr>
                <w:rFonts w:asciiTheme="minorHAnsi" w:hAnsiTheme="minorHAnsi" w:cstheme="minorHAnsi"/>
                <w:color w:val="000000"/>
              </w:rPr>
              <w:t>1.1.6.</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Podsticati primjenu novih tehnologija i pametnih rješenja u sektoru zgradarstva</w:t>
            </w:r>
          </w:p>
        </w:tc>
        <w:tc>
          <w:tcPr>
            <w:tcW w:w="1709" w:type="dxa"/>
            <w:gridSpan w:val="2"/>
            <w:vAlign w:val="center"/>
          </w:tcPr>
          <w:p w14:paraId="1A05EE0E" w14:textId="4DFA8745" w:rsidR="004A5010" w:rsidRPr="00045BB4" w:rsidRDefault="004A5010" w:rsidP="004A5010">
            <w:pPr>
              <w:pStyle w:val="TableParagraph"/>
              <w:ind w:left="490" w:right="472"/>
              <w:jc w:val="right"/>
              <w:rPr>
                <w:rFonts w:asciiTheme="minorHAnsi" w:hAnsiTheme="minorHAnsi" w:cstheme="minorHAnsi"/>
                <w:bCs/>
                <w:lang w:val="bs-Latn-BA"/>
              </w:rPr>
            </w:pPr>
            <w:r w:rsidRPr="00045BB4">
              <w:rPr>
                <w:rFonts w:asciiTheme="minorHAnsi" w:hAnsiTheme="minorHAnsi" w:cstheme="minorHAnsi"/>
              </w:rPr>
              <w:t> </w:t>
            </w:r>
          </w:p>
        </w:tc>
        <w:tc>
          <w:tcPr>
            <w:tcW w:w="1797" w:type="dxa"/>
            <w:vAlign w:val="center"/>
          </w:tcPr>
          <w:p w14:paraId="708A4C00" w14:textId="0C85B3F1" w:rsidR="004A5010" w:rsidRPr="00045BB4" w:rsidRDefault="004A5010" w:rsidP="004A5010">
            <w:pPr>
              <w:pStyle w:val="TableParagraph"/>
              <w:ind w:right="96"/>
              <w:jc w:val="right"/>
              <w:rPr>
                <w:rFonts w:asciiTheme="minorHAnsi" w:hAnsiTheme="minorHAnsi" w:cstheme="minorHAnsi"/>
                <w:bCs/>
                <w:lang w:val="bs-Latn-BA"/>
              </w:rPr>
            </w:pPr>
            <w:r w:rsidRPr="00045BB4">
              <w:rPr>
                <w:rFonts w:asciiTheme="minorHAnsi" w:hAnsiTheme="minorHAnsi" w:cstheme="minorHAnsi"/>
              </w:rPr>
              <w:t>98</w:t>
            </w:r>
            <w:r w:rsidR="003C21F9" w:rsidRPr="00045BB4">
              <w:rPr>
                <w:rFonts w:asciiTheme="minorHAnsi" w:hAnsiTheme="minorHAnsi" w:cstheme="minorHAnsi"/>
              </w:rPr>
              <w:t>,</w:t>
            </w:r>
            <w:r w:rsidRPr="00045BB4">
              <w:rPr>
                <w:rFonts w:asciiTheme="minorHAnsi" w:hAnsiTheme="minorHAnsi" w:cstheme="minorHAnsi"/>
              </w:rPr>
              <w:t>80</w:t>
            </w:r>
          </w:p>
        </w:tc>
        <w:tc>
          <w:tcPr>
            <w:tcW w:w="1687" w:type="dxa"/>
            <w:gridSpan w:val="2"/>
            <w:vAlign w:val="center"/>
          </w:tcPr>
          <w:p w14:paraId="04928FB1" w14:textId="527A5002"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19</w:t>
            </w:r>
            <w:r w:rsidR="003C21F9" w:rsidRPr="00045BB4">
              <w:rPr>
                <w:rFonts w:asciiTheme="minorHAnsi" w:hAnsiTheme="minorHAnsi" w:cstheme="minorHAnsi"/>
              </w:rPr>
              <w:t>,</w:t>
            </w:r>
            <w:r w:rsidRPr="00045BB4">
              <w:rPr>
                <w:rFonts w:asciiTheme="minorHAnsi" w:hAnsiTheme="minorHAnsi" w:cstheme="minorHAnsi"/>
              </w:rPr>
              <w:t>76</w:t>
            </w:r>
          </w:p>
        </w:tc>
        <w:tc>
          <w:tcPr>
            <w:tcW w:w="1440" w:type="dxa"/>
            <w:vAlign w:val="center"/>
          </w:tcPr>
          <w:p w14:paraId="059F3E2A" w14:textId="20AF03DC"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79</w:t>
            </w:r>
            <w:r w:rsidR="003C21F9" w:rsidRPr="00045BB4">
              <w:rPr>
                <w:rFonts w:asciiTheme="minorHAnsi" w:hAnsiTheme="minorHAnsi" w:cstheme="minorHAnsi"/>
              </w:rPr>
              <w:t>,</w:t>
            </w:r>
            <w:r w:rsidRPr="00045BB4">
              <w:rPr>
                <w:rFonts w:asciiTheme="minorHAnsi" w:hAnsiTheme="minorHAnsi" w:cstheme="minorHAnsi"/>
              </w:rPr>
              <w:t>04</w:t>
            </w:r>
          </w:p>
        </w:tc>
        <w:tc>
          <w:tcPr>
            <w:tcW w:w="1971" w:type="dxa"/>
          </w:tcPr>
          <w:p w14:paraId="64A9B4E6"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Kreditna sredstva</w:t>
            </w:r>
          </w:p>
          <w:p w14:paraId="5D8DC9EC"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p w14:paraId="492081F6" w14:textId="238851EE" w:rsidR="004A5010" w:rsidRPr="00045BB4" w:rsidRDefault="004A5010" w:rsidP="004A5010">
            <w:pPr>
              <w:pStyle w:val="TableParagraph"/>
              <w:spacing w:line="219" w:lineRule="exact"/>
              <w:jc w:val="both"/>
              <w:rPr>
                <w:rFonts w:asciiTheme="minorHAnsi" w:hAnsiTheme="minorHAnsi" w:cstheme="minorHAnsi"/>
                <w:bCs/>
                <w:sz w:val="20"/>
                <w:szCs w:val="20"/>
                <w:lang w:val="bs-Latn-BA"/>
              </w:rPr>
            </w:pPr>
            <w:r w:rsidRPr="00045BB4">
              <w:rPr>
                <w:rFonts w:asciiTheme="minorHAnsi" w:hAnsiTheme="minorHAnsi" w:cstheme="minorHAnsi"/>
                <w:sz w:val="20"/>
                <w:szCs w:val="20"/>
                <w:lang w:val="bs-Latn-BA"/>
              </w:rPr>
              <w:t>Ostale donacije</w:t>
            </w:r>
          </w:p>
        </w:tc>
      </w:tr>
      <w:tr w:rsidR="004A5010" w:rsidRPr="00045BB4" w14:paraId="73C7806A" w14:textId="77777777" w:rsidTr="004A5010">
        <w:trPr>
          <w:trHeight w:val="550"/>
        </w:trPr>
        <w:tc>
          <w:tcPr>
            <w:tcW w:w="5611" w:type="dxa"/>
            <w:gridSpan w:val="2"/>
            <w:vAlign w:val="center"/>
          </w:tcPr>
          <w:p w14:paraId="201E36E3" w14:textId="0AA05A1A" w:rsidR="004A5010" w:rsidRPr="00045BB4" w:rsidRDefault="004A5010" w:rsidP="004A5010">
            <w:pPr>
              <w:pStyle w:val="TableParagraph"/>
              <w:ind w:left="110"/>
              <w:rPr>
                <w:rFonts w:asciiTheme="minorHAnsi" w:hAnsiTheme="minorHAnsi" w:cstheme="minorHAnsi"/>
                <w:b/>
                <w:sz w:val="20"/>
                <w:szCs w:val="20"/>
                <w:lang w:val="bs-Latn-BA"/>
              </w:rPr>
            </w:pPr>
            <w:r w:rsidRPr="00045BB4">
              <w:rPr>
                <w:rFonts w:asciiTheme="minorHAnsi" w:hAnsiTheme="minorHAnsi" w:cstheme="minorHAnsi"/>
                <w:color w:val="000000"/>
              </w:rPr>
              <w:lastRenderedPageBreak/>
              <w:t>1.1.7.</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Smanjiti energijsko siromaštvo povećanjem EE i korištenjem OIE u stambenim zgradama</w:t>
            </w:r>
          </w:p>
        </w:tc>
        <w:tc>
          <w:tcPr>
            <w:tcW w:w="1709" w:type="dxa"/>
            <w:gridSpan w:val="2"/>
            <w:vAlign w:val="center"/>
          </w:tcPr>
          <w:p w14:paraId="422C69B9" w14:textId="08C0B75B" w:rsidR="004A5010" w:rsidRPr="00045BB4" w:rsidRDefault="004A5010" w:rsidP="004A5010">
            <w:pPr>
              <w:pStyle w:val="TableParagraph"/>
              <w:ind w:left="490" w:right="477"/>
              <w:rPr>
                <w:rFonts w:asciiTheme="minorHAnsi" w:hAnsiTheme="minorHAnsi" w:cstheme="minorHAnsi"/>
                <w:bCs/>
                <w:lang w:val="bs-Latn-BA"/>
              </w:rPr>
            </w:pPr>
            <w:r w:rsidRPr="00045BB4">
              <w:rPr>
                <w:rFonts w:asciiTheme="minorHAnsi" w:hAnsiTheme="minorHAnsi" w:cstheme="minorHAnsi"/>
              </w:rPr>
              <w:t> </w:t>
            </w:r>
          </w:p>
        </w:tc>
        <w:tc>
          <w:tcPr>
            <w:tcW w:w="1797" w:type="dxa"/>
            <w:vAlign w:val="center"/>
          </w:tcPr>
          <w:p w14:paraId="3CE0AE15" w14:textId="291FDC3E" w:rsidR="004A5010" w:rsidRPr="00045BB4" w:rsidRDefault="004A5010" w:rsidP="004A5010">
            <w:pPr>
              <w:pStyle w:val="TableParagraph"/>
              <w:ind w:right="96"/>
              <w:jc w:val="right"/>
              <w:rPr>
                <w:rFonts w:asciiTheme="minorHAnsi" w:hAnsiTheme="minorHAnsi" w:cstheme="minorHAnsi"/>
                <w:bCs/>
                <w:lang w:val="bs-Latn-BA"/>
              </w:rPr>
            </w:pPr>
            <w:r w:rsidRPr="00045BB4">
              <w:rPr>
                <w:rFonts w:asciiTheme="minorHAnsi" w:hAnsiTheme="minorHAnsi" w:cstheme="minorHAnsi"/>
              </w:rPr>
              <w:t>0</w:t>
            </w:r>
            <w:r w:rsidR="00BB01B4" w:rsidRPr="00045BB4">
              <w:rPr>
                <w:rFonts w:asciiTheme="minorHAnsi" w:hAnsiTheme="minorHAnsi" w:cstheme="minorHAnsi"/>
              </w:rPr>
              <w:t>,</w:t>
            </w:r>
            <w:r w:rsidRPr="00045BB4">
              <w:rPr>
                <w:rFonts w:asciiTheme="minorHAnsi" w:hAnsiTheme="minorHAnsi" w:cstheme="minorHAnsi"/>
              </w:rPr>
              <w:t>40</w:t>
            </w:r>
          </w:p>
        </w:tc>
        <w:tc>
          <w:tcPr>
            <w:tcW w:w="1687" w:type="dxa"/>
            <w:gridSpan w:val="2"/>
            <w:vAlign w:val="center"/>
          </w:tcPr>
          <w:p w14:paraId="1283273C" w14:textId="2AFF7EB9"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0</w:t>
            </w:r>
            <w:r w:rsidR="00BB01B4" w:rsidRPr="00045BB4">
              <w:rPr>
                <w:rFonts w:asciiTheme="minorHAnsi" w:hAnsiTheme="minorHAnsi" w:cstheme="minorHAnsi"/>
              </w:rPr>
              <w:t>,</w:t>
            </w:r>
            <w:r w:rsidRPr="00045BB4">
              <w:rPr>
                <w:rFonts w:asciiTheme="minorHAnsi" w:hAnsiTheme="minorHAnsi" w:cstheme="minorHAnsi"/>
              </w:rPr>
              <w:t>08</w:t>
            </w:r>
          </w:p>
        </w:tc>
        <w:tc>
          <w:tcPr>
            <w:tcW w:w="1440" w:type="dxa"/>
            <w:vAlign w:val="center"/>
          </w:tcPr>
          <w:p w14:paraId="4C84E6D6" w14:textId="60DC8E72" w:rsidR="004A5010" w:rsidRPr="00045BB4" w:rsidRDefault="004A5010" w:rsidP="004A5010">
            <w:pPr>
              <w:pStyle w:val="TableParagraph"/>
              <w:ind w:right="91"/>
              <w:jc w:val="right"/>
              <w:rPr>
                <w:rFonts w:asciiTheme="minorHAnsi" w:hAnsiTheme="minorHAnsi" w:cstheme="minorHAnsi"/>
                <w:bCs/>
                <w:lang w:val="bs-Latn-BA"/>
              </w:rPr>
            </w:pPr>
            <w:r w:rsidRPr="00045BB4">
              <w:rPr>
                <w:rFonts w:asciiTheme="minorHAnsi" w:hAnsiTheme="minorHAnsi" w:cstheme="minorHAnsi"/>
              </w:rPr>
              <w:t>0</w:t>
            </w:r>
            <w:r w:rsidR="00BB01B4" w:rsidRPr="00045BB4">
              <w:rPr>
                <w:rFonts w:asciiTheme="minorHAnsi" w:hAnsiTheme="minorHAnsi" w:cstheme="minorHAnsi"/>
              </w:rPr>
              <w:t>,</w:t>
            </w:r>
            <w:r w:rsidRPr="00045BB4">
              <w:rPr>
                <w:rFonts w:asciiTheme="minorHAnsi" w:hAnsiTheme="minorHAnsi" w:cstheme="minorHAnsi"/>
              </w:rPr>
              <w:t>32</w:t>
            </w:r>
          </w:p>
        </w:tc>
        <w:tc>
          <w:tcPr>
            <w:tcW w:w="1971" w:type="dxa"/>
            <w:vAlign w:val="center"/>
          </w:tcPr>
          <w:p w14:paraId="0D70081F"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Kreditna sredstva</w:t>
            </w:r>
          </w:p>
          <w:p w14:paraId="1DF444DC"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p w14:paraId="219888DE" w14:textId="3F027D38" w:rsidR="004A5010" w:rsidRPr="00045BB4" w:rsidRDefault="004A5010" w:rsidP="004A5010">
            <w:pPr>
              <w:pStyle w:val="TableParagraph"/>
              <w:spacing w:before="3"/>
              <w:ind w:right="94"/>
              <w:rPr>
                <w:rFonts w:asciiTheme="minorHAnsi" w:hAnsiTheme="minorHAnsi" w:cstheme="minorHAnsi"/>
                <w:bCs/>
                <w:sz w:val="20"/>
                <w:szCs w:val="20"/>
                <w:lang w:val="bs-Latn-BA"/>
              </w:rPr>
            </w:pPr>
            <w:r w:rsidRPr="00045BB4">
              <w:rPr>
                <w:rFonts w:asciiTheme="minorHAnsi" w:hAnsiTheme="minorHAnsi" w:cstheme="minorHAnsi"/>
                <w:sz w:val="20"/>
                <w:szCs w:val="20"/>
                <w:lang w:val="bs-Latn-BA"/>
              </w:rPr>
              <w:t>Ostale donacije</w:t>
            </w:r>
          </w:p>
        </w:tc>
      </w:tr>
      <w:tr w:rsidR="004A5010" w:rsidRPr="00045BB4" w14:paraId="37BF54CC" w14:textId="77777777" w:rsidTr="004A5010">
        <w:trPr>
          <w:trHeight w:val="550"/>
        </w:trPr>
        <w:tc>
          <w:tcPr>
            <w:tcW w:w="5611" w:type="dxa"/>
            <w:gridSpan w:val="2"/>
            <w:shd w:val="clear" w:color="auto" w:fill="D9D9D9" w:themeFill="background1" w:themeFillShade="D9"/>
            <w:vAlign w:val="center"/>
          </w:tcPr>
          <w:p w14:paraId="4796658F" w14:textId="44AD4873" w:rsidR="004A5010" w:rsidRPr="00045BB4" w:rsidRDefault="004A5010" w:rsidP="004A5010">
            <w:pPr>
              <w:pStyle w:val="TableParagraph"/>
              <w:spacing w:before="20"/>
              <w:ind w:left="110"/>
              <w:rPr>
                <w:rFonts w:asciiTheme="minorHAnsi" w:hAnsiTheme="minorHAnsi" w:cstheme="minorHAnsi"/>
                <w:b/>
                <w:sz w:val="20"/>
                <w:szCs w:val="20"/>
                <w:lang w:val="bs-Latn-BA"/>
              </w:rPr>
            </w:pPr>
            <w:r w:rsidRPr="00045BB4">
              <w:rPr>
                <w:rFonts w:asciiTheme="minorHAnsi" w:hAnsiTheme="minorHAnsi" w:cstheme="minorHAnsi"/>
                <w:b/>
                <w:bCs/>
                <w:color w:val="000000"/>
              </w:rPr>
              <w:t xml:space="preserve">1.2. Dekarbonizirati postojeći fond zgrada FBiH </w:t>
            </w:r>
          </w:p>
        </w:tc>
        <w:tc>
          <w:tcPr>
            <w:tcW w:w="1709" w:type="dxa"/>
            <w:gridSpan w:val="2"/>
            <w:shd w:val="clear" w:color="auto" w:fill="D9D9D9" w:themeFill="background1" w:themeFillShade="D9"/>
            <w:vAlign w:val="center"/>
          </w:tcPr>
          <w:p w14:paraId="6FC2ECF2" w14:textId="3ED2EDD9" w:rsidR="004A5010" w:rsidRPr="00045BB4" w:rsidRDefault="004A5010" w:rsidP="004A5010">
            <w:pPr>
              <w:pStyle w:val="TableParagraph"/>
              <w:spacing w:before="20"/>
              <w:ind w:left="490" w:right="472"/>
              <w:rPr>
                <w:rFonts w:asciiTheme="minorHAnsi" w:hAnsiTheme="minorHAnsi" w:cstheme="minorHAnsi"/>
                <w:bCs/>
                <w:lang w:val="bs-Latn-BA"/>
              </w:rPr>
            </w:pPr>
            <w:r w:rsidRPr="00045BB4">
              <w:rPr>
                <w:rFonts w:asciiTheme="minorHAnsi" w:hAnsiTheme="minorHAnsi" w:cstheme="minorHAnsi"/>
                <w:b/>
                <w:bCs/>
              </w:rPr>
              <w:t>21</w:t>
            </w:r>
            <w:r w:rsidR="00BB01B4" w:rsidRPr="00045BB4">
              <w:rPr>
                <w:rFonts w:asciiTheme="minorHAnsi" w:hAnsiTheme="minorHAnsi" w:cstheme="minorHAnsi"/>
                <w:b/>
                <w:bCs/>
              </w:rPr>
              <w:t>,</w:t>
            </w:r>
            <w:r w:rsidRPr="00045BB4">
              <w:rPr>
                <w:rFonts w:asciiTheme="minorHAnsi" w:hAnsiTheme="minorHAnsi" w:cstheme="minorHAnsi"/>
                <w:b/>
                <w:bCs/>
              </w:rPr>
              <w:t>38%</w:t>
            </w:r>
          </w:p>
        </w:tc>
        <w:tc>
          <w:tcPr>
            <w:tcW w:w="1797" w:type="dxa"/>
            <w:shd w:val="clear" w:color="auto" w:fill="D9D9D9" w:themeFill="background1" w:themeFillShade="D9"/>
            <w:vAlign w:val="center"/>
          </w:tcPr>
          <w:p w14:paraId="2409037D" w14:textId="21A3A2BC" w:rsidR="004A5010" w:rsidRPr="00045BB4" w:rsidRDefault="004A5010" w:rsidP="004A5010">
            <w:pPr>
              <w:pStyle w:val="TableParagraph"/>
              <w:ind w:right="91"/>
              <w:jc w:val="right"/>
              <w:rPr>
                <w:rFonts w:asciiTheme="minorHAnsi" w:hAnsiTheme="minorHAnsi" w:cstheme="minorHAnsi"/>
              </w:rPr>
            </w:pPr>
            <w:r w:rsidRPr="00045BB4">
              <w:rPr>
                <w:rFonts w:asciiTheme="minorHAnsi" w:hAnsiTheme="minorHAnsi" w:cstheme="minorHAnsi"/>
                <w:b/>
                <w:bCs/>
              </w:rPr>
              <w:t>4</w:t>
            </w:r>
            <w:r w:rsidR="00BB01B4" w:rsidRPr="00045BB4">
              <w:rPr>
                <w:rFonts w:asciiTheme="minorHAnsi" w:hAnsiTheme="minorHAnsi" w:cstheme="minorHAnsi"/>
                <w:b/>
                <w:bCs/>
              </w:rPr>
              <w:t>.</w:t>
            </w:r>
            <w:r w:rsidRPr="00045BB4">
              <w:rPr>
                <w:rFonts w:asciiTheme="minorHAnsi" w:hAnsiTheme="minorHAnsi" w:cstheme="minorHAnsi"/>
                <w:b/>
                <w:bCs/>
              </w:rPr>
              <w:t>556</w:t>
            </w:r>
            <w:r w:rsidR="00BB01B4" w:rsidRPr="00045BB4">
              <w:rPr>
                <w:rFonts w:asciiTheme="minorHAnsi" w:hAnsiTheme="minorHAnsi" w:cstheme="minorHAnsi"/>
                <w:b/>
                <w:bCs/>
              </w:rPr>
              <w:t>,</w:t>
            </w:r>
            <w:r w:rsidRPr="00045BB4">
              <w:rPr>
                <w:rFonts w:asciiTheme="minorHAnsi" w:hAnsiTheme="minorHAnsi" w:cstheme="minorHAnsi"/>
                <w:b/>
                <w:bCs/>
              </w:rPr>
              <w:t>50</w:t>
            </w:r>
          </w:p>
        </w:tc>
        <w:tc>
          <w:tcPr>
            <w:tcW w:w="1687" w:type="dxa"/>
            <w:gridSpan w:val="2"/>
            <w:shd w:val="clear" w:color="auto" w:fill="D9D9D9" w:themeFill="background1" w:themeFillShade="D9"/>
            <w:vAlign w:val="center"/>
          </w:tcPr>
          <w:p w14:paraId="08D7AAC1" w14:textId="4DA7FBB1" w:rsidR="004A5010" w:rsidRPr="00045BB4" w:rsidRDefault="004A5010" w:rsidP="004A5010">
            <w:pPr>
              <w:pStyle w:val="TableParagraph"/>
              <w:ind w:right="91"/>
              <w:jc w:val="right"/>
              <w:rPr>
                <w:rFonts w:asciiTheme="minorHAnsi" w:hAnsiTheme="minorHAnsi" w:cstheme="minorHAnsi"/>
              </w:rPr>
            </w:pPr>
            <w:r w:rsidRPr="00045BB4">
              <w:rPr>
                <w:rFonts w:asciiTheme="minorHAnsi" w:hAnsiTheme="minorHAnsi" w:cstheme="minorHAnsi"/>
                <w:b/>
                <w:bCs/>
              </w:rPr>
              <w:t>544</w:t>
            </w:r>
            <w:r w:rsidR="00BB01B4" w:rsidRPr="00045BB4">
              <w:rPr>
                <w:rFonts w:asciiTheme="minorHAnsi" w:hAnsiTheme="minorHAnsi" w:cstheme="minorHAnsi"/>
                <w:b/>
                <w:bCs/>
              </w:rPr>
              <w:t>,</w:t>
            </w:r>
            <w:r w:rsidRPr="00045BB4">
              <w:rPr>
                <w:rFonts w:asciiTheme="minorHAnsi" w:hAnsiTheme="minorHAnsi" w:cstheme="minorHAnsi"/>
                <w:b/>
                <w:bCs/>
              </w:rPr>
              <w:t>58</w:t>
            </w:r>
          </w:p>
        </w:tc>
        <w:tc>
          <w:tcPr>
            <w:tcW w:w="1440" w:type="dxa"/>
            <w:shd w:val="clear" w:color="auto" w:fill="D9D9D9" w:themeFill="background1" w:themeFillShade="D9"/>
            <w:vAlign w:val="center"/>
          </w:tcPr>
          <w:p w14:paraId="54BE6782" w14:textId="20E9AA54" w:rsidR="004A5010" w:rsidRPr="00045BB4" w:rsidRDefault="004A5010" w:rsidP="004A5010">
            <w:pPr>
              <w:spacing w:after="0"/>
              <w:ind w:right="91"/>
              <w:jc w:val="right"/>
              <w:rPr>
                <w:rFonts w:asciiTheme="minorHAnsi" w:hAnsiTheme="minorHAnsi" w:cstheme="minorHAnsi"/>
                <w:lang w:val="hr-HR"/>
              </w:rPr>
            </w:pPr>
            <w:r w:rsidRPr="00045BB4">
              <w:rPr>
                <w:rFonts w:asciiTheme="minorHAnsi" w:hAnsiTheme="minorHAnsi" w:cstheme="minorHAnsi"/>
                <w:b/>
                <w:bCs/>
              </w:rPr>
              <w:t>4</w:t>
            </w:r>
            <w:r w:rsidR="00BB01B4" w:rsidRPr="00045BB4">
              <w:rPr>
                <w:rFonts w:asciiTheme="minorHAnsi" w:hAnsiTheme="minorHAnsi" w:cstheme="minorHAnsi"/>
                <w:b/>
                <w:bCs/>
              </w:rPr>
              <w:t>.</w:t>
            </w:r>
            <w:r w:rsidRPr="00045BB4">
              <w:rPr>
                <w:rFonts w:asciiTheme="minorHAnsi" w:hAnsiTheme="minorHAnsi" w:cstheme="minorHAnsi"/>
                <w:b/>
                <w:bCs/>
              </w:rPr>
              <w:t>011</w:t>
            </w:r>
            <w:r w:rsidR="00BB01B4" w:rsidRPr="00045BB4">
              <w:rPr>
                <w:rFonts w:asciiTheme="minorHAnsi" w:hAnsiTheme="minorHAnsi" w:cstheme="minorHAnsi"/>
                <w:b/>
                <w:bCs/>
              </w:rPr>
              <w:t>,</w:t>
            </w:r>
            <w:r w:rsidRPr="00045BB4">
              <w:rPr>
                <w:rFonts w:asciiTheme="minorHAnsi" w:hAnsiTheme="minorHAnsi" w:cstheme="minorHAnsi"/>
                <w:b/>
                <w:bCs/>
              </w:rPr>
              <w:t>92</w:t>
            </w:r>
          </w:p>
        </w:tc>
        <w:tc>
          <w:tcPr>
            <w:tcW w:w="1971" w:type="dxa"/>
            <w:shd w:val="clear" w:color="auto" w:fill="D9D9D9" w:themeFill="background1" w:themeFillShade="D9"/>
            <w:vAlign w:val="center"/>
          </w:tcPr>
          <w:p w14:paraId="2795C550" w14:textId="4803E71F" w:rsidR="004A5010" w:rsidRPr="00045BB4" w:rsidRDefault="004A5010" w:rsidP="004A5010">
            <w:pPr>
              <w:pStyle w:val="TableParagraph"/>
              <w:spacing w:before="20"/>
              <w:rPr>
                <w:rFonts w:asciiTheme="minorHAnsi" w:hAnsiTheme="minorHAnsi" w:cstheme="minorHAnsi"/>
                <w:bCs/>
                <w:sz w:val="20"/>
                <w:szCs w:val="20"/>
                <w:lang w:val="bs-Latn-BA"/>
              </w:rPr>
            </w:pPr>
          </w:p>
        </w:tc>
      </w:tr>
      <w:tr w:rsidR="004A5010" w:rsidRPr="00045BB4" w14:paraId="29A1B4D5" w14:textId="77777777" w:rsidTr="004A5010">
        <w:trPr>
          <w:trHeight w:val="402"/>
        </w:trPr>
        <w:tc>
          <w:tcPr>
            <w:tcW w:w="5611" w:type="dxa"/>
            <w:gridSpan w:val="2"/>
            <w:shd w:val="clear" w:color="auto" w:fill="auto"/>
            <w:vAlign w:val="center"/>
          </w:tcPr>
          <w:p w14:paraId="750BE8D6" w14:textId="23C373EB" w:rsidR="004A5010" w:rsidRPr="00045BB4" w:rsidRDefault="004A5010" w:rsidP="004A5010">
            <w:pPr>
              <w:pStyle w:val="TableParagraph"/>
              <w:spacing w:before="15"/>
              <w:ind w:left="110"/>
              <w:rPr>
                <w:rFonts w:asciiTheme="minorHAnsi" w:hAnsiTheme="minorHAnsi" w:cstheme="minorHAnsi"/>
                <w:b/>
                <w:sz w:val="20"/>
                <w:szCs w:val="20"/>
                <w:lang w:val="bs-Latn-BA"/>
              </w:rPr>
            </w:pPr>
            <w:bookmarkStart w:id="171" w:name="RANGE!A16"/>
            <w:r w:rsidRPr="00045BB4">
              <w:rPr>
                <w:rFonts w:asciiTheme="minorHAnsi" w:hAnsiTheme="minorHAnsi" w:cstheme="minorHAnsi"/>
                <w:color w:val="000000"/>
              </w:rPr>
              <w:t>1.2.1.</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Povećati udio OIE i sigurnost snabdijevanja energentima u sektoru zgradarstva</w:t>
            </w:r>
            <w:bookmarkEnd w:id="171"/>
          </w:p>
        </w:tc>
        <w:tc>
          <w:tcPr>
            <w:tcW w:w="1709" w:type="dxa"/>
            <w:gridSpan w:val="2"/>
            <w:shd w:val="clear" w:color="auto" w:fill="auto"/>
            <w:vAlign w:val="center"/>
          </w:tcPr>
          <w:p w14:paraId="64F053F3" w14:textId="08F89D44" w:rsidR="004A5010" w:rsidRPr="00045BB4" w:rsidRDefault="004A5010" w:rsidP="004A5010">
            <w:pPr>
              <w:pStyle w:val="TableParagraph"/>
              <w:spacing w:before="15"/>
              <w:ind w:left="758"/>
              <w:jc w:val="right"/>
              <w:rPr>
                <w:rFonts w:asciiTheme="minorHAnsi" w:hAnsiTheme="minorHAnsi" w:cstheme="minorHAnsi"/>
                <w:b/>
                <w:lang w:val="bs-Latn-BA"/>
              </w:rPr>
            </w:pPr>
            <w:r w:rsidRPr="00045BB4">
              <w:rPr>
                <w:rFonts w:asciiTheme="minorHAnsi" w:hAnsiTheme="minorHAnsi" w:cstheme="minorHAnsi"/>
              </w:rPr>
              <w:t> </w:t>
            </w:r>
          </w:p>
        </w:tc>
        <w:tc>
          <w:tcPr>
            <w:tcW w:w="1797" w:type="dxa"/>
            <w:shd w:val="clear" w:color="auto" w:fill="auto"/>
            <w:vAlign w:val="center"/>
          </w:tcPr>
          <w:p w14:paraId="72D17501" w14:textId="696F7ED2" w:rsidR="004A5010" w:rsidRPr="00045BB4" w:rsidRDefault="004A5010" w:rsidP="004A5010">
            <w:pPr>
              <w:pStyle w:val="TableParagraph"/>
              <w:spacing w:before="15"/>
              <w:ind w:right="96"/>
              <w:jc w:val="right"/>
              <w:rPr>
                <w:rFonts w:asciiTheme="minorHAnsi" w:hAnsiTheme="minorHAnsi" w:cstheme="minorHAnsi"/>
                <w:b/>
                <w:lang w:val="bs-Latn-BA"/>
              </w:rPr>
            </w:pPr>
            <w:r w:rsidRPr="00045BB4">
              <w:rPr>
                <w:rFonts w:asciiTheme="minorHAnsi" w:hAnsiTheme="minorHAnsi" w:cstheme="minorHAnsi"/>
              </w:rPr>
              <w:t>5</w:t>
            </w:r>
            <w:r w:rsidR="00BB01B4" w:rsidRPr="00045BB4">
              <w:rPr>
                <w:rFonts w:asciiTheme="minorHAnsi" w:hAnsiTheme="minorHAnsi" w:cstheme="minorHAnsi"/>
              </w:rPr>
              <w:t>,</w:t>
            </w:r>
            <w:r w:rsidRPr="00045BB4">
              <w:rPr>
                <w:rFonts w:asciiTheme="minorHAnsi" w:hAnsiTheme="minorHAnsi" w:cstheme="minorHAnsi"/>
              </w:rPr>
              <w:t>00</w:t>
            </w:r>
          </w:p>
        </w:tc>
        <w:tc>
          <w:tcPr>
            <w:tcW w:w="1687" w:type="dxa"/>
            <w:gridSpan w:val="2"/>
            <w:shd w:val="clear" w:color="auto" w:fill="auto"/>
            <w:vAlign w:val="center"/>
          </w:tcPr>
          <w:p w14:paraId="68829E7F" w14:textId="2E903A7B" w:rsidR="004A5010" w:rsidRPr="00045BB4" w:rsidRDefault="004A5010" w:rsidP="004A5010">
            <w:pPr>
              <w:pStyle w:val="TableParagraph"/>
              <w:spacing w:before="15"/>
              <w:ind w:right="91"/>
              <w:jc w:val="right"/>
              <w:rPr>
                <w:rFonts w:asciiTheme="minorHAnsi" w:hAnsiTheme="minorHAnsi" w:cstheme="minorHAnsi"/>
                <w:b/>
                <w:lang w:val="bs-Latn-BA"/>
              </w:rPr>
            </w:pPr>
            <w:r w:rsidRPr="00045BB4">
              <w:rPr>
                <w:rFonts w:asciiTheme="minorHAnsi" w:hAnsiTheme="minorHAnsi" w:cstheme="minorHAnsi"/>
              </w:rPr>
              <w:t>1</w:t>
            </w:r>
            <w:r w:rsidR="00BB01B4" w:rsidRPr="00045BB4">
              <w:rPr>
                <w:rFonts w:asciiTheme="minorHAnsi" w:hAnsiTheme="minorHAnsi" w:cstheme="minorHAnsi"/>
              </w:rPr>
              <w:t>,</w:t>
            </w:r>
            <w:r w:rsidRPr="00045BB4">
              <w:rPr>
                <w:rFonts w:asciiTheme="minorHAnsi" w:hAnsiTheme="minorHAnsi" w:cstheme="minorHAnsi"/>
              </w:rPr>
              <w:t>00</w:t>
            </w:r>
          </w:p>
        </w:tc>
        <w:tc>
          <w:tcPr>
            <w:tcW w:w="1440" w:type="dxa"/>
            <w:shd w:val="clear" w:color="auto" w:fill="auto"/>
            <w:vAlign w:val="center"/>
          </w:tcPr>
          <w:p w14:paraId="76076725" w14:textId="6963222E" w:rsidR="004A5010" w:rsidRPr="00045BB4" w:rsidRDefault="004A5010" w:rsidP="004A5010">
            <w:pPr>
              <w:pStyle w:val="TableParagraph"/>
              <w:spacing w:before="15"/>
              <w:ind w:right="91"/>
              <w:jc w:val="right"/>
              <w:rPr>
                <w:rFonts w:asciiTheme="minorHAnsi" w:hAnsiTheme="minorHAnsi" w:cstheme="minorHAnsi"/>
                <w:b/>
                <w:lang w:val="bs-Latn-BA"/>
              </w:rPr>
            </w:pPr>
            <w:r w:rsidRPr="00045BB4">
              <w:rPr>
                <w:rFonts w:asciiTheme="minorHAnsi" w:hAnsiTheme="minorHAnsi" w:cstheme="minorHAnsi"/>
              </w:rPr>
              <w:t>4</w:t>
            </w:r>
            <w:r w:rsidR="00BB01B4" w:rsidRPr="00045BB4">
              <w:rPr>
                <w:rFonts w:asciiTheme="minorHAnsi" w:hAnsiTheme="minorHAnsi" w:cstheme="minorHAnsi"/>
              </w:rPr>
              <w:t>,</w:t>
            </w:r>
            <w:r w:rsidRPr="00045BB4">
              <w:rPr>
                <w:rFonts w:asciiTheme="minorHAnsi" w:hAnsiTheme="minorHAnsi" w:cstheme="minorHAnsi"/>
              </w:rPr>
              <w:t>00</w:t>
            </w:r>
          </w:p>
        </w:tc>
        <w:tc>
          <w:tcPr>
            <w:tcW w:w="1971" w:type="dxa"/>
            <w:shd w:val="clear" w:color="auto" w:fill="auto"/>
            <w:vAlign w:val="center"/>
          </w:tcPr>
          <w:p w14:paraId="0F1FB950" w14:textId="3CC338C1" w:rsidR="004A5010" w:rsidRPr="00045BB4" w:rsidRDefault="00045BB4"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 xml:space="preserve">*) </w:t>
            </w:r>
            <w:r w:rsidR="004A5010" w:rsidRPr="00045BB4">
              <w:rPr>
                <w:rFonts w:asciiTheme="minorHAnsi" w:hAnsiTheme="minorHAnsi" w:cstheme="minorHAnsi"/>
                <w:sz w:val="20"/>
                <w:szCs w:val="20"/>
                <w:lang w:val="bs-Latn-BA"/>
              </w:rPr>
              <w:t>Kreditna sredstva</w:t>
            </w:r>
          </w:p>
          <w:p w14:paraId="150CDDB2" w14:textId="72433372"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Ostale donacije</w:t>
            </w:r>
          </w:p>
        </w:tc>
      </w:tr>
      <w:tr w:rsidR="004A5010" w:rsidRPr="00045BB4" w14:paraId="3AF2895D" w14:textId="77777777" w:rsidTr="004A5010">
        <w:trPr>
          <w:trHeight w:val="550"/>
        </w:trPr>
        <w:tc>
          <w:tcPr>
            <w:tcW w:w="5611" w:type="dxa"/>
            <w:gridSpan w:val="2"/>
            <w:vAlign w:val="center"/>
          </w:tcPr>
          <w:p w14:paraId="3BA30793" w14:textId="03B7AA46" w:rsidR="004A5010" w:rsidRPr="00045BB4" w:rsidRDefault="004A5010" w:rsidP="004A5010">
            <w:pPr>
              <w:pStyle w:val="TableParagraph"/>
              <w:ind w:left="110"/>
              <w:rPr>
                <w:rFonts w:asciiTheme="minorHAnsi" w:hAnsiTheme="minorHAnsi" w:cstheme="minorHAnsi"/>
                <w:b/>
                <w:sz w:val="20"/>
                <w:szCs w:val="20"/>
                <w:lang w:val="bs-Latn-BA"/>
              </w:rPr>
            </w:pPr>
            <w:r w:rsidRPr="00045BB4">
              <w:rPr>
                <w:rFonts w:asciiTheme="minorHAnsi" w:hAnsiTheme="minorHAnsi" w:cstheme="minorHAnsi"/>
                <w:color w:val="000000"/>
              </w:rPr>
              <w:t>1.2.2.</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Razvijati sisteme daljinskih grijanja (centralizacija i modernizacije sistema grijanja), hlađenja i ventilacije te pripreme PTV uz primjenu OIE</w:t>
            </w:r>
          </w:p>
        </w:tc>
        <w:tc>
          <w:tcPr>
            <w:tcW w:w="1709" w:type="dxa"/>
            <w:gridSpan w:val="2"/>
            <w:vAlign w:val="center"/>
          </w:tcPr>
          <w:p w14:paraId="78667514" w14:textId="4985BA1B" w:rsidR="004A5010" w:rsidRPr="00045BB4" w:rsidRDefault="004A5010" w:rsidP="004A5010">
            <w:pPr>
              <w:pStyle w:val="TableParagraph"/>
              <w:ind w:left="490" w:right="477"/>
              <w:jc w:val="right"/>
              <w:rPr>
                <w:rFonts w:asciiTheme="minorHAnsi" w:hAnsiTheme="minorHAnsi" w:cstheme="minorHAnsi"/>
                <w:lang w:val="bs-Latn-BA"/>
              </w:rPr>
            </w:pPr>
            <w:r w:rsidRPr="00045BB4">
              <w:rPr>
                <w:rFonts w:asciiTheme="minorHAnsi" w:hAnsiTheme="minorHAnsi" w:cstheme="minorHAnsi"/>
              </w:rPr>
              <w:t> </w:t>
            </w:r>
          </w:p>
        </w:tc>
        <w:tc>
          <w:tcPr>
            <w:tcW w:w="1797" w:type="dxa"/>
            <w:vAlign w:val="center"/>
          </w:tcPr>
          <w:p w14:paraId="0DA688F0" w14:textId="2D57A08D" w:rsidR="004A5010" w:rsidRPr="00045BB4" w:rsidRDefault="004A5010" w:rsidP="004A5010">
            <w:pPr>
              <w:pStyle w:val="TableParagraph"/>
              <w:ind w:right="96"/>
              <w:jc w:val="right"/>
              <w:rPr>
                <w:rFonts w:asciiTheme="minorHAnsi" w:hAnsiTheme="minorHAnsi" w:cstheme="minorHAnsi"/>
                <w:lang w:val="bs-Latn-BA"/>
              </w:rPr>
            </w:pPr>
            <w:r w:rsidRPr="00045BB4">
              <w:rPr>
                <w:rFonts w:asciiTheme="minorHAnsi" w:hAnsiTheme="minorHAnsi" w:cstheme="minorHAnsi"/>
              </w:rPr>
              <w:t>4,421</w:t>
            </w:r>
            <w:r w:rsidR="00BB01B4" w:rsidRPr="00045BB4">
              <w:rPr>
                <w:rFonts w:asciiTheme="minorHAnsi" w:hAnsiTheme="minorHAnsi" w:cstheme="minorHAnsi"/>
              </w:rPr>
              <w:t>,</w:t>
            </w:r>
            <w:r w:rsidRPr="00045BB4">
              <w:rPr>
                <w:rFonts w:asciiTheme="minorHAnsi" w:hAnsiTheme="minorHAnsi" w:cstheme="minorHAnsi"/>
              </w:rPr>
              <w:t>50</w:t>
            </w:r>
          </w:p>
        </w:tc>
        <w:tc>
          <w:tcPr>
            <w:tcW w:w="1687" w:type="dxa"/>
            <w:gridSpan w:val="2"/>
            <w:vAlign w:val="center"/>
          </w:tcPr>
          <w:p w14:paraId="48E01EA7" w14:textId="291AEE94" w:rsidR="004A5010" w:rsidRPr="00045BB4" w:rsidRDefault="004A5010" w:rsidP="004A5010">
            <w:pPr>
              <w:pStyle w:val="TableParagraph"/>
              <w:ind w:right="91"/>
              <w:jc w:val="right"/>
              <w:rPr>
                <w:rFonts w:asciiTheme="minorHAnsi" w:hAnsiTheme="minorHAnsi" w:cstheme="minorHAnsi"/>
                <w:lang w:val="bs-Latn-BA"/>
              </w:rPr>
            </w:pPr>
            <w:r w:rsidRPr="00045BB4">
              <w:rPr>
                <w:rFonts w:asciiTheme="minorHAnsi" w:hAnsiTheme="minorHAnsi" w:cstheme="minorHAnsi"/>
              </w:rPr>
              <w:t>530</w:t>
            </w:r>
            <w:r w:rsidR="00BB01B4" w:rsidRPr="00045BB4">
              <w:rPr>
                <w:rFonts w:asciiTheme="minorHAnsi" w:hAnsiTheme="minorHAnsi" w:cstheme="minorHAnsi"/>
              </w:rPr>
              <w:t>,</w:t>
            </w:r>
            <w:r w:rsidRPr="00045BB4">
              <w:rPr>
                <w:rFonts w:asciiTheme="minorHAnsi" w:hAnsiTheme="minorHAnsi" w:cstheme="minorHAnsi"/>
              </w:rPr>
              <w:t>58</w:t>
            </w:r>
          </w:p>
        </w:tc>
        <w:tc>
          <w:tcPr>
            <w:tcW w:w="1440" w:type="dxa"/>
            <w:vAlign w:val="center"/>
          </w:tcPr>
          <w:p w14:paraId="5904C0BC" w14:textId="5FAC240E" w:rsidR="004A5010" w:rsidRPr="00045BB4" w:rsidRDefault="004A5010" w:rsidP="004A5010">
            <w:pPr>
              <w:pStyle w:val="TableParagraph"/>
              <w:ind w:right="91"/>
              <w:jc w:val="right"/>
              <w:rPr>
                <w:rFonts w:asciiTheme="minorHAnsi" w:hAnsiTheme="minorHAnsi" w:cstheme="minorHAnsi"/>
                <w:lang w:val="bs-Latn-BA"/>
              </w:rPr>
            </w:pPr>
            <w:r w:rsidRPr="00045BB4">
              <w:rPr>
                <w:rFonts w:asciiTheme="minorHAnsi" w:hAnsiTheme="minorHAnsi" w:cstheme="minorHAnsi"/>
              </w:rPr>
              <w:t>3,890</w:t>
            </w:r>
            <w:r w:rsidR="00BB01B4" w:rsidRPr="00045BB4">
              <w:rPr>
                <w:rFonts w:asciiTheme="minorHAnsi" w:hAnsiTheme="minorHAnsi" w:cstheme="minorHAnsi"/>
              </w:rPr>
              <w:t>,</w:t>
            </w:r>
            <w:r w:rsidRPr="00045BB4">
              <w:rPr>
                <w:rFonts w:asciiTheme="minorHAnsi" w:hAnsiTheme="minorHAnsi" w:cstheme="minorHAnsi"/>
              </w:rPr>
              <w:t>92</w:t>
            </w:r>
          </w:p>
        </w:tc>
        <w:tc>
          <w:tcPr>
            <w:tcW w:w="1971" w:type="dxa"/>
            <w:vAlign w:val="center"/>
          </w:tcPr>
          <w:p w14:paraId="414A9C93"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Kreditna sredstva</w:t>
            </w:r>
          </w:p>
          <w:p w14:paraId="666582F9"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p w14:paraId="2662E4DC" w14:textId="5F5E86E9" w:rsidR="004A5010" w:rsidRPr="00045BB4" w:rsidRDefault="004A5010" w:rsidP="004A5010">
            <w:pPr>
              <w:pStyle w:val="TableParagraph"/>
              <w:spacing w:before="34"/>
              <w:ind w:right="94"/>
              <w:rPr>
                <w:rFonts w:asciiTheme="minorHAnsi" w:hAnsiTheme="minorHAnsi" w:cstheme="minorHAnsi"/>
                <w:b/>
                <w:sz w:val="20"/>
                <w:szCs w:val="20"/>
                <w:lang w:val="bs-Latn-BA"/>
              </w:rPr>
            </w:pPr>
            <w:r w:rsidRPr="00045BB4">
              <w:rPr>
                <w:rFonts w:asciiTheme="minorHAnsi" w:hAnsiTheme="minorHAnsi" w:cstheme="minorHAnsi"/>
                <w:sz w:val="20"/>
                <w:szCs w:val="20"/>
                <w:lang w:val="bs-Latn-BA"/>
              </w:rPr>
              <w:t>Ostale donacije</w:t>
            </w:r>
          </w:p>
        </w:tc>
      </w:tr>
      <w:tr w:rsidR="004A5010" w:rsidRPr="00045BB4" w14:paraId="7EDF8B82" w14:textId="77777777" w:rsidTr="004A5010">
        <w:trPr>
          <w:trHeight w:val="550"/>
        </w:trPr>
        <w:tc>
          <w:tcPr>
            <w:tcW w:w="5611" w:type="dxa"/>
            <w:gridSpan w:val="2"/>
            <w:vAlign w:val="center"/>
          </w:tcPr>
          <w:p w14:paraId="058C8C88" w14:textId="3AD79DF5" w:rsidR="004A5010" w:rsidRPr="00045BB4" w:rsidRDefault="004A5010" w:rsidP="004A5010">
            <w:pPr>
              <w:pStyle w:val="TableParagraph"/>
              <w:ind w:left="110"/>
              <w:rPr>
                <w:rFonts w:asciiTheme="minorHAnsi" w:hAnsiTheme="minorHAnsi" w:cstheme="minorHAnsi"/>
                <w:b/>
                <w:sz w:val="20"/>
                <w:szCs w:val="20"/>
                <w:lang w:val="bs-Latn-BA"/>
              </w:rPr>
            </w:pPr>
            <w:r w:rsidRPr="00045BB4">
              <w:rPr>
                <w:rFonts w:asciiTheme="minorHAnsi" w:hAnsiTheme="minorHAnsi" w:cstheme="minorHAnsi"/>
                <w:color w:val="000000"/>
              </w:rPr>
              <w:t>1.2.3.</w:t>
            </w:r>
            <w:r w:rsidRPr="00045BB4">
              <w:rPr>
                <w:rFonts w:asciiTheme="minorHAnsi" w:hAnsiTheme="minorHAnsi" w:cstheme="minorHAnsi"/>
                <w:color w:val="000000"/>
                <w:sz w:val="14"/>
                <w:szCs w:val="14"/>
              </w:rPr>
              <w:t xml:space="preserve">       </w:t>
            </w:r>
            <w:r w:rsidRPr="00045BB4">
              <w:rPr>
                <w:rFonts w:asciiTheme="minorHAnsi" w:hAnsiTheme="minorHAnsi" w:cstheme="minorHAnsi"/>
                <w:color w:val="000000"/>
              </w:rPr>
              <w:t>Unaprijediti održivost urbanih područja</w:t>
            </w:r>
          </w:p>
        </w:tc>
        <w:tc>
          <w:tcPr>
            <w:tcW w:w="1709" w:type="dxa"/>
            <w:gridSpan w:val="2"/>
            <w:vAlign w:val="center"/>
          </w:tcPr>
          <w:p w14:paraId="7BF7E56A" w14:textId="17866F44" w:rsidR="004A5010" w:rsidRPr="00045BB4" w:rsidRDefault="004A5010" w:rsidP="004A5010">
            <w:pPr>
              <w:pStyle w:val="TableParagraph"/>
              <w:ind w:left="490" w:right="472"/>
              <w:jc w:val="right"/>
              <w:rPr>
                <w:rFonts w:asciiTheme="minorHAnsi" w:hAnsiTheme="minorHAnsi" w:cstheme="minorHAnsi"/>
                <w:lang w:val="bs-Latn-BA"/>
              </w:rPr>
            </w:pPr>
            <w:r w:rsidRPr="00045BB4">
              <w:rPr>
                <w:rFonts w:asciiTheme="minorHAnsi" w:hAnsiTheme="minorHAnsi" w:cstheme="minorHAnsi"/>
              </w:rPr>
              <w:t> </w:t>
            </w:r>
          </w:p>
        </w:tc>
        <w:tc>
          <w:tcPr>
            <w:tcW w:w="1797" w:type="dxa"/>
            <w:vAlign w:val="center"/>
          </w:tcPr>
          <w:p w14:paraId="7029138F" w14:textId="38CABDD2" w:rsidR="004A5010" w:rsidRPr="00045BB4" w:rsidRDefault="004A5010" w:rsidP="004A5010">
            <w:pPr>
              <w:pStyle w:val="TableParagraph"/>
              <w:ind w:right="96"/>
              <w:jc w:val="right"/>
              <w:rPr>
                <w:rFonts w:asciiTheme="minorHAnsi" w:hAnsiTheme="minorHAnsi" w:cstheme="minorHAnsi"/>
                <w:lang w:val="bs-Latn-BA"/>
              </w:rPr>
            </w:pPr>
            <w:r w:rsidRPr="00045BB4">
              <w:rPr>
                <w:rFonts w:asciiTheme="minorHAnsi" w:hAnsiTheme="minorHAnsi" w:cstheme="minorHAnsi"/>
              </w:rPr>
              <w:t>130</w:t>
            </w:r>
            <w:r w:rsidR="00BB01B4" w:rsidRPr="00045BB4">
              <w:rPr>
                <w:rFonts w:asciiTheme="minorHAnsi" w:hAnsiTheme="minorHAnsi" w:cstheme="minorHAnsi"/>
              </w:rPr>
              <w:t>,</w:t>
            </w:r>
            <w:r w:rsidRPr="00045BB4">
              <w:rPr>
                <w:rFonts w:asciiTheme="minorHAnsi" w:hAnsiTheme="minorHAnsi" w:cstheme="minorHAnsi"/>
              </w:rPr>
              <w:t>00</w:t>
            </w:r>
          </w:p>
        </w:tc>
        <w:tc>
          <w:tcPr>
            <w:tcW w:w="1687" w:type="dxa"/>
            <w:gridSpan w:val="2"/>
            <w:vAlign w:val="center"/>
          </w:tcPr>
          <w:p w14:paraId="72E03F1F" w14:textId="5653EF8E" w:rsidR="004A5010" w:rsidRPr="00045BB4" w:rsidRDefault="004A5010" w:rsidP="004A5010">
            <w:pPr>
              <w:pStyle w:val="TableParagraph"/>
              <w:ind w:right="91"/>
              <w:jc w:val="right"/>
              <w:rPr>
                <w:rFonts w:asciiTheme="minorHAnsi" w:hAnsiTheme="minorHAnsi" w:cstheme="minorHAnsi"/>
                <w:lang w:val="bs-Latn-BA"/>
              </w:rPr>
            </w:pPr>
            <w:r w:rsidRPr="00045BB4">
              <w:rPr>
                <w:rFonts w:asciiTheme="minorHAnsi" w:hAnsiTheme="minorHAnsi" w:cstheme="minorHAnsi"/>
              </w:rPr>
              <w:t>13</w:t>
            </w:r>
            <w:r w:rsidR="00BB01B4" w:rsidRPr="00045BB4">
              <w:rPr>
                <w:rFonts w:asciiTheme="minorHAnsi" w:hAnsiTheme="minorHAnsi" w:cstheme="minorHAnsi"/>
              </w:rPr>
              <w:t>,</w:t>
            </w:r>
            <w:r w:rsidRPr="00045BB4">
              <w:rPr>
                <w:rFonts w:asciiTheme="minorHAnsi" w:hAnsiTheme="minorHAnsi" w:cstheme="minorHAnsi"/>
              </w:rPr>
              <w:t>00</w:t>
            </w:r>
          </w:p>
        </w:tc>
        <w:tc>
          <w:tcPr>
            <w:tcW w:w="1440" w:type="dxa"/>
            <w:vAlign w:val="center"/>
          </w:tcPr>
          <w:p w14:paraId="1FE270F0" w14:textId="1A1E701D" w:rsidR="004A5010" w:rsidRPr="00045BB4" w:rsidRDefault="004A5010" w:rsidP="004A5010">
            <w:pPr>
              <w:pStyle w:val="TableParagraph"/>
              <w:ind w:right="91"/>
              <w:jc w:val="right"/>
              <w:rPr>
                <w:rFonts w:asciiTheme="minorHAnsi" w:hAnsiTheme="minorHAnsi" w:cstheme="minorHAnsi"/>
                <w:lang w:val="bs-Latn-BA"/>
              </w:rPr>
            </w:pPr>
            <w:r w:rsidRPr="00045BB4">
              <w:rPr>
                <w:rFonts w:asciiTheme="minorHAnsi" w:hAnsiTheme="minorHAnsi" w:cstheme="minorHAnsi"/>
              </w:rPr>
              <w:t>117</w:t>
            </w:r>
            <w:r w:rsidR="00BB01B4" w:rsidRPr="00045BB4">
              <w:rPr>
                <w:rFonts w:asciiTheme="minorHAnsi" w:hAnsiTheme="minorHAnsi" w:cstheme="minorHAnsi"/>
              </w:rPr>
              <w:t>,</w:t>
            </w:r>
            <w:r w:rsidRPr="00045BB4">
              <w:rPr>
                <w:rFonts w:asciiTheme="minorHAnsi" w:hAnsiTheme="minorHAnsi" w:cstheme="minorHAnsi"/>
              </w:rPr>
              <w:t>00</w:t>
            </w:r>
          </w:p>
        </w:tc>
        <w:tc>
          <w:tcPr>
            <w:tcW w:w="1971" w:type="dxa"/>
            <w:vAlign w:val="center"/>
          </w:tcPr>
          <w:p w14:paraId="46695E7E"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Kreditna sredstva</w:t>
            </w:r>
          </w:p>
          <w:p w14:paraId="535AE44F" w14:textId="77777777" w:rsidR="004A5010" w:rsidRPr="00045BB4" w:rsidRDefault="004A5010" w:rsidP="004A5010">
            <w:pPr>
              <w:pStyle w:val="TableParagraph"/>
              <w:rPr>
                <w:rFonts w:asciiTheme="minorHAnsi" w:hAnsiTheme="minorHAnsi" w:cstheme="minorHAnsi"/>
                <w:sz w:val="20"/>
                <w:szCs w:val="20"/>
                <w:lang w:val="bs-Latn-BA"/>
              </w:rPr>
            </w:pPr>
            <w:r w:rsidRPr="00045BB4">
              <w:rPr>
                <w:rFonts w:asciiTheme="minorHAnsi" w:hAnsiTheme="minorHAnsi" w:cstheme="minorHAnsi"/>
                <w:sz w:val="20"/>
                <w:szCs w:val="20"/>
                <w:lang w:val="bs-Latn-BA"/>
              </w:rPr>
              <w:t>Sredstva EU donatora</w:t>
            </w:r>
          </w:p>
          <w:p w14:paraId="4D137796" w14:textId="60F5910D" w:rsidR="004A5010" w:rsidRPr="00045BB4" w:rsidRDefault="004A5010" w:rsidP="004A5010">
            <w:pPr>
              <w:pStyle w:val="TableParagraph"/>
              <w:spacing w:before="34"/>
              <w:ind w:right="94"/>
              <w:rPr>
                <w:rFonts w:asciiTheme="minorHAnsi" w:hAnsiTheme="minorHAnsi" w:cstheme="minorHAnsi"/>
                <w:b/>
                <w:sz w:val="20"/>
                <w:szCs w:val="20"/>
                <w:lang w:val="bs-Latn-BA"/>
              </w:rPr>
            </w:pPr>
            <w:r w:rsidRPr="00045BB4">
              <w:rPr>
                <w:rFonts w:asciiTheme="minorHAnsi" w:hAnsiTheme="minorHAnsi" w:cstheme="minorHAnsi"/>
                <w:sz w:val="20"/>
                <w:szCs w:val="20"/>
                <w:lang w:val="bs-Latn-BA"/>
              </w:rPr>
              <w:t>Ostale donacije</w:t>
            </w:r>
          </w:p>
        </w:tc>
      </w:tr>
      <w:tr w:rsidR="004A5010" w:rsidRPr="00045BB4" w14:paraId="7004BDDA" w14:textId="77777777" w:rsidTr="004A5010">
        <w:trPr>
          <w:trHeight w:val="269"/>
        </w:trPr>
        <w:tc>
          <w:tcPr>
            <w:tcW w:w="5611" w:type="dxa"/>
            <w:gridSpan w:val="2"/>
            <w:shd w:val="clear" w:color="auto" w:fill="D9D9D9" w:themeFill="background1" w:themeFillShade="D9"/>
          </w:tcPr>
          <w:p w14:paraId="2A89D20C" w14:textId="77777777" w:rsidR="004A5010" w:rsidRPr="00045BB4" w:rsidRDefault="004A5010" w:rsidP="004A5010">
            <w:pPr>
              <w:pStyle w:val="TableParagraph"/>
              <w:ind w:left="110"/>
              <w:jc w:val="right"/>
              <w:rPr>
                <w:rFonts w:asciiTheme="minorHAnsi" w:hAnsiTheme="minorHAnsi" w:cstheme="minorHAnsi"/>
                <w:b/>
                <w:bCs/>
                <w:sz w:val="20"/>
                <w:szCs w:val="20"/>
                <w:lang w:val="bs-Latn-BA"/>
              </w:rPr>
            </w:pPr>
            <w:r w:rsidRPr="00045BB4">
              <w:rPr>
                <w:rFonts w:asciiTheme="minorHAnsi" w:hAnsiTheme="minorHAnsi" w:cstheme="minorHAnsi"/>
                <w:b/>
                <w:bCs/>
                <w:sz w:val="20"/>
                <w:szCs w:val="20"/>
                <w:lang w:val="bs-Latn-BA"/>
              </w:rPr>
              <w:t>Ukupno:</w:t>
            </w:r>
          </w:p>
        </w:tc>
        <w:tc>
          <w:tcPr>
            <w:tcW w:w="1709" w:type="dxa"/>
            <w:gridSpan w:val="2"/>
            <w:shd w:val="clear" w:color="auto" w:fill="D9D9D9" w:themeFill="background1" w:themeFillShade="D9"/>
            <w:vAlign w:val="center"/>
          </w:tcPr>
          <w:p w14:paraId="044BED35" w14:textId="0514F450" w:rsidR="004A5010" w:rsidRPr="00045BB4" w:rsidRDefault="004A5010" w:rsidP="004A5010">
            <w:pPr>
              <w:pStyle w:val="TableParagraph"/>
              <w:ind w:left="110"/>
              <w:jc w:val="right"/>
              <w:rPr>
                <w:rFonts w:asciiTheme="minorHAnsi" w:hAnsiTheme="minorHAnsi" w:cstheme="minorHAnsi"/>
                <w:b/>
                <w:bCs/>
                <w:lang w:val="bs-Latn-BA"/>
              </w:rPr>
            </w:pPr>
            <w:r w:rsidRPr="00045BB4">
              <w:rPr>
                <w:rFonts w:asciiTheme="minorHAnsi" w:hAnsiTheme="minorHAnsi" w:cstheme="minorHAnsi"/>
                <w:b/>
                <w:bCs/>
              </w:rPr>
              <w:t>100</w:t>
            </w:r>
            <w:r w:rsidR="00BB01B4" w:rsidRPr="00045BB4">
              <w:rPr>
                <w:rFonts w:asciiTheme="minorHAnsi" w:hAnsiTheme="minorHAnsi" w:cstheme="minorHAnsi"/>
                <w:b/>
                <w:bCs/>
              </w:rPr>
              <w:t>,</w:t>
            </w:r>
            <w:r w:rsidRPr="00045BB4">
              <w:rPr>
                <w:rFonts w:asciiTheme="minorHAnsi" w:hAnsiTheme="minorHAnsi" w:cstheme="minorHAnsi"/>
                <w:b/>
                <w:bCs/>
              </w:rPr>
              <w:t>00%</w:t>
            </w:r>
          </w:p>
        </w:tc>
        <w:tc>
          <w:tcPr>
            <w:tcW w:w="1797" w:type="dxa"/>
            <w:shd w:val="clear" w:color="auto" w:fill="D9D9D9" w:themeFill="background1" w:themeFillShade="D9"/>
            <w:vAlign w:val="center"/>
          </w:tcPr>
          <w:p w14:paraId="6FD7AB5F" w14:textId="64D79971" w:rsidR="004A5010" w:rsidRPr="00045BB4" w:rsidRDefault="004A5010" w:rsidP="004A5010">
            <w:pPr>
              <w:pStyle w:val="TableParagraph"/>
              <w:ind w:left="110" w:right="96"/>
              <w:jc w:val="right"/>
              <w:rPr>
                <w:rFonts w:asciiTheme="minorHAnsi" w:hAnsiTheme="minorHAnsi" w:cstheme="minorHAnsi"/>
                <w:b/>
                <w:bCs/>
              </w:rPr>
            </w:pPr>
            <w:r w:rsidRPr="00045BB4">
              <w:rPr>
                <w:rFonts w:asciiTheme="minorHAnsi" w:hAnsiTheme="minorHAnsi" w:cstheme="minorHAnsi"/>
                <w:b/>
                <w:bCs/>
              </w:rPr>
              <w:t>21</w:t>
            </w:r>
            <w:r w:rsidR="00BB01B4" w:rsidRPr="00045BB4">
              <w:rPr>
                <w:rFonts w:asciiTheme="minorHAnsi" w:hAnsiTheme="minorHAnsi" w:cstheme="minorHAnsi"/>
                <w:b/>
                <w:bCs/>
              </w:rPr>
              <w:t>.</w:t>
            </w:r>
            <w:r w:rsidRPr="00045BB4">
              <w:rPr>
                <w:rFonts w:asciiTheme="minorHAnsi" w:hAnsiTheme="minorHAnsi" w:cstheme="minorHAnsi"/>
                <w:b/>
                <w:bCs/>
              </w:rPr>
              <w:t>313</w:t>
            </w:r>
            <w:r w:rsidR="00BB01B4" w:rsidRPr="00045BB4">
              <w:rPr>
                <w:rFonts w:asciiTheme="minorHAnsi" w:hAnsiTheme="minorHAnsi" w:cstheme="minorHAnsi"/>
                <w:b/>
                <w:bCs/>
              </w:rPr>
              <w:t>,</w:t>
            </w:r>
            <w:r w:rsidRPr="00045BB4">
              <w:rPr>
                <w:rFonts w:asciiTheme="minorHAnsi" w:hAnsiTheme="minorHAnsi" w:cstheme="minorHAnsi"/>
                <w:b/>
                <w:bCs/>
              </w:rPr>
              <w:t>54</w:t>
            </w:r>
          </w:p>
        </w:tc>
        <w:tc>
          <w:tcPr>
            <w:tcW w:w="1687" w:type="dxa"/>
            <w:gridSpan w:val="2"/>
            <w:shd w:val="clear" w:color="auto" w:fill="D9D9D9" w:themeFill="background1" w:themeFillShade="D9"/>
            <w:vAlign w:val="center"/>
          </w:tcPr>
          <w:p w14:paraId="3FD6404A" w14:textId="65481352" w:rsidR="004A5010" w:rsidRPr="00045BB4" w:rsidRDefault="004A5010" w:rsidP="004A5010">
            <w:pPr>
              <w:pStyle w:val="TableParagraph"/>
              <w:ind w:left="110" w:right="91"/>
              <w:jc w:val="right"/>
              <w:rPr>
                <w:rFonts w:asciiTheme="minorHAnsi" w:hAnsiTheme="minorHAnsi" w:cstheme="minorHAnsi"/>
                <w:b/>
                <w:bCs/>
              </w:rPr>
            </w:pPr>
            <w:r w:rsidRPr="00045BB4">
              <w:rPr>
                <w:rFonts w:asciiTheme="minorHAnsi" w:hAnsiTheme="minorHAnsi" w:cstheme="minorHAnsi"/>
                <w:b/>
                <w:bCs/>
              </w:rPr>
              <w:t>3</w:t>
            </w:r>
            <w:r w:rsidR="00BB01B4" w:rsidRPr="00045BB4">
              <w:rPr>
                <w:rFonts w:asciiTheme="minorHAnsi" w:hAnsiTheme="minorHAnsi" w:cstheme="minorHAnsi"/>
                <w:b/>
                <w:bCs/>
              </w:rPr>
              <w:t>.</w:t>
            </w:r>
            <w:r w:rsidRPr="00045BB4">
              <w:rPr>
                <w:rFonts w:asciiTheme="minorHAnsi" w:hAnsiTheme="minorHAnsi" w:cstheme="minorHAnsi"/>
                <w:b/>
                <w:bCs/>
              </w:rPr>
              <w:t>564</w:t>
            </w:r>
            <w:r w:rsidR="00BB01B4" w:rsidRPr="00045BB4">
              <w:rPr>
                <w:rFonts w:asciiTheme="minorHAnsi" w:hAnsiTheme="minorHAnsi" w:cstheme="minorHAnsi"/>
                <w:b/>
                <w:bCs/>
              </w:rPr>
              <w:t>,</w:t>
            </w:r>
            <w:r w:rsidRPr="00045BB4">
              <w:rPr>
                <w:rFonts w:asciiTheme="minorHAnsi" w:hAnsiTheme="minorHAnsi" w:cstheme="minorHAnsi"/>
                <w:b/>
                <w:bCs/>
              </w:rPr>
              <w:t>41</w:t>
            </w:r>
          </w:p>
        </w:tc>
        <w:tc>
          <w:tcPr>
            <w:tcW w:w="1440" w:type="dxa"/>
            <w:shd w:val="clear" w:color="auto" w:fill="D9D9D9" w:themeFill="background1" w:themeFillShade="D9"/>
            <w:vAlign w:val="center"/>
          </w:tcPr>
          <w:p w14:paraId="196D3C90" w14:textId="18DCBFBB" w:rsidR="004A5010" w:rsidRPr="00045BB4" w:rsidRDefault="004A5010" w:rsidP="004A5010">
            <w:pPr>
              <w:spacing w:after="0" w:line="240" w:lineRule="auto"/>
              <w:jc w:val="right"/>
              <w:rPr>
                <w:rFonts w:asciiTheme="minorHAnsi" w:hAnsiTheme="minorHAnsi" w:cstheme="minorHAnsi"/>
                <w:b/>
                <w:bCs/>
                <w:lang w:val="hr-HR"/>
              </w:rPr>
            </w:pPr>
            <w:r w:rsidRPr="00045BB4">
              <w:rPr>
                <w:rFonts w:asciiTheme="minorHAnsi" w:hAnsiTheme="minorHAnsi" w:cstheme="minorHAnsi"/>
                <w:b/>
                <w:bCs/>
              </w:rPr>
              <w:t>17</w:t>
            </w:r>
            <w:r w:rsidR="00BB01B4" w:rsidRPr="00045BB4">
              <w:rPr>
                <w:rFonts w:asciiTheme="minorHAnsi" w:hAnsiTheme="minorHAnsi" w:cstheme="minorHAnsi"/>
                <w:b/>
                <w:bCs/>
              </w:rPr>
              <w:t>.</w:t>
            </w:r>
            <w:r w:rsidRPr="00045BB4">
              <w:rPr>
                <w:rFonts w:asciiTheme="minorHAnsi" w:hAnsiTheme="minorHAnsi" w:cstheme="minorHAnsi"/>
                <w:b/>
                <w:bCs/>
              </w:rPr>
              <w:t>749</w:t>
            </w:r>
            <w:r w:rsidR="00BB01B4" w:rsidRPr="00045BB4">
              <w:rPr>
                <w:rFonts w:asciiTheme="minorHAnsi" w:hAnsiTheme="minorHAnsi" w:cstheme="minorHAnsi"/>
                <w:b/>
                <w:bCs/>
              </w:rPr>
              <w:t>,</w:t>
            </w:r>
            <w:r w:rsidRPr="00045BB4">
              <w:rPr>
                <w:rFonts w:asciiTheme="minorHAnsi" w:hAnsiTheme="minorHAnsi" w:cstheme="minorHAnsi"/>
                <w:b/>
                <w:bCs/>
              </w:rPr>
              <w:t>13</w:t>
            </w:r>
          </w:p>
        </w:tc>
        <w:tc>
          <w:tcPr>
            <w:tcW w:w="1971" w:type="dxa"/>
            <w:shd w:val="clear" w:color="auto" w:fill="D9D9D9" w:themeFill="background1" w:themeFillShade="D9"/>
            <w:vAlign w:val="center"/>
          </w:tcPr>
          <w:p w14:paraId="0EB92673" w14:textId="77777777" w:rsidR="004A5010" w:rsidRPr="00045BB4" w:rsidRDefault="004A5010" w:rsidP="004A5010">
            <w:pPr>
              <w:pStyle w:val="TableParagraph"/>
              <w:ind w:left="110" w:right="92"/>
              <w:rPr>
                <w:rFonts w:asciiTheme="minorHAnsi" w:hAnsiTheme="minorHAnsi" w:cstheme="minorHAnsi"/>
                <w:b/>
                <w:bCs/>
                <w:sz w:val="20"/>
                <w:szCs w:val="20"/>
                <w:lang w:val="bs-Latn-BA"/>
              </w:rPr>
            </w:pPr>
          </w:p>
        </w:tc>
      </w:tr>
      <w:tr w:rsidR="00E606B9" w:rsidRPr="00045BB4" w14:paraId="33F8712F" w14:textId="77777777" w:rsidTr="004D2CBA">
        <w:trPr>
          <w:trHeight w:val="629"/>
        </w:trPr>
        <w:tc>
          <w:tcPr>
            <w:tcW w:w="14215" w:type="dxa"/>
            <w:gridSpan w:val="9"/>
            <w:shd w:val="clear" w:color="auto" w:fill="auto"/>
            <w:vAlign w:val="center"/>
          </w:tcPr>
          <w:p w14:paraId="00F43741" w14:textId="77777777" w:rsidR="00E606B9" w:rsidRPr="00045BB4" w:rsidRDefault="00E606B9" w:rsidP="000B085B">
            <w:pPr>
              <w:pStyle w:val="TableParagraph"/>
              <w:ind w:left="110" w:right="92"/>
              <w:jc w:val="center"/>
              <w:rPr>
                <w:rFonts w:asciiTheme="minorHAnsi" w:hAnsiTheme="minorHAnsi" w:cstheme="minorHAnsi"/>
                <w:b/>
                <w:bCs/>
                <w:sz w:val="20"/>
                <w:szCs w:val="20"/>
                <w:lang w:val="bs-Latn-BA"/>
              </w:rPr>
            </w:pPr>
            <w:r w:rsidRPr="00045BB4">
              <w:rPr>
                <w:rFonts w:asciiTheme="minorHAnsi" w:hAnsiTheme="minorHAnsi" w:cstheme="minorHAnsi"/>
                <w:b/>
                <w:bCs/>
                <w:lang w:val="bs-Latn-BA"/>
              </w:rPr>
              <w:t>PREGLED PO IZVORIMA</w:t>
            </w:r>
          </w:p>
        </w:tc>
      </w:tr>
      <w:tr w:rsidR="00E606B9" w:rsidRPr="00045BB4" w14:paraId="64E9FC14" w14:textId="77777777" w:rsidTr="004A5010">
        <w:trPr>
          <w:trHeight w:val="152"/>
        </w:trPr>
        <w:tc>
          <w:tcPr>
            <w:tcW w:w="3442" w:type="dxa"/>
            <w:shd w:val="clear" w:color="auto" w:fill="D9D9D9" w:themeFill="background1" w:themeFillShade="D9"/>
            <w:vAlign w:val="center"/>
          </w:tcPr>
          <w:p w14:paraId="5D1AF73C" w14:textId="77777777" w:rsidR="00E606B9" w:rsidRPr="00045BB4" w:rsidRDefault="00E606B9" w:rsidP="004D2CBA">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lang w:val="bs-Latn-BA"/>
              </w:rPr>
              <w:t>Budžetska sredstva</w:t>
            </w:r>
          </w:p>
        </w:tc>
        <w:tc>
          <w:tcPr>
            <w:tcW w:w="2922" w:type="dxa"/>
            <w:gridSpan w:val="2"/>
            <w:shd w:val="clear" w:color="auto" w:fill="D9D9D9" w:themeFill="background1" w:themeFillShade="D9"/>
            <w:vAlign w:val="center"/>
          </w:tcPr>
          <w:p w14:paraId="6E8B91FF" w14:textId="4F836F64" w:rsidR="00E606B9" w:rsidRPr="00045BB4" w:rsidRDefault="00E606B9" w:rsidP="004D2CBA">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lang w:val="bs-Latn-BA"/>
              </w:rPr>
              <w:t>Kreditna sredstva</w:t>
            </w:r>
          </w:p>
        </w:tc>
        <w:tc>
          <w:tcPr>
            <w:tcW w:w="3925" w:type="dxa"/>
            <w:gridSpan w:val="3"/>
            <w:shd w:val="clear" w:color="auto" w:fill="D9D9D9" w:themeFill="background1" w:themeFillShade="D9"/>
            <w:vAlign w:val="center"/>
          </w:tcPr>
          <w:p w14:paraId="7B6CDA05" w14:textId="77777777" w:rsidR="00E606B9" w:rsidRPr="00045BB4" w:rsidRDefault="00E606B9" w:rsidP="004D2CBA">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lang w:val="bs-Latn-BA"/>
              </w:rPr>
              <w:t>Sredstva EU</w:t>
            </w:r>
          </w:p>
        </w:tc>
        <w:tc>
          <w:tcPr>
            <w:tcW w:w="3926" w:type="dxa"/>
            <w:gridSpan w:val="3"/>
            <w:shd w:val="clear" w:color="auto" w:fill="D9D9D9" w:themeFill="background1" w:themeFillShade="D9"/>
            <w:vAlign w:val="center"/>
          </w:tcPr>
          <w:p w14:paraId="19F4F1B9" w14:textId="77777777" w:rsidR="00E606B9" w:rsidRPr="00045BB4" w:rsidRDefault="00E606B9" w:rsidP="004D2CBA">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lang w:val="bs-Latn-BA"/>
              </w:rPr>
              <w:t>Ostale donacije</w:t>
            </w:r>
          </w:p>
        </w:tc>
      </w:tr>
      <w:tr w:rsidR="004A5010" w:rsidRPr="00045BB4" w14:paraId="3C5566EA" w14:textId="77777777" w:rsidTr="004A5010">
        <w:trPr>
          <w:trHeight w:val="350"/>
        </w:trPr>
        <w:tc>
          <w:tcPr>
            <w:tcW w:w="3442" w:type="dxa"/>
            <w:shd w:val="clear" w:color="auto" w:fill="auto"/>
            <w:vAlign w:val="center"/>
          </w:tcPr>
          <w:p w14:paraId="7F787C1B" w14:textId="1BC196A3"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3</w:t>
            </w:r>
            <w:r w:rsidR="00BB01B4" w:rsidRPr="00045BB4">
              <w:rPr>
                <w:rFonts w:asciiTheme="minorHAnsi" w:hAnsiTheme="minorHAnsi" w:cstheme="minorHAnsi"/>
                <w:b/>
                <w:bCs/>
              </w:rPr>
              <w:t>.</w:t>
            </w:r>
            <w:r w:rsidRPr="00045BB4">
              <w:rPr>
                <w:rFonts w:asciiTheme="minorHAnsi" w:hAnsiTheme="minorHAnsi" w:cstheme="minorHAnsi"/>
                <w:b/>
                <w:bCs/>
              </w:rPr>
              <w:t>564</w:t>
            </w:r>
            <w:r w:rsidR="00BB01B4" w:rsidRPr="00045BB4">
              <w:rPr>
                <w:rFonts w:asciiTheme="minorHAnsi" w:hAnsiTheme="minorHAnsi" w:cstheme="minorHAnsi"/>
                <w:b/>
                <w:bCs/>
              </w:rPr>
              <w:t>,</w:t>
            </w:r>
            <w:r w:rsidRPr="00045BB4">
              <w:rPr>
                <w:rFonts w:asciiTheme="minorHAnsi" w:hAnsiTheme="minorHAnsi" w:cstheme="minorHAnsi"/>
                <w:b/>
                <w:bCs/>
              </w:rPr>
              <w:t>41</w:t>
            </w:r>
          </w:p>
        </w:tc>
        <w:tc>
          <w:tcPr>
            <w:tcW w:w="2922" w:type="dxa"/>
            <w:gridSpan w:val="2"/>
            <w:shd w:val="clear" w:color="auto" w:fill="auto"/>
            <w:vAlign w:val="center"/>
          </w:tcPr>
          <w:p w14:paraId="4C3E06C7" w14:textId="1CCA2AD6"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12</w:t>
            </w:r>
            <w:r w:rsidR="00BB01B4" w:rsidRPr="00045BB4">
              <w:rPr>
                <w:rFonts w:asciiTheme="minorHAnsi" w:hAnsiTheme="minorHAnsi" w:cstheme="minorHAnsi"/>
                <w:b/>
                <w:bCs/>
              </w:rPr>
              <w:t>.</w:t>
            </w:r>
            <w:r w:rsidRPr="00045BB4">
              <w:rPr>
                <w:rFonts w:asciiTheme="minorHAnsi" w:hAnsiTheme="minorHAnsi" w:cstheme="minorHAnsi"/>
                <w:b/>
                <w:bCs/>
              </w:rPr>
              <w:t>241</w:t>
            </w:r>
            <w:r w:rsidR="00BB01B4" w:rsidRPr="00045BB4">
              <w:rPr>
                <w:rFonts w:asciiTheme="minorHAnsi" w:hAnsiTheme="minorHAnsi" w:cstheme="minorHAnsi"/>
                <w:b/>
                <w:bCs/>
              </w:rPr>
              <w:t>,</w:t>
            </w:r>
            <w:r w:rsidRPr="00045BB4">
              <w:rPr>
                <w:rFonts w:asciiTheme="minorHAnsi" w:hAnsiTheme="minorHAnsi" w:cstheme="minorHAnsi"/>
                <w:b/>
                <w:bCs/>
              </w:rPr>
              <w:t>65</w:t>
            </w:r>
          </w:p>
        </w:tc>
        <w:tc>
          <w:tcPr>
            <w:tcW w:w="3925" w:type="dxa"/>
            <w:gridSpan w:val="3"/>
            <w:shd w:val="clear" w:color="auto" w:fill="auto"/>
            <w:vAlign w:val="center"/>
          </w:tcPr>
          <w:p w14:paraId="0296DA96" w14:textId="51DDBACF"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3</w:t>
            </w:r>
            <w:r w:rsidR="00BB01B4" w:rsidRPr="00045BB4">
              <w:rPr>
                <w:rFonts w:asciiTheme="minorHAnsi" w:hAnsiTheme="minorHAnsi" w:cstheme="minorHAnsi"/>
                <w:b/>
                <w:bCs/>
              </w:rPr>
              <w:t>.</w:t>
            </w:r>
            <w:r w:rsidRPr="00045BB4">
              <w:rPr>
                <w:rFonts w:asciiTheme="minorHAnsi" w:hAnsiTheme="minorHAnsi" w:cstheme="minorHAnsi"/>
                <w:b/>
                <w:bCs/>
              </w:rPr>
              <w:t>896</w:t>
            </w:r>
            <w:r w:rsidR="00BB01B4" w:rsidRPr="00045BB4">
              <w:rPr>
                <w:rFonts w:asciiTheme="minorHAnsi" w:hAnsiTheme="minorHAnsi" w:cstheme="minorHAnsi"/>
                <w:b/>
                <w:bCs/>
              </w:rPr>
              <w:t>,</w:t>
            </w:r>
            <w:r w:rsidRPr="00045BB4">
              <w:rPr>
                <w:rFonts w:asciiTheme="minorHAnsi" w:hAnsiTheme="minorHAnsi" w:cstheme="minorHAnsi"/>
                <w:b/>
                <w:bCs/>
              </w:rPr>
              <w:t>96</w:t>
            </w:r>
          </w:p>
        </w:tc>
        <w:tc>
          <w:tcPr>
            <w:tcW w:w="3926" w:type="dxa"/>
            <w:gridSpan w:val="3"/>
            <w:shd w:val="clear" w:color="auto" w:fill="auto"/>
            <w:vAlign w:val="center"/>
          </w:tcPr>
          <w:p w14:paraId="704C5B3F" w14:textId="3B8A296D"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1</w:t>
            </w:r>
            <w:r w:rsidR="00BB01B4" w:rsidRPr="00045BB4">
              <w:rPr>
                <w:rFonts w:asciiTheme="minorHAnsi" w:hAnsiTheme="minorHAnsi" w:cstheme="minorHAnsi"/>
                <w:b/>
                <w:bCs/>
              </w:rPr>
              <w:t>.</w:t>
            </w:r>
            <w:r w:rsidRPr="00045BB4">
              <w:rPr>
                <w:rFonts w:asciiTheme="minorHAnsi" w:hAnsiTheme="minorHAnsi" w:cstheme="minorHAnsi"/>
                <w:b/>
                <w:bCs/>
              </w:rPr>
              <w:t>610</w:t>
            </w:r>
            <w:r w:rsidR="00BB01B4" w:rsidRPr="00045BB4">
              <w:rPr>
                <w:rFonts w:asciiTheme="minorHAnsi" w:hAnsiTheme="minorHAnsi" w:cstheme="minorHAnsi"/>
                <w:b/>
                <w:bCs/>
              </w:rPr>
              <w:t>,</w:t>
            </w:r>
            <w:r w:rsidRPr="00045BB4">
              <w:rPr>
                <w:rFonts w:asciiTheme="minorHAnsi" w:hAnsiTheme="minorHAnsi" w:cstheme="minorHAnsi"/>
                <w:b/>
                <w:bCs/>
              </w:rPr>
              <w:t>52</w:t>
            </w:r>
          </w:p>
        </w:tc>
      </w:tr>
      <w:tr w:rsidR="004A5010" w:rsidRPr="00045BB4" w14:paraId="55E0E404" w14:textId="77777777" w:rsidTr="004A5010">
        <w:trPr>
          <w:trHeight w:val="359"/>
        </w:trPr>
        <w:tc>
          <w:tcPr>
            <w:tcW w:w="3442" w:type="dxa"/>
            <w:shd w:val="clear" w:color="auto" w:fill="auto"/>
            <w:vAlign w:val="center"/>
          </w:tcPr>
          <w:p w14:paraId="335A067C" w14:textId="490FEFC0"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16</w:t>
            </w:r>
            <w:r w:rsidR="00BB01B4" w:rsidRPr="00045BB4">
              <w:rPr>
                <w:rFonts w:asciiTheme="minorHAnsi" w:hAnsiTheme="minorHAnsi" w:cstheme="minorHAnsi"/>
                <w:b/>
                <w:bCs/>
              </w:rPr>
              <w:t>,</w:t>
            </w:r>
            <w:r w:rsidRPr="00045BB4">
              <w:rPr>
                <w:rFonts w:asciiTheme="minorHAnsi" w:hAnsiTheme="minorHAnsi" w:cstheme="minorHAnsi"/>
                <w:b/>
                <w:bCs/>
              </w:rPr>
              <w:t>72%</w:t>
            </w:r>
          </w:p>
        </w:tc>
        <w:tc>
          <w:tcPr>
            <w:tcW w:w="2922" w:type="dxa"/>
            <w:gridSpan w:val="2"/>
            <w:shd w:val="clear" w:color="auto" w:fill="auto"/>
            <w:vAlign w:val="center"/>
          </w:tcPr>
          <w:p w14:paraId="1FB796F8" w14:textId="16CC73CF"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57</w:t>
            </w:r>
            <w:r w:rsidR="00BB01B4" w:rsidRPr="00045BB4">
              <w:rPr>
                <w:rFonts w:asciiTheme="minorHAnsi" w:hAnsiTheme="minorHAnsi" w:cstheme="minorHAnsi"/>
                <w:b/>
                <w:bCs/>
              </w:rPr>
              <w:t>,</w:t>
            </w:r>
            <w:r w:rsidRPr="00045BB4">
              <w:rPr>
                <w:rFonts w:asciiTheme="minorHAnsi" w:hAnsiTheme="minorHAnsi" w:cstheme="minorHAnsi"/>
                <w:b/>
                <w:bCs/>
              </w:rPr>
              <w:t>44%</w:t>
            </w:r>
          </w:p>
        </w:tc>
        <w:tc>
          <w:tcPr>
            <w:tcW w:w="3925" w:type="dxa"/>
            <w:gridSpan w:val="3"/>
            <w:shd w:val="clear" w:color="auto" w:fill="auto"/>
            <w:vAlign w:val="center"/>
          </w:tcPr>
          <w:p w14:paraId="61276C5A" w14:textId="1DA30C0E"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18</w:t>
            </w:r>
            <w:r w:rsidR="00BB01B4" w:rsidRPr="00045BB4">
              <w:rPr>
                <w:rFonts w:asciiTheme="minorHAnsi" w:hAnsiTheme="minorHAnsi" w:cstheme="minorHAnsi"/>
                <w:b/>
                <w:bCs/>
              </w:rPr>
              <w:t>,</w:t>
            </w:r>
            <w:r w:rsidRPr="00045BB4">
              <w:rPr>
                <w:rFonts w:asciiTheme="minorHAnsi" w:hAnsiTheme="minorHAnsi" w:cstheme="minorHAnsi"/>
                <w:b/>
                <w:bCs/>
              </w:rPr>
              <w:t>28%</w:t>
            </w:r>
          </w:p>
        </w:tc>
        <w:tc>
          <w:tcPr>
            <w:tcW w:w="3926" w:type="dxa"/>
            <w:gridSpan w:val="3"/>
            <w:shd w:val="clear" w:color="auto" w:fill="auto"/>
            <w:vAlign w:val="center"/>
          </w:tcPr>
          <w:p w14:paraId="4074A4BE" w14:textId="3B90E3A4" w:rsidR="004A5010" w:rsidRPr="00045BB4" w:rsidRDefault="004A5010" w:rsidP="004A5010">
            <w:pPr>
              <w:pStyle w:val="TableParagraph"/>
              <w:ind w:left="110" w:right="92"/>
              <w:jc w:val="right"/>
              <w:rPr>
                <w:rFonts w:asciiTheme="minorHAnsi" w:hAnsiTheme="minorHAnsi" w:cstheme="minorHAnsi"/>
                <w:b/>
                <w:bCs/>
                <w:sz w:val="20"/>
                <w:szCs w:val="20"/>
                <w:lang w:val="bs-Latn-BA"/>
              </w:rPr>
            </w:pPr>
            <w:r w:rsidRPr="00045BB4">
              <w:rPr>
                <w:rFonts w:asciiTheme="minorHAnsi" w:hAnsiTheme="minorHAnsi" w:cstheme="minorHAnsi"/>
                <w:b/>
                <w:bCs/>
              </w:rPr>
              <w:t>7</w:t>
            </w:r>
            <w:r w:rsidR="00BB01B4" w:rsidRPr="00045BB4">
              <w:rPr>
                <w:rFonts w:asciiTheme="minorHAnsi" w:hAnsiTheme="minorHAnsi" w:cstheme="minorHAnsi"/>
                <w:b/>
                <w:bCs/>
              </w:rPr>
              <w:t>,</w:t>
            </w:r>
            <w:r w:rsidRPr="00045BB4">
              <w:rPr>
                <w:rFonts w:asciiTheme="minorHAnsi" w:hAnsiTheme="minorHAnsi" w:cstheme="minorHAnsi"/>
                <w:b/>
                <w:bCs/>
              </w:rPr>
              <w:t>56%</w:t>
            </w:r>
          </w:p>
        </w:tc>
      </w:tr>
    </w:tbl>
    <w:p w14:paraId="4AE27DAF" w14:textId="58D9A2C9" w:rsidR="000168C9" w:rsidRPr="000B6945" w:rsidRDefault="000168C9" w:rsidP="000168C9">
      <w:pPr>
        <w:pStyle w:val="TableParagraph"/>
        <w:ind w:left="110"/>
        <w:rPr>
          <w:rFonts w:asciiTheme="minorHAnsi" w:hAnsiTheme="minorHAnsi" w:cstheme="minorHAnsi"/>
          <w:i/>
          <w:iCs/>
          <w:sz w:val="20"/>
          <w:szCs w:val="20"/>
          <w:lang w:val="bs-Latn-BA"/>
        </w:rPr>
      </w:pPr>
      <w:r>
        <w:rPr>
          <w:lang w:val="bs-Latn-BA"/>
        </w:rPr>
        <w:tab/>
      </w:r>
      <w:r w:rsidRPr="007F1ECE">
        <w:rPr>
          <w:i/>
          <w:iCs/>
          <w:lang w:val="bs-Latn-BA"/>
        </w:rPr>
        <w:t>*</w:t>
      </w:r>
      <w:r w:rsidR="005D72E8" w:rsidRPr="007F1ECE">
        <w:rPr>
          <w:i/>
          <w:iCs/>
          <w:lang w:val="bs-Latn-BA"/>
        </w:rPr>
        <w:t xml:space="preserve">) </w:t>
      </w:r>
      <w:r w:rsidRPr="000B6945">
        <w:rPr>
          <w:rFonts w:asciiTheme="minorHAnsi" w:hAnsiTheme="minorHAnsi" w:cstheme="minorHAnsi"/>
          <w:i/>
          <w:iCs/>
          <w:sz w:val="20"/>
          <w:szCs w:val="20"/>
          <w:lang w:val="bs-Latn-BA"/>
        </w:rPr>
        <w:t>Napomena: Vlastita sredstva građana/vlasnika predviđena su u okviru Kreditnih sredstava.</w:t>
      </w:r>
    </w:p>
    <w:p w14:paraId="3856FDC9" w14:textId="77777777" w:rsidR="000168C9" w:rsidRDefault="000168C9" w:rsidP="000168C9">
      <w:pPr>
        <w:pStyle w:val="Heading1"/>
        <w:numPr>
          <w:ilvl w:val="0"/>
          <w:numId w:val="0"/>
        </w:numPr>
        <w:tabs>
          <w:tab w:val="left" w:pos="856"/>
        </w:tabs>
        <w:ind w:left="360"/>
        <w:rPr>
          <w:lang w:val="bs-Latn-BA"/>
        </w:rPr>
        <w:sectPr w:rsidR="000168C9" w:rsidSect="000168C9">
          <w:headerReference w:type="default" r:id="rId32"/>
          <w:pgSz w:w="16840" w:h="11907" w:orient="landscape" w:code="9"/>
          <w:pgMar w:top="1440" w:right="1282" w:bottom="1440" w:left="1440" w:header="288" w:footer="288" w:gutter="0"/>
          <w:cols w:space="720"/>
          <w:docGrid w:linePitch="299"/>
        </w:sectPr>
      </w:pPr>
    </w:p>
    <w:p w14:paraId="2EBD7223" w14:textId="60924294" w:rsidR="00740D4F" w:rsidRPr="008924E0" w:rsidRDefault="00740D4F" w:rsidP="00B254A7">
      <w:pPr>
        <w:pStyle w:val="Heading1"/>
        <w:numPr>
          <w:ilvl w:val="0"/>
          <w:numId w:val="33"/>
        </w:numPr>
        <w:rPr>
          <w:lang w:val="bs-Latn-BA"/>
        </w:rPr>
      </w:pPr>
      <w:bookmarkStart w:id="172" w:name="_Toc134011798"/>
      <w:r w:rsidRPr="008924E0">
        <w:rPr>
          <w:lang w:val="bs-Latn-BA"/>
        </w:rPr>
        <w:lastRenderedPageBreak/>
        <w:t xml:space="preserve">Okvir za </w:t>
      </w:r>
      <w:r w:rsidR="00FB47AA" w:rsidRPr="008924E0">
        <w:rPr>
          <w:lang w:val="bs-Latn-BA"/>
        </w:rPr>
        <w:t>evaluaciju</w:t>
      </w:r>
      <w:r w:rsidR="00FB47AA">
        <w:rPr>
          <w:lang w:val="bs-Latn-BA"/>
        </w:rPr>
        <w:t>,</w:t>
      </w:r>
      <w:r w:rsidR="00FB47AA" w:rsidRPr="008924E0">
        <w:rPr>
          <w:lang w:val="bs-Latn-BA"/>
        </w:rPr>
        <w:t xml:space="preserve"> </w:t>
      </w:r>
      <w:r w:rsidRPr="008924E0">
        <w:rPr>
          <w:lang w:val="bs-Latn-BA"/>
        </w:rPr>
        <w:t>implementaciju, monitoring</w:t>
      </w:r>
      <w:r w:rsidR="00FB47AA">
        <w:rPr>
          <w:lang w:val="bs-Latn-BA"/>
        </w:rPr>
        <w:t xml:space="preserve"> i </w:t>
      </w:r>
      <w:r w:rsidRPr="008924E0">
        <w:rPr>
          <w:lang w:val="bs-Latn-BA"/>
        </w:rPr>
        <w:t>izvještavanje</w:t>
      </w:r>
      <w:bookmarkEnd w:id="172"/>
      <w:r w:rsidRPr="008924E0">
        <w:rPr>
          <w:lang w:val="bs-Latn-BA"/>
        </w:rPr>
        <w:t xml:space="preserve"> </w:t>
      </w:r>
    </w:p>
    <w:p w14:paraId="528E0451" w14:textId="77777777" w:rsidR="00D76359" w:rsidRPr="008924E0" w:rsidRDefault="00D76359" w:rsidP="00D76359">
      <w:pPr>
        <w:pStyle w:val="Heading2"/>
        <w:numPr>
          <w:ilvl w:val="1"/>
          <w:numId w:val="33"/>
        </w:numPr>
        <w:ind w:left="792"/>
        <w:rPr>
          <w:lang w:val="bs-Latn-BA"/>
        </w:rPr>
      </w:pPr>
      <w:bookmarkStart w:id="173" w:name="_Toc134011799"/>
      <w:r w:rsidRPr="008924E0">
        <w:rPr>
          <w:lang w:val="bs-Latn-BA"/>
        </w:rPr>
        <w:t>Evaluacija strategije</w:t>
      </w:r>
      <w:bookmarkEnd w:id="173"/>
    </w:p>
    <w:p w14:paraId="2D487264" w14:textId="17935A51" w:rsidR="00D76359" w:rsidRPr="002C2FBC" w:rsidRDefault="00D76359" w:rsidP="00D76359">
      <w:pPr>
        <w:rPr>
          <w:lang w:val="bs-Latn-BA"/>
        </w:rPr>
      </w:pPr>
      <w:r w:rsidRPr="002C2FBC">
        <w:rPr>
          <w:lang w:val="bs-Latn-BA"/>
        </w:rPr>
        <w:t xml:space="preserve">Evaluacija je postupak kojim se određuje vrijednost i značaj intervencije, odnosno, pojedinačnih mjera. Prema </w:t>
      </w:r>
      <w:r w:rsidRPr="00965721">
        <w:rPr>
          <w:lang w:val="bs-Latn-BA"/>
        </w:rPr>
        <w:t>Uredbi o evaluaciji strateških dokumenata u Federaciji BiH („Službene novine Federacije BiH“, broj 74/19)</w:t>
      </w:r>
      <w:r w:rsidRPr="002C2FBC">
        <w:rPr>
          <w:lang w:val="bs-Latn-BA"/>
        </w:rPr>
        <w:t>, provode se dvije vrste evaluacija:</w:t>
      </w:r>
    </w:p>
    <w:p w14:paraId="4F592D6F" w14:textId="77777777" w:rsidR="00D76359" w:rsidRPr="002C2FBC" w:rsidRDefault="00D76359" w:rsidP="00D76359">
      <w:pPr>
        <w:pStyle w:val="ListParagraph"/>
        <w:numPr>
          <w:ilvl w:val="0"/>
          <w:numId w:val="46"/>
        </w:numPr>
        <w:spacing w:line="259" w:lineRule="auto"/>
        <w:contextualSpacing/>
      </w:pPr>
      <w:r w:rsidRPr="00965721">
        <w:t>Ex-ante</w:t>
      </w:r>
      <w:r w:rsidRPr="002C2FBC">
        <w:t xml:space="preserve"> (prethodna evaluacija), koja se provodi u fazi izrade strateških dokumenata s ciljem unapređenja kvaliteta, relevantnosti </w:t>
      </w:r>
      <w:r w:rsidRPr="000F1F2F">
        <w:t xml:space="preserve">i koherentnosti </w:t>
      </w:r>
      <w:r w:rsidRPr="002C2FBC">
        <w:t>samog strateškog dokumenta, i</w:t>
      </w:r>
    </w:p>
    <w:p w14:paraId="2B30E3A0" w14:textId="77777777" w:rsidR="00D76359" w:rsidRPr="008924E0" w:rsidRDefault="00D76359" w:rsidP="00D76359">
      <w:pPr>
        <w:pStyle w:val="ListParagraph"/>
        <w:numPr>
          <w:ilvl w:val="0"/>
          <w:numId w:val="46"/>
        </w:numPr>
        <w:spacing w:line="259" w:lineRule="auto"/>
        <w:contextualSpacing/>
      </w:pPr>
      <w:r w:rsidRPr="00965721">
        <w:t>Evaluacija u toku</w:t>
      </w:r>
      <w:r w:rsidRPr="002C2FBC">
        <w:t>, koja se provodi u predzadnjoj godini implementacije strateških dokumenata s ciljem utvrđivanja stepena</w:t>
      </w:r>
      <w:r w:rsidRPr="008924E0">
        <w:t xml:space="preserve"> implementacije strateških dokumenata, te efektivnosti i efikasnosti planiranih mjera i strateških rezultata prema zacrtanim ciljevima i očekivanjima, kao i radi  sumiranja rezultata i osiguravanja ulaznih elemenata za strateške dokumente za sljedeći planski ciklus.</w:t>
      </w:r>
    </w:p>
    <w:p w14:paraId="0D9944F9" w14:textId="56B47901" w:rsidR="00D76359" w:rsidRPr="008924E0" w:rsidRDefault="00D76359" w:rsidP="00D76359">
      <w:pPr>
        <w:rPr>
          <w:lang w:val="bs-Latn-BA"/>
        </w:rPr>
      </w:pPr>
      <w:r w:rsidRPr="008924E0">
        <w:rPr>
          <w:lang w:val="bs-Latn-BA"/>
        </w:rPr>
        <w:t xml:space="preserve">Ex-ante evaluacija </w:t>
      </w:r>
      <w:r w:rsidR="00F03625">
        <w:rPr>
          <w:lang w:val="bs-Latn-BA"/>
        </w:rPr>
        <w:t>obvez</w:t>
      </w:r>
      <w:r w:rsidRPr="008924E0">
        <w:rPr>
          <w:lang w:val="bs-Latn-BA"/>
        </w:rPr>
        <w:t>no se provodi za sve strateške dokumente na federalnom nivou, a u slučaju Strategije obnove zgrada u FBiH, ovaj tip evaluacije priprema i koordinira FMPU, a samu evaluaciju vrši nezavisni vanjski evaluator angaž</w:t>
      </w:r>
      <w:r>
        <w:rPr>
          <w:lang w:val="bs-Latn-BA"/>
        </w:rPr>
        <w:t>iran</w:t>
      </w:r>
      <w:r w:rsidRPr="008924E0">
        <w:rPr>
          <w:lang w:val="bs-Latn-BA"/>
        </w:rPr>
        <w:t xml:space="preserve"> od strane nosioca posla. </w:t>
      </w:r>
    </w:p>
    <w:p w14:paraId="4BF7C1BF" w14:textId="6B55AEB2" w:rsidR="00D76359" w:rsidRPr="008924E0" w:rsidRDefault="00D76359" w:rsidP="00D76359">
      <w:pPr>
        <w:rPr>
          <w:lang w:val="bs-Latn-BA"/>
        </w:rPr>
      </w:pPr>
      <w:r w:rsidRPr="008924E0">
        <w:rPr>
          <w:lang w:val="bs-Latn-BA"/>
        </w:rPr>
        <w:t xml:space="preserve">Tokom postupka javnih konsultacija na nacrt strateškog dokumenta, nosioci izrade strateškog dokumenta </w:t>
      </w:r>
      <w:r w:rsidR="00E85480">
        <w:rPr>
          <w:lang w:val="bs-Latn-BA"/>
        </w:rPr>
        <w:t>mogu uvrstiti</w:t>
      </w:r>
      <w:r w:rsidRPr="008924E0">
        <w:rPr>
          <w:lang w:val="bs-Latn-BA"/>
        </w:rPr>
        <w:t xml:space="preserve"> preporuke iz izvještaja o ex-ante evaluaciji uvrstiti u sam dokument kako bi bio spreman za naredne korake u postupku donošenja. Također, izvještaj o ex-ante evaluaciji potrebno je objaviti i na web stranici nadležne institucije.</w:t>
      </w:r>
    </w:p>
    <w:p w14:paraId="0F9ECD94" w14:textId="19CAC03B" w:rsidR="00D76359" w:rsidRDefault="00D76359" w:rsidP="004D2CBA">
      <w:pPr>
        <w:rPr>
          <w:lang w:val="bs-Latn-BA"/>
        </w:rPr>
      </w:pPr>
      <w:r w:rsidRPr="008924E0">
        <w:rPr>
          <w:lang w:val="bs-Latn-BA"/>
        </w:rPr>
        <w:t>Evaluaciju u toku također provodi nezavisni vanjski evaluator angaž</w:t>
      </w:r>
      <w:r>
        <w:rPr>
          <w:lang w:val="bs-Latn-BA"/>
        </w:rPr>
        <w:t>iran</w:t>
      </w:r>
      <w:r w:rsidRPr="008924E0">
        <w:rPr>
          <w:lang w:val="bs-Latn-BA"/>
        </w:rPr>
        <w:t xml:space="preserve"> od strane nosioca posla. Moguće je, također, da se ova vrsta evaluacije provede i nešto ranije, dvije ili tri godine od početka implementacije, s ciljem ažuriranja strateškog dokumenta, prethodno utvrđenih ciljeva, prioriteta, mjera i aktivnosti, ocjene relevantnosti i efektivnosti, te značaja i uticaja. Preporuke evaluatora uzimaju se u razmatranje prilikom izrade strateških dokumenata za naredni planski period.</w:t>
      </w:r>
    </w:p>
    <w:p w14:paraId="7E57B1D6" w14:textId="12A64481" w:rsidR="00391148" w:rsidRPr="008924E0" w:rsidRDefault="00391148" w:rsidP="00587704">
      <w:pPr>
        <w:pStyle w:val="Heading2"/>
        <w:numPr>
          <w:ilvl w:val="1"/>
          <w:numId w:val="33"/>
        </w:numPr>
        <w:ind w:left="792"/>
        <w:rPr>
          <w:lang w:val="bs-Latn-BA"/>
        </w:rPr>
      </w:pPr>
      <w:bookmarkStart w:id="174" w:name="_Toc134011800"/>
      <w:r w:rsidRPr="008924E0">
        <w:rPr>
          <w:lang w:val="bs-Latn-BA"/>
        </w:rPr>
        <w:t>Implementacija strategije</w:t>
      </w:r>
      <w:bookmarkEnd w:id="174"/>
    </w:p>
    <w:p w14:paraId="054E4EB0" w14:textId="740C669D" w:rsidR="00391148" w:rsidRPr="008924E0" w:rsidRDefault="00391148" w:rsidP="00391148">
      <w:pPr>
        <w:rPr>
          <w:lang w:val="bs-Latn-BA"/>
        </w:rPr>
      </w:pPr>
      <w:r w:rsidRPr="00350C1B">
        <w:rPr>
          <w:lang w:val="bs-Latn-BA"/>
        </w:rPr>
        <w:t xml:space="preserve">Kako bi predložene mjere bile </w:t>
      </w:r>
      <w:r w:rsidR="00D76359" w:rsidRPr="00350C1B">
        <w:rPr>
          <w:lang w:val="bs-Latn-BA"/>
        </w:rPr>
        <w:t>realiz</w:t>
      </w:r>
      <w:r w:rsidR="00D76359">
        <w:rPr>
          <w:lang w:val="bs-Latn-BA"/>
        </w:rPr>
        <w:t>irane</w:t>
      </w:r>
      <w:r w:rsidRPr="00350C1B">
        <w:rPr>
          <w:lang w:val="bs-Latn-BA"/>
        </w:rPr>
        <w:t xml:space="preserve">, potrebno je </w:t>
      </w:r>
      <w:r w:rsidR="00AC490C">
        <w:rPr>
          <w:lang w:val="bs-Latn-BA"/>
        </w:rPr>
        <w:t xml:space="preserve">kontinuirano kroz izradu </w:t>
      </w:r>
      <w:r w:rsidR="00AC490C" w:rsidRPr="00350C1B">
        <w:rPr>
          <w:lang w:val="bs-Latn-BA"/>
        </w:rPr>
        <w:t xml:space="preserve"> </w:t>
      </w:r>
      <w:r w:rsidRPr="00350C1B">
        <w:rPr>
          <w:lang w:val="bs-Latn-BA"/>
        </w:rPr>
        <w:t>trogodišnji</w:t>
      </w:r>
      <w:r w:rsidR="00AC490C">
        <w:rPr>
          <w:lang w:val="bs-Latn-BA"/>
        </w:rPr>
        <w:t>h</w:t>
      </w:r>
      <w:r w:rsidRPr="00350C1B">
        <w:rPr>
          <w:lang w:val="bs-Latn-BA"/>
        </w:rPr>
        <w:t xml:space="preserve"> i godišnji</w:t>
      </w:r>
      <w:r w:rsidR="00AC490C">
        <w:rPr>
          <w:lang w:val="bs-Latn-BA"/>
        </w:rPr>
        <w:t xml:space="preserve">h </w:t>
      </w:r>
      <w:r w:rsidRPr="00350C1B">
        <w:rPr>
          <w:lang w:val="bs-Latn-BA"/>
        </w:rPr>
        <w:t>plan</w:t>
      </w:r>
      <w:r w:rsidR="00AC490C">
        <w:rPr>
          <w:lang w:val="bs-Latn-BA"/>
        </w:rPr>
        <w:t>ova</w:t>
      </w:r>
      <w:r w:rsidRPr="00350C1B">
        <w:rPr>
          <w:lang w:val="bs-Latn-BA"/>
        </w:rPr>
        <w:t xml:space="preserve"> rada</w:t>
      </w:r>
      <w:r w:rsidR="00AC490C">
        <w:rPr>
          <w:lang w:val="bs-Latn-BA"/>
        </w:rPr>
        <w:t xml:space="preserve"> svih relevantnih institucija u Federacij</w:t>
      </w:r>
      <w:r w:rsidR="00026867">
        <w:rPr>
          <w:lang w:val="bs-Latn-BA"/>
        </w:rPr>
        <w:t>i</w:t>
      </w:r>
      <w:r w:rsidR="00AC490C">
        <w:rPr>
          <w:lang w:val="bs-Latn-BA"/>
        </w:rPr>
        <w:t xml:space="preserve"> BiH</w:t>
      </w:r>
      <w:r w:rsidR="00026867">
        <w:rPr>
          <w:lang w:val="bs-Latn-BA"/>
        </w:rPr>
        <w:t xml:space="preserve"> (</w:t>
      </w:r>
      <w:r w:rsidR="00026867" w:rsidRPr="00350C1B">
        <w:rPr>
          <w:lang w:val="bs-Latn-BA"/>
        </w:rPr>
        <w:t xml:space="preserve">propisani članovima 11. i 12. </w:t>
      </w:r>
      <w:r w:rsidR="00026867" w:rsidRPr="004D2CBA">
        <w:rPr>
          <w:lang w:val="bs-Latn-BA"/>
        </w:rPr>
        <w:t>Uredbe o trogodišnjem i godišnjem planiranju rada, monitoringu i izvještavanju u Federaciji BiH („Službene novine Federacije BiH“</w:t>
      </w:r>
      <w:r w:rsidR="007F46D7">
        <w:rPr>
          <w:lang w:val="bs-Latn-BA"/>
        </w:rPr>
        <w:t xml:space="preserve">, broj </w:t>
      </w:r>
      <w:r w:rsidR="00026867">
        <w:rPr>
          <w:lang w:val="bs-Latn-BA"/>
        </w:rPr>
        <w:t xml:space="preserve"> </w:t>
      </w:r>
      <w:r w:rsidR="00026867" w:rsidRPr="004D2CBA">
        <w:rPr>
          <w:lang w:val="bs-Latn-BA"/>
        </w:rPr>
        <w:t>74/19)</w:t>
      </w:r>
      <w:r w:rsidR="00026867">
        <w:rPr>
          <w:lang w:val="bs-Latn-BA"/>
        </w:rPr>
        <w:t>,</w:t>
      </w:r>
      <w:r w:rsidR="00AC490C">
        <w:rPr>
          <w:lang w:val="bs-Latn-BA"/>
        </w:rPr>
        <w:t xml:space="preserve"> predložene mjere planirati, budžetirati i provoditi</w:t>
      </w:r>
      <w:r w:rsidRPr="00350C1B">
        <w:rPr>
          <w:lang w:val="bs-Latn-BA"/>
        </w:rPr>
        <w:t xml:space="preserve">. Prema Uredbi, na osnovu trogodišnjeg i godišnjeg plana rada, organi uprave na svim nivoima vlasti u Federaciji BiH, imaju </w:t>
      </w:r>
      <w:r w:rsidR="00F03625">
        <w:rPr>
          <w:lang w:val="bs-Latn-BA"/>
        </w:rPr>
        <w:t>obvez</w:t>
      </w:r>
      <w:r w:rsidRPr="00350C1B">
        <w:rPr>
          <w:lang w:val="bs-Latn-BA"/>
        </w:rPr>
        <w:t>u preuzeti relevantne mjere iz strateškog dokumenta sa pripadajućim</w:t>
      </w:r>
      <w:r w:rsidRPr="008924E0">
        <w:rPr>
          <w:lang w:val="bs-Latn-BA"/>
        </w:rPr>
        <w:t xml:space="preserve"> indikatorima, kao i polazne i ciljne vrijednosti indikatora za svaku godinu trogodišnjeg razdoblja. Relevantne mjere koje se preuzimaju iz strateškog dokumenta dalje se unose u trogodišnji plan rada. Za te mjere se </w:t>
      </w:r>
      <w:r w:rsidR="00D76359" w:rsidRPr="008924E0">
        <w:rPr>
          <w:lang w:val="bs-Latn-BA"/>
        </w:rPr>
        <w:t>defin</w:t>
      </w:r>
      <w:r w:rsidR="00D76359">
        <w:rPr>
          <w:lang w:val="bs-Latn-BA"/>
        </w:rPr>
        <w:t>iraju</w:t>
      </w:r>
      <w:r w:rsidR="00D76359" w:rsidRPr="008924E0">
        <w:rPr>
          <w:lang w:val="bs-Latn-BA"/>
        </w:rPr>
        <w:t xml:space="preserve"> </w:t>
      </w:r>
      <w:r w:rsidRPr="008924E0">
        <w:rPr>
          <w:lang w:val="bs-Latn-BA"/>
        </w:rPr>
        <w:t xml:space="preserve">aktivnosti ili projekti čija realizacija u trogodišnjem periodu doprinosi ostvarenju mjere, prioriteta i strateškog cilja </w:t>
      </w:r>
      <w:r w:rsidR="00AB786E">
        <w:rPr>
          <w:lang w:val="bs-Latn-BA"/>
        </w:rPr>
        <w:t>definirani</w:t>
      </w:r>
      <w:r w:rsidRPr="008924E0">
        <w:rPr>
          <w:lang w:val="bs-Latn-BA"/>
        </w:rPr>
        <w:t xml:space="preserve">h u sklopu strateškog dokumenta. </w:t>
      </w:r>
    </w:p>
    <w:p w14:paraId="282D77CD" w14:textId="6200E56C" w:rsidR="00391148" w:rsidRPr="008924E0" w:rsidRDefault="00391148" w:rsidP="00391148">
      <w:pPr>
        <w:rPr>
          <w:lang w:val="bs-Latn-BA"/>
        </w:rPr>
      </w:pPr>
      <w:r w:rsidRPr="008924E0">
        <w:rPr>
          <w:lang w:val="bs-Latn-BA"/>
        </w:rPr>
        <w:t xml:space="preserve">Kao doprinos realizaciji programa </w:t>
      </w:r>
      <w:r w:rsidR="00D76359" w:rsidRPr="008924E0">
        <w:rPr>
          <w:lang w:val="bs-Latn-BA"/>
        </w:rPr>
        <w:t>defini</w:t>
      </w:r>
      <w:r w:rsidR="00D76359">
        <w:rPr>
          <w:lang w:val="bs-Latn-BA"/>
        </w:rPr>
        <w:t>ranih</w:t>
      </w:r>
      <w:r w:rsidR="00D76359" w:rsidRPr="008924E0">
        <w:rPr>
          <w:lang w:val="bs-Latn-BA"/>
        </w:rPr>
        <w:t xml:space="preserve"> </w:t>
      </w:r>
      <w:r w:rsidRPr="008924E0">
        <w:rPr>
          <w:lang w:val="bs-Latn-BA"/>
        </w:rPr>
        <w:t xml:space="preserve">u trogodišnjem planu rada, izrađuje se godišnji plan rada, koji se preduzima na godišnjem nivou i sadrži aktivnosti ili projekte za ostvarivanje mjera, prioriteta i strateških ciljeva iz strateškog dokumenta. U godišnjim planovima rada organ uprave bilo kojeg nivoa vlasti </w:t>
      </w:r>
      <w:r w:rsidR="00F03625">
        <w:rPr>
          <w:lang w:val="bs-Latn-BA"/>
        </w:rPr>
        <w:t>obvez</w:t>
      </w:r>
      <w:r w:rsidRPr="008924E0">
        <w:rPr>
          <w:lang w:val="bs-Latn-BA"/>
        </w:rPr>
        <w:t xml:space="preserve">an je evidentirati i aktivnosti vezane za izradu akcionih planova, ukoliko izrada akcionog plana predstavlja </w:t>
      </w:r>
      <w:r w:rsidR="00F03625">
        <w:rPr>
          <w:lang w:val="bs-Latn-BA"/>
        </w:rPr>
        <w:t>obvez</w:t>
      </w:r>
      <w:r w:rsidRPr="008924E0">
        <w:rPr>
          <w:lang w:val="bs-Latn-BA"/>
        </w:rPr>
        <w:t xml:space="preserve">u datog organa vlasti, pored </w:t>
      </w:r>
      <w:r w:rsidR="00F03625">
        <w:rPr>
          <w:lang w:val="bs-Latn-BA"/>
        </w:rPr>
        <w:t>obvez</w:t>
      </w:r>
      <w:r w:rsidRPr="008924E0">
        <w:rPr>
          <w:lang w:val="bs-Latn-BA"/>
        </w:rPr>
        <w:t xml:space="preserve">e izrade trogodišnjeg i godišnjeg plana rada. </w:t>
      </w:r>
    </w:p>
    <w:p w14:paraId="7359C059" w14:textId="77777777" w:rsidR="00391148" w:rsidRPr="008924E0" w:rsidRDefault="00391148" w:rsidP="00391148">
      <w:pPr>
        <w:rPr>
          <w:lang w:val="bs-Latn-BA"/>
        </w:rPr>
      </w:pPr>
      <w:r w:rsidRPr="008924E0">
        <w:rPr>
          <w:lang w:val="bs-Latn-BA"/>
        </w:rPr>
        <w:lastRenderedPageBreak/>
        <w:t>Trogodišnji i godišnji programi rada koji su usvojeni dalje se objavljuju na web stranici vlada i organa uprave na svim nivoima vlasti.</w:t>
      </w:r>
    </w:p>
    <w:p w14:paraId="5534FE1B" w14:textId="2606B4FB" w:rsidR="00391148" w:rsidRPr="008924E0" w:rsidRDefault="00391148" w:rsidP="00EC0A41">
      <w:pPr>
        <w:pStyle w:val="Heading2"/>
        <w:numPr>
          <w:ilvl w:val="1"/>
          <w:numId w:val="33"/>
        </w:numPr>
        <w:ind w:left="792"/>
        <w:rPr>
          <w:lang w:val="bs-Latn-BA"/>
        </w:rPr>
      </w:pPr>
      <w:bookmarkStart w:id="175" w:name="_Toc134011801"/>
      <w:r w:rsidRPr="008924E0">
        <w:rPr>
          <w:lang w:val="bs-Latn-BA"/>
        </w:rPr>
        <w:t>Monitoring i izvještavanje</w:t>
      </w:r>
      <w:bookmarkEnd w:id="175"/>
    </w:p>
    <w:p w14:paraId="4F102C90" w14:textId="77777777" w:rsidR="00B70406" w:rsidRPr="008924E0" w:rsidRDefault="00B70406" w:rsidP="00B70406">
      <w:pPr>
        <w:rPr>
          <w:lang w:val="bs-Latn-BA"/>
        </w:rPr>
      </w:pPr>
      <w:r w:rsidRPr="008924E0">
        <w:rPr>
          <w:lang w:val="bs-Latn-BA"/>
        </w:rPr>
        <w:t>Monitoring i izvještavanje su dvije aktivnosti koje zavise jedna od druge. Monitoring strategije podrazumijeva konstantno praćenje, sistematično i kontinuirano sakupljanje, analiziranje i korištenje podataka i pokazatelja u svrhu mjerenja napretka ostvarivanja postavljenih ciljeva/prioriteta/mjera, kako bi se blagovremeno mogle preduzeti odgovarajućih aktivnosti s ciljem eventualnih korekcija.</w:t>
      </w:r>
    </w:p>
    <w:p w14:paraId="3A8A7863" w14:textId="77777777" w:rsidR="00B70406" w:rsidRPr="00350C1B" w:rsidRDefault="00B70406" w:rsidP="00B70406">
      <w:pPr>
        <w:rPr>
          <w:lang w:val="bs-Latn-BA"/>
        </w:rPr>
      </w:pPr>
      <w:r w:rsidRPr="008924E0">
        <w:rPr>
          <w:lang w:val="bs-Latn-BA"/>
        </w:rPr>
        <w:t>Za uspješnu provedbu monitoringa sve organizacione jedinice u federalnom organu uprave, kantonalnom organu uprave, odnosno u općinskom/gradskom organu uprave trebaju uspostaviti i redovno ažurirati elektronske evidencije o implementaciji strategija kao i indikatora ostvarenja strateških ciljeva, prioriteta i mjera iz Strategije razvoja, te indikatora iz godišnjeg plana rada. Ove evidencije su osnov za izradu izvještaja o radu organa uprave na svim nivoima vlasti i izradu Izvještaja o razvoju.</w:t>
      </w:r>
    </w:p>
    <w:p w14:paraId="6D395344" w14:textId="3CADC5F1" w:rsidR="00B70406" w:rsidRDefault="00B70406" w:rsidP="00B70406">
      <w:pPr>
        <w:rPr>
          <w:lang w:val="bs-Latn-BA"/>
        </w:rPr>
      </w:pPr>
      <w:r w:rsidRPr="00350C1B">
        <w:rPr>
          <w:lang w:val="bs-Latn-BA"/>
        </w:rPr>
        <w:t xml:space="preserve">U dijelu izvještavanja implementacije strateškog dokumenta izrađuju se dva izvještaja: </w:t>
      </w:r>
      <w:r w:rsidRPr="004D2CBA">
        <w:rPr>
          <w:lang w:val="bs-Latn-BA"/>
        </w:rPr>
        <w:t>Godišnji izvještaj o radu</w:t>
      </w:r>
      <w:r w:rsidRPr="00350C1B">
        <w:rPr>
          <w:lang w:val="bs-Latn-BA"/>
        </w:rPr>
        <w:t xml:space="preserve"> i </w:t>
      </w:r>
      <w:r w:rsidRPr="004D2CBA">
        <w:rPr>
          <w:lang w:val="bs-Latn-BA"/>
        </w:rPr>
        <w:t xml:space="preserve">Izvještaj o razvoju </w:t>
      </w:r>
      <w:r w:rsidRPr="00350C1B">
        <w:rPr>
          <w:lang w:val="bs-Latn-BA"/>
        </w:rPr>
        <w:t>u skladu s Uredbom o trogodišnjem i godišnjem</w:t>
      </w:r>
      <w:r w:rsidRPr="008924E0">
        <w:rPr>
          <w:lang w:val="bs-Latn-BA"/>
        </w:rPr>
        <w:t xml:space="preserve"> planiranju rada, monitoringu i izvještavanju u Federaciji BiH (</w:t>
      </w:r>
      <w:r w:rsidR="007F46D7" w:rsidRPr="00CF273E">
        <w:rPr>
          <w:color w:val="333333"/>
          <w:lang w:val="bs-Latn-BA"/>
        </w:rPr>
        <w:t xml:space="preserve">„Službene novine Federacije BiH“, </w:t>
      </w:r>
      <w:r w:rsidR="007F46D7">
        <w:rPr>
          <w:color w:val="333333"/>
          <w:lang w:val="bs-Latn-BA"/>
        </w:rPr>
        <w:t xml:space="preserve">broj </w:t>
      </w:r>
      <w:r w:rsidRPr="008924E0">
        <w:rPr>
          <w:lang w:val="bs-Latn-BA"/>
        </w:rPr>
        <w:t xml:space="preserve">74/19). </w:t>
      </w:r>
      <w:r>
        <w:rPr>
          <w:lang w:val="bs-Latn-BA"/>
        </w:rPr>
        <w:t>Izrada I</w:t>
      </w:r>
      <w:r w:rsidRPr="004D2CBA">
        <w:rPr>
          <w:lang w:val="bs-Latn-BA"/>
        </w:rPr>
        <w:t>zvještaj</w:t>
      </w:r>
      <w:r>
        <w:rPr>
          <w:lang w:val="bs-Latn-BA"/>
        </w:rPr>
        <w:t>a</w:t>
      </w:r>
      <w:r w:rsidRPr="004D2CBA">
        <w:rPr>
          <w:lang w:val="bs-Latn-BA"/>
        </w:rPr>
        <w:t xml:space="preserve"> o razvoju </w:t>
      </w:r>
      <w:r>
        <w:rPr>
          <w:lang w:val="bs-Latn-BA"/>
        </w:rPr>
        <w:t xml:space="preserve">za nivo FBiH </w:t>
      </w:r>
      <w:r w:rsidR="00F03625">
        <w:rPr>
          <w:lang w:val="bs-Latn-BA"/>
        </w:rPr>
        <w:t>obvez</w:t>
      </w:r>
      <w:r w:rsidRPr="006A1A71">
        <w:rPr>
          <w:lang w:val="bs-Latn-BA"/>
        </w:rPr>
        <w:t xml:space="preserve">a </w:t>
      </w:r>
      <w:r>
        <w:rPr>
          <w:lang w:val="bs-Latn-BA"/>
        </w:rPr>
        <w:t xml:space="preserve">je </w:t>
      </w:r>
      <w:r w:rsidRPr="006A1A71">
        <w:rPr>
          <w:lang w:val="bs-Latn-BA"/>
        </w:rPr>
        <w:t>Federalnog zavoda za programiranje razvoja</w:t>
      </w:r>
      <w:r>
        <w:rPr>
          <w:lang w:val="bs-Latn-BA"/>
        </w:rPr>
        <w:t>, dok Izvještaje o radu izrađuju federalna ministarstva, odnosno u ovom slučaju:</w:t>
      </w:r>
    </w:p>
    <w:p w14:paraId="4B3C47B8" w14:textId="77777777" w:rsidR="00B70406" w:rsidRPr="008924E0" w:rsidRDefault="00B70406" w:rsidP="00B70406">
      <w:pPr>
        <w:pStyle w:val="ListParagraph"/>
        <w:numPr>
          <w:ilvl w:val="0"/>
          <w:numId w:val="43"/>
        </w:numPr>
        <w:spacing w:line="259" w:lineRule="auto"/>
        <w:contextualSpacing/>
      </w:pPr>
      <w:r w:rsidRPr="008924E0">
        <w:t>Federalno ministarstv</w:t>
      </w:r>
      <w:r>
        <w:t>o</w:t>
      </w:r>
      <w:r w:rsidRPr="008924E0">
        <w:t xml:space="preserve"> prostornog uređenja (FMPU),</w:t>
      </w:r>
    </w:p>
    <w:p w14:paraId="62984CF6" w14:textId="77777777" w:rsidR="00B70406" w:rsidRPr="008924E0" w:rsidRDefault="00B70406" w:rsidP="00B70406">
      <w:pPr>
        <w:pStyle w:val="ListParagraph"/>
        <w:numPr>
          <w:ilvl w:val="0"/>
          <w:numId w:val="43"/>
        </w:numPr>
        <w:spacing w:line="259" w:lineRule="auto"/>
        <w:contextualSpacing/>
      </w:pPr>
      <w:r w:rsidRPr="008924E0">
        <w:t>Federalno ministarstv</w:t>
      </w:r>
      <w:r>
        <w:t>o</w:t>
      </w:r>
      <w:r w:rsidRPr="008924E0">
        <w:t xml:space="preserve"> energije, rudarstva i industrije (FMERI), te</w:t>
      </w:r>
    </w:p>
    <w:p w14:paraId="07CD6185" w14:textId="77777777" w:rsidR="00B70406" w:rsidRPr="008924E0" w:rsidRDefault="00B70406" w:rsidP="00B70406">
      <w:pPr>
        <w:pStyle w:val="ListParagraph"/>
        <w:numPr>
          <w:ilvl w:val="0"/>
          <w:numId w:val="43"/>
        </w:numPr>
        <w:spacing w:line="259" w:lineRule="auto"/>
        <w:contextualSpacing/>
      </w:pPr>
      <w:r w:rsidRPr="008924E0">
        <w:t>Federalno ministarstv</w:t>
      </w:r>
      <w:r>
        <w:t>o</w:t>
      </w:r>
      <w:r w:rsidRPr="008924E0">
        <w:t xml:space="preserve"> okoliša i turizma (FMOIT).</w:t>
      </w:r>
    </w:p>
    <w:p w14:paraId="6D22F139" w14:textId="2B870975" w:rsidR="00B70406" w:rsidRPr="008924E0" w:rsidRDefault="00B70406" w:rsidP="00B70406">
      <w:pPr>
        <w:rPr>
          <w:lang w:val="bs-Latn-BA"/>
        </w:rPr>
      </w:pPr>
      <w:r>
        <w:rPr>
          <w:lang w:val="bs-Latn-BA"/>
        </w:rPr>
        <w:t>Međutim, uzimajući u obzir da se radi o sektorskoj strategiji</w:t>
      </w:r>
      <w:r w:rsidRPr="006A1A71">
        <w:rPr>
          <w:lang w:val="bs-Latn-BA"/>
        </w:rPr>
        <w:t xml:space="preserve">, Federalno ministarstvo prostornog uređenja je u </w:t>
      </w:r>
      <w:r w:rsidR="00F03625">
        <w:rPr>
          <w:lang w:val="bs-Latn-BA"/>
        </w:rPr>
        <w:t>obvez</w:t>
      </w:r>
      <w:r w:rsidRPr="006A1A71">
        <w:rPr>
          <w:lang w:val="bs-Latn-BA"/>
        </w:rPr>
        <w:t>i sačinjavanja Izvještaja o implementaciji Strategije obnove zgrada u FBiH do 2050. godine</w:t>
      </w:r>
      <w:r>
        <w:rPr>
          <w:lang w:val="bs-Latn-BA"/>
        </w:rPr>
        <w:t>. Ovaj Izvještaj podnosi se</w:t>
      </w:r>
      <w:r w:rsidRPr="006A1A71">
        <w:rPr>
          <w:lang w:val="bs-Latn-BA"/>
        </w:rPr>
        <w:t xml:space="preserve"> do kraja juna svake godine za prethodnu</w:t>
      </w:r>
      <w:r>
        <w:rPr>
          <w:lang w:val="bs-Latn-BA"/>
        </w:rPr>
        <w:t xml:space="preserve"> godinu</w:t>
      </w:r>
      <w:r w:rsidRPr="006A1A71">
        <w:rPr>
          <w:lang w:val="bs-Latn-BA"/>
        </w:rPr>
        <w:t>, u skladu sa članom 16. stav (3) Uredbe o trogodišnjem i godišnjem planiranju rada, monitoringu i izvještavanju u Federaciji BiH, u vezi primjene člana 7. Zakona o razvojnom planiranju i upravljanju razvojem u FBiH.</w:t>
      </w:r>
      <w:r>
        <w:rPr>
          <w:lang w:val="bs-Latn-BA"/>
        </w:rPr>
        <w:t xml:space="preserve"> </w:t>
      </w:r>
    </w:p>
    <w:p w14:paraId="708D039A" w14:textId="77777777" w:rsidR="00B70406" w:rsidRPr="008924E0" w:rsidRDefault="00B70406" w:rsidP="00B70406">
      <w:pPr>
        <w:rPr>
          <w:lang w:val="bs-Latn-BA"/>
        </w:rPr>
      </w:pPr>
      <w:r w:rsidRPr="008924E0">
        <w:rPr>
          <w:lang w:val="bs-Latn-BA"/>
        </w:rPr>
        <w:t>Godišnji izvještaj o radu se priprema s ciljem praćenja provođenja planiranih aktivnosti/projekata i ocjene njihovog doprinosa u ostvarivanju programa (mjera) organa i institucija na svim nivoima vlasti. U godišnjem izvještaju o radu precizno se navodi da li su i u kojoj mjeri izvršene planirane aktivnosti iz godišnjih programa rada, očekivani i ostvareni rezultati, planirana i utrošena sredstva za izvršenje aktivnosti, i za eventualno neizvršenje, razlog za neizvršenje ili djelomično izvršenje.</w:t>
      </w:r>
    </w:p>
    <w:p w14:paraId="6CD01A5C" w14:textId="77777777" w:rsidR="00B70406" w:rsidRPr="008924E0" w:rsidRDefault="00B70406" w:rsidP="00B70406">
      <w:pPr>
        <w:rPr>
          <w:lang w:val="bs-Latn-BA"/>
        </w:rPr>
      </w:pPr>
      <w:r w:rsidRPr="008924E0">
        <w:rPr>
          <w:lang w:val="bs-Latn-BA"/>
        </w:rPr>
        <w:t>Uvidom u ostvareni stepen realizacije, prema izvještajima o radu, te usporedbom sa zadanim pokazateljima, moguće je izvršiti eventualne korekcije planiranih mjera iz strateškog dokumenta ukoliko se pokaže da ne daju očekivane rezultate.</w:t>
      </w:r>
    </w:p>
    <w:p w14:paraId="06903F86" w14:textId="77777777" w:rsidR="00B70406" w:rsidRPr="008924E0" w:rsidRDefault="00B70406" w:rsidP="00B70406">
      <w:pPr>
        <w:rPr>
          <w:lang w:val="bs-Latn-BA"/>
        </w:rPr>
      </w:pPr>
      <w:r w:rsidRPr="008924E0">
        <w:rPr>
          <w:lang w:val="bs-Latn-BA"/>
        </w:rPr>
        <w:t xml:space="preserve">Izvještaji o radu predstavljaju osnovu za pripremu izvještaja o razvoju, što upućuje na potrebu vremenske usklađenosti izrade ovih izvještaja. </w:t>
      </w:r>
    </w:p>
    <w:p w14:paraId="66E1B425" w14:textId="77777777" w:rsidR="00B70406" w:rsidRPr="008924E0" w:rsidRDefault="00B70406" w:rsidP="00B70406">
      <w:pPr>
        <w:rPr>
          <w:lang w:val="bs-Latn-BA"/>
        </w:rPr>
      </w:pPr>
      <w:r w:rsidRPr="008924E0">
        <w:rPr>
          <w:lang w:val="bs-Latn-BA"/>
        </w:rPr>
        <w:t>Izvještaj o razvoju je provedbeni dokument kojim se na godišnjem nivou sagledavaju opći trendovi razvoja, kao i napredak u ostvarivanju strateških ciljeva iz strateških dokumenata u Federaciji. Izvještaj o razvoju fokusira se na postignute rezultate i uticaj tokom provedbe strateškog dokumenta, za razliku od izvještaja o radu, gdje je naglasak na aktivnostima promatranog upravnog organa.</w:t>
      </w:r>
    </w:p>
    <w:p w14:paraId="3CA6B42B" w14:textId="778B4DB3" w:rsidR="00740D4F" w:rsidRPr="008924E0" w:rsidRDefault="00740D4F">
      <w:pPr>
        <w:rPr>
          <w:rFonts w:ascii="Arial" w:eastAsiaTheme="majorEastAsia" w:hAnsi="Arial" w:cstheme="majorBidi"/>
          <w:b/>
          <w:caps/>
          <w:color w:val="00592E"/>
          <w:sz w:val="28"/>
          <w:szCs w:val="32"/>
          <w:lang w:val="bs-Latn-BA"/>
        </w:rPr>
      </w:pPr>
    </w:p>
    <w:p w14:paraId="63DD3500" w14:textId="3AC0398F" w:rsidR="00740D4F" w:rsidRPr="008924E0" w:rsidRDefault="00CF7A3C" w:rsidP="00B254A7">
      <w:pPr>
        <w:pStyle w:val="Heading1"/>
        <w:numPr>
          <w:ilvl w:val="0"/>
          <w:numId w:val="33"/>
        </w:numPr>
        <w:rPr>
          <w:lang w:val="bs-Latn-BA"/>
        </w:rPr>
      </w:pPr>
      <w:bookmarkStart w:id="176" w:name="_Toc134011802"/>
      <w:r w:rsidRPr="008924E0">
        <w:rPr>
          <w:lang w:val="bs-Latn-BA"/>
        </w:rPr>
        <w:lastRenderedPageBreak/>
        <w:t>ANEKSI</w:t>
      </w:r>
      <w:bookmarkEnd w:id="176"/>
    </w:p>
    <w:p w14:paraId="4705BA60" w14:textId="4FBF2161" w:rsidR="00501DCF" w:rsidRPr="008924E0" w:rsidRDefault="00CF7A3C" w:rsidP="00E04EF4">
      <w:pPr>
        <w:pStyle w:val="Heading1"/>
        <w:numPr>
          <w:ilvl w:val="0"/>
          <w:numId w:val="0"/>
        </w:numPr>
        <w:ind w:left="360" w:firstLine="360"/>
        <w:rPr>
          <w:lang w:val="bs-Latn-BA"/>
        </w:rPr>
      </w:pPr>
      <w:bookmarkStart w:id="177" w:name="_Toc134011803"/>
      <w:r w:rsidRPr="008924E0">
        <w:rPr>
          <w:lang w:val="bs-Latn-BA"/>
        </w:rPr>
        <w:t>ANEKS 11.1</w:t>
      </w:r>
      <w:r w:rsidR="00E606B9" w:rsidRPr="008924E0">
        <w:rPr>
          <w:lang w:val="bs-Latn-BA"/>
        </w:rPr>
        <w:t xml:space="preserve"> </w:t>
      </w:r>
      <w:r w:rsidR="00501DCF" w:rsidRPr="008924E0">
        <w:rPr>
          <w:caps w:val="0"/>
          <w:lang w:val="bs-Latn-BA"/>
        </w:rPr>
        <w:t>Strateška platforma</w:t>
      </w:r>
      <w:bookmarkEnd w:id="177"/>
    </w:p>
    <w:p w14:paraId="7219D841" w14:textId="77777777" w:rsidR="00CF7A3C" w:rsidRPr="008924E0" w:rsidRDefault="00CF7A3C" w:rsidP="00581C1C">
      <w:pPr>
        <w:pStyle w:val="Heading1"/>
        <w:numPr>
          <w:ilvl w:val="0"/>
          <w:numId w:val="54"/>
        </w:numPr>
        <w:rPr>
          <w:lang w:val="bs-Latn-BA"/>
        </w:rPr>
      </w:pPr>
      <w:bookmarkStart w:id="178" w:name="_Toc134011804"/>
      <w:r w:rsidRPr="008924E0">
        <w:rPr>
          <w:lang w:val="bs-Latn-BA"/>
        </w:rPr>
        <w:t>Situaciona analiza</w:t>
      </w:r>
      <w:bookmarkEnd w:id="178"/>
    </w:p>
    <w:p w14:paraId="648A27A7" w14:textId="77777777" w:rsidR="00CF7A3C" w:rsidRPr="008924E0" w:rsidRDefault="00CF7A3C" w:rsidP="00581C1C">
      <w:pPr>
        <w:pStyle w:val="Heading2"/>
        <w:numPr>
          <w:ilvl w:val="1"/>
          <w:numId w:val="54"/>
        </w:numPr>
        <w:rPr>
          <w:lang w:val="bs-Latn-BA"/>
        </w:rPr>
      </w:pPr>
      <w:bookmarkStart w:id="179" w:name="_Toc134011805"/>
      <w:r w:rsidRPr="008924E0">
        <w:rPr>
          <w:lang w:val="bs-Latn-BA"/>
        </w:rPr>
        <w:t>Kontekst i regulatorni okvir</w:t>
      </w:r>
      <w:bookmarkEnd w:id="179"/>
    </w:p>
    <w:p w14:paraId="23201D31" w14:textId="77777777" w:rsidR="00CF7A3C" w:rsidRPr="008924E0" w:rsidRDefault="00CF7A3C" w:rsidP="00581C1C">
      <w:pPr>
        <w:pStyle w:val="Heading3"/>
        <w:numPr>
          <w:ilvl w:val="2"/>
          <w:numId w:val="54"/>
        </w:numPr>
      </w:pPr>
      <w:bookmarkStart w:id="180" w:name="_Toc134011806"/>
      <w:r w:rsidRPr="008924E0">
        <w:t>Međunarodni kontekst i politika EU</w:t>
      </w:r>
      <w:bookmarkEnd w:id="180"/>
      <w:r w:rsidRPr="008924E0">
        <w:t xml:space="preserve"> </w:t>
      </w:r>
    </w:p>
    <w:p w14:paraId="220CAD61" w14:textId="0AE24919" w:rsidR="00CF7A3C" w:rsidRPr="008924E0" w:rsidRDefault="00CF7A3C" w:rsidP="00CF7A3C">
      <w:pPr>
        <w:pBdr>
          <w:top w:val="nil"/>
          <w:left w:val="nil"/>
          <w:bottom w:val="nil"/>
          <w:right w:val="nil"/>
          <w:between w:val="nil"/>
        </w:pBdr>
        <w:spacing w:after="120" w:line="276" w:lineRule="auto"/>
        <w:rPr>
          <w:color w:val="000000"/>
          <w:lang w:val="bs-Latn-BA"/>
        </w:rPr>
      </w:pPr>
      <w:r w:rsidRPr="008924E0">
        <w:rPr>
          <w:color w:val="000000"/>
          <w:lang w:val="bs-Latn-BA"/>
        </w:rPr>
        <w:t xml:space="preserve">Međunarodne </w:t>
      </w:r>
      <w:r w:rsidR="00F03625">
        <w:rPr>
          <w:color w:val="000000"/>
          <w:lang w:val="bs-Latn-BA"/>
        </w:rPr>
        <w:t>obvez</w:t>
      </w:r>
      <w:r w:rsidRPr="008924E0">
        <w:rPr>
          <w:color w:val="000000"/>
          <w:lang w:val="bs-Latn-BA"/>
        </w:rPr>
        <w:t>e Bosne i Hercegovine u oblasti energijske efikasnosti, zaštite okoliša i smanjenja uticaja na klimatske promjene proizilaze iz međunarodnih sporazuma koje je BiH potpisala.</w:t>
      </w:r>
    </w:p>
    <w:p w14:paraId="5B642E24" w14:textId="71701373" w:rsidR="00CF7A3C" w:rsidRPr="008924E0" w:rsidRDefault="00CF7A3C" w:rsidP="00CF7A3C">
      <w:pPr>
        <w:pBdr>
          <w:top w:val="nil"/>
          <w:left w:val="nil"/>
          <w:bottom w:val="nil"/>
          <w:right w:val="nil"/>
          <w:between w:val="nil"/>
        </w:pBdr>
        <w:spacing w:after="120" w:line="276" w:lineRule="auto"/>
        <w:rPr>
          <w:color w:val="000000"/>
          <w:lang w:val="bs-Latn-BA"/>
        </w:rPr>
      </w:pPr>
      <w:r w:rsidRPr="008924E0">
        <w:rPr>
          <w:color w:val="000000"/>
          <w:lang w:val="bs-Latn-BA"/>
        </w:rPr>
        <w:t xml:space="preserve">Bosna i Hercegovina je članica Konvencije UN-a o klimatskim promjenama </w:t>
      </w:r>
      <w:r w:rsidRPr="008924E0">
        <w:rPr>
          <w:i/>
          <w:color w:val="000000"/>
          <w:lang w:val="bs-Latn-BA"/>
        </w:rPr>
        <w:t>(United Nations Framework Convention on Climate Change - UNFCCC</w:t>
      </w:r>
      <w:r w:rsidRPr="008924E0">
        <w:rPr>
          <w:color w:val="000000"/>
          <w:lang w:val="bs-Latn-BA"/>
        </w:rPr>
        <w:t>)</w:t>
      </w:r>
      <w:r w:rsidRPr="008924E0">
        <w:rPr>
          <w:color w:val="000000"/>
          <w:vertAlign w:val="superscript"/>
          <w:lang w:val="bs-Latn-BA"/>
        </w:rPr>
        <w:footnoteReference w:id="53"/>
      </w:r>
      <w:r w:rsidRPr="008924E0">
        <w:rPr>
          <w:color w:val="000000"/>
          <w:lang w:val="bs-Latn-BA"/>
        </w:rPr>
        <w:t xml:space="preserve"> od 6. decembra 2000. godine. Kyoto protokol ratificiran je od strane BiH 2008. godine</w:t>
      </w:r>
      <w:r w:rsidRPr="008924E0">
        <w:rPr>
          <w:color w:val="000000"/>
          <w:vertAlign w:val="superscript"/>
          <w:lang w:val="bs-Latn-BA"/>
        </w:rPr>
        <w:footnoteReference w:id="54"/>
      </w:r>
      <w:r w:rsidRPr="008924E0">
        <w:rPr>
          <w:color w:val="000000"/>
          <w:lang w:val="bs-Latn-BA"/>
        </w:rPr>
        <w:t xml:space="preserve"> čime se naša država </w:t>
      </w:r>
      <w:r w:rsidR="00F03625">
        <w:rPr>
          <w:color w:val="000000"/>
          <w:lang w:val="bs-Latn-BA"/>
        </w:rPr>
        <w:t>obvez</w:t>
      </w:r>
      <w:r w:rsidRPr="008924E0">
        <w:rPr>
          <w:color w:val="000000"/>
          <w:lang w:val="bs-Latn-BA"/>
        </w:rPr>
        <w:t>ala na smanjenje emisije stakleničkih plinova, a Pariški sporazum o klimi potpisan je 2017. godine</w:t>
      </w:r>
      <w:r w:rsidRPr="008924E0">
        <w:rPr>
          <w:color w:val="000000"/>
          <w:vertAlign w:val="superscript"/>
          <w:lang w:val="bs-Latn-BA"/>
        </w:rPr>
        <w:footnoteReference w:id="55"/>
      </w:r>
      <w:r w:rsidRPr="008924E0">
        <w:rPr>
          <w:color w:val="000000"/>
          <w:lang w:val="bs-Latn-BA"/>
        </w:rPr>
        <w:t>.</w:t>
      </w:r>
    </w:p>
    <w:p w14:paraId="2D4AF4FE" w14:textId="5383994E" w:rsidR="00CF7A3C" w:rsidRPr="008924E0" w:rsidRDefault="00CF7A3C" w:rsidP="00CF7A3C">
      <w:pPr>
        <w:pBdr>
          <w:top w:val="nil"/>
          <w:left w:val="nil"/>
          <w:bottom w:val="nil"/>
          <w:right w:val="nil"/>
          <w:between w:val="nil"/>
        </w:pBdr>
        <w:spacing w:after="120" w:line="276" w:lineRule="auto"/>
        <w:rPr>
          <w:color w:val="000000"/>
          <w:lang w:val="bs-Latn-BA"/>
        </w:rPr>
      </w:pPr>
      <w:r w:rsidRPr="008924E0">
        <w:rPr>
          <w:color w:val="000000"/>
          <w:lang w:val="bs-Latn-BA"/>
        </w:rPr>
        <w:t>B</w:t>
      </w:r>
      <w:r w:rsidR="00D76CE2">
        <w:rPr>
          <w:color w:val="000000"/>
          <w:lang w:val="bs-Latn-BA"/>
        </w:rPr>
        <w:t xml:space="preserve">osna </w:t>
      </w:r>
      <w:r w:rsidRPr="008924E0">
        <w:rPr>
          <w:color w:val="000000"/>
          <w:lang w:val="bs-Latn-BA"/>
        </w:rPr>
        <w:t>i</w:t>
      </w:r>
      <w:r w:rsidR="00D76CE2">
        <w:rPr>
          <w:color w:val="000000"/>
          <w:lang w:val="bs-Latn-BA"/>
        </w:rPr>
        <w:t xml:space="preserve"> </w:t>
      </w:r>
      <w:r w:rsidRPr="008924E0">
        <w:rPr>
          <w:color w:val="000000"/>
          <w:lang w:val="bs-Latn-BA"/>
        </w:rPr>
        <w:t>H</w:t>
      </w:r>
      <w:r w:rsidR="00D76CE2">
        <w:rPr>
          <w:color w:val="000000"/>
          <w:lang w:val="bs-Latn-BA"/>
        </w:rPr>
        <w:t>ercegovina</w:t>
      </w:r>
      <w:r w:rsidRPr="008924E0">
        <w:rPr>
          <w:color w:val="000000"/>
          <w:lang w:val="bs-Latn-BA"/>
        </w:rPr>
        <w:t xml:space="preserve"> je jedna od prvih zemalja Zapadnog Balkana koja je usvojila ažurirane nacionalno određene doprinose </w:t>
      </w:r>
      <w:r w:rsidRPr="008924E0">
        <w:rPr>
          <w:i/>
          <w:color w:val="000000"/>
          <w:lang w:val="bs-Latn-BA"/>
        </w:rPr>
        <w:t>(Nationally Determined Contribution - NDC)</w:t>
      </w:r>
      <w:r w:rsidRPr="008924E0">
        <w:rPr>
          <w:color w:val="000000"/>
          <w:lang w:val="bs-Latn-BA"/>
        </w:rPr>
        <w:t xml:space="preserve"> sa planom smanjenja emisija stakleničkih plinova (GHG) za 33,2% do 2030. godine i skoro 66% do 2050. godine, u odnosu na nivoe iz 1990. godine. U poređenju sa početnim NDC-om koji je dostavljen 2015. godine, revidirani NDC povećava ciljeve smanjenja emisija za 50% do 2030. godine, s fokusom na ključne sektore zemlje: električnu energiju, daljinsko grijanje, zgrade, industriju, transport, šumarstvo, poljoprivredu i otpad.</w:t>
      </w:r>
    </w:p>
    <w:p w14:paraId="2FA58CEA" w14:textId="6BBCA289" w:rsidR="00CF7A3C" w:rsidRPr="008924E0" w:rsidRDefault="00CF7A3C" w:rsidP="00CF7A3C">
      <w:pPr>
        <w:pBdr>
          <w:top w:val="nil"/>
          <w:left w:val="nil"/>
          <w:bottom w:val="nil"/>
          <w:right w:val="nil"/>
          <w:between w:val="nil"/>
        </w:pBdr>
        <w:spacing w:after="120" w:line="276" w:lineRule="auto"/>
        <w:rPr>
          <w:color w:val="000000"/>
          <w:lang w:val="bs-Latn-BA"/>
        </w:rPr>
      </w:pPr>
      <w:r w:rsidRPr="008924E0">
        <w:rPr>
          <w:color w:val="000000"/>
          <w:lang w:val="bs-Latn-BA"/>
        </w:rPr>
        <w:t>Generalna skupština Ujedinjenih naroda u 2015. godini usvojila Agendu održivog razvoja do 2030. godine</w:t>
      </w:r>
      <w:r w:rsidRPr="008924E0">
        <w:rPr>
          <w:color w:val="000000"/>
          <w:vertAlign w:val="superscript"/>
          <w:lang w:val="bs-Latn-BA"/>
        </w:rPr>
        <w:footnoteReference w:id="56"/>
      </w:r>
      <w:r w:rsidRPr="008924E0">
        <w:rPr>
          <w:color w:val="000000"/>
          <w:lang w:val="bs-Latn-BA"/>
        </w:rPr>
        <w:t xml:space="preserve"> i tom prilikom su sve zemlje članice, uključujući i Bosnu i Hercegovinu, preuzele </w:t>
      </w:r>
      <w:r w:rsidR="00F03625">
        <w:rPr>
          <w:color w:val="000000"/>
          <w:lang w:val="bs-Latn-BA"/>
        </w:rPr>
        <w:t>obvez</w:t>
      </w:r>
      <w:r w:rsidRPr="008924E0">
        <w:rPr>
          <w:color w:val="000000"/>
          <w:lang w:val="bs-Latn-BA"/>
        </w:rPr>
        <w:t xml:space="preserve">u provođenja dokumenta Agende 2030 i globalnih Ciljeva održivog razvoja </w:t>
      </w:r>
      <w:r w:rsidRPr="008924E0">
        <w:rPr>
          <w:i/>
          <w:color w:val="000000"/>
          <w:lang w:val="bs-Latn-BA"/>
        </w:rPr>
        <w:t>(Sustainable Development Goals – SDG).</w:t>
      </w:r>
      <w:r w:rsidRPr="008924E0">
        <w:rPr>
          <w:color w:val="000000"/>
          <w:lang w:val="bs-Latn-BA"/>
        </w:rPr>
        <w:t xml:space="preserve"> Ciljevi Agende održivog razvoja 2030  zvanično su stupili na snagu 1. januara 2016. godine nakon usvajanja rezolucije na samitu UN u septembru 2015. godine.</w:t>
      </w:r>
    </w:p>
    <w:p w14:paraId="7D1BC246" w14:textId="77777777" w:rsidR="00CF7A3C" w:rsidRPr="008924E0" w:rsidRDefault="00CF7A3C" w:rsidP="00CF7A3C">
      <w:pPr>
        <w:spacing w:after="120" w:line="276" w:lineRule="auto"/>
        <w:rPr>
          <w:lang w:val="bs-Latn-BA"/>
        </w:rPr>
      </w:pPr>
      <w:r w:rsidRPr="008924E0">
        <w:rPr>
          <w:lang w:val="bs-Latn-BA"/>
        </w:rPr>
        <w:t xml:space="preserve">Agenda 2030 se sastoji od 17 globalnih ciljeva i 169 podciljeva održivog razvoja, koji predstavljaju plan za stvaranje bolje i održive budućnosti za cijeli svijet. Agenda 2030 se bavi globalnim izazovima sa kojima se cijeli svijet suočava, uključujući siromaštvo, nejednakost, klimatske promjene, degradaciju okoliša, prosperitet, mir i pravdu. </w:t>
      </w:r>
    </w:p>
    <w:p w14:paraId="2CF8EC65" w14:textId="77777777" w:rsidR="00CF7A3C" w:rsidRPr="008924E0" w:rsidRDefault="00CF7A3C" w:rsidP="00CF7A3C">
      <w:pPr>
        <w:spacing w:after="120" w:line="276" w:lineRule="auto"/>
        <w:rPr>
          <w:lang w:val="bs-Latn-BA"/>
        </w:rPr>
      </w:pPr>
      <w:r w:rsidRPr="008924E0">
        <w:rPr>
          <w:lang w:val="bs-Latn-BA"/>
        </w:rPr>
        <w:t>Okvir za Ciljeve održivog razvoja u Bosni i Hercegovini</w:t>
      </w:r>
      <w:r w:rsidRPr="008924E0">
        <w:rPr>
          <w:vertAlign w:val="superscript"/>
          <w:lang w:val="bs-Latn-BA"/>
        </w:rPr>
        <w:footnoteReference w:id="57"/>
      </w:r>
      <w:r w:rsidRPr="008924E0">
        <w:rPr>
          <w:lang w:val="bs-Latn-BA"/>
        </w:rPr>
        <w:t xml:space="preserve"> (SDG), predstavlja zajednički dokument svih nivoa vlasti kojim se utvrđuju širi razvojni pravci, putem kojih vlasti na svim nivoima i društvo u Bosni i Hercegovini nastoje doprinijeti ostvarivanju Ciljeva održivog razvoja:</w:t>
      </w:r>
    </w:p>
    <w:p w14:paraId="6491A6FF" w14:textId="77777777" w:rsidR="00CF7A3C" w:rsidRPr="008924E0" w:rsidRDefault="00CF7A3C" w:rsidP="00CF7A3C">
      <w:pPr>
        <w:numPr>
          <w:ilvl w:val="0"/>
          <w:numId w:val="24"/>
        </w:numPr>
        <w:pBdr>
          <w:top w:val="nil"/>
          <w:left w:val="nil"/>
          <w:bottom w:val="nil"/>
          <w:right w:val="nil"/>
          <w:between w:val="nil"/>
        </w:pBdr>
        <w:spacing w:after="0" w:line="276" w:lineRule="auto"/>
        <w:rPr>
          <w:lang w:val="bs-Latn-BA"/>
        </w:rPr>
      </w:pPr>
      <w:r w:rsidRPr="008924E0">
        <w:rPr>
          <w:color w:val="000000"/>
          <w:lang w:val="bs-Latn-BA"/>
        </w:rPr>
        <w:t xml:space="preserve">Dobra uprava i upravljanje javnim sektorom, </w:t>
      </w:r>
    </w:p>
    <w:p w14:paraId="42C06957" w14:textId="77777777" w:rsidR="00CF7A3C" w:rsidRPr="008924E0" w:rsidRDefault="00CF7A3C" w:rsidP="00CF7A3C">
      <w:pPr>
        <w:numPr>
          <w:ilvl w:val="0"/>
          <w:numId w:val="24"/>
        </w:numPr>
        <w:pBdr>
          <w:top w:val="nil"/>
          <w:left w:val="nil"/>
          <w:bottom w:val="nil"/>
          <w:right w:val="nil"/>
          <w:between w:val="nil"/>
        </w:pBdr>
        <w:spacing w:after="0" w:line="276" w:lineRule="auto"/>
        <w:rPr>
          <w:lang w:val="bs-Latn-BA"/>
        </w:rPr>
      </w:pPr>
      <w:r w:rsidRPr="008924E0">
        <w:rPr>
          <w:color w:val="000000"/>
          <w:lang w:val="bs-Latn-BA"/>
        </w:rPr>
        <w:t xml:space="preserve">Pametni rast, </w:t>
      </w:r>
    </w:p>
    <w:p w14:paraId="6A960D3D" w14:textId="77777777" w:rsidR="00CF7A3C" w:rsidRPr="008924E0" w:rsidRDefault="00CF7A3C" w:rsidP="00CF7A3C">
      <w:pPr>
        <w:numPr>
          <w:ilvl w:val="0"/>
          <w:numId w:val="24"/>
        </w:numPr>
        <w:pBdr>
          <w:top w:val="nil"/>
          <w:left w:val="nil"/>
          <w:bottom w:val="nil"/>
          <w:right w:val="nil"/>
          <w:between w:val="nil"/>
        </w:pBdr>
        <w:spacing w:after="0" w:line="276" w:lineRule="auto"/>
        <w:rPr>
          <w:color w:val="000000"/>
          <w:lang w:val="bs-Latn-BA"/>
        </w:rPr>
      </w:pPr>
      <w:r w:rsidRPr="008924E0">
        <w:rPr>
          <w:color w:val="000000"/>
          <w:lang w:val="bs-Latn-BA"/>
        </w:rPr>
        <w:t>Društvo jednakih mogućnosti.</w:t>
      </w:r>
    </w:p>
    <w:p w14:paraId="1986C6D0" w14:textId="77777777" w:rsidR="00CF7A3C" w:rsidRPr="008924E0" w:rsidRDefault="00CF7A3C" w:rsidP="00CF7A3C">
      <w:pPr>
        <w:spacing w:after="120" w:line="276" w:lineRule="auto"/>
        <w:rPr>
          <w:color w:val="FF0000"/>
          <w:lang w:val="bs-Latn-BA"/>
        </w:rPr>
      </w:pPr>
      <w:r w:rsidRPr="008924E0">
        <w:rPr>
          <w:lang w:val="bs-Latn-BA"/>
        </w:rPr>
        <w:lastRenderedPageBreak/>
        <w:t xml:space="preserve">Uz navedena tri razvojna pravca SDG okvirom, utvrđene su i dvije horizontalne teme, posebno značajne za kontekstualizaciju Agende 2030 u Bosni i Hercegovini, a to su: „Ulaganje u ljudski kapital za budućnost“, te princip „Niko ne smije biti isključen“. </w:t>
      </w:r>
    </w:p>
    <w:p w14:paraId="6285D162" w14:textId="49BFF2CD" w:rsidR="00CF7A3C" w:rsidRPr="008924E0" w:rsidRDefault="00CF7A3C" w:rsidP="00CF7A3C">
      <w:pPr>
        <w:spacing w:after="120" w:line="276" w:lineRule="auto"/>
        <w:rPr>
          <w:lang w:val="bs-Latn-BA"/>
        </w:rPr>
      </w:pPr>
      <w:r w:rsidRPr="008924E0">
        <w:rPr>
          <w:lang w:val="bs-Latn-BA"/>
        </w:rPr>
        <w:t>Europski građevinski fond je relativno star i izuzetno sporo se mijenja. Zgradama se pripisuje oko 40% ukupne potrošnje energije i 36% emisija stakleničkih plinova iz energetskog sektora u EU. Većina postojećih zgrada energijski je neefikasna, a za grijanje i hlađenje uglavnom se koriste fosilna goriva, te stare tehnologije i rastrošni uređaji. Energ</w:t>
      </w:r>
      <w:r w:rsidR="00F311F8">
        <w:rPr>
          <w:lang w:val="bs-Latn-BA"/>
        </w:rPr>
        <w:t>ij</w:t>
      </w:r>
      <w:r w:rsidRPr="008924E0">
        <w:rPr>
          <w:lang w:val="bs-Latn-BA"/>
        </w:rPr>
        <w:t xml:space="preserve">sko siromaštvo i dalje je velik problem za većinu Europljana. </w:t>
      </w:r>
    </w:p>
    <w:p w14:paraId="42BE82CE" w14:textId="77777777" w:rsidR="00CF7A3C" w:rsidRPr="008924E0" w:rsidRDefault="00CF7A3C" w:rsidP="00CF7A3C">
      <w:pPr>
        <w:spacing w:after="120" w:line="276" w:lineRule="auto"/>
        <w:rPr>
          <w:lang w:val="bs-Latn-BA"/>
        </w:rPr>
      </w:pPr>
      <w:r w:rsidRPr="008924E0">
        <w:rPr>
          <w:lang w:val="bs-Latn-BA"/>
        </w:rPr>
        <w:t>U EU se godišnje obnovi 11% postojećeg fonda zgrada, a svega 0,2% zgrada se temeljito obnovi na način da im se potrošnja energije smanji za min. 60 %. Energijska efikasnost je ključna za rješavanje ovih problema, a građevinski sektor jedan od primarnih aktera obnove.</w:t>
      </w:r>
    </w:p>
    <w:p w14:paraId="21ACE963" w14:textId="77777777" w:rsidR="00CF7A3C" w:rsidRPr="008924E0" w:rsidRDefault="00CF7A3C" w:rsidP="00CF7A3C">
      <w:pPr>
        <w:spacing w:after="120" w:line="276" w:lineRule="auto"/>
        <w:rPr>
          <w:lang w:val="bs-Latn-BA"/>
        </w:rPr>
      </w:pPr>
      <w:r w:rsidRPr="008924E0">
        <w:rPr>
          <w:lang w:val="bs-Latn-BA"/>
        </w:rPr>
        <w:t xml:space="preserve">U cilju smanjenja emisija za 55%, EU bi do 2030. godine trebala smanjiti emisije stakleničkih plinova iz zgrada za 60%, njihovu potrošnju finalne energije za 14%, te potrošnju energije za grijanje i hlađenje za 18%. </w:t>
      </w:r>
    </w:p>
    <w:p w14:paraId="0182388F" w14:textId="6A27EA5A" w:rsidR="00CF7A3C" w:rsidRPr="008924E0" w:rsidRDefault="00CF7A3C" w:rsidP="00CF7A3C">
      <w:pPr>
        <w:spacing w:after="120" w:line="276" w:lineRule="auto"/>
        <w:rPr>
          <w:lang w:val="bs-Latn-BA"/>
        </w:rPr>
      </w:pPr>
      <w:r w:rsidRPr="008924E0">
        <w:rPr>
          <w:lang w:val="bs-Latn-BA"/>
        </w:rPr>
        <w:t>Kao odgovor na postavljene izazove, pripremljen</w:t>
      </w:r>
      <w:r w:rsidR="00D76CE2">
        <w:rPr>
          <w:lang w:val="bs-Latn-BA"/>
        </w:rPr>
        <w:t xml:space="preserve"> </w:t>
      </w:r>
      <w:r w:rsidRPr="008924E0">
        <w:rPr>
          <w:lang w:val="bs-Latn-BA"/>
        </w:rPr>
        <w:t xml:space="preserve">je dokument “Val obnove za Europu” </w:t>
      </w:r>
      <w:r w:rsidRPr="008924E0">
        <w:rPr>
          <w:i/>
          <w:lang w:val="bs-Latn-BA"/>
        </w:rPr>
        <w:t>(A Renovation Wave for Europe - greening our buildings, creating jobs, improving lives</w:t>
      </w:r>
      <w:r w:rsidRPr="008924E0">
        <w:rPr>
          <w:i/>
          <w:vertAlign w:val="superscript"/>
          <w:lang w:val="bs-Latn-BA"/>
        </w:rPr>
        <w:footnoteReference w:id="58"/>
      </w:r>
      <w:r w:rsidRPr="008924E0">
        <w:rPr>
          <w:i/>
          <w:lang w:val="bs-Latn-BA"/>
        </w:rPr>
        <w:t>).</w:t>
      </w:r>
    </w:p>
    <w:p w14:paraId="7BC08543" w14:textId="77777777" w:rsidR="00CF7A3C" w:rsidRPr="008924E0" w:rsidRDefault="00CF7A3C" w:rsidP="00CF7A3C">
      <w:pPr>
        <w:spacing w:after="120" w:line="276" w:lineRule="auto"/>
        <w:rPr>
          <w:lang w:val="bs-Latn-BA"/>
        </w:rPr>
      </w:pPr>
      <w:r w:rsidRPr="008924E0">
        <w:rPr>
          <w:lang w:val="bs-Latn-BA"/>
        </w:rPr>
        <w:t>Gotovo  85% građevinskog fonda EU, izgrađeno je prije 2001. godine. Procentualno, 85-95% zgrada koje danas postoje i dalje će postojati 2050. godine. Europska komisija je zato predložila, a 2021. godine i usvojila novi ciljni plan za klimu 2030 kojim se definira potreba da se u EU smanji emisija  stakleničkih plinova za najmanje 55% do 2030. godine u poređenju sa 1990. godinom. Energijska efikasnost je pri tom određena kao suštinski pravac djelovanja, a sektor zgradarstva jedno od područja u kojem se ulaganja za unaprijeđenje moraju povećati.</w:t>
      </w:r>
    </w:p>
    <w:p w14:paraId="23C547D7" w14:textId="277D7D5D" w:rsidR="00CF7A3C" w:rsidRPr="008924E0" w:rsidRDefault="00CF7A3C" w:rsidP="00CF7A3C">
      <w:pPr>
        <w:spacing w:after="120" w:line="276" w:lineRule="auto"/>
        <w:rPr>
          <w:lang w:val="bs-Latn-BA"/>
        </w:rPr>
      </w:pPr>
      <w:r w:rsidRPr="008924E0">
        <w:rPr>
          <w:lang w:val="bs-Latn-BA"/>
        </w:rPr>
        <w:t xml:space="preserve">U narednom periodu očekuje se usklađivanje </w:t>
      </w:r>
      <w:r w:rsidR="00F03625">
        <w:rPr>
          <w:lang w:val="bs-Latn-BA"/>
        </w:rPr>
        <w:t>obvez</w:t>
      </w:r>
      <w:r w:rsidRPr="008924E0">
        <w:rPr>
          <w:lang w:val="bs-Latn-BA"/>
        </w:rPr>
        <w:t xml:space="preserve">a članica Energetske zajednice sa </w:t>
      </w:r>
      <w:r w:rsidR="00F03625">
        <w:rPr>
          <w:lang w:val="bs-Latn-BA"/>
        </w:rPr>
        <w:t>obvez</w:t>
      </w:r>
      <w:r w:rsidRPr="008924E0">
        <w:rPr>
          <w:lang w:val="bs-Latn-BA"/>
        </w:rPr>
        <w:t>ama zemalja članica EU.</w:t>
      </w:r>
    </w:p>
    <w:p w14:paraId="6261C2B8" w14:textId="7FAA1EDF" w:rsidR="00CF7A3C" w:rsidRPr="008924E0" w:rsidRDefault="00CF7A3C" w:rsidP="00CF7A3C">
      <w:pPr>
        <w:spacing w:after="120" w:line="276" w:lineRule="auto"/>
        <w:rPr>
          <w:lang w:val="bs-Latn-BA"/>
        </w:rPr>
      </w:pPr>
      <w:r w:rsidRPr="008924E0">
        <w:rPr>
          <w:lang w:val="bs-Latn-BA"/>
        </w:rPr>
        <w:t xml:space="preserve">Obnova zgrada donosi i druge </w:t>
      </w:r>
      <w:r w:rsidR="000F1F2F">
        <w:rPr>
          <w:lang w:val="bs-Latn-BA"/>
        </w:rPr>
        <w:t>koristi</w:t>
      </w:r>
      <w:r w:rsidRPr="008924E0">
        <w:rPr>
          <w:lang w:val="bs-Latn-BA"/>
        </w:rPr>
        <w:t xml:space="preserve"> pored štednje energije i smanjenja emisije stakleničkih plinova kao što su socijalni i zdravstveni aspekti, smanjenje pretvaranja poljoprivrednog i šumskog zemljišta u građevinsko, te samim tim očuvanje poljoprivrednog zemljišta i šuma. Posebno treba istaći pokretanje ekonomije kroz otvaranje novih radnih mjesta u građevinskoj industriji.</w:t>
      </w:r>
    </w:p>
    <w:p w14:paraId="5B77EED9" w14:textId="56EDA827" w:rsidR="00CF7A3C" w:rsidRPr="008924E0" w:rsidRDefault="00CF7A3C" w:rsidP="00CF7A3C">
      <w:pPr>
        <w:spacing w:after="120" w:line="276" w:lineRule="auto"/>
        <w:rPr>
          <w:lang w:val="bs-Latn-BA"/>
        </w:rPr>
      </w:pPr>
      <w:r w:rsidRPr="008924E0">
        <w:rPr>
          <w:lang w:val="bs-Latn-BA"/>
        </w:rPr>
        <w:t>Europska unija je postavila dugoročni cilj smanjenja emisija CO</w:t>
      </w:r>
      <w:r w:rsidRPr="000159AA">
        <w:rPr>
          <w:vertAlign w:val="subscript"/>
          <w:lang w:val="bs-Latn-BA"/>
        </w:rPr>
        <w:t>2</w:t>
      </w:r>
      <w:r w:rsidRPr="008924E0">
        <w:rPr>
          <w:lang w:val="bs-Latn-BA"/>
        </w:rPr>
        <w:t xml:space="preserve"> iz sektora zgradarstva od 80-95% do 2050. godine. Kao zemlja koja teži članstvu u EU, BiH radi na usklađivanju sa politikama i akcijama EU. Okvir za klimu i energiju EU do 2030. godine</w:t>
      </w:r>
      <w:r w:rsidRPr="008924E0">
        <w:rPr>
          <w:vertAlign w:val="superscript"/>
          <w:lang w:val="bs-Latn-BA"/>
        </w:rPr>
        <w:footnoteReference w:id="59"/>
      </w:r>
      <w:r w:rsidRPr="008924E0">
        <w:rPr>
          <w:lang w:val="bs-Latn-BA"/>
        </w:rPr>
        <w:t xml:space="preserve"> predstavlja tri ključna cilja koja treba postići do 2030. godine: najmanje 55% smanjenja emisija stakleničkih plinova (u odnosu na nivo iz 1990. godine), najmanje 32% učešća energije iz obnovljivih izvora i unapređenje energijske efikasnosti od najmanje 32,5%. Radi efikasnijeg provođenja </w:t>
      </w:r>
      <w:r w:rsidR="00F03625">
        <w:rPr>
          <w:lang w:val="bs-Latn-BA"/>
        </w:rPr>
        <w:t>obvez</w:t>
      </w:r>
      <w:r w:rsidRPr="008924E0">
        <w:rPr>
          <w:lang w:val="bs-Latn-BA"/>
        </w:rPr>
        <w:t>a preuzetih Pariškim sporazumom, Europska komisija je usvojila Europski Zeleni plan</w:t>
      </w:r>
      <w:r w:rsidRPr="008924E0">
        <w:rPr>
          <w:vertAlign w:val="superscript"/>
          <w:lang w:val="bs-Latn-BA"/>
        </w:rPr>
        <w:footnoteReference w:id="60"/>
      </w:r>
      <w:r w:rsidRPr="008924E0">
        <w:rPr>
          <w:lang w:val="bs-Latn-BA"/>
        </w:rPr>
        <w:t xml:space="preserve">, skup politika i mjera čijim provođenjem bi EU postala klimatski neutralna do 2050. godine. </w:t>
      </w:r>
    </w:p>
    <w:p w14:paraId="2312EB27" w14:textId="5E1FEE6F" w:rsidR="00CF7A3C" w:rsidRPr="008924E0" w:rsidRDefault="00CF7A3C" w:rsidP="00CF7A3C">
      <w:pPr>
        <w:pBdr>
          <w:top w:val="nil"/>
          <w:left w:val="nil"/>
          <w:bottom w:val="nil"/>
          <w:right w:val="nil"/>
          <w:between w:val="nil"/>
        </w:pBdr>
        <w:spacing w:after="120" w:line="276" w:lineRule="auto"/>
        <w:rPr>
          <w:color w:val="000000"/>
          <w:lang w:val="bs-Latn-BA"/>
        </w:rPr>
      </w:pPr>
      <w:r w:rsidRPr="008924E0">
        <w:rPr>
          <w:color w:val="000000"/>
          <w:lang w:val="bs-Latn-BA"/>
        </w:rPr>
        <w:lastRenderedPageBreak/>
        <w:t>Europskim zelenim planom predviđena je i Zelena agenda za Zapadni Balkan</w:t>
      </w:r>
      <w:r w:rsidRPr="008924E0">
        <w:rPr>
          <w:color w:val="000000"/>
          <w:vertAlign w:val="superscript"/>
          <w:lang w:val="bs-Latn-BA"/>
        </w:rPr>
        <w:footnoteReference w:id="61"/>
      </w:r>
      <w:r w:rsidRPr="008924E0">
        <w:rPr>
          <w:color w:val="000000"/>
          <w:lang w:val="bs-Latn-BA"/>
        </w:rPr>
        <w:t xml:space="preserve">. Bosna i Hercegovina je, 10. novembra 2020. godine, na Samitu u Sofiji, potpisala Deklaraciju o Zelenoj agendi za Zapadni Balkan, kojom se </w:t>
      </w:r>
      <w:r w:rsidR="00F03625">
        <w:rPr>
          <w:color w:val="000000"/>
          <w:lang w:val="bs-Latn-BA"/>
        </w:rPr>
        <w:t>obvez</w:t>
      </w:r>
      <w:r w:rsidRPr="008924E0">
        <w:rPr>
          <w:color w:val="000000"/>
          <w:lang w:val="bs-Latn-BA"/>
        </w:rPr>
        <w:t xml:space="preserve">ala na provođenje ovog dokumenta kroz pet ključnih oblasti: klimatske promjene (dekarbonizacija, energetika, mobilnost), cirkularna ekonomija (otpad, recikliranje, održiva proizvodnja, efikasna upotreba resursa), biodiverzitet (zaštita i obnova ekosistema), borba protiv zagađenja zraka, vode, zemljišta i tla, te održivost ruralnih područja. Time se BiH </w:t>
      </w:r>
      <w:r w:rsidR="00F03625">
        <w:rPr>
          <w:color w:val="000000"/>
          <w:lang w:val="bs-Latn-BA"/>
        </w:rPr>
        <w:t>obvez</w:t>
      </w:r>
      <w:r w:rsidRPr="008924E0">
        <w:rPr>
          <w:color w:val="000000"/>
          <w:lang w:val="bs-Latn-BA"/>
        </w:rPr>
        <w:t>ala da će zajedno sa EU i ostalim državama potpisnicama Deklaracije raditi na cilju postizanja ugljične neutralnosti kontinenta do 2050. godine</w:t>
      </w:r>
      <w:r w:rsidR="00D76CE2">
        <w:rPr>
          <w:color w:val="000000"/>
          <w:lang w:val="bs-Latn-BA"/>
        </w:rPr>
        <w:t>. To znači</w:t>
      </w:r>
      <w:r w:rsidRPr="008924E0">
        <w:rPr>
          <w:color w:val="000000"/>
          <w:lang w:val="bs-Latn-BA"/>
        </w:rPr>
        <w:t xml:space="preserve"> uvođenje stroge klimatske politike i reformom energetskog i transportnog sektora, a posebno, između ostalog, dati prednost energijskoj efikasnosti i poboljšati je u svim sektorima, kao i podržati privatne i javne šeme obnove zgrada, osigurati adekvatno </w:t>
      </w:r>
      <w:r w:rsidR="007B690C">
        <w:rPr>
          <w:color w:val="000000"/>
          <w:lang w:val="bs-Latn-BA"/>
        </w:rPr>
        <w:t>financ</w:t>
      </w:r>
      <w:r w:rsidRPr="008924E0">
        <w:rPr>
          <w:color w:val="000000"/>
          <w:lang w:val="bs-Latn-BA"/>
        </w:rPr>
        <w:t>iranje i potpuno izvršenje Direktive 2010/31/EU o energijskim svojstvima zgrada</w:t>
      </w:r>
      <w:r w:rsidRPr="008924E0">
        <w:rPr>
          <w:color w:val="000000"/>
          <w:vertAlign w:val="superscript"/>
          <w:lang w:val="bs-Latn-BA"/>
        </w:rPr>
        <w:footnoteReference w:id="62"/>
      </w:r>
      <w:r w:rsidRPr="008924E0">
        <w:rPr>
          <w:color w:val="000000"/>
          <w:lang w:val="bs-Latn-BA"/>
        </w:rPr>
        <w:t xml:space="preserve"> (EPBD), koja je prilagođena okviru Energetske Zajednice.</w:t>
      </w:r>
      <w:r w:rsidRPr="008924E0">
        <w:rPr>
          <w:color w:val="000000"/>
          <w:vertAlign w:val="superscript"/>
          <w:lang w:val="bs-Latn-BA"/>
        </w:rPr>
        <w:footnoteReference w:id="63"/>
      </w:r>
      <w:r w:rsidRPr="008924E0">
        <w:rPr>
          <w:color w:val="000000"/>
          <w:lang w:val="bs-Latn-BA"/>
        </w:rPr>
        <w:t xml:space="preserve"> </w:t>
      </w:r>
    </w:p>
    <w:p w14:paraId="27D3F55C" w14:textId="77777777" w:rsidR="00CF7A3C" w:rsidRPr="008924E0" w:rsidRDefault="00CF7A3C" w:rsidP="00CF7A3C">
      <w:pPr>
        <w:rPr>
          <w:lang w:val="bs-Latn-BA"/>
        </w:rPr>
      </w:pPr>
      <w:r w:rsidRPr="008924E0">
        <w:rPr>
          <w:lang w:val="bs-Latn-BA"/>
        </w:rPr>
        <w:t xml:space="preserve">Bosna i Hercegovina je kao ugovorna strana EnZ obvezna da izradi Integrirani nacionalni energetski i klimatski plan (NECP) u skladu s preporukom Ministarskog vijeća EU 2018/1/MC-EnC. Plan obuhvata 5 različite oblasti/dimenzija, a to su: </w:t>
      </w:r>
    </w:p>
    <w:p w14:paraId="09789B20" w14:textId="6157E2A9" w:rsidR="00CF7A3C" w:rsidRPr="008924E0" w:rsidRDefault="009F2821" w:rsidP="00CF7A3C">
      <w:pPr>
        <w:numPr>
          <w:ilvl w:val="0"/>
          <w:numId w:val="25"/>
        </w:numPr>
        <w:pBdr>
          <w:top w:val="nil"/>
          <w:left w:val="nil"/>
          <w:bottom w:val="nil"/>
          <w:right w:val="nil"/>
          <w:between w:val="nil"/>
        </w:pBdr>
        <w:spacing w:after="0"/>
        <w:rPr>
          <w:lang w:val="bs-Latn-BA"/>
        </w:rPr>
      </w:pPr>
      <w:r>
        <w:rPr>
          <w:color w:val="000000"/>
          <w:lang w:val="bs-Latn-BA"/>
        </w:rPr>
        <w:t>energetska sigurnost</w:t>
      </w:r>
      <w:r w:rsidR="00CF7A3C" w:rsidRPr="008924E0">
        <w:rPr>
          <w:color w:val="000000"/>
          <w:lang w:val="bs-Latn-BA"/>
        </w:rPr>
        <w:t>,</w:t>
      </w:r>
    </w:p>
    <w:p w14:paraId="72E3BFC9" w14:textId="77777777" w:rsidR="00CF7A3C" w:rsidRPr="008924E0" w:rsidRDefault="00CF7A3C" w:rsidP="00CF7A3C">
      <w:pPr>
        <w:numPr>
          <w:ilvl w:val="0"/>
          <w:numId w:val="25"/>
        </w:numPr>
        <w:pBdr>
          <w:top w:val="nil"/>
          <w:left w:val="nil"/>
          <w:bottom w:val="nil"/>
          <w:right w:val="nil"/>
          <w:between w:val="nil"/>
        </w:pBdr>
        <w:spacing w:after="0"/>
        <w:rPr>
          <w:lang w:val="bs-Latn-BA"/>
        </w:rPr>
      </w:pPr>
      <w:r w:rsidRPr="008924E0">
        <w:rPr>
          <w:color w:val="000000"/>
          <w:lang w:val="bs-Latn-BA"/>
        </w:rPr>
        <w:t>puna integracija unutrašnjeg tržišta energije,</w:t>
      </w:r>
    </w:p>
    <w:p w14:paraId="264185D2" w14:textId="77777777" w:rsidR="00CF7A3C" w:rsidRPr="008924E0" w:rsidRDefault="00CF7A3C" w:rsidP="00CF7A3C">
      <w:pPr>
        <w:numPr>
          <w:ilvl w:val="0"/>
          <w:numId w:val="25"/>
        </w:numPr>
        <w:pBdr>
          <w:top w:val="nil"/>
          <w:left w:val="nil"/>
          <w:bottom w:val="nil"/>
          <w:right w:val="nil"/>
          <w:between w:val="nil"/>
        </w:pBdr>
        <w:spacing w:after="0"/>
        <w:rPr>
          <w:lang w:val="bs-Latn-BA"/>
        </w:rPr>
      </w:pPr>
      <w:r w:rsidRPr="008924E0">
        <w:rPr>
          <w:color w:val="000000"/>
          <w:lang w:val="bs-Latn-BA"/>
        </w:rPr>
        <w:t xml:space="preserve">energijska efikasnost, </w:t>
      </w:r>
    </w:p>
    <w:p w14:paraId="3AB7903F" w14:textId="77777777" w:rsidR="00CF7A3C" w:rsidRPr="008924E0" w:rsidRDefault="00CF7A3C" w:rsidP="00CF7A3C">
      <w:pPr>
        <w:numPr>
          <w:ilvl w:val="0"/>
          <w:numId w:val="25"/>
        </w:numPr>
        <w:pBdr>
          <w:top w:val="nil"/>
          <w:left w:val="nil"/>
          <w:bottom w:val="nil"/>
          <w:right w:val="nil"/>
          <w:between w:val="nil"/>
        </w:pBdr>
        <w:spacing w:after="0"/>
        <w:rPr>
          <w:lang w:val="bs-Latn-BA"/>
        </w:rPr>
      </w:pPr>
      <w:r w:rsidRPr="008924E0">
        <w:rPr>
          <w:color w:val="000000"/>
          <w:lang w:val="bs-Latn-BA"/>
        </w:rPr>
        <w:t xml:space="preserve">dekarbonizacija, </w:t>
      </w:r>
    </w:p>
    <w:p w14:paraId="2F259B40" w14:textId="77777777" w:rsidR="00CF7A3C" w:rsidRPr="008924E0" w:rsidRDefault="00CF7A3C" w:rsidP="00CF7A3C">
      <w:pPr>
        <w:numPr>
          <w:ilvl w:val="0"/>
          <w:numId w:val="25"/>
        </w:numPr>
        <w:pBdr>
          <w:top w:val="nil"/>
          <w:left w:val="nil"/>
          <w:bottom w:val="nil"/>
          <w:right w:val="nil"/>
          <w:between w:val="nil"/>
        </w:pBdr>
        <w:rPr>
          <w:lang w:val="bs-Latn-BA"/>
        </w:rPr>
      </w:pPr>
      <w:r w:rsidRPr="008924E0">
        <w:rPr>
          <w:color w:val="000000"/>
          <w:lang w:val="bs-Latn-BA"/>
        </w:rPr>
        <w:t xml:space="preserve">istraživanje, inovacije i konkurentnost. </w:t>
      </w:r>
    </w:p>
    <w:p w14:paraId="50C1C256" w14:textId="77777777" w:rsidR="00CF7A3C" w:rsidRPr="008924E0" w:rsidRDefault="00CF7A3C" w:rsidP="00CF7A3C">
      <w:pPr>
        <w:rPr>
          <w:color w:val="FF0000"/>
          <w:lang w:val="bs-Latn-BA"/>
        </w:rPr>
      </w:pPr>
      <w:r w:rsidRPr="008924E0">
        <w:rPr>
          <w:lang w:val="bs-Latn-BA"/>
        </w:rPr>
        <w:t>Uredbom EU 2018/1999 o upravljanju energetskom unijom i djelovanjem u području klime, utvrđuje se potrebni zakonodavni temelj za pouzdano, uključivo, troškovno efikasno, transparentno i predvidljivo upravljanje energetskom unijom i djelovanjem u području klime („mehanizam upravljanja”), kojim se osigurava ostvarivanje ciljeva energetske unije za 2030. godinu i dugoročnih ciljeva u skladu s Pariškim sporazumom o promjeni klime.</w:t>
      </w:r>
    </w:p>
    <w:p w14:paraId="34494026" w14:textId="77777777" w:rsidR="00CF7A3C" w:rsidRPr="008924E0" w:rsidRDefault="00CF7A3C" w:rsidP="00CF7A3C">
      <w:pPr>
        <w:rPr>
          <w:lang w:val="bs-Latn-BA"/>
        </w:rPr>
      </w:pPr>
      <w:r w:rsidRPr="008924E0">
        <w:rPr>
          <w:lang w:val="bs-Latn-BA"/>
        </w:rPr>
        <w:t>Trenutno je u procesu izrada Integriranog energetskog i klimatskog plana BiH za period 2021-2030. Implementacija NECP-a će omogućiti BiH integraciju energetskih i klimatskih ciljeva kao i odgovarajućih politika i mjera, čime će doprinijeti usklađivanju energetskih politika s politikama Europske unije. Samim tim će se smanjiti administrativna opterećenja i osigurati veća povezanost i dugoročnija predvidljivost investicija.</w:t>
      </w:r>
    </w:p>
    <w:p w14:paraId="792EC2A6" w14:textId="77777777" w:rsidR="00CF7A3C" w:rsidRPr="008924E0" w:rsidRDefault="00CF7A3C" w:rsidP="00CF7A3C">
      <w:pPr>
        <w:spacing w:after="120" w:line="276" w:lineRule="auto"/>
        <w:rPr>
          <w:lang w:val="bs-Latn-BA"/>
        </w:rPr>
      </w:pPr>
      <w:r w:rsidRPr="008924E0">
        <w:rPr>
          <w:lang w:val="bs-Latn-BA"/>
        </w:rPr>
        <w:t xml:space="preserve">Proces planiranja energijske efikasnosti u Bosni i Hercegovini i njenim entitetima, osigurava kontinuitet implementacije ciljeva. </w:t>
      </w:r>
    </w:p>
    <w:p w14:paraId="11EE5A23" w14:textId="77777777" w:rsidR="00CF7A3C" w:rsidRPr="008924E0" w:rsidRDefault="00CF7A3C" w:rsidP="00581C1C">
      <w:pPr>
        <w:pStyle w:val="Heading3"/>
        <w:numPr>
          <w:ilvl w:val="2"/>
          <w:numId w:val="54"/>
        </w:numPr>
      </w:pPr>
      <w:bookmarkStart w:id="181" w:name="_Toc134011807"/>
      <w:r w:rsidRPr="008924E0">
        <w:t>Kontekst politike energijske efikasnosti u Bosni i Hercegovini</w:t>
      </w:r>
      <w:bookmarkEnd w:id="181"/>
    </w:p>
    <w:p w14:paraId="00049FB3" w14:textId="77777777" w:rsidR="00CF7A3C" w:rsidRPr="008924E0" w:rsidRDefault="00CF7A3C" w:rsidP="00CF7A3C">
      <w:pPr>
        <w:shd w:val="clear" w:color="auto" w:fill="FFFFFF"/>
        <w:spacing w:after="120" w:line="276" w:lineRule="auto"/>
        <w:rPr>
          <w:color w:val="0D0D0D"/>
          <w:lang w:val="bs-Latn-BA"/>
        </w:rPr>
      </w:pPr>
      <w:r w:rsidRPr="008924E0">
        <w:rPr>
          <w:color w:val="0D0D0D"/>
          <w:lang w:val="bs-Latn-BA"/>
        </w:rPr>
        <w:t>Bosna i Hercegovina je kompleksno ustrojena demokratska zemlja. Ustavom BiH uspostavljen je multietnički sistem vlasti sa asimetričnom i složenom upravnom strukturom.</w:t>
      </w:r>
    </w:p>
    <w:p w14:paraId="4C6F453B" w14:textId="77777777" w:rsidR="00CF7A3C" w:rsidRPr="008924E0" w:rsidRDefault="00CF7A3C" w:rsidP="00CF7A3C">
      <w:pPr>
        <w:shd w:val="clear" w:color="auto" w:fill="FFFFFF"/>
        <w:spacing w:after="120" w:line="276" w:lineRule="auto"/>
        <w:rPr>
          <w:color w:val="0D0D0D"/>
          <w:lang w:val="bs-Latn-BA"/>
        </w:rPr>
      </w:pPr>
      <w:r w:rsidRPr="008924E0">
        <w:rPr>
          <w:b/>
          <w:color w:val="0D0D0D"/>
          <w:highlight w:val="white"/>
          <w:lang w:val="bs-Latn-BA"/>
        </w:rPr>
        <w:t>Bosna i Hercegovina</w:t>
      </w:r>
      <w:r w:rsidRPr="008924E0">
        <w:rPr>
          <w:color w:val="0D0D0D"/>
          <w:lang w:val="bs-Latn-BA"/>
        </w:rPr>
        <w:t xml:space="preserve"> se sastoji od dva entiteta i jednog distrikta: Federacije Bosne i Hercegovine (FBiH) i Republike Srpske (RS), i Brčko distrikta Bosne i Hercegovine. Oba entiteta imaju svoje ustave, vlade </w:t>
      </w:r>
      <w:r w:rsidRPr="008924E0">
        <w:rPr>
          <w:color w:val="0D0D0D"/>
          <w:lang w:val="bs-Latn-BA"/>
        </w:rPr>
        <w:lastRenderedPageBreak/>
        <w:t>kao izvršnu vlast i parlamente kao zakonodavnu vlast, dok Brčko distrikt Bosne i Hercegovine ima svoj Statut.</w:t>
      </w:r>
    </w:p>
    <w:p w14:paraId="63BFD2E8" w14:textId="77777777" w:rsidR="00CF7A3C" w:rsidRPr="008924E0" w:rsidRDefault="00CF7A3C" w:rsidP="00CF7A3C">
      <w:pPr>
        <w:shd w:val="clear" w:color="auto" w:fill="FFFFFF"/>
        <w:spacing w:after="120" w:line="276" w:lineRule="auto"/>
        <w:rPr>
          <w:color w:val="0D0D0D"/>
          <w:lang w:val="bs-Latn-BA"/>
        </w:rPr>
      </w:pPr>
      <w:r w:rsidRPr="008924E0">
        <w:rPr>
          <w:b/>
          <w:color w:val="0D0D0D"/>
          <w:lang w:val="bs-Latn-BA"/>
        </w:rPr>
        <w:t>Federacija BiH</w:t>
      </w:r>
      <w:r w:rsidRPr="008924E0">
        <w:rPr>
          <w:color w:val="0D0D0D"/>
          <w:lang w:val="bs-Latn-BA"/>
        </w:rPr>
        <w:t xml:space="preserve"> se sastoji od deset (10) federalnih jedinica, kantona, od kojih svaki ima vlastiti ustav, skupštinu, vladu i sudske nadležnosti. U FBiH postoji ukupno jedanaest ustava, vlada i zakonodavnih tijela (deset kantonalnih i jedan na nivou entiteta). Pored toga, </w:t>
      </w:r>
      <w:r w:rsidRPr="008924E0">
        <w:rPr>
          <w:color w:val="0D0D0D"/>
          <w:highlight w:val="white"/>
          <w:lang w:val="bs-Latn-BA"/>
        </w:rPr>
        <w:t>dalje su podijeljeni na sedamdeset devet (79) općina i gradova, odnosno jedinica lokalne samouprave koje imaju izvršne i zakonodavne nadležnosti.</w:t>
      </w:r>
    </w:p>
    <w:p w14:paraId="510AFA41" w14:textId="77777777" w:rsidR="00CF7A3C" w:rsidRPr="008924E0" w:rsidRDefault="00CF7A3C" w:rsidP="00CF7A3C">
      <w:pPr>
        <w:shd w:val="clear" w:color="auto" w:fill="FFFFFF"/>
        <w:spacing w:after="120" w:line="276" w:lineRule="auto"/>
        <w:rPr>
          <w:color w:val="0D0D0D"/>
          <w:lang w:val="bs-Latn-BA"/>
        </w:rPr>
      </w:pPr>
      <w:r w:rsidRPr="008924E0">
        <w:rPr>
          <w:b/>
          <w:color w:val="0D0D0D"/>
          <w:lang w:val="bs-Latn-BA"/>
        </w:rPr>
        <w:t>Republika Srpska</w:t>
      </w:r>
      <w:r w:rsidRPr="008924E0">
        <w:rPr>
          <w:color w:val="0D0D0D"/>
          <w:lang w:val="bs-Latn-BA"/>
        </w:rPr>
        <w:t xml:space="preserve"> je jedinstven ustavni i pravni entitet sa jednim nižim nivoom koji se sastoji od šezdeset dvije (62) općine.</w:t>
      </w:r>
    </w:p>
    <w:p w14:paraId="2D2F5FA3" w14:textId="13091D1D" w:rsidR="00CF7A3C" w:rsidRPr="008924E0" w:rsidRDefault="00CF7A3C" w:rsidP="00CF7A3C">
      <w:pPr>
        <w:shd w:val="clear" w:color="auto" w:fill="FFFFFF"/>
        <w:spacing w:after="120" w:line="276" w:lineRule="auto"/>
        <w:rPr>
          <w:color w:val="0D0D0D"/>
          <w:lang w:val="bs-Latn-BA"/>
        </w:rPr>
      </w:pPr>
      <w:r w:rsidRPr="008924E0">
        <w:rPr>
          <w:b/>
          <w:color w:val="0D0D0D"/>
          <w:lang w:val="bs-Latn-BA"/>
        </w:rPr>
        <w:t xml:space="preserve">Distrikt Brčko </w:t>
      </w:r>
      <w:r w:rsidRPr="008924E0">
        <w:rPr>
          <w:color w:val="0D0D0D"/>
          <w:lang w:val="bs-Latn-BA"/>
        </w:rPr>
        <w:t>je 1999. godine odlukom međunarodnog arbitražnog tribunala proglašeno distriktom koji zajednički pripada entitetima ali nije pod upravom ni jednog od entiteta. Državni zakoni se direktno primjenjuju u Distriktu, a njegove nadležnosti su približno jednake entitetskim (i uključuju izvršnu, pravnu i sudsku vlast). </w:t>
      </w:r>
    </w:p>
    <w:p w14:paraId="0D74C9C2" w14:textId="77777777" w:rsidR="00CF7A3C" w:rsidRPr="008924E0" w:rsidRDefault="00CF7A3C" w:rsidP="00CF7A3C">
      <w:pPr>
        <w:shd w:val="clear" w:color="auto" w:fill="FFFFFF"/>
        <w:spacing w:after="120" w:line="276" w:lineRule="auto"/>
        <w:rPr>
          <w:color w:val="0D0D0D"/>
          <w:lang w:val="bs-Latn-BA"/>
        </w:rPr>
      </w:pPr>
      <w:r w:rsidRPr="008924E0">
        <w:rPr>
          <w:color w:val="0D0D0D"/>
          <w:lang w:val="bs-Latn-BA"/>
        </w:rPr>
        <w:t xml:space="preserve">Ustavom BiH je definirana podjela nadležnosti između države i entiteta. Ustav nabraja specifične nadležnosti države i entiteta i navodi da su </w:t>
      </w:r>
      <w:r w:rsidRPr="008924E0">
        <w:rPr>
          <w:color w:val="0D0D0D"/>
          <w:highlight w:val="white"/>
          <w:lang w:val="bs-Latn-BA"/>
        </w:rPr>
        <w:t>FBiH i RS nadležne za sve oblasti za koje nadležnost nije izričito dodijeljena centralnim vlastima.</w:t>
      </w:r>
    </w:p>
    <w:p w14:paraId="546CCD46" w14:textId="77777777" w:rsidR="00CF7A3C" w:rsidRPr="008924E0" w:rsidRDefault="00CF7A3C" w:rsidP="00CF7A3C">
      <w:pPr>
        <w:numPr>
          <w:ilvl w:val="0"/>
          <w:numId w:val="6"/>
        </w:numPr>
        <w:shd w:val="clear" w:color="auto" w:fill="FFFFFF"/>
        <w:spacing w:after="120" w:line="276" w:lineRule="auto"/>
        <w:ind w:left="567" w:hanging="283"/>
        <w:rPr>
          <w:color w:val="0D0D0D"/>
          <w:lang w:val="bs-Latn-BA"/>
        </w:rPr>
      </w:pPr>
      <w:r w:rsidRPr="008924E0">
        <w:rPr>
          <w:b/>
          <w:color w:val="0D0D0D"/>
          <w:lang w:val="bs-Latn-BA"/>
        </w:rPr>
        <w:t>FBiH</w:t>
      </w:r>
      <w:r w:rsidRPr="008924E0">
        <w:rPr>
          <w:color w:val="0D0D0D"/>
          <w:highlight w:val="white"/>
          <w:lang w:val="bs-Latn-BA"/>
        </w:rPr>
        <w:t>:</w:t>
      </w:r>
      <w:r w:rsidRPr="008924E0">
        <w:rPr>
          <w:color w:val="0D0D0D"/>
          <w:lang w:val="bs-Latn-BA"/>
        </w:rPr>
        <w:t xml:space="preserve"> Ustav navodi niz nadležnosti koje su izričito dodijeljene kantonima, te predviđa izričitu dodjelu nadležnosti jedinicama lokalne samouprave, kao i mogućnost delegiranja određenih nadležnosti od strane kantona. </w:t>
      </w:r>
    </w:p>
    <w:p w14:paraId="6D0BE04D" w14:textId="77777777" w:rsidR="00CF7A3C" w:rsidRPr="008924E0" w:rsidRDefault="00CF7A3C" w:rsidP="00CF7A3C">
      <w:pPr>
        <w:numPr>
          <w:ilvl w:val="0"/>
          <w:numId w:val="6"/>
        </w:numPr>
        <w:shd w:val="clear" w:color="auto" w:fill="FFFFFF"/>
        <w:spacing w:after="120" w:line="276" w:lineRule="auto"/>
        <w:ind w:left="567" w:hanging="283"/>
        <w:rPr>
          <w:color w:val="0D0D0D"/>
          <w:lang w:val="bs-Latn-BA"/>
        </w:rPr>
      </w:pPr>
      <w:r w:rsidRPr="008924E0">
        <w:rPr>
          <w:b/>
          <w:color w:val="0D0D0D"/>
          <w:highlight w:val="white"/>
          <w:lang w:val="bs-Latn-BA"/>
        </w:rPr>
        <w:t>RS</w:t>
      </w:r>
      <w:r w:rsidRPr="008924E0">
        <w:rPr>
          <w:color w:val="0D0D0D"/>
          <w:highlight w:val="white"/>
          <w:lang w:val="bs-Latn-BA"/>
        </w:rPr>
        <w:t>: RS posjeduje sve nadležnosti koje nisu izričito dodijeljene centralnim vlastima BiH. </w:t>
      </w:r>
      <w:r w:rsidRPr="008924E0">
        <w:rPr>
          <w:color w:val="0D0D0D"/>
          <w:lang w:val="bs-Latn-BA"/>
        </w:rPr>
        <w:t>Lokalna samouprava je jedan od temeljnih principa Ustava RS (član 5.). Općine imaju samostalne i zajedničke nadležnosti sa RS.</w:t>
      </w:r>
    </w:p>
    <w:p w14:paraId="7BA8DD0F" w14:textId="3320B3A2" w:rsidR="00CF7A3C" w:rsidRPr="008924E0" w:rsidRDefault="00CF7A3C" w:rsidP="00CF7A3C">
      <w:pPr>
        <w:spacing w:after="120" w:line="276" w:lineRule="auto"/>
        <w:rPr>
          <w:sz w:val="24"/>
          <w:szCs w:val="24"/>
          <w:lang w:val="bs-Latn-BA"/>
        </w:rPr>
      </w:pPr>
      <w:r w:rsidRPr="008924E0">
        <w:rPr>
          <w:b/>
          <w:color w:val="0D0D0D"/>
          <w:lang w:val="bs-Latn-BA"/>
        </w:rPr>
        <w:t xml:space="preserve">Distrikt Brčko Bosne i Hercegovine </w:t>
      </w:r>
      <w:r w:rsidRPr="008924E0">
        <w:rPr>
          <w:color w:val="0D0D0D"/>
          <w:lang w:val="bs-Latn-BA"/>
        </w:rPr>
        <w:t xml:space="preserve">na osnovu Statuta ima sve nadležnosti od entiteta i tri općinske vlade. Statut je mijenjan i dopunjavan na osnovu Konačne odluke Arbitražnog tribunala u sporu oko međuentitetske linije razgraničenja u Brčkom i nalozima Supervizora za Brčko. Generalno, Brčko distrikt Bosne i Hercegovine ima ista prava i </w:t>
      </w:r>
      <w:r w:rsidR="00F03625">
        <w:rPr>
          <w:color w:val="0D0D0D"/>
          <w:lang w:val="bs-Latn-BA"/>
        </w:rPr>
        <w:t>obvez</w:t>
      </w:r>
      <w:r w:rsidRPr="008924E0">
        <w:rPr>
          <w:color w:val="0D0D0D"/>
          <w:lang w:val="bs-Latn-BA"/>
        </w:rPr>
        <w:t>e prema državnim institucijama kao i entiteti.</w:t>
      </w:r>
    </w:p>
    <w:p w14:paraId="183588A7" w14:textId="77777777" w:rsidR="00CF7A3C" w:rsidRPr="008924E0" w:rsidRDefault="00CF7A3C" w:rsidP="00CF7A3C">
      <w:pPr>
        <w:spacing w:after="120" w:line="276" w:lineRule="auto"/>
        <w:rPr>
          <w:color w:val="000000"/>
          <w:lang w:val="bs-Latn-BA"/>
        </w:rPr>
      </w:pPr>
      <w:r w:rsidRPr="008924E0">
        <w:rPr>
          <w:color w:val="000000"/>
          <w:lang w:val="bs-Latn-BA"/>
        </w:rPr>
        <w:t xml:space="preserve">Nadležnosti u energetskom sektoru Bosne i Hercegovine definirane su zakonskim okvirom između Ministarstva vanjske trgovine i ekonomskih odnosa BiH (MVTEO) na državnom nivou, te entitetskih ministarstava Federalnog ministarstva energije, rudarstva i industrije i Ministarstva energetike i rudarstva Republike Srpske na entitetskom nivou i Vlade Distrikta Brčko Bosne i Hercegovine. Dakle, funkcioniranje elektroenergetskog sektora u Bosni i Hercegovini je uređeno na više nivoa. </w:t>
      </w:r>
    </w:p>
    <w:p w14:paraId="58C8406A" w14:textId="77777777" w:rsidR="00CF7A3C" w:rsidRPr="008924E0" w:rsidRDefault="00CF7A3C" w:rsidP="00CF7A3C">
      <w:pPr>
        <w:spacing w:after="120" w:line="276" w:lineRule="auto"/>
        <w:rPr>
          <w:color w:val="000000"/>
          <w:lang w:val="bs-Latn-BA"/>
        </w:rPr>
      </w:pPr>
      <w:r w:rsidRPr="008924E0">
        <w:rPr>
          <w:color w:val="000000"/>
          <w:lang w:val="bs-Latn-BA"/>
        </w:rPr>
        <w:t>Generalno, nadležnosti su podijeljene na entitete  i sve njihove administativne jedinice i Distrikt Brčko BiH.</w:t>
      </w:r>
    </w:p>
    <w:p w14:paraId="155C02DE" w14:textId="77777777" w:rsidR="00CF7A3C" w:rsidRPr="008924E0" w:rsidRDefault="00CF7A3C" w:rsidP="00CF7A3C">
      <w:pPr>
        <w:spacing w:after="120" w:line="276" w:lineRule="auto"/>
        <w:rPr>
          <w:lang w:val="bs-Latn-BA"/>
        </w:rPr>
      </w:pPr>
      <w:r w:rsidRPr="008924E0">
        <w:rPr>
          <w:lang w:val="bs-Latn-BA"/>
        </w:rPr>
        <w:t>Na državnom nivou u BiH ne postoji zakon o energijskoj efikasnosti. Trenutno važeći entitetski zakoni o EE su uspostavljeni paralelno, u trenutku kada je primarni cilj bilo preuzimanje prethodne pravne stečevine iz oblasti energijske efikasnosti u okviru EnZ – odnosno već zastarjele Direktive 2006/32/EC o energetskim uslugama (ESD).</w:t>
      </w:r>
    </w:p>
    <w:p w14:paraId="05E6C8C2" w14:textId="77777777" w:rsidR="00CF7A3C" w:rsidRPr="008924E0" w:rsidRDefault="00CF7A3C" w:rsidP="00CF7A3C">
      <w:pPr>
        <w:spacing w:after="120" w:line="276" w:lineRule="auto"/>
        <w:rPr>
          <w:lang w:val="bs-Latn-BA"/>
        </w:rPr>
      </w:pPr>
      <w:r w:rsidRPr="008924E0">
        <w:rPr>
          <w:lang w:val="bs-Latn-BA"/>
        </w:rPr>
        <w:t>U Federaciji BiH su to:</w:t>
      </w:r>
    </w:p>
    <w:p w14:paraId="01B0603F" w14:textId="4AF4BE7A" w:rsidR="00CF7A3C" w:rsidRPr="008924E0" w:rsidRDefault="00CF7A3C" w:rsidP="00CF7A3C">
      <w:pPr>
        <w:widowControl w:val="0"/>
        <w:numPr>
          <w:ilvl w:val="0"/>
          <w:numId w:val="15"/>
        </w:numPr>
        <w:spacing w:after="120" w:line="276" w:lineRule="auto"/>
        <w:rPr>
          <w:color w:val="333333"/>
          <w:lang w:val="bs-Latn-BA"/>
        </w:rPr>
      </w:pPr>
      <w:r w:rsidRPr="008924E0">
        <w:rPr>
          <w:i/>
          <w:color w:val="333333"/>
          <w:lang w:val="bs-Latn-BA"/>
        </w:rPr>
        <w:t>Zakon o energijskoj efikasnosti</w:t>
      </w:r>
      <w:r w:rsidRPr="008924E0">
        <w:rPr>
          <w:color w:val="333333"/>
          <w:lang w:val="bs-Latn-BA"/>
        </w:rPr>
        <w:t xml:space="preserve"> (</w:t>
      </w:r>
      <w:r w:rsidR="007F46D7" w:rsidRPr="00CF273E">
        <w:rPr>
          <w:color w:val="333333"/>
          <w:lang w:val="bs-Latn-BA"/>
        </w:rPr>
        <w:t xml:space="preserve">„Službene novine Federacije BiH“, </w:t>
      </w:r>
      <w:r w:rsidR="007F46D7">
        <w:rPr>
          <w:color w:val="333333"/>
          <w:lang w:val="bs-Latn-BA"/>
        </w:rPr>
        <w:t xml:space="preserve">broj </w:t>
      </w:r>
      <w:r w:rsidRPr="008924E0">
        <w:rPr>
          <w:color w:val="333333"/>
          <w:lang w:val="bs-Latn-BA"/>
        </w:rPr>
        <w:t xml:space="preserve">22/17), kojim su </w:t>
      </w:r>
      <w:r w:rsidRPr="008924E0">
        <w:rPr>
          <w:lang w:val="bs-Latn-BA"/>
        </w:rPr>
        <w:t xml:space="preserve">preuzete Direktiva 2006/32/EC o EE u krajnjoj potrošnji i energetskim uslugama, Direktiva 2010/30/EU o označavanju proizvoda koji koriste energiju i Direktiva 2010/31/EU o </w:t>
      </w:r>
      <w:r w:rsidRPr="008924E0">
        <w:rPr>
          <w:lang w:val="bs-Latn-BA"/>
        </w:rPr>
        <w:lastRenderedPageBreak/>
        <w:t>energijskim karakteristikama zgrada;</w:t>
      </w:r>
    </w:p>
    <w:p w14:paraId="6668F2FA" w14:textId="457508B9" w:rsidR="00CF7A3C" w:rsidRPr="008924E0" w:rsidRDefault="00CF7A3C" w:rsidP="00CF7A3C">
      <w:pPr>
        <w:widowControl w:val="0"/>
        <w:numPr>
          <w:ilvl w:val="0"/>
          <w:numId w:val="15"/>
        </w:numPr>
        <w:spacing w:after="120" w:line="276" w:lineRule="auto"/>
        <w:rPr>
          <w:color w:val="333333"/>
          <w:lang w:val="bs-Latn-BA"/>
        </w:rPr>
      </w:pPr>
      <w:r w:rsidRPr="008924E0">
        <w:rPr>
          <w:i/>
          <w:lang w:val="bs-Latn-BA"/>
        </w:rPr>
        <w:t>Zakon o korištenju obnovljivih izvora energije i efikasne kogeneracije</w:t>
      </w:r>
      <w:r w:rsidRPr="008924E0">
        <w:rPr>
          <w:lang w:val="bs-Latn-BA"/>
        </w:rPr>
        <w:t xml:space="preserve"> (</w:t>
      </w:r>
      <w:r w:rsidR="007F46D7" w:rsidRPr="00CF273E">
        <w:rPr>
          <w:color w:val="333333"/>
          <w:lang w:val="bs-Latn-BA"/>
        </w:rPr>
        <w:t xml:space="preserve">„Službene novine Federacije BiH“, </w:t>
      </w:r>
      <w:r w:rsidRPr="008924E0">
        <w:rPr>
          <w:lang w:val="bs-Latn-BA"/>
        </w:rPr>
        <w:t>br. 70/13 i 5/14);</w:t>
      </w:r>
    </w:p>
    <w:p w14:paraId="633E5376" w14:textId="70ADC2ED" w:rsidR="00CF7A3C" w:rsidRPr="008924E0" w:rsidRDefault="00CF7A3C" w:rsidP="00CF7A3C">
      <w:pPr>
        <w:widowControl w:val="0"/>
        <w:numPr>
          <w:ilvl w:val="0"/>
          <w:numId w:val="15"/>
        </w:numPr>
        <w:spacing w:after="120" w:line="276" w:lineRule="auto"/>
        <w:rPr>
          <w:color w:val="333333"/>
          <w:lang w:val="bs-Latn-BA"/>
        </w:rPr>
      </w:pPr>
      <w:r w:rsidRPr="008924E0">
        <w:rPr>
          <w:color w:val="333333"/>
          <w:lang w:val="bs-Latn-BA"/>
        </w:rPr>
        <w:t>Zakon o prostornom planiranju i korištenju zemljišta na razini FBiH (</w:t>
      </w:r>
      <w:r w:rsidR="007F46D7" w:rsidRPr="00CF273E">
        <w:rPr>
          <w:color w:val="333333"/>
          <w:lang w:val="bs-Latn-BA"/>
        </w:rPr>
        <w:t>„Službene novine Federacije BiH“</w:t>
      </w:r>
      <w:r w:rsidRPr="008924E0">
        <w:rPr>
          <w:color w:val="333333"/>
          <w:lang w:val="bs-Latn-BA"/>
        </w:rPr>
        <w:t>, br</w:t>
      </w:r>
      <w:r w:rsidR="007F46D7">
        <w:rPr>
          <w:color w:val="333333"/>
          <w:lang w:val="bs-Latn-BA"/>
        </w:rPr>
        <w:t>.</w:t>
      </w:r>
      <w:r w:rsidRPr="008924E0">
        <w:rPr>
          <w:color w:val="333333"/>
          <w:lang w:val="bs-Latn-BA"/>
        </w:rPr>
        <w:t xml:space="preserve"> 2/06, 72/07, 32/08, 4/10, 13/10, 45/10, 85/21 i 92/21);</w:t>
      </w:r>
      <w:r w:rsidRPr="008924E0">
        <w:rPr>
          <w:color w:val="333333"/>
          <w:lang w:val="bs-Latn-BA"/>
        </w:rPr>
        <w:tab/>
      </w:r>
    </w:p>
    <w:p w14:paraId="6914C343" w14:textId="77777777" w:rsidR="00CF7A3C" w:rsidRPr="008924E0" w:rsidRDefault="00CF7A3C" w:rsidP="00CF7A3C">
      <w:pPr>
        <w:widowControl w:val="0"/>
        <w:numPr>
          <w:ilvl w:val="0"/>
          <w:numId w:val="15"/>
        </w:numPr>
        <w:spacing w:after="120" w:line="276" w:lineRule="auto"/>
        <w:rPr>
          <w:color w:val="333333"/>
          <w:lang w:val="bs-Latn-BA"/>
        </w:rPr>
      </w:pPr>
      <w:r w:rsidRPr="008924E0">
        <w:rPr>
          <w:color w:val="333333"/>
          <w:lang w:val="bs-Latn-BA"/>
        </w:rPr>
        <w:t>Kantonalni zakoni u oblasti prostornog uređenja i građenja.</w:t>
      </w:r>
    </w:p>
    <w:p w14:paraId="5C93C2AC" w14:textId="77777777" w:rsidR="00CF7A3C" w:rsidRPr="008924E0" w:rsidRDefault="00CF7A3C" w:rsidP="00CF7A3C">
      <w:pPr>
        <w:spacing w:after="120" w:line="276" w:lineRule="auto"/>
        <w:rPr>
          <w:color w:val="333333"/>
          <w:lang w:val="bs-Latn-BA"/>
        </w:rPr>
      </w:pPr>
      <w:r w:rsidRPr="008924E0">
        <w:rPr>
          <w:color w:val="333333"/>
          <w:lang w:val="bs-Latn-BA"/>
        </w:rPr>
        <w:t>U Republici Srpskoj su to:</w:t>
      </w:r>
    </w:p>
    <w:p w14:paraId="2BA01874" w14:textId="0E680558" w:rsidR="00CF7A3C" w:rsidRPr="008924E0" w:rsidRDefault="00CF7A3C" w:rsidP="00CF7A3C">
      <w:pPr>
        <w:numPr>
          <w:ilvl w:val="0"/>
          <w:numId w:val="15"/>
        </w:numPr>
        <w:spacing w:after="120" w:line="276" w:lineRule="auto"/>
        <w:ind w:left="714" w:hanging="357"/>
        <w:rPr>
          <w:lang w:val="bs-Latn-BA"/>
        </w:rPr>
      </w:pPr>
      <w:r w:rsidRPr="008924E0">
        <w:rPr>
          <w:i/>
          <w:lang w:val="bs-Latn-BA"/>
        </w:rPr>
        <w:t>Zakon o energetskoj efikasnosti</w:t>
      </w:r>
      <w:r w:rsidRPr="008924E0">
        <w:rPr>
          <w:lang w:val="bs-Latn-BA"/>
        </w:rPr>
        <w:t xml:space="preserve"> (</w:t>
      </w:r>
      <w:r w:rsidR="007F46D7">
        <w:rPr>
          <w:lang w:val="bs-Latn-BA"/>
        </w:rPr>
        <w:t>„</w:t>
      </w:r>
      <w:r w:rsidRPr="008924E0">
        <w:rPr>
          <w:lang w:val="bs-Latn-BA"/>
        </w:rPr>
        <w:t xml:space="preserve">Službeni </w:t>
      </w:r>
      <w:r w:rsidR="007F46D7">
        <w:rPr>
          <w:lang w:val="bs-Latn-BA"/>
        </w:rPr>
        <w:t xml:space="preserve">glasnik </w:t>
      </w:r>
      <w:r w:rsidR="007736EC" w:rsidRPr="008924E0">
        <w:rPr>
          <w:lang w:val="bs-Latn-BA"/>
        </w:rPr>
        <w:t>R</w:t>
      </w:r>
      <w:r w:rsidR="007736EC">
        <w:rPr>
          <w:lang w:val="bs-Latn-BA"/>
        </w:rPr>
        <w:t>epublike</w:t>
      </w:r>
      <w:r w:rsidR="007F46D7">
        <w:rPr>
          <w:lang w:val="bs-Latn-BA"/>
        </w:rPr>
        <w:t xml:space="preserve"> Srpske“</w:t>
      </w:r>
      <w:r w:rsidRPr="008924E0">
        <w:rPr>
          <w:lang w:val="bs-Latn-BA"/>
        </w:rPr>
        <w:t>, br</w:t>
      </w:r>
      <w:r w:rsidR="007F46D7">
        <w:rPr>
          <w:lang w:val="bs-Latn-BA"/>
        </w:rPr>
        <w:t>oj</w:t>
      </w:r>
      <w:r w:rsidRPr="008924E0">
        <w:rPr>
          <w:lang w:val="bs-Latn-BA"/>
        </w:rPr>
        <w:t xml:space="preserve"> 59/13), kojim su preuzete Direktiva 2006/32/EC o efikasnoj krajnjoj potrošnji i energetskim uslugama i Direktiva 2010/30/EU o označavanju proizvoda koji koriste energiju;</w:t>
      </w:r>
    </w:p>
    <w:p w14:paraId="37D6D70F" w14:textId="7658DECD" w:rsidR="00CF7A3C" w:rsidRPr="008924E0" w:rsidRDefault="00CF7A3C" w:rsidP="00CF7A3C">
      <w:pPr>
        <w:widowControl w:val="0"/>
        <w:numPr>
          <w:ilvl w:val="0"/>
          <w:numId w:val="15"/>
        </w:numPr>
        <w:spacing w:after="120" w:line="276" w:lineRule="auto"/>
        <w:ind w:left="714" w:hanging="357"/>
        <w:rPr>
          <w:color w:val="333333"/>
          <w:lang w:val="bs-Latn-BA"/>
        </w:rPr>
      </w:pPr>
      <w:r w:rsidRPr="008924E0">
        <w:rPr>
          <w:i/>
          <w:color w:val="333333"/>
          <w:lang w:val="bs-Latn-BA"/>
        </w:rPr>
        <w:t>Zakon o uređenju prostora i građenju</w:t>
      </w:r>
      <w:r w:rsidRPr="008924E0">
        <w:rPr>
          <w:color w:val="333333"/>
          <w:lang w:val="bs-Latn-BA"/>
        </w:rPr>
        <w:t xml:space="preserve"> (</w:t>
      </w:r>
      <w:r w:rsidR="007F46D7">
        <w:rPr>
          <w:lang w:val="bs-Latn-BA"/>
        </w:rPr>
        <w:t>„</w:t>
      </w:r>
      <w:r w:rsidR="007F46D7" w:rsidRPr="008924E0">
        <w:rPr>
          <w:lang w:val="bs-Latn-BA"/>
        </w:rPr>
        <w:t xml:space="preserve">Službeni </w:t>
      </w:r>
      <w:r w:rsidR="007F46D7">
        <w:rPr>
          <w:lang w:val="bs-Latn-BA"/>
        </w:rPr>
        <w:t xml:space="preserve">glasnik </w:t>
      </w:r>
      <w:r w:rsidR="007736EC" w:rsidRPr="008924E0">
        <w:rPr>
          <w:lang w:val="bs-Latn-BA"/>
        </w:rPr>
        <w:t>R</w:t>
      </w:r>
      <w:r w:rsidR="007736EC">
        <w:rPr>
          <w:lang w:val="bs-Latn-BA"/>
        </w:rPr>
        <w:t>epublike</w:t>
      </w:r>
      <w:r w:rsidR="007F46D7">
        <w:rPr>
          <w:lang w:val="bs-Latn-BA"/>
        </w:rPr>
        <w:t xml:space="preserve"> Srpske“</w:t>
      </w:r>
      <w:r w:rsidR="007F46D7" w:rsidRPr="008924E0">
        <w:rPr>
          <w:lang w:val="bs-Latn-BA"/>
        </w:rPr>
        <w:t xml:space="preserve">, </w:t>
      </w:r>
      <w:r w:rsidRPr="008924E0">
        <w:rPr>
          <w:color w:val="333333"/>
          <w:lang w:val="bs-Latn-BA"/>
        </w:rPr>
        <w:t>br. 40/13, 106/15, 84/19), kojim su preuzete odredbe Direktive 2010/31/EU o energijskim karakteristikama zgrada, te dopunjen odredbama Direktive 2012/27/EU o energetskoj efikasnosti koje se odnose na energetske karakteristike zgrada;</w:t>
      </w:r>
    </w:p>
    <w:p w14:paraId="480527C6" w14:textId="4E14CDBA" w:rsidR="00CF7A3C" w:rsidRPr="008924E0" w:rsidRDefault="00CF7A3C" w:rsidP="00CF7A3C">
      <w:pPr>
        <w:numPr>
          <w:ilvl w:val="0"/>
          <w:numId w:val="15"/>
        </w:numPr>
        <w:spacing w:after="120" w:line="276" w:lineRule="auto"/>
        <w:rPr>
          <w:lang w:val="bs-Latn-BA"/>
        </w:rPr>
      </w:pPr>
      <w:r w:rsidRPr="008924E0">
        <w:rPr>
          <w:i/>
          <w:lang w:val="bs-Latn-BA"/>
        </w:rPr>
        <w:t>Zakon o obnovljivim izvorima energije i efikasnoj kogeneraciji (</w:t>
      </w:r>
      <w:r w:rsidR="007F46D7">
        <w:rPr>
          <w:lang w:val="bs-Latn-BA"/>
        </w:rPr>
        <w:t>„</w:t>
      </w:r>
      <w:r w:rsidR="007F46D7" w:rsidRPr="008924E0">
        <w:rPr>
          <w:lang w:val="bs-Latn-BA"/>
        </w:rPr>
        <w:t xml:space="preserve">Službeni </w:t>
      </w:r>
      <w:r w:rsidR="007F46D7">
        <w:rPr>
          <w:lang w:val="bs-Latn-BA"/>
        </w:rPr>
        <w:t xml:space="preserve">glasnik </w:t>
      </w:r>
      <w:r w:rsidR="007736EC" w:rsidRPr="008924E0">
        <w:rPr>
          <w:lang w:val="bs-Latn-BA"/>
        </w:rPr>
        <w:t>R</w:t>
      </w:r>
      <w:r w:rsidR="007736EC">
        <w:rPr>
          <w:lang w:val="bs-Latn-BA"/>
        </w:rPr>
        <w:t>epublike</w:t>
      </w:r>
      <w:r w:rsidR="007F46D7">
        <w:rPr>
          <w:lang w:val="bs-Latn-BA"/>
        </w:rPr>
        <w:t xml:space="preserve"> Srpske“</w:t>
      </w:r>
      <w:r w:rsidR="007F46D7" w:rsidRPr="008924E0">
        <w:rPr>
          <w:lang w:val="bs-Latn-BA"/>
        </w:rPr>
        <w:t>, br</w:t>
      </w:r>
      <w:r w:rsidR="007F46D7">
        <w:rPr>
          <w:lang w:val="bs-Latn-BA"/>
        </w:rPr>
        <w:t xml:space="preserve">. </w:t>
      </w:r>
      <w:r w:rsidRPr="008924E0">
        <w:rPr>
          <w:lang w:val="bs-Latn-BA"/>
        </w:rPr>
        <w:t>39/13, 108/13).</w:t>
      </w:r>
    </w:p>
    <w:p w14:paraId="08D3C228" w14:textId="77777777" w:rsidR="00CF7A3C" w:rsidRPr="008924E0" w:rsidRDefault="00CF7A3C" w:rsidP="00CF7A3C">
      <w:pPr>
        <w:spacing w:after="120" w:line="276" w:lineRule="auto"/>
        <w:rPr>
          <w:color w:val="333333"/>
          <w:lang w:val="bs-Latn-BA"/>
        </w:rPr>
      </w:pPr>
      <w:r w:rsidRPr="008924E0">
        <w:rPr>
          <w:color w:val="333333"/>
          <w:lang w:val="bs-Latn-BA"/>
        </w:rPr>
        <w:t>U Distriktu Brčko su to:</w:t>
      </w:r>
    </w:p>
    <w:p w14:paraId="3ECC293C" w14:textId="5FA6F680" w:rsidR="00CF7A3C" w:rsidRPr="008924E0" w:rsidRDefault="00CF7A3C" w:rsidP="00CF7A3C">
      <w:pPr>
        <w:numPr>
          <w:ilvl w:val="0"/>
          <w:numId w:val="15"/>
        </w:numPr>
        <w:pBdr>
          <w:top w:val="nil"/>
          <w:left w:val="nil"/>
          <w:bottom w:val="nil"/>
          <w:right w:val="nil"/>
          <w:between w:val="nil"/>
        </w:pBdr>
        <w:spacing w:after="120" w:line="276" w:lineRule="auto"/>
        <w:rPr>
          <w:color w:val="333333"/>
          <w:lang w:val="bs-Latn-BA"/>
        </w:rPr>
      </w:pPr>
      <w:r w:rsidRPr="008924E0">
        <w:rPr>
          <w:color w:val="333333"/>
          <w:lang w:val="bs-Latn-BA"/>
        </w:rPr>
        <w:t>Zakon o energijskoj efikasnosti u Distriktu Brčko (odluka Skupštine D</w:t>
      </w:r>
      <w:r w:rsidR="007F46D7">
        <w:rPr>
          <w:color w:val="333333"/>
          <w:lang w:val="bs-Latn-BA"/>
        </w:rPr>
        <w:t>istrikta Brčko</w:t>
      </w:r>
      <w:r w:rsidRPr="008924E0">
        <w:rPr>
          <w:color w:val="333333"/>
          <w:lang w:val="bs-Latn-BA"/>
        </w:rPr>
        <w:t xml:space="preserve"> u julu 2022.);</w:t>
      </w:r>
    </w:p>
    <w:p w14:paraId="3956BF2F" w14:textId="28F6E191" w:rsidR="00CF7A3C" w:rsidRPr="008924E0" w:rsidRDefault="00CF7A3C" w:rsidP="00CF7A3C">
      <w:pPr>
        <w:numPr>
          <w:ilvl w:val="0"/>
          <w:numId w:val="15"/>
        </w:numPr>
        <w:pBdr>
          <w:top w:val="nil"/>
          <w:left w:val="nil"/>
          <w:bottom w:val="nil"/>
          <w:right w:val="nil"/>
          <w:between w:val="nil"/>
        </w:pBdr>
        <w:spacing w:after="120" w:line="276" w:lineRule="auto"/>
        <w:rPr>
          <w:color w:val="333333"/>
          <w:lang w:val="bs-Latn-BA"/>
        </w:rPr>
      </w:pPr>
      <w:r w:rsidRPr="008924E0">
        <w:rPr>
          <w:color w:val="333333"/>
          <w:lang w:val="bs-Latn-BA"/>
        </w:rPr>
        <w:t>Zakon o obnovljivim izvorima energije i efikasnoj kogeneraciji u Distriktu Brčko (odluka Skupštine D</w:t>
      </w:r>
      <w:r w:rsidR="007F46D7">
        <w:rPr>
          <w:color w:val="333333"/>
          <w:lang w:val="bs-Latn-BA"/>
        </w:rPr>
        <w:t>istrikta Brčko</w:t>
      </w:r>
      <w:r w:rsidRPr="008924E0">
        <w:rPr>
          <w:color w:val="333333"/>
          <w:lang w:val="bs-Latn-BA"/>
        </w:rPr>
        <w:t xml:space="preserve"> u junu 2022.);</w:t>
      </w:r>
    </w:p>
    <w:p w14:paraId="4FF1467D" w14:textId="3BD67BEF" w:rsidR="00CF7A3C" w:rsidRPr="008924E0" w:rsidRDefault="00CF7A3C" w:rsidP="00CF7A3C">
      <w:pPr>
        <w:numPr>
          <w:ilvl w:val="0"/>
          <w:numId w:val="15"/>
        </w:numPr>
        <w:pBdr>
          <w:top w:val="nil"/>
          <w:left w:val="nil"/>
          <w:bottom w:val="nil"/>
          <w:right w:val="nil"/>
          <w:between w:val="nil"/>
        </w:pBdr>
        <w:spacing w:after="120" w:line="276" w:lineRule="auto"/>
        <w:rPr>
          <w:color w:val="333333"/>
          <w:lang w:val="bs-Latn-BA"/>
        </w:rPr>
      </w:pPr>
      <w:r w:rsidRPr="008924E0">
        <w:rPr>
          <w:color w:val="333333"/>
          <w:lang w:val="bs-Latn-BA"/>
        </w:rPr>
        <w:t>Zakon o prostornom planiranju i građenju Distriktu Brčko (</w:t>
      </w:r>
      <w:r w:rsidR="007F46D7">
        <w:rPr>
          <w:color w:val="333333"/>
          <w:lang w:val="bs-Latn-BA"/>
        </w:rPr>
        <w:t>„</w:t>
      </w:r>
      <w:r w:rsidRPr="008924E0">
        <w:rPr>
          <w:color w:val="333333"/>
          <w:lang w:val="bs-Latn-BA"/>
        </w:rPr>
        <w:t>Službeni glasnik D</w:t>
      </w:r>
      <w:r w:rsidR="007F46D7">
        <w:rPr>
          <w:color w:val="333333"/>
          <w:lang w:val="bs-Latn-BA"/>
        </w:rPr>
        <w:t xml:space="preserve">istrikta </w:t>
      </w:r>
      <w:r w:rsidRPr="008924E0">
        <w:rPr>
          <w:color w:val="333333"/>
          <w:lang w:val="bs-Latn-BA"/>
        </w:rPr>
        <w:t>B</w:t>
      </w:r>
      <w:r w:rsidR="007F46D7">
        <w:rPr>
          <w:color w:val="333333"/>
          <w:lang w:val="bs-Latn-BA"/>
        </w:rPr>
        <w:t>rčko“</w:t>
      </w:r>
      <w:r w:rsidRPr="008924E0">
        <w:rPr>
          <w:color w:val="333333"/>
          <w:lang w:val="bs-Latn-BA"/>
        </w:rPr>
        <w:t>, br. 29/08, 18/17 , 48/18, 54/18, 10/20, 29/20 i 40/20).</w:t>
      </w:r>
    </w:p>
    <w:p w14:paraId="762A1022" w14:textId="77777777" w:rsidR="00CF7A3C" w:rsidRPr="008924E0" w:rsidRDefault="00CF7A3C" w:rsidP="007F46D7">
      <w:pPr>
        <w:keepNext/>
        <w:pBdr>
          <w:top w:val="nil"/>
          <w:left w:val="nil"/>
          <w:bottom w:val="nil"/>
          <w:right w:val="nil"/>
          <w:between w:val="nil"/>
        </w:pBdr>
        <w:spacing w:after="200" w:line="240" w:lineRule="auto"/>
        <w:rPr>
          <w:i/>
          <w:color w:val="333333"/>
          <w:lang w:val="bs-Latn-BA"/>
        </w:rPr>
      </w:pPr>
      <w:r w:rsidRPr="008924E0">
        <w:rPr>
          <w:color w:val="333333"/>
          <w:lang w:val="bs-Latn-BA"/>
        </w:rPr>
        <w:t>Prema Zakonu o električnoj energiji Distrikta Brčko, Vlada Distrikta Brčko je nadležna za vođenje energetske politike koja promovira efikasno korištenje energije i korištenje obnovljivih izvora energije.</w:t>
      </w:r>
    </w:p>
    <w:p w14:paraId="46B9E9AD" w14:textId="77777777" w:rsidR="00CF7A3C" w:rsidRPr="008924E0" w:rsidRDefault="00CF7A3C" w:rsidP="00CF7A3C">
      <w:pPr>
        <w:spacing w:after="120" w:line="276" w:lineRule="auto"/>
        <w:rPr>
          <w:lang w:val="bs-Latn-BA"/>
        </w:rPr>
      </w:pPr>
      <w:r w:rsidRPr="008924E0">
        <w:rPr>
          <w:lang w:val="bs-Latn-BA"/>
        </w:rPr>
        <w:t xml:space="preserve">Iako je Bosna i Hercegovina podnijela svoj Peti godišnji izvještaj o napretku u skladu s Direktivom o energijskoj efikasnosti i usvojila podzakonske akte za potporu implementaciji Direktive o energijskoj efikasnosti zgrada, implementacija zakonodavstva o energijskoj efikasnosti još uvijek nije potpuna i potrebne su daljnje radnje za postizanje potpune usklađenost sa </w:t>
      </w:r>
      <w:r w:rsidRPr="008924E0">
        <w:rPr>
          <w:i/>
          <w:lang w:val="bs-Latn-BA"/>
        </w:rPr>
        <w:t>Acquis communautaire</w:t>
      </w:r>
      <w:r w:rsidRPr="008924E0">
        <w:rPr>
          <w:lang w:val="bs-Latn-BA"/>
        </w:rPr>
        <w:t xml:space="preserve"> o energijskoj efikasnosti.</w:t>
      </w:r>
      <w:r w:rsidRPr="008924E0">
        <w:rPr>
          <w:vertAlign w:val="superscript"/>
          <w:lang w:val="bs-Latn-BA"/>
        </w:rPr>
        <w:footnoteReference w:id="64"/>
      </w:r>
    </w:p>
    <w:p w14:paraId="65467F77" w14:textId="77777777" w:rsidR="00CF7A3C" w:rsidRPr="008924E0" w:rsidRDefault="00CF7A3C" w:rsidP="00CF7A3C">
      <w:pPr>
        <w:spacing w:after="120" w:line="276" w:lineRule="auto"/>
        <w:rPr>
          <w:lang w:val="bs-Latn-BA"/>
        </w:rPr>
      </w:pPr>
      <w:r w:rsidRPr="008924E0">
        <w:rPr>
          <w:lang w:val="bs-Latn-BA"/>
        </w:rPr>
        <w:t xml:space="preserve">Zakonodavstvo EU se kontinuirano razvija, pa je tako i pravni okvir Energetske zajednice podložan stalnoj reviziji. Danas, pravni okvir EnZ predstavlja zahtjev za transpozicijom 15 direktiva, 35 uredbi i 12 preporuka. </w:t>
      </w:r>
    </w:p>
    <w:p w14:paraId="5C94EE77" w14:textId="4D91217E" w:rsidR="00CF7A3C" w:rsidRPr="008924E0" w:rsidRDefault="00CF7A3C" w:rsidP="00CF7A3C">
      <w:pPr>
        <w:spacing w:after="120" w:line="276" w:lineRule="auto"/>
        <w:rPr>
          <w:lang w:val="bs-Latn-BA"/>
        </w:rPr>
      </w:pPr>
      <w:r w:rsidRPr="008924E0">
        <w:rPr>
          <w:lang w:val="bs-Latn-BA"/>
        </w:rPr>
        <w:t xml:space="preserve">Kako bi se ugovorne strane usmjerile ka postizanju ciljeva dekarbonizacije do 2030. i sredine stoljeća, Ministarsko vijeće Energetske zajednice usvojilo je pet ključnih zakonskih akata koji proizilaze iz paketa Čista energija za sve Europljane </w:t>
      </w:r>
      <w:r w:rsidRPr="008924E0">
        <w:rPr>
          <w:i/>
          <w:lang w:val="bs-Latn-BA"/>
        </w:rPr>
        <w:t xml:space="preserve">(Clean energy for all Europeans package) </w:t>
      </w:r>
      <w:r w:rsidRPr="008924E0">
        <w:rPr>
          <w:lang w:val="bs-Latn-BA"/>
        </w:rPr>
        <w:t xml:space="preserve">u EU u novembru 2021. Paket pokriva zakonodavstvo u oblasti energijske efikasnosti, obnovljivih izvora energije, upravljanja, dizajna </w:t>
      </w:r>
      <w:r w:rsidRPr="008924E0">
        <w:rPr>
          <w:lang w:val="bs-Latn-BA"/>
        </w:rPr>
        <w:lastRenderedPageBreak/>
        <w:t xml:space="preserve">tržišta električne energije i pravila sigurnosti snabdijevanja koje treba stupiti na snagu u narednim godinama. Ovaj prvi skup pravila i </w:t>
      </w:r>
      <w:r w:rsidR="00F03625">
        <w:rPr>
          <w:lang w:val="bs-Latn-BA"/>
        </w:rPr>
        <w:t>obvez</w:t>
      </w:r>
      <w:r w:rsidRPr="008924E0">
        <w:rPr>
          <w:lang w:val="bs-Latn-BA"/>
        </w:rPr>
        <w:t>a, Clean Energy, predstavljen je po prvi put u 4.3. Izdanju Pravnog okvira</w:t>
      </w:r>
      <w:r w:rsidRPr="008924E0">
        <w:rPr>
          <w:vertAlign w:val="superscript"/>
          <w:lang w:val="bs-Latn-BA"/>
        </w:rPr>
        <w:footnoteReference w:id="65"/>
      </w:r>
      <w:r w:rsidRPr="008924E0">
        <w:rPr>
          <w:lang w:val="bs-Latn-BA"/>
        </w:rPr>
        <w:t xml:space="preserve"> </w:t>
      </w:r>
      <w:r w:rsidRPr="008924E0">
        <w:rPr>
          <w:i/>
          <w:lang w:val="bs-Latn-BA"/>
        </w:rPr>
        <w:t>(The Energy Community Legal Framework - 4.3 Edition, 2022</w:t>
      </w:r>
      <w:r w:rsidRPr="008924E0">
        <w:rPr>
          <w:lang w:val="bs-Latn-BA"/>
        </w:rPr>
        <w:t>). Usvajanje paketa otvara put ka modernom, čistom i sigurnom energetskom sistemu u Energetskoj zajednici, te uspostavlja stabilan regulatorni i tržišni okvir za stimuliranje neophodnih javnih i privatnih investicija i modernizaciju pravila za otvaranje novih poslovnih prilika. Nadalje, paket predlaže mjere za zaštitu ranjivih potrošača, rješavanje problema energetskog siromaštva i osnaživanje potrošača za aktivno sudjelovanje u energetskoj tranziciji.</w:t>
      </w:r>
    </w:p>
    <w:p w14:paraId="588D3D32" w14:textId="58B15A34" w:rsidR="00CF7A3C" w:rsidRPr="008924E0" w:rsidRDefault="00CF7A3C" w:rsidP="00CF7A3C">
      <w:pPr>
        <w:spacing w:after="120" w:line="276" w:lineRule="auto"/>
        <w:rPr>
          <w:lang w:val="bs-Latn-BA"/>
        </w:rPr>
      </w:pPr>
      <w:r w:rsidRPr="008924E0">
        <w:rPr>
          <w:lang w:val="bs-Latn-BA"/>
        </w:rPr>
        <w:t xml:space="preserve">U kontekstu izrade Strategije obnove zgrada, Ministarsko vijeće EnZ je u okviru 4.3. Izdanja Pravnog okvira, definiralo </w:t>
      </w:r>
      <w:r w:rsidR="00F03625">
        <w:rPr>
          <w:lang w:val="bs-Latn-BA"/>
        </w:rPr>
        <w:t>obvez</w:t>
      </w:r>
      <w:r w:rsidRPr="008924E0">
        <w:rPr>
          <w:lang w:val="bs-Latn-BA"/>
        </w:rPr>
        <w:t>u implementacije odredbi Uredbe 2018/1999/EU o upravljanju energetskom unijom i djelovanjem u području klime, odnosno člana 2a Direktive 2010/31/EU o energijskim karakteristikama zgrada za ugovorne strane EnZ.</w:t>
      </w:r>
    </w:p>
    <w:p w14:paraId="3D718B92" w14:textId="77777777" w:rsidR="00CF7A3C" w:rsidRPr="008924E0" w:rsidRDefault="00CF7A3C" w:rsidP="00CF7A3C">
      <w:pPr>
        <w:spacing w:after="120" w:line="276" w:lineRule="auto"/>
        <w:rPr>
          <w:lang w:val="bs-Latn-BA"/>
        </w:rPr>
      </w:pPr>
      <w:r w:rsidRPr="008924E0">
        <w:rPr>
          <w:lang w:val="bs-Latn-BA"/>
        </w:rPr>
        <w:t>Prema članu 2a EPBD 2010/31/EU, svaka ugovorna strana EnZ utvrđuje dugoročnu strategiju obnove za podsticanje obnove nacionalnog fonda stambenih i nestambenih zgrada, javnih i privatnih, u energijski visokoefikasan i dekarboniziran fond zgrada do 2050. godine, olakšavajući troškovno efikasnu pretvorbu postojećih zgrada u zgrade gotovo nulte energije. Dugoročna strategija obnove treba sadržavati:</w:t>
      </w:r>
    </w:p>
    <w:p w14:paraId="480422CD"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pregled fonda zgrada,</w:t>
      </w:r>
    </w:p>
    <w:p w14:paraId="61B7E63E"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utvrđivanje troškovno efikasnih pristupa obnovi ovisno o vrsti zgrade i klimatskoj zoni, uzimajući u obzir, ako je primjenjivo, relevantne pokretačke tačke u životnom ciklusu zgrade,</w:t>
      </w:r>
    </w:p>
    <w:p w14:paraId="6708B535"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politike i mjere za poticanje troškovno efikasnih dubinskih obnova zgrada, uključujući postupne dubinske obnove, i za podupiranje ciljanih troškovno efikasnih mjera i obnove,</w:t>
      </w:r>
    </w:p>
    <w:p w14:paraId="541CA68B"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pregled politika i mjera koje su usmjerene na segmente fonda zgrada s najlošijim karakteristikama, dileme suprotstavljenih interesa najmodavca i najmoprimca i nedostatke tržišta te opis relevantnih mjera kojima se doprinosi ublažavanju energetskog siromaštva,</w:t>
      </w:r>
    </w:p>
    <w:p w14:paraId="6A2DF8BC"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politike i mjere usmjerene na sve zgrade javnog sektora,</w:t>
      </w:r>
    </w:p>
    <w:p w14:paraId="00AC4720"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pregled inicijativa za promicanje pametnih tehnologija i dobro povezanih zgrada i zajednica kao i vještina i obrazovanja u građevinskom sektoru i sektoru energijske efikasnosti,</w:t>
      </w:r>
    </w:p>
    <w:p w14:paraId="6C314FA5"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na dokazima utemeljenu procjenu očekivanih ušteda energije i širih koristi, kao što su one povezane sa zdravljem, sigurnošću i kvalitetom zraka,</w:t>
      </w:r>
    </w:p>
    <w:p w14:paraId="3AC94F8D" w14:textId="77777777" w:rsidR="00CF7A3C" w:rsidRPr="008924E0" w:rsidRDefault="00CF7A3C" w:rsidP="00CF7A3C">
      <w:pPr>
        <w:numPr>
          <w:ilvl w:val="0"/>
          <w:numId w:val="5"/>
        </w:numPr>
        <w:pBdr>
          <w:top w:val="nil"/>
          <w:left w:val="nil"/>
          <w:bottom w:val="nil"/>
          <w:right w:val="nil"/>
          <w:between w:val="nil"/>
        </w:pBdr>
        <w:spacing w:after="120" w:line="240" w:lineRule="auto"/>
        <w:rPr>
          <w:lang w:val="bs-Latn-BA"/>
        </w:rPr>
      </w:pPr>
      <w:r w:rsidRPr="008924E0">
        <w:rPr>
          <w:color w:val="000000"/>
          <w:lang w:val="bs-Latn-BA"/>
        </w:rPr>
        <w:t>procjenu očekivane uštede energije i širih koristi sistemskog ulaganja u integralnu energetsku obnovu fonda zgrada (otvaranje novih radnih mjesta, smanjenje energetskog siromaštva, porast vrijednosti nekretnina, i dr.).</w:t>
      </w:r>
    </w:p>
    <w:p w14:paraId="57FD94BC" w14:textId="77777777" w:rsidR="00CF7A3C" w:rsidRPr="008924E0" w:rsidRDefault="00CF7A3C" w:rsidP="00CF7A3C">
      <w:pPr>
        <w:spacing w:after="120" w:line="276" w:lineRule="auto"/>
        <w:rPr>
          <w:lang w:val="bs-Latn-BA"/>
        </w:rPr>
      </w:pPr>
      <w:r w:rsidRPr="008924E0">
        <w:rPr>
          <w:lang w:val="bs-Latn-BA"/>
        </w:rPr>
        <w:t>U okviru dugoročne strategije obnove utvrđuje se plan s mjerama i mjerljivim pokazateljima napretka utvrđenima na nacionalnom nivou s obzirom na dugoročni cilj smanjenja emisija stakleničkih plinova u EU za 80-95 % do 2050. godine, u usporedbi s 1990. godinom, kako bi se osigurao energijski visokoefikasan i dekarboniziran nacionalni fond zgrada i kako bi se olakšalo troškovno efikasnu pretvorbu postojećih zgrada u zgrade gotovo nulte energije. Plan treba sadržavati okvirne važeće ključne tačke za 2030., 2040. i 2050., te definirati kako će se njima doprinijeti postizanju ciljeva EU u pogledu EE u skladu s Direktivom 2012/27/EU.</w:t>
      </w:r>
    </w:p>
    <w:p w14:paraId="363FD933" w14:textId="77777777" w:rsidR="00CF7A3C" w:rsidRPr="008924E0" w:rsidRDefault="00CF7A3C" w:rsidP="00CF7A3C">
      <w:pPr>
        <w:spacing w:after="120" w:line="276" w:lineRule="auto"/>
        <w:rPr>
          <w:lang w:val="bs-Latn-BA"/>
        </w:rPr>
      </w:pPr>
      <w:r w:rsidRPr="008924E0">
        <w:rPr>
          <w:lang w:val="bs-Latn-BA"/>
        </w:rPr>
        <w:lastRenderedPageBreak/>
        <w:t>Također, dugoročna strategija obnove zgrada može se upotrebljavati kako bi se odgovorilo na pitanja zaštite od požara i rizika povezanih s pojačanom seizmičkom aktivnošću koji utječu na energetske obnove i životni vijek zgrada.</w:t>
      </w:r>
    </w:p>
    <w:p w14:paraId="4A7C3864" w14:textId="77777777" w:rsidR="00CF7A3C" w:rsidRPr="008924E0" w:rsidRDefault="00CF7A3C" w:rsidP="00CF7A3C">
      <w:pPr>
        <w:spacing w:after="120" w:line="276" w:lineRule="auto"/>
        <w:rPr>
          <w:lang w:val="bs-Latn-BA"/>
        </w:rPr>
      </w:pPr>
      <w:r w:rsidRPr="008924E0">
        <w:rPr>
          <w:lang w:val="bs-Latn-BA"/>
        </w:rPr>
        <w:t>Dugoročnu strategiju obnove, Ugovorne strane EnZ dostavljaju kao dio konačnog Integriranog nacionalnog energetskog i klimatskog plana iz člana 3 Uredbe 2018/1999/EU. Prema članu 15 ove Uredbe (koji se odnosi na izradu dugoročnih strategija), svakih 10 godina nakon januara 2029. godine, svaka Ugovorna strana će pripremiti i podnijeti Sekretarijatu EnZ svoju dugoročnu strategiju s perspektivom od 30 godina, u skladu s ciljem EnZ o klimatskoj neutralnosti. Ugovorne strane EnZ bi također trebale, ukoliko je potrebno, ažurirati svoje strategije svakih pet godina.</w:t>
      </w:r>
    </w:p>
    <w:p w14:paraId="1A8C3D61" w14:textId="77777777" w:rsidR="00CF7A3C" w:rsidRPr="008924E0" w:rsidRDefault="00CF7A3C" w:rsidP="00CF7A3C">
      <w:pPr>
        <w:spacing w:after="120" w:line="276" w:lineRule="auto"/>
        <w:rPr>
          <w:lang w:val="bs-Latn-BA"/>
        </w:rPr>
      </w:pPr>
      <w:r w:rsidRPr="008924E0">
        <w:rPr>
          <w:lang w:val="bs-Latn-BA"/>
        </w:rPr>
        <w:t>Član 2a EPBD 2012/27/EU, utvrđuje rok za izradu prve verzije nacionalne strategije obnove zgrada, a prema odluci Ministarskog vijeća EnZ za zemlje potpisnice ugovora o EnZ, to je 10. mart 2023.</w:t>
      </w:r>
    </w:p>
    <w:p w14:paraId="111B7F0B" w14:textId="77777777" w:rsidR="00CF7A3C" w:rsidRPr="008924E0" w:rsidRDefault="00CF7A3C" w:rsidP="00CF7A3C">
      <w:pPr>
        <w:spacing w:after="120" w:line="276" w:lineRule="auto"/>
        <w:rPr>
          <w:lang w:val="bs-Latn-BA"/>
        </w:rPr>
      </w:pPr>
    </w:p>
    <w:p w14:paraId="66E58370" w14:textId="77777777" w:rsidR="00CF7A3C" w:rsidRPr="008924E0" w:rsidRDefault="00CF7A3C" w:rsidP="00581C1C">
      <w:pPr>
        <w:pStyle w:val="Heading3"/>
        <w:numPr>
          <w:ilvl w:val="2"/>
          <w:numId w:val="54"/>
        </w:numPr>
      </w:pPr>
      <w:bookmarkStart w:id="182" w:name="_Toc134011808"/>
      <w:r w:rsidRPr="008924E0">
        <w:t>Kontekst politike energijske efikasnosti u Federaciji Bosne i Hercegovine</w:t>
      </w:r>
      <w:bookmarkEnd w:id="182"/>
      <w:r w:rsidRPr="008924E0">
        <w:t xml:space="preserve"> </w:t>
      </w:r>
    </w:p>
    <w:p w14:paraId="0DF0539B" w14:textId="5FAEAC2A" w:rsidR="00CF7A3C" w:rsidRPr="008924E0" w:rsidRDefault="00CF7A3C" w:rsidP="00CF7A3C">
      <w:pPr>
        <w:widowControl w:val="0"/>
        <w:spacing w:after="120" w:line="276" w:lineRule="auto"/>
        <w:rPr>
          <w:lang w:val="bs-Latn-BA"/>
        </w:rPr>
      </w:pPr>
      <w:r w:rsidRPr="008924E0">
        <w:rPr>
          <w:lang w:val="bs-Latn-BA"/>
        </w:rPr>
        <w:t>Federalno ministarstvo energije, rudarstva i industrije (u nastavku FMERI), u skladu s nadležnostima propisanim zakonom o federalnim ministarstvima i drugim organima uprave Federacije Bosne i Hercegovine</w:t>
      </w:r>
      <w:r w:rsidRPr="008924E0">
        <w:rPr>
          <w:vertAlign w:val="superscript"/>
          <w:lang w:val="bs-Latn-BA"/>
        </w:rPr>
        <w:footnoteReference w:id="66"/>
      </w:r>
      <w:r w:rsidRPr="008924E0">
        <w:rPr>
          <w:lang w:val="bs-Latn-BA"/>
        </w:rPr>
        <w:t xml:space="preserve">, obavlja upravne, stručne i druge poslove utvrđene zakonom koji se odnose na ostvarivanje nadležnosti Federacije Bosne i Hercegovine u oblastima industrije, energetike, rudarstva, geoloških istraživanja i poduzetništva. U okviru FMERI organizirani su Sektor energije, Sektor rudarstva i Sektor industrije. Dodatno, kantoni u Federaciji Bosne i Hercegovine imaju prema kantonalnim ustavima vlastita ovlaštenja </w:t>
      </w:r>
      <w:r w:rsidR="002F3499">
        <w:rPr>
          <w:lang w:val="bs-Latn-BA"/>
        </w:rPr>
        <w:t>u</w:t>
      </w:r>
      <w:r w:rsidRPr="008924E0">
        <w:rPr>
          <w:lang w:val="bs-Latn-BA"/>
        </w:rPr>
        <w:t xml:space="preserve"> oblasti energije, koja se odnose na donošenje propisa o lokalnim postrojenjima za proizvodnju energije i osiguranje njihove dostupnosti;</w:t>
      </w:r>
    </w:p>
    <w:p w14:paraId="57C414B5" w14:textId="77777777" w:rsidR="00CF7A3C" w:rsidRPr="008924E0" w:rsidRDefault="00CF7A3C" w:rsidP="00CF7A3C">
      <w:pPr>
        <w:widowControl w:val="0"/>
        <w:spacing w:after="120" w:line="276" w:lineRule="auto"/>
        <w:rPr>
          <w:lang w:val="bs-Latn-BA"/>
        </w:rPr>
      </w:pPr>
      <w:r w:rsidRPr="008924E0">
        <w:rPr>
          <w:lang w:val="bs-Latn-BA"/>
        </w:rPr>
        <w:t>U kontekstu energijske efikasnosti, Federalno ministarstvo energije, rudarstva i industrije nadležno je za kreiranje politike u oblasti energijske efikasnosti u FBiH, u smislu sljedećeg:</w:t>
      </w:r>
    </w:p>
    <w:p w14:paraId="185B54D3" w14:textId="77777777" w:rsidR="00CF7A3C" w:rsidRPr="008924E0" w:rsidRDefault="00CF7A3C" w:rsidP="00CF7A3C">
      <w:pPr>
        <w:widowControl w:val="0"/>
        <w:numPr>
          <w:ilvl w:val="0"/>
          <w:numId w:val="34"/>
        </w:numPr>
        <w:pBdr>
          <w:top w:val="nil"/>
          <w:left w:val="nil"/>
          <w:bottom w:val="nil"/>
          <w:right w:val="nil"/>
          <w:between w:val="nil"/>
        </w:pBdr>
        <w:spacing w:after="120" w:line="240" w:lineRule="auto"/>
        <w:rPr>
          <w:lang w:val="bs-Latn-BA"/>
        </w:rPr>
      </w:pPr>
      <w:r w:rsidRPr="008924E0">
        <w:rPr>
          <w:color w:val="000000"/>
          <w:lang w:val="bs-Latn-BA"/>
        </w:rPr>
        <w:t>provodi politiku unapređenja energijske efikasnosti,</w:t>
      </w:r>
    </w:p>
    <w:p w14:paraId="02D1D9CE" w14:textId="77777777" w:rsidR="00CF7A3C" w:rsidRPr="008924E0" w:rsidRDefault="00CF7A3C" w:rsidP="00CF7A3C">
      <w:pPr>
        <w:widowControl w:val="0"/>
        <w:numPr>
          <w:ilvl w:val="0"/>
          <w:numId w:val="34"/>
        </w:numPr>
        <w:pBdr>
          <w:top w:val="nil"/>
          <w:left w:val="nil"/>
          <w:bottom w:val="nil"/>
          <w:right w:val="nil"/>
          <w:between w:val="nil"/>
        </w:pBdr>
        <w:spacing w:after="120" w:line="240" w:lineRule="auto"/>
        <w:rPr>
          <w:lang w:val="bs-Latn-BA"/>
        </w:rPr>
      </w:pPr>
      <w:r w:rsidRPr="008924E0">
        <w:rPr>
          <w:color w:val="000000"/>
          <w:lang w:val="bs-Latn-BA"/>
        </w:rPr>
        <w:t>u saradnji sa ministarstvima: Federalnim ministarstvom prostornog uređenja, Federalnim ministarstvom okoliša i turizma i Federalnim ministarstvom prometa i komunikacija, FMERI priprema i dostavlja Vladi usaglašen prijedlog podzakonskih akata koje donosi Vlada,</w:t>
      </w:r>
    </w:p>
    <w:p w14:paraId="479D5B53" w14:textId="77777777" w:rsidR="00CF7A3C" w:rsidRPr="008924E0" w:rsidRDefault="00CF7A3C" w:rsidP="00CF7A3C">
      <w:pPr>
        <w:widowControl w:val="0"/>
        <w:numPr>
          <w:ilvl w:val="0"/>
          <w:numId w:val="34"/>
        </w:numPr>
        <w:pBdr>
          <w:top w:val="nil"/>
          <w:left w:val="nil"/>
          <w:bottom w:val="nil"/>
          <w:right w:val="nil"/>
          <w:between w:val="nil"/>
        </w:pBdr>
        <w:spacing w:after="120" w:line="240" w:lineRule="auto"/>
        <w:rPr>
          <w:lang w:val="bs-Latn-BA"/>
        </w:rPr>
      </w:pPr>
      <w:r w:rsidRPr="008924E0">
        <w:rPr>
          <w:color w:val="000000"/>
          <w:lang w:val="bs-Latn-BA"/>
        </w:rPr>
        <w:t>u pogledu provođenja politike unapređenja energijske efikasnosti FMERI koordinira drugim organima uprave, institucijama, javnim preduzećima i nosiocima,</w:t>
      </w:r>
    </w:p>
    <w:p w14:paraId="7AC54E6D" w14:textId="77777777" w:rsidR="00CF7A3C" w:rsidRPr="008924E0" w:rsidRDefault="00CF7A3C" w:rsidP="00CF7A3C">
      <w:pPr>
        <w:widowControl w:val="0"/>
        <w:numPr>
          <w:ilvl w:val="0"/>
          <w:numId w:val="34"/>
        </w:numPr>
        <w:pBdr>
          <w:top w:val="nil"/>
          <w:left w:val="nil"/>
          <w:bottom w:val="nil"/>
          <w:right w:val="nil"/>
          <w:between w:val="nil"/>
        </w:pBdr>
        <w:spacing w:after="120" w:line="240" w:lineRule="auto"/>
        <w:rPr>
          <w:lang w:val="bs-Latn-BA"/>
        </w:rPr>
      </w:pPr>
      <w:r w:rsidRPr="008924E0">
        <w:rPr>
          <w:color w:val="000000"/>
          <w:lang w:val="bs-Latn-BA"/>
        </w:rPr>
        <w:t>Federalno ministarstvo energije, rudarstva i industrije učestvuje u pripremi propisa neophodnih za usklađivanje zakonodavstva FBiH sa propisima o energijskoj efikasnosti koji su na snazi ​​u Energetskoj zajednici.</w:t>
      </w:r>
    </w:p>
    <w:p w14:paraId="7E5EA32E" w14:textId="3C6701F3" w:rsidR="00CF7A3C" w:rsidRPr="008924E0" w:rsidRDefault="00CF7A3C" w:rsidP="00CF7A3C">
      <w:pPr>
        <w:widowControl w:val="0"/>
        <w:spacing w:after="120" w:line="276" w:lineRule="auto"/>
        <w:rPr>
          <w:lang w:val="bs-Latn-BA"/>
        </w:rPr>
      </w:pPr>
      <w:r w:rsidRPr="008924E0">
        <w:rPr>
          <w:lang w:val="bs-Latn-BA"/>
        </w:rPr>
        <w:t xml:space="preserve">Federalno ministarstvo prostornog uređenja Bosne i Hercegovine, zajedno sa Kantonalnim ministarstvima prostornog uređenja i/ili građenja i/ili zaštite okoliša (u zavisnosti od naziva u određenom kantonu), nadležno je za implementaciju Direktive 2010/31/EU. Navedeno se posebno odnosi na </w:t>
      </w:r>
      <w:r w:rsidR="00F03625">
        <w:rPr>
          <w:lang w:val="bs-Latn-BA"/>
        </w:rPr>
        <w:t>obvez</w:t>
      </w:r>
      <w:r w:rsidRPr="008924E0">
        <w:rPr>
          <w:lang w:val="bs-Latn-BA"/>
        </w:rPr>
        <w:t xml:space="preserve">u uspostavljanja energijskog certificiranja i </w:t>
      </w:r>
      <w:r w:rsidR="00AB786E">
        <w:rPr>
          <w:lang w:val="bs-Latn-BA"/>
        </w:rPr>
        <w:t>definiranje</w:t>
      </w:r>
      <w:r w:rsidRPr="008924E0">
        <w:rPr>
          <w:lang w:val="bs-Latn-BA"/>
        </w:rPr>
        <w:t xml:space="preserve"> minimalnih zahtjeva za energijskim karakteristikama zgrada. FMPU je u skladu sa Zakonom o energijsko</w:t>
      </w:r>
      <w:r w:rsidR="00DE1869">
        <w:rPr>
          <w:lang w:val="bs-Latn-BA"/>
        </w:rPr>
        <w:t>j</w:t>
      </w:r>
      <w:r w:rsidRPr="008924E0">
        <w:rPr>
          <w:lang w:val="bs-Latn-BA"/>
        </w:rPr>
        <w:t xml:space="preserve"> efikasnosti FBiH donijelo Pravilnik o minimalnim zahtjevima za energijskim </w:t>
      </w:r>
      <w:r w:rsidR="00642327" w:rsidRPr="008924E0">
        <w:rPr>
          <w:lang w:val="bs-Latn-BA"/>
        </w:rPr>
        <w:t>karakteristikama</w:t>
      </w:r>
      <w:r w:rsidRPr="008924E0">
        <w:rPr>
          <w:lang w:val="bs-Latn-BA"/>
        </w:rPr>
        <w:t xml:space="preserve"> zgrada koji je potrebno da preuzmu</w:t>
      </w:r>
      <w:r w:rsidR="00DE1869">
        <w:rPr>
          <w:lang w:val="bs-Latn-BA"/>
        </w:rPr>
        <w:t xml:space="preserve"> </w:t>
      </w:r>
      <w:r w:rsidR="00DE1869" w:rsidRPr="008924E0">
        <w:rPr>
          <w:lang w:val="bs-Latn-BA"/>
        </w:rPr>
        <w:t>Kantonalna ministarstva prostornog uređenja i/ili građenja i/ili zaštite okoliša</w:t>
      </w:r>
      <w:r w:rsidRPr="008924E0">
        <w:rPr>
          <w:lang w:val="bs-Latn-BA"/>
        </w:rPr>
        <w:t xml:space="preserve">, odnosno </w:t>
      </w:r>
      <w:r w:rsidRPr="008924E0">
        <w:rPr>
          <w:lang w:val="bs-Latn-BA"/>
        </w:rPr>
        <w:lastRenderedPageBreak/>
        <w:t xml:space="preserve">izrade svoje Pravilnike, poštujući tehničke zahtjeve. </w:t>
      </w:r>
    </w:p>
    <w:p w14:paraId="0FA71805" w14:textId="77777777" w:rsidR="00CF7A3C" w:rsidRPr="008924E0" w:rsidRDefault="00CF7A3C" w:rsidP="00CF7A3C">
      <w:pPr>
        <w:widowControl w:val="0"/>
        <w:spacing w:after="120" w:line="276" w:lineRule="auto"/>
        <w:rPr>
          <w:lang w:val="bs-Latn-BA"/>
        </w:rPr>
      </w:pPr>
      <w:r w:rsidRPr="008924E0">
        <w:rPr>
          <w:lang w:val="bs-Latn-BA"/>
        </w:rPr>
        <w:t>Zakon o energijskog efikasnosti u FBiH je sistemski propis s kojim je potrebno uskladiti:</w:t>
      </w:r>
    </w:p>
    <w:p w14:paraId="1851387B" w14:textId="6262F53E" w:rsidR="00CF7A3C" w:rsidRPr="008924E0" w:rsidRDefault="00CF7A3C" w:rsidP="00CF7A3C">
      <w:pPr>
        <w:pStyle w:val="ListParagraph"/>
        <w:widowControl w:val="0"/>
        <w:numPr>
          <w:ilvl w:val="0"/>
          <w:numId w:val="42"/>
        </w:numPr>
        <w:spacing w:after="120" w:line="276" w:lineRule="auto"/>
      </w:pPr>
      <w:r w:rsidRPr="008924E0">
        <w:t>Zakon o obligacionim odnosima</w:t>
      </w:r>
      <w:r w:rsidRPr="008924E0">
        <w:rPr>
          <w:rStyle w:val="FootnoteReference"/>
        </w:rPr>
        <w:footnoteReference w:id="67"/>
      </w:r>
      <w:r w:rsidRPr="008924E0">
        <w:t xml:space="preserve"> („Službene novine Federacije BiH</w:t>
      </w:r>
      <w:r w:rsidRPr="008924E0">
        <w:rPr>
          <w:color w:val="333333"/>
        </w:rPr>
        <w:t>“</w:t>
      </w:r>
      <w:r w:rsidRPr="008924E0">
        <w:t>, br</w:t>
      </w:r>
      <w:r w:rsidR="007F46D7">
        <w:t>oj</w:t>
      </w:r>
      <w:r w:rsidRPr="008924E0">
        <w:t xml:space="preserve"> 42/2011), naročito segment Zakona koji se odnosi na notarsku saglasnost;</w:t>
      </w:r>
    </w:p>
    <w:p w14:paraId="7EF09727" w14:textId="77777777" w:rsidR="00CF7A3C" w:rsidRPr="008924E0" w:rsidRDefault="00CF7A3C" w:rsidP="00CF7A3C">
      <w:pPr>
        <w:pStyle w:val="ListParagraph"/>
        <w:widowControl w:val="0"/>
        <w:numPr>
          <w:ilvl w:val="0"/>
          <w:numId w:val="42"/>
        </w:numPr>
        <w:spacing w:after="120" w:line="276" w:lineRule="auto"/>
      </w:pPr>
      <w:r w:rsidRPr="008924E0">
        <w:t>Zakon o upravljanju zajedničkim dijelovima zgrade (na nivou Kantona), te</w:t>
      </w:r>
    </w:p>
    <w:p w14:paraId="6EE3B684" w14:textId="00DAEFEE" w:rsidR="00CF7A3C" w:rsidRPr="008924E0" w:rsidRDefault="00CF7A3C" w:rsidP="00CF7A3C">
      <w:pPr>
        <w:pStyle w:val="ListParagraph"/>
        <w:widowControl w:val="0"/>
        <w:numPr>
          <w:ilvl w:val="0"/>
          <w:numId w:val="42"/>
        </w:numPr>
        <w:spacing w:after="120" w:line="276" w:lineRule="auto"/>
      </w:pPr>
      <w:r w:rsidRPr="008924E0">
        <w:t>Zakon o stvarnim pravima</w:t>
      </w:r>
      <w:r w:rsidRPr="008924E0">
        <w:rPr>
          <w:rStyle w:val="FootnoteReference"/>
        </w:rPr>
        <w:footnoteReference w:id="68"/>
      </w:r>
      <w:r w:rsidRPr="008924E0">
        <w:t xml:space="preserve"> (</w:t>
      </w:r>
      <w:r w:rsidR="0028605F" w:rsidRPr="0028605F">
        <w:t xml:space="preserve">„Službene novine Federacije BiH“, broj </w:t>
      </w:r>
      <w:r w:rsidRPr="008924E0">
        <w:t xml:space="preserve">100/13). </w:t>
      </w:r>
    </w:p>
    <w:p w14:paraId="30DDCFD4" w14:textId="2940346A" w:rsidR="00CF7A3C" w:rsidRPr="008924E0" w:rsidRDefault="00CF7A3C" w:rsidP="00CF7A3C">
      <w:pPr>
        <w:widowControl w:val="0"/>
        <w:spacing w:after="120" w:line="276" w:lineRule="auto"/>
        <w:rPr>
          <w:lang w:val="bs-Latn-BA"/>
        </w:rPr>
      </w:pPr>
      <w:r w:rsidRPr="008924E0">
        <w:rPr>
          <w:lang w:val="bs-Latn-BA"/>
        </w:rPr>
        <w:t xml:space="preserve">Fond za zaštitu okoliša FBiH obavlja poslove koji se odnose na pribavljanje sredstava, stimuliranje i </w:t>
      </w:r>
      <w:r w:rsidR="007B690C">
        <w:rPr>
          <w:lang w:val="bs-Latn-BA"/>
        </w:rPr>
        <w:t>financ</w:t>
      </w:r>
      <w:r w:rsidRPr="008924E0">
        <w:rPr>
          <w:lang w:val="bs-Latn-BA"/>
        </w:rPr>
        <w:t xml:space="preserve">iranje pripreme, provođenja i razvoja programa, projekata i sličnih aktivnosti u oblasti održivog korištenja, zaštite i unapređenja okoliša i korištenja obnovljivih izvora energije. </w:t>
      </w:r>
    </w:p>
    <w:p w14:paraId="487AC4D1" w14:textId="77777777" w:rsidR="00CF7A3C" w:rsidRPr="008924E0" w:rsidRDefault="00CF7A3C" w:rsidP="00CF7A3C">
      <w:pPr>
        <w:widowControl w:val="0"/>
        <w:spacing w:after="120" w:line="276" w:lineRule="auto"/>
        <w:rPr>
          <w:lang w:val="bs-Latn-BA"/>
        </w:rPr>
      </w:pPr>
      <w:r w:rsidRPr="008924E0">
        <w:rPr>
          <w:lang w:val="bs-Latn-BA"/>
        </w:rPr>
        <w:t>Iako je Zakonom o EE u FBiH, na nivou FBiH definirano uspostavljanje Agencije za energijsku efikasnost kako bi se vršila koordinacija u izradi planova za ostvarivanje ciljeva energijske efikasnosti, te identificiranje i rješavanje prepreka koje sprečavaju mogućnosti primjene mjera za poboljšanje energijske efikasnosti, ova institucija još uvijek nije uspostavljena.</w:t>
      </w:r>
    </w:p>
    <w:p w14:paraId="28DD66BC" w14:textId="01B7A414" w:rsidR="00CF7A3C" w:rsidRPr="008924E0" w:rsidRDefault="00CF7A3C" w:rsidP="00CF7A3C">
      <w:pPr>
        <w:widowControl w:val="0"/>
        <w:spacing w:after="120" w:line="276" w:lineRule="auto"/>
        <w:rPr>
          <w:lang w:val="bs-Latn-BA"/>
        </w:rPr>
      </w:pPr>
      <w:r w:rsidRPr="008924E0">
        <w:rPr>
          <w:lang w:val="bs-Latn-BA"/>
        </w:rPr>
        <w:t>Osnovno polazište za resor energijske efikasnosti u Federaciji Bosne i Hercegovine je Zakon o energijskoj efikasnosti u Federaciji BiH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lang w:val="bs-Latn-BA"/>
        </w:rPr>
        <w:t xml:space="preserve">22/17) kao i međunarodno preuzete </w:t>
      </w:r>
      <w:r w:rsidR="00F03625">
        <w:rPr>
          <w:lang w:val="bs-Latn-BA"/>
        </w:rPr>
        <w:t>obvez</w:t>
      </w:r>
      <w:r w:rsidRPr="008924E0">
        <w:rPr>
          <w:lang w:val="bs-Latn-BA"/>
        </w:rPr>
        <w:t>e kroz Ugovor o uspostavi Energetske zajednice (</w:t>
      </w:r>
      <w:r w:rsidR="0028605F">
        <w:rPr>
          <w:lang w:val="bs-Latn-BA"/>
        </w:rPr>
        <w:t>„Službeni list</w:t>
      </w:r>
      <w:r w:rsidRPr="008924E0">
        <w:rPr>
          <w:lang w:val="bs-Latn-BA"/>
        </w:rPr>
        <w:t xml:space="preserve"> BiH</w:t>
      </w:r>
      <w:r w:rsidR="0028605F">
        <w:rPr>
          <w:lang w:val="bs-Latn-BA"/>
        </w:rPr>
        <w:t>“, broj</w:t>
      </w:r>
      <w:r w:rsidRPr="008924E0">
        <w:rPr>
          <w:lang w:val="bs-Latn-BA"/>
        </w:rPr>
        <w:t xml:space="preserve"> 9/06, međunarodni ugovori). </w:t>
      </w:r>
      <w:r w:rsidR="00695AEF">
        <w:rPr>
          <w:noProof/>
        </w:rPr>
        <mc:AlternateContent>
          <mc:Choice Requires="wps">
            <w:drawing>
              <wp:anchor distT="0" distB="0" distL="114300" distR="114300" simplePos="0" relativeHeight="251677696" behindDoc="0" locked="0" layoutInCell="1" allowOverlap="1" wp14:anchorId="777968FD" wp14:editId="38586EF4">
                <wp:simplePos x="0" y="0"/>
                <wp:positionH relativeFrom="column">
                  <wp:posOffset>12700</wp:posOffset>
                </wp:positionH>
                <wp:positionV relativeFrom="paragraph">
                  <wp:posOffset>2048510</wp:posOffset>
                </wp:positionV>
                <wp:extent cx="5744210" cy="635"/>
                <wp:effectExtent l="0" t="0" r="0" b="0"/>
                <wp:wrapTopAndBottom/>
                <wp:docPr id="680424191" name="Text Box 1"/>
                <wp:cNvGraphicFramePr/>
                <a:graphic xmlns:a="http://schemas.openxmlformats.org/drawingml/2006/main">
                  <a:graphicData uri="http://schemas.microsoft.com/office/word/2010/wordprocessingShape">
                    <wps:wsp>
                      <wps:cNvSpPr txBox="1"/>
                      <wps:spPr>
                        <a:xfrm>
                          <a:off x="0" y="0"/>
                          <a:ext cx="5744210" cy="635"/>
                        </a:xfrm>
                        <a:prstGeom prst="rect">
                          <a:avLst/>
                        </a:prstGeom>
                        <a:solidFill>
                          <a:prstClr val="white"/>
                        </a:solidFill>
                        <a:ln>
                          <a:noFill/>
                        </a:ln>
                      </wps:spPr>
                      <wps:txbx>
                        <w:txbxContent>
                          <w:p w14:paraId="10632279" w14:textId="3DFCE5CA" w:rsidR="00695AEF" w:rsidRPr="006B7A0F" w:rsidRDefault="00695AEF" w:rsidP="00695AEF">
                            <w:pPr>
                              <w:pStyle w:val="Caption"/>
                              <w:jc w:val="center"/>
                            </w:pPr>
                            <w:bookmarkStart w:id="183" w:name="_Toc133499374"/>
                            <w:r>
                              <w:t>Slika 11.1.</w:t>
                            </w:r>
                            <w:fldSimple w:instr=" SEQ Slika_11.1. \* ARABIC ">
                              <w:r w:rsidR="00F85003">
                                <w:rPr>
                                  <w:noProof/>
                                </w:rPr>
                                <w:t>1</w:t>
                              </w:r>
                            </w:fldSimple>
                            <w:r>
                              <w:t xml:space="preserve"> </w:t>
                            </w:r>
                            <w:r w:rsidRPr="003319E5">
                              <w:rPr>
                                <w:color w:val="000000"/>
                                <w:lang w:val="hr-BA"/>
                              </w:rPr>
                              <w:t xml:space="preserve">Pregled Direktiva EU </w:t>
                            </w:r>
                            <w:r>
                              <w:rPr>
                                <w:color w:val="000000"/>
                                <w:lang w:val="hr-BA"/>
                              </w:rPr>
                              <w:t>relevantnih za oblast</w:t>
                            </w:r>
                            <w:r w:rsidRPr="003319E5">
                              <w:rPr>
                                <w:color w:val="000000"/>
                                <w:lang w:val="hr-BA"/>
                              </w:rPr>
                              <w:t xml:space="preserve"> EE u FBiH</w:t>
                            </w:r>
                            <w:bookmarkEnd w:id="183"/>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du="http://schemas.microsoft.com/office/word/2023/wordml/word16du">
            <w:pict>
              <v:shape w14:anchorId="777968FD" id="Text Box 1" o:spid="_x0000_s1061" type="#_x0000_t202" style="position:absolute;left:0;text-align:left;margin-left:1pt;margin-top:161.3pt;width:452.3pt;height:.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" stroked="f">
                <v:textbox style="mso-fit-shape-to-text:t" inset="0,0,0,0">
                  <w:txbxContent>
                    <w:p w14:paraId="10632279" w14:textId="3DFCE5CA" w:rsidR="00695AEF" w:rsidRPr="006B7A0F" w:rsidRDefault="00695AEF" w:rsidP="00695AEF">
                      <w:pPr>
                        <w:pStyle w:val="Caption"/>
                        <w:jc w:val="center"/>
                      </w:pPr>
                      <w:bookmarkStart w:id="190" w:name="_Toc133499374"/>
                      <w:r>
                        <w:t>Slika 11.1.</w:t>
                      </w:r>
                      <w:fldSimple w:instr=" SEQ Slika_11.1. \* ARABIC ">
                        <w:r w:rsidR="00F85003">
                          <w:rPr>
                            <w:noProof/>
                          </w:rPr>
                          <w:t>1</w:t>
                        </w:r>
                      </w:fldSimple>
                      <w:r>
                        <w:t xml:space="preserve"> </w:t>
                      </w:r>
                      <w:r w:rsidRPr="003319E5">
                        <w:rPr>
                          <w:color w:val="000000"/>
                          <w:lang w:val="hr-BA"/>
                        </w:rPr>
                        <w:t xml:space="preserve">Pregled Direktiva EU </w:t>
                      </w:r>
                      <w:r>
                        <w:rPr>
                          <w:color w:val="000000"/>
                          <w:lang w:val="hr-BA"/>
                        </w:rPr>
                        <w:t>relevantnih za oblast</w:t>
                      </w:r>
                      <w:r w:rsidRPr="003319E5">
                        <w:rPr>
                          <w:color w:val="000000"/>
                          <w:lang w:val="hr-BA"/>
                        </w:rPr>
                        <w:t xml:space="preserve"> EE u FBiH</w:t>
                      </w:r>
                      <w:bookmarkEnd w:id="190"/>
                    </w:p>
                  </w:txbxContent>
                </v:textbox>
                <w10:wrap type="topAndBottom"/>
              </v:shape>
            </w:pict>
          </mc:Fallback>
        </mc:AlternateContent>
      </w:r>
      <w:r w:rsidR="0025720B" w:rsidRPr="008924E0">
        <w:rPr>
          <w:noProof/>
          <w:lang w:val="bs-Latn-BA"/>
        </w:rPr>
        <mc:AlternateContent>
          <mc:Choice Requires="wpg">
            <w:drawing>
              <wp:anchor distT="0" distB="0" distL="114300" distR="114300" simplePos="0" relativeHeight="251675648" behindDoc="0" locked="0" layoutInCell="1" allowOverlap="1" wp14:anchorId="5C4911C8" wp14:editId="7D901111">
                <wp:simplePos x="0" y="0"/>
                <wp:positionH relativeFrom="column">
                  <wp:posOffset>12700</wp:posOffset>
                </wp:positionH>
                <wp:positionV relativeFrom="paragraph">
                  <wp:posOffset>977900</wp:posOffset>
                </wp:positionV>
                <wp:extent cx="5744210" cy="101346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44210" cy="1013460"/>
                          <a:chOff x="2473895" y="3273270"/>
                          <a:chExt cx="5744210" cy="1013460"/>
                        </a:xfrm>
                      </wpg:grpSpPr>
                      <wpg:grpSp>
                        <wpg:cNvPr id="20" name="Group 6"/>
                        <wpg:cNvGrpSpPr/>
                        <wpg:grpSpPr>
                          <a:xfrm>
                            <a:off x="2473895" y="3273270"/>
                            <a:ext cx="5744210" cy="1013460"/>
                            <a:chOff x="2473895" y="3273270"/>
                            <a:chExt cx="5744210" cy="1013460"/>
                          </a:xfrm>
                        </wpg:grpSpPr>
                        <wps:wsp>
                          <wps:cNvPr id="21" name="Rectangle 7"/>
                          <wps:cNvSpPr/>
                          <wps:spPr>
                            <a:xfrm>
                              <a:off x="2473895" y="3273270"/>
                              <a:ext cx="5744200" cy="1013450"/>
                            </a:xfrm>
                            <a:prstGeom prst="rect">
                              <a:avLst/>
                            </a:prstGeom>
                            <a:noFill/>
                            <a:ln>
                              <a:noFill/>
                            </a:ln>
                          </wps:spPr>
                          <wps:txbx>
                            <w:txbxContent>
                              <w:p w14:paraId="5499F76F" w14:textId="77777777" w:rsidR="00CF7A3C" w:rsidRDefault="00CF7A3C" w:rsidP="00CF7A3C">
                                <w:pPr>
                                  <w:spacing w:after="0" w:line="240" w:lineRule="auto"/>
                                  <w:jc w:val="left"/>
                                  <w:textDirection w:val="btLr"/>
                                </w:pPr>
                              </w:p>
                            </w:txbxContent>
                          </wps:txbx>
                          <wps:bodyPr spcFirstLastPara="1" wrap="square" lIns="91425" tIns="91425" rIns="91425" bIns="91425" anchor="ctr" anchorCtr="0">
                            <a:noAutofit/>
                          </wps:bodyPr>
                        </wps:wsp>
                        <wpg:grpSp>
                          <wpg:cNvPr id="22" name="Group 8"/>
                          <wpg:cNvGrpSpPr/>
                          <wpg:grpSpPr>
                            <a:xfrm>
                              <a:off x="2473895" y="3273270"/>
                              <a:ext cx="5744210" cy="1013460"/>
                              <a:chOff x="0" y="0"/>
                              <a:chExt cx="6557619" cy="980170"/>
                            </a:xfrm>
                          </wpg:grpSpPr>
                          <wps:wsp>
                            <wps:cNvPr id="23" name="Rectangle 9"/>
                            <wps:cNvSpPr/>
                            <wps:spPr>
                              <a:xfrm>
                                <a:off x="0" y="0"/>
                                <a:ext cx="6557600" cy="980150"/>
                              </a:xfrm>
                              <a:prstGeom prst="rect">
                                <a:avLst/>
                              </a:prstGeom>
                              <a:noFill/>
                              <a:ln>
                                <a:noFill/>
                              </a:ln>
                            </wps:spPr>
                            <wps:txbx>
                              <w:txbxContent>
                                <w:p w14:paraId="36CB13CB" w14:textId="77777777" w:rsidR="00CF7A3C" w:rsidRDefault="00CF7A3C" w:rsidP="00CF7A3C">
                                  <w:pPr>
                                    <w:spacing w:after="0" w:line="240" w:lineRule="auto"/>
                                    <w:jc w:val="left"/>
                                    <w:textDirection w:val="btLr"/>
                                  </w:pPr>
                                </w:p>
                              </w:txbxContent>
                            </wps:txbx>
                            <wps:bodyPr spcFirstLastPara="1" wrap="square" lIns="91425" tIns="91425" rIns="91425" bIns="91425" anchor="ctr" anchorCtr="0">
                              <a:noAutofit/>
                            </wps:bodyPr>
                          </wps:wsp>
                          <wps:wsp>
                            <wps:cNvPr id="24" name="Free-form: Shape 10"/>
                            <wps:cNvSpPr/>
                            <wps:spPr>
                              <a:xfrm>
                                <a:off x="0" y="0"/>
                                <a:ext cx="1983492" cy="980170"/>
                              </a:xfrm>
                              <a:custGeom>
                                <a:avLst/>
                                <a:gdLst/>
                                <a:ahLst/>
                                <a:cxnLst/>
                                <a:rect l="l" t="t" r="r" b="b"/>
                                <a:pathLst>
                                  <a:path w="1633617" h="980170" extrusionOk="0">
                                    <a:moveTo>
                                      <a:pt x="0" y="98017"/>
                                    </a:moveTo>
                                    <a:cubicBezTo>
                                      <a:pt x="0" y="43884"/>
                                      <a:pt x="43884" y="0"/>
                                      <a:pt x="98017" y="0"/>
                                    </a:cubicBezTo>
                                    <a:lnTo>
                                      <a:pt x="1535600" y="0"/>
                                    </a:lnTo>
                                    <a:cubicBezTo>
                                      <a:pt x="1589733" y="0"/>
                                      <a:pt x="1633617" y="43884"/>
                                      <a:pt x="1633617" y="98017"/>
                                    </a:cubicBezTo>
                                    <a:lnTo>
                                      <a:pt x="1633617" y="882153"/>
                                    </a:lnTo>
                                    <a:cubicBezTo>
                                      <a:pt x="1633617" y="936286"/>
                                      <a:pt x="1589733" y="980170"/>
                                      <a:pt x="1535600" y="980170"/>
                                    </a:cubicBezTo>
                                    <a:lnTo>
                                      <a:pt x="98017" y="980170"/>
                                    </a:lnTo>
                                    <a:cubicBezTo>
                                      <a:pt x="43884" y="980170"/>
                                      <a:pt x="0" y="936286"/>
                                      <a:pt x="0" y="882153"/>
                                    </a:cubicBezTo>
                                    <a:lnTo>
                                      <a:pt x="0" y="98017"/>
                                    </a:lnTo>
                                    <a:close/>
                                  </a:path>
                                </a:pathLst>
                              </a:custGeom>
                              <a:solidFill>
                                <a:srgbClr val="006432"/>
                              </a:solidFill>
                              <a:ln>
                                <a:noFill/>
                              </a:ln>
                            </wps:spPr>
                            <wps:txbx>
                              <w:txbxContent>
                                <w:p w14:paraId="02FD25EA" w14:textId="77777777" w:rsidR="00CF7A3C" w:rsidRPr="001972F5" w:rsidRDefault="00CF7A3C" w:rsidP="00CF7A3C">
                                  <w:pPr>
                                    <w:spacing w:after="101" w:line="215" w:lineRule="auto"/>
                                    <w:jc w:val="center"/>
                                    <w:textDirection w:val="btLr"/>
                                    <w:rPr>
                                      <w:lang w:val="fi-FI"/>
                                    </w:rPr>
                                  </w:pPr>
                                  <w:r w:rsidRPr="001972F5">
                                    <w:rPr>
                                      <w:rFonts w:eastAsia="Calibri"/>
                                      <w:color w:val="FFFFFF"/>
                                      <w:lang w:val="fi-FI"/>
                                    </w:rPr>
                                    <w:t xml:space="preserve">Direktiva 2010/31/EU </w:t>
                                  </w:r>
                                </w:p>
                                <w:p w14:paraId="44A429CB" w14:textId="77777777" w:rsidR="00CF7A3C" w:rsidRPr="001972F5" w:rsidRDefault="00CF7A3C" w:rsidP="00CF7A3C">
                                  <w:pPr>
                                    <w:spacing w:after="101" w:line="215" w:lineRule="auto"/>
                                    <w:jc w:val="center"/>
                                    <w:textDirection w:val="btLr"/>
                                    <w:rPr>
                                      <w:lang w:val="fi-FI"/>
                                    </w:rPr>
                                  </w:pPr>
                                  <w:r w:rsidRPr="001972F5">
                                    <w:rPr>
                                      <w:rFonts w:eastAsia="Calibri"/>
                                      <w:color w:val="FFFFFF"/>
                                      <w:lang w:val="fi-FI"/>
                                    </w:rPr>
                                    <w:t>o energijskim karakteristikama zgrada (EPBD)</w:t>
                                  </w:r>
                                </w:p>
                              </w:txbxContent>
                            </wps:txbx>
                            <wps:bodyPr spcFirstLastPara="1" wrap="square" lIns="74425" tIns="74425" rIns="74425" bIns="74425" anchor="ctr" anchorCtr="0">
                              <a:noAutofit/>
                            </wps:bodyPr>
                          </wps:wsp>
                          <wps:wsp>
                            <wps:cNvPr id="25" name="Free-form: Shape 11"/>
                            <wps:cNvSpPr/>
                            <wps:spPr>
                              <a:xfrm>
                                <a:off x="2287064" y="0"/>
                                <a:ext cx="1983492" cy="980170"/>
                              </a:xfrm>
                              <a:custGeom>
                                <a:avLst/>
                                <a:gdLst/>
                                <a:ahLst/>
                                <a:cxnLst/>
                                <a:rect l="l" t="t" r="r" b="b"/>
                                <a:pathLst>
                                  <a:path w="1633617" h="980170" extrusionOk="0">
                                    <a:moveTo>
                                      <a:pt x="0" y="98017"/>
                                    </a:moveTo>
                                    <a:cubicBezTo>
                                      <a:pt x="0" y="43884"/>
                                      <a:pt x="43884" y="0"/>
                                      <a:pt x="98017" y="0"/>
                                    </a:cubicBezTo>
                                    <a:lnTo>
                                      <a:pt x="1535600" y="0"/>
                                    </a:lnTo>
                                    <a:cubicBezTo>
                                      <a:pt x="1589733" y="0"/>
                                      <a:pt x="1633617" y="43884"/>
                                      <a:pt x="1633617" y="98017"/>
                                    </a:cubicBezTo>
                                    <a:lnTo>
                                      <a:pt x="1633617" y="882153"/>
                                    </a:lnTo>
                                    <a:cubicBezTo>
                                      <a:pt x="1633617" y="936286"/>
                                      <a:pt x="1589733" y="980170"/>
                                      <a:pt x="1535600" y="980170"/>
                                    </a:cubicBezTo>
                                    <a:lnTo>
                                      <a:pt x="98017" y="980170"/>
                                    </a:lnTo>
                                    <a:cubicBezTo>
                                      <a:pt x="43884" y="980170"/>
                                      <a:pt x="0" y="936286"/>
                                      <a:pt x="0" y="882153"/>
                                    </a:cubicBezTo>
                                    <a:lnTo>
                                      <a:pt x="0" y="98017"/>
                                    </a:lnTo>
                                    <a:close/>
                                  </a:path>
                                </a:pathLst>
                              </a:custGeom>
                              <a:solidFill>
                                <a:srgbClr val="006432"/>
                              </a:solidFill>
                              <a:ln>
                                <a:noFill/>
                              </a:ln>
                            </wps:spPr>
                            <wps:txbx>
                              <w:txbxContent>
                                <w:p w14:paraId="16DAA74C" w14:textId="77777777" w:rsidR="00CF7A3C" w:rsidRPr="001972F5" w:rsidRDefault="00CF7A3C" w:rsidP="00CF7A3C">
                                  <w:pPr>
                                    <w:spacing w:line="258" w:lineRule="auto"/>
                                    <w:jc w:val="center"/>
                                    <w:textDirection w:val="btLr"/>
                                    <w:rPr>
                                      <w:lang w:val="fi-FI"/>
                                    </w:rPr>
                                  </w:pPr>
                                  <w:r w:rsidRPr="001972F5">
                                    <w:rPr>
                                      <w:rFonts w:eastAsia="Calibri"/>
                                      <w:color w:val="FFFFFF"/>
                                      <w:lang w:val="fi-FI"/>
                                    </w:rPr>
                                    <w:t xml:space="preserve">Direktiva 2012/27/EU </w:t>
                                  </w:r>
                                </w:p>
                                <w:p w14:paraId="5D50BFB0" w14:textId="77777777" w:rsidR="00CF7A3C" w:rsidRPr="001972F5" w:rsidRDefault="00CF7A3C" w:rsidP="00CF7A3C">
                                  <w:pPr>
                                    <w:spacing w:line="258" w:lineRule="auto"/>
                                    <w:jc w:val="center"/>
                                    <w:textDirection w:val="btLr"/>
                                    <w:rPr>
                                      <w:lang w:val="fi-FI"/>
                                    </w:rPr>
                                  </w:pPr>
                                  <w:r w:rsidRPr="001972F5">
                                    <w:rPr>
                                      <w:rFonts w:eastAsia="Calibri"/>
                                      <w:color w:val="FFFFFF"/>
                                      <w:lang w:val="fi-FI"/>
                                    </w:rPr>
                                    <w:t xml:space="preserve">o energijskoj efikasnosti (EED) </w:t>
                                  </w:r>
                                </w:p>
                              </w:txbxContent>
                            </wps:txbx>
                            <wps:bodyPr spcFirstLastPara="1" wrap="square" lIns="74425" tIns="74425" rIns="74425" bIns="74425" anchor="ctr" anchorCtr="0">
                              <a:noAutofit/>
                            </wps:bodyPr>
                          </wps:wsp>
                          <wps:wsp>
                            <wps:cNvPr id="26" name="Free-form: Shape 12"/>
                            <wps:cNvSpPr/>
                            <wps:spPr>
                              <a:xfrm>
                                <a:off x="4574128" y="0"/>
                                <a:ext cx="1983491" cy="980170"/>
                              </a:xfrm>
                              <a:custGeom>
                                <a:avLst/>
                                <a:gdLst/>
                                <a:ahLst/>
                                <a:cxnLst/>
                                <a:rect l="l" t="t" r="r" b="b"/>
                                <a:pathLst>
                                  <a:path w="1633617" h="980170" extrusionOk="0">
                                    <a:moveTo>
                                      <a:pt x="0" y="98017"/>
                                    </a:moveTo>
                                    <a:cubicBezTo>
                                      <a:pt x="0" y="43884"/>
                                      <a:pt x="43884" y="0"/>
                                      <a:pt x="98017" y="0"/>
                                    </a:cubicBezTo>
                                    <a:lnTo>
                                      <a:pt x="1535600" y="0"/>
                                    </a:lnTo>
                                    <a:cubicBezTo>
                                      <a:pt x="1589733" y="0"/>
                                      <a:pt x="1633617" y="43884"/>
                                      <a:pt x="1633617" y="98017"/>
                                    </a:cubicBezTo>
                                    <a:lnTo>
                                      <a:pt x="1633617" y="882153"/>
                                    </a:lnTo>
                                    <a:cubicBezTo>
                                      <a:pt x="1633617" y="936286"/>
                                      <a:pt x="1589733" y="980170"/>
                                      <a:pt x="1535600" y="980170"/>
                                    </a:cubicBezTo>
                                    <a:lnTo>
                                      <a:pt x="98017" y="980170"/>
                                    </a:lnTo>
                                    <a:cubicBezTo>
                                      <a:pt x="43884" y="980170"/>
                                      <a:pt x="0" y="936286"/>
                                      <a:pt x="0" y="882153"/>
                                    </a:cubicBezTo>
                                    <a:lnTo>
                                      <a:pt x="0" y="98017"/>
                                    </a:lnTo>
                                    <a:close/>
                                  </a:path>
                                </a:pathLst>
                              </a:custGeom>
                              <a:solidFill>
                                <a:srgbClr val="006432"/>
                              </a:solidFill>
                              <a:ln>
                                <a:noFill/>
                              </a:ln>
                            </wps:spPr>
                            <wps:txbx>
                              <w:txbxContent>
                                <w:p w14:paraId="2D23F1A6" w14:textId="77777777" w:rsidR="00CF7A3C" w:rsidRDefault="00CF7A3C" w:rsidP="00CF7A3C">
                                  <w:pPr>
                                    <w:spacing w:line="258" w:lineRule="auto"/>
                                    <w:jc w:val="center"/>
                                    <w:textDirection w:val="btLr"/>
                                  </w:pPr>
                                  <w:r>
                                    <w:rPr>
                                      <w:rFonts w:eastAsia="Calibri"/>
                                      <w:color w:val="FFFFFF"/>
                                    </w:rPr>
                                    <w:t xml:space="preserve">Uredba 2017/1369/EU </w:t>
                                  </w:r>
                                </w:p>
                                <w:p w14:paraId="56FA2F9D" w14:textId="0C835219" w:rsidR="00CF7A3C" w:rsidRDefault="00CF7A3C" w:rsidP="00CF7A3C">
                                  <w:pPr>
                                    <w:spacing w:line="258" w:lineRule="auto"/>
                                    <w:jc w:val="center"/>
                                    <w:textDirection w:val="btLr"/>
                                  </w:pPr>
                                  <w:r>
                                    <w:rPr>
                                      <w:rFonts w:eastAsia="Calibri"/>
                                      <w:color w:val="FFFFFF"/>
                                    </w:rPr>
                                    <w:t>o utvrđivanju okvira za označavanje energijske efikasnost</w:t>
                                  </w:r>
                                  <w:r w:rsidR="00F70A4E">
                                    <w:rPr>
                                      <w:rFonts w:eastAsia="Calibri"/>
                                      <w:color w:val="FFFFFF"/>
                                    </w:rPr>
                                    <w:t>i</w:t>
                                  </w:r>
                                </w:p>
                              </w:txbxContent>
                            </wps:txbx>
                            <wps:bodyPr spcFirstLastPara="1" wrap="square" lIns="74425" tIns="74425" rIns="74425" bIns="74425" anchor="ctr" anchorCtr="0">
                              <a:noAutofit/>
                            </wps:bodyPr>
                          </wps:wsp>
                        </wpg:grpSp>
                      </wpg:grpSp>
                    </wpg:wgp>
                  </a:graphicData>
                </a:graphic>
                <wp14:sizeRelH relativeFrom="page">
                  <wp14:pctWidth>0</wp14:pctWidth>
                </wp14:sizeRelH>
                <wp14:sizeRelV relativeFrom="page">
                  <wp14:pctHeight>0</wp14:pctHeight>
                </wp14:sizeRelV>
              </wp:anchor>
            </w:drawing>
          </mc:Choice>
          <mc:Fallback>
            <w:pict>
              <v:group w14:anchorId="5C4911C8" id="Group 19" o:spid="_x0000_s1062" style="position:absolute;left:0;text-align:left;margin-left:1pt;margin-top:77pt;width:452.3pt;height:79.8pt;z-index:251675648" coordorigin="24738,32732" coordsize="57442,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">
                <v:group id="Group 6" o:spid="_x0000_s1063" style="position:absolute;left:24738;top:32732;width:57443;height:10135" coordorigin="24738,32732" coordsize="57442,10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Rectangle 7" o:spid="_x0000_s1064" style="position:absolute;left:24738;top:32732;width:57442;height:101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5499F76F" w14:textId="77777777" w:rsidR="00CF7A3C" w:rsidRDefault="00CF7A3C" w:rsidP="00CF7A3C">
                          <w:pPr>
                            <w:spacing w:after="0" w:line="240" w:lineRule="auto"/>
                            <w:jc w:val="left"/>
                            <w:textDirection w:val="btLr"/>
                          </w:pPr>
                        </w:p>
                      </w:txbxContent>
                    </v:textbox>
                  </v:rect>
                  <v:group id="Group 8" o:spid="_x0000_s1065" style="position:absolute;left:24738;top:32732;width:57443;height:10135" coordsize="65576,9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9" o:spid="_x0000_s1066" style="position:absolute;width:65576;height:9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36CB13CB" w14:textId="77777777" w:rsidR="00CF7A3C" w:rsidRDefault="00CF7A3C" w:rsidP="00CF7A3C">
                            <w:pPr>
                              <w:spacing w:after="0" w:line="240" w:lineRule="auto"/>
                              <w:jc w:val="left"/>
                              <w:textDirection w:val="btLr"/>
                            </w:pPr>
                          </w:p>
                        </w:txbxContent>
                      </v:textbox>
                    </v:rect>
                    <v:shape id="Free-form: Shape 10" o:spid="_x0000_s1067" style="position:absolute;width:19834;height:9801;visibility:visible;mso-wrap-style:square;v-text-anchor:middle" coordsize="1633617,980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" adj="-11796480,,5400" path="m,98017c,43884,43884,,98017,l1535600,v54133,,98017,43884,98017,98017l1633617,882153v,54133,-43884,98017,-98017,98017l98017,980170c43884,980170,,936286,,882153l,98017xe" fillcolor="#006432" stroked="f">
                      <v:stroke joinstyle="miter"/>
                      <v:formulas/>
                      <v:path arrowok="t" o:extrusionok="f" o:connecttype="custom" textboxrect="0,0,1633617,980170"/>
                      <v:textbox inset="2.06736mm,2.06736mm,2.06736mm,2.06736mm">
                        <w:txbxContent>
                          <w:p w14:paraId="02FD25EA" w14:textId="77777777" w:rsidR="00CF7A3C" w:rsidRPr="001972F5" w:rsidRDefault="00CF7A3C" w:rsidP="00CF7A3C">
                            <w:pPr>
                              <w:spacing w:after="101" w:line="215" w:lineRule="auto"/>
                              <w:jc w:val="center"/>
                              <w:textDirection w:val="btLr"/>
                              <w:rPr>
                                <w:lang w:val="fi-FI"/>
                              </w:rPr>
                            </w:pPr>
                            <w:r w:rsidRPr="001972F5">
                              <w:rPr>
                                <w:rFonts w:eastAsia="Calibri"/>
                                <w:color w:val="FFFFFF"/>
                                <w:lang w:val="fi-FI"/>
                              </w:rPr>
                              <w:t xml:space="preserve">Direktiva 2010/31/EU </w:t>
                            </w:r>
                          </w:p>
                          <w:p w14:paraId="44A429CB" w14:textId="77777777" w:rsidR="00CF7A3C" w:rsidRPr="001972F5" w:rsidRDefault="00CF7A3C" w:rsidP="00CF7A3C">
                            <w:pPr>
                              <w:spacing w:after="101" w:line="215" w:lineRule="auto"/>
                              <w:jc w:val="center"/>
                              <w:textDirection w:val="btLr"/>
                              <w:rPr>
                                <w:lang w:val="fi-FI"/>
                              </w:rPr>
                            </w:pPr>
                            <w:r w:rsidRPr="001972F5">
                              <w:rPr>
                                <w:rFonts w:eastAsia="Calibri"/>
                                <w:color w:val="FFFFFF"/>
                                <w:lang w:val="fi-FI"/>
                              </w:rPr>
                              <w:t>o energijskim karakteristikama zgrada (EPBD)</w:t>
                            </w:r>
                          </w:p>
                        </w:txbxContent>
                      </v:textbox>
                    </v:shape>
                    <v:shape id="Free-form: Shape 11" o:spid="_x0000_s1068" style="position:absolute;left:22870;width:19835;height:9801;visibility:visible;mso-wrap-style:square;v-text-anchor:middle" coordsize="1633617,980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" adj="-11796480,,5400" path="m,98017c,43884,43884,,98017,l1535600,v54133,,98017,43884,98017,98017l1633617,882153v,54133,-43884,98017,-98017,98017l98017,980170c43884,980170,,936286,,882153l,98017xe" fillcolor="#006432" stroked="f">
                      <v:stroke joinstyle="miter"/>
                      <v:formulas/>
                      <v:path arrowok="t" o:extrusionok="f" o:connecttype="custom" textboxrect="0,0,1633617,980170"/>
                      <v:textbox inset="2.06736mm,2.06736mm,2.06736mm,2.06736mm">
                        <w:txbxContent>
                          <w:p w14:paraId="16DAA74C" w14:textId="77777777" w:rsidR="00CF7A3C" w:rsidRPr="001972F5" w:rsidRDefault="00CF7A3C" w:rsidP="00CF7A3C">
                            <w:pPr>
                              <w:spacing w:line="258" w:lineRule="auto"/>
                              <w:jc w:val="center"/>
                              <w:textDirection w:val="btLr"/>
                              <w:rPr>
                                <w:lang w:val="fi-FI"/>
                              </w:rPr>
                            </w:pPr>
                            <w:r w:rsidRPr="001972F5">
                              <w:rPr>
                                <w:rFonts w:eastAsia="Calibri"/>
                                <w:color w:val="FFFFFF"/>
                                <w:lang w:val="fi-FI"/>
                              </w:rPr>
                              <w:t xml:space="preserve">Direktiva 2012/27/EU </w:t>
                            </w:r>
                          </w:p>
                          <w:p w14:paraId="5D50BFB0" w14:textId="77777777" w:rsidR="00CF7A3C" w:rsidRPr="001972F5" w:rsidRDefault="00CF7A3C" w:rsidP="00CF7A3C">
                            <w:pPr>
                              <w:spacing w:line="258" w:lineRule="auto"/>
                              <w:jc w:val="center"/>
                              <w:textDirection w:val="btLr"/>
                              <w:rPr>
                                <w:lang w:val="fi-FI"/>
                              </w:rPr>
                            </w:pPr>
                            <w:r w:rsidRPr="001972F5">
                              <w:rPr>
                                <w:rFonts w:eastAsia="Calibri"/>
                                <w:color w:val="FFFFFF"/>
                                <w:lang w:val="fi-FI"/>
                              </w:rPr>
                              <w:t xml:space="preserve">o energijskoj efikasnosti (EED) </w:t>
                            </w:r>
                          </w:p>
                        </w:txbxContent>
                      </v:textbox>
                    </v:shape>
                    <v:shape id="Free-form: Shape 12" o:spid="_x0000_s1069" style="position:absolute;left:45741;width:19835;height:9801;visibility:visible;mso-wrap-style:square;v-text-anchor:middle" coordsize="1633617,9801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" adj="-11796480,,5400" path="m,98017c,43884,43884,,98017,l1535600,v54133,,98017,43884,98017,98017l1633617,882153v,54133,-43884,98017,-98017,98017l98017,980170c43884,980170,,936286,,882153l,98017xe" fillcolor="#006432" stroked="f">
                      <v:stroke joinstyle="miter"/>
                      <v:formulas/>
                      <v:path arrowok="t" o:extrusionok="f" o:connecttype="custom" textboxrect="0,0,1633617,980170"/>
                      <v:textbox inset="2.06736mm,2.06736mm,2.06736mm,2.06736mm">
                        <w:txbxContent>
                          <w:p w14:paraId="2D23F1A6" w14:textId="77777777" w:rsidR="00CF7A3C" w:rsidRDefault="00CF7A3C" w:rsidP="00CF7A3C">
                            <w:pPr>
                              <w:spacing w:line="258" w:lineRule="auto"/>
                              <w:jc w:val="center"/>
                              <w:textDirection w:val="btLr"/>
                            </w:pPr>
                            <w:r>
                              <w:rPr>
                                <w:rFonts w:eastAsia="Calibri"/>
                                <w:color w:val="FFFFFF"/>
                              </w:rPr>
                              <w:t xml:space="preserve">Uredba 2017/1369/EU </w:t>
                            </w:r>
                          </w:p>
                          <w:p w14:paraId="56FA2F9D" w14:textId="0C835219" w:rsidR="00CF7A3C" w:rsidRDefault="00CF7A3C" w:rsidP="00CF7A3C">
                            <w:pPr>
                              <w:spacing w:line="258" w:lineRule="auto"/>
                              <w:jc w:val="center"/>
                              <w:textDirection w:val="btLr"/>
                            </w:pPr>
                            <w:r>
                              <w:rPr>
                                <w:rFonts w:eastAsia="Calibri"/>
                                <w:color w:val="FFFFFF"/>
                              </w:rPr>
                              <w:t>o utvrđivanju okvira za označavanje energijske efikasnost</w:t>
                            </w:r>
                            <w:r w:rsidR="00F70A4E">
                              <w:rPr>
                                <w:rFonts w:eastAsia="Calibri"/>
                                <w:color w:val="FFFFFF"/>
                              </w:rPr>
                              <w:t>i</w:t>
                            </w:r>
                          </w:p>
                        </w:txbxContent>
                      </v:textbox>
                    </v:shape>
                  </v:group>
                </v:group>
                <w10:wrap type="topAndBottom"/>
              </v:group>
            </w:pict>
          </mc:Fallback>
        </mc:AlternateContent>
      </w:r>
    </w:p>
    <w:p w14:paraId="50BB07D9" w14:textId="57C89CB3" w:rsidR="00CF7A3C" w:rsidRPr="008924E0" w:rsidRDefault="00CF7A3C" w:rsidP="00CF7A3C">
      <w:pPr>
        <w:widowControl w:val="0"/>
        <w:spacing w:after="120" w:line="276" w:lineRule="auto"/>
        <w:rPr>
          <w:lang w:val="bs-Latn-BA"/>
        </w:rPr>
      </w:pPr>
      <w:r w:rsidRPr="008924E0">
        <w:rPr>
          <w:lang w:val="bs-Latn-BA"/>
        </w:rPr>
        <w:t xml:space="preserve">Zakonom se uređuje energijska efikasnost u krajnjoj potrošnji čije je povećanje djelatnost od općeg interesa, donošenje i provođenje planova za unapređenje energijske efikasnosti, mjere za poboljšanje energijske efikasnosti uključujući energijske usluge i energijske audite, </w:t>
      </w:r>
      <w:r w:rsidR="00F03625">
        <w:rPr>
          <w:lang w:val="bs-Latn-BA"/>
        </w:rPr>
        <w:t>obvez</w:t>
      </w:r>
      <w:r w:rsidRPr="008924E0">
        <w:rPr>
          <w:lang w:val="bs-Latn-BA"/>
        </w:rPr>
        <w:t xml:space="preserve">e javnog sektora, </w:t>
      </w:r>
      <w:r w:rsidR="00F03625">
        <w:rPr>
          <w:lang w:val="bs-Latn-BA"/>
        </w:rPr>
        <w:t>obvez</w:t>
      </w:r>
      <w:r w:rsidRPr="008924E0">
        <w:rPr>
          <w:lang w:val="bs-Latn-BA"/>
        </w:rPr>
        <w:t xml:space="preserve">e velikih potrošača, prava i </w:t>
      </w:r>
      <w:r w:rsidR="00F03625">
        <w:rPr>
          <w:lang w:val="bs-Latn-BA"/>
        </w:rPr>
        <w:t>obvez</w:t>
      </w:r>
      <w:r w:rsidRPr="008924E0">
        <w:rPr>
          <w:lang w:val="bs-Latn-BA"/>
        </w:rPr>
        <w:t xml:space="preserve">e krajnjih potrošača, uključujući javni, stambeni i komercijalni sektor u pogledu primjene mjera energijske efikasnosti, način </w:t>
      </w:r>
      <w:r w:rsidR="007B690C">
        <w:rPr>
          <w:lang w:val="bs-Latn-BA"/>
        </w:rPr>
        <w:t>financ</w:t>
      </w:r>
      <w:r w:rsidRPr="008924E0">
        <w:rPr>
          <w:lang w:val="bs-Latn-BA"/>
        </w:rPr>
        <w:t>iranja poboljšanja energijske efikasnosti i druga pitanja od značaja za energijsku efikasnost u Federaciji Bosne i Hercegovine.</w:t>
      </w:r>
    </w:p>
    <w:p w14:paraId="3228E999" w14:textId="473E54C9" w:rsidR="00CF7A3C" w:rsidRPr="008924E0" w:rsidRDefault="00CF7A3C" w:rsidP="00CF7A3C">
      <w:pPr>
        <w:spacing w:after="120" w:line="276" w:lineRule="auto"/>
        <w:rPr>
          <w:lang w:val="bs-Latn-BA"/>
        </w:rPr>
      </w:pPr>
      <w:r w:rsidRPr="008924E0">
        <w:rPr>
          <w:lang w:val="bs-Latn-BA"/>
        </w:rPr>
        <w:t xml:space="preserve">Podzakonskim aktima propisana je i ažurirana </w:t>
      </w:r>
      <w:r w:rsidR="00F03625">
        <w:rPr>
          <w:lang w:val="bs-Latn-BA"/>
        </w:rPr>
        <w:t>obvez</w:t>
      </w:r>
      <w:r w:rsidRPr="008924E0">
        <w:rPr>
          <w:lang w:val="bs-Latn-BA"/>
        </w:rPr>
        <w:t>a obavljanja energijskih audita, obezbjeđenja energijskog certificiranja zgrade i osiguranja energijskih karakteristika zgrade. Zahtjev energijskog certificiranja zgrada u potpunosti se primjenjuje za nove zgrade, ali samo djelomično za zgrade koje su na tržištu.</w:t>
      </w:r>
    </w:p>
    <w:p w14:paraId="66965D49" w14:textId="7C9EBDCB" w:rsidR="00CF7A3C" w:rsidRPr="008924E0" w:rsidRDefault="00CF7A3C" w:rsidP="00CF7A3C">
      <w:pPr>
        <w:spacing w:after="120" w:line="276" w:lineRule="auto"/>
        <w:rPr>
          <w:lang w:val="bs-Latn-BA"/>
        </w:rPr>
      </w:pPr>
      <w:r w:rsidRPr="008924E0">
        <w:rPr>
          <w:lang w:val="bs-Latn-BA"/>
        </w:rPr>
        <w:t xml:space="preserve">Vezano za Zakon o prostornom planiranju i korištenju zemljišta na nivou FBiH, 2010. godine izvršena je dopuna koja se odnosi na </w:t>
      </w:r>
      <w:r w:rsidR="00F03625">
        <w:rPr>
          <w:lang w:val="bs-Latn-BA"/>
        </w:rPr>
        <w:t>obvez</w:t>
      </w:r>
      <w:r w:rsidRPr="008924E0">
        <w:rPr>
          <w:lang w:val="bs-Latn-BA"/>
        </w:rPr>
        <w:t>u izdavanja energijskog certifikata</w:t>
      </w:r>
      <w:r w:rsidRPr="008924E0">
        <w:rPr>
          <w:vertAlign w:val="superscript"/>
          <w:lang w:val="bs-Latn-BA"/>
        </w:rPr>
        <w:footnoteReference w:id="69"/>
      </w:r>
      <w:r w:rsidRPr="008924E0">
        <w:rPr>
          <w:lang w:val="bs-Latn-BA"/>
        </w:rPr>
        <w:t xml:space="preserve">, tačnije propisano je da prije </w:t>
      </w:r>
      <w:r w:rsidRPr="008924E0">
        <w:rPr>
          <w:lang w:val="bs-Latn-BA"/>
        </w:rPr>
        <w:lastRenderedPageBreak/>
        <w:t>izdavanja odobrenja za upotrebu odnosno prije promjene vlasništva ili iznajmljivanja građevine ili njezinog dijela, mora se pribaviti potvrda o energijskim svojstvima građevine tj energijski certifikat, a koji izdaje ovlaštena osoba. Novi Zakon o prostornom uređenju u nadležnosti Federacije Bosne i Hercegovine je u pripremi (u formi nacrta) i trebao bi u potpunosti biti usaglašen sa Zakonom o EE u FBiH.</w:t>
      </w:r>
    </w:p>
    <w:p w14:paraId="31859708" w14:textId="26D4785C" w:rsidR="00CF7A3C" w:rsidRPr="008924E0" w:rsidRDefault="00CF7A3C" w:rsidP="00CF7A3C">
      <w:pPr>
        <w:spacing w:after="120"/>
        <w:rPr>
          <w:lang w:val="bs-Latn-BA"/>
        </w:rPr>
      </w:pPr>
      <w:r w:rsidRPr="008924E0">
        <w:rPr>
          <w:lang w:val="bs-Latn-BA"/>
        </w:rPr>
        <w:t>Zakon o energijskoj efikasnosti FBiH uspostavljen je radi transpozicije propisa i direktiva EU</w:t>
      </w:r>
      <w:r w:rsidR="003D639E">
        <w:rPr>
          <w:lang w:val="bs-Latn-BA"/>
        </w:rPr>
        <w:t xml:space="preserve"> u oblasti</w:t>
      </w:r>
      <w:r w:rsidRPr="008924E0">
        <w:rPr>
          <w:lang w:val="bs-Latn-BA"/>
        </w:rPr>
        <w:t xml:space="preserve"> energijske efikasnost, ali taj proces je do sada samo djelimično ostvaren.</w:t>
      </w:r>
    </w:p>
    <w:p w14:paraId="6CFFDBC1" w14:textId="77777777" w:rsidR="00CF7A3C" w:rsidRPr="008924E0" w:rsidRDefault="00CF7A3C" w:rsidP="00CF7A3C">
      <w:pPr>
        <w:widowControl w:val="0"/>
        <w:spacing w:after="120" w:line="276" w:lineRule="auto"/>
        <w:rPr>
          <w:lang w:val="bs-Latn-BA"/>
        </w:rPr>
      </w:pPr>
      <w:r w:rsidRPr="008924E0">
        <w:rPr>
          <w:lang w:val="bs-Latn-BA"/>
        </w:rPr>
        <w:t>Sveobuhvatni regulatorni okvir za EE u Federaciji Bosne i Hercegovine uspostavljen je sljedećom legislativom</w:t>
      </w:r>
      <w:r w:rsidRPr="008924E0">
        <w:rPr>
          <w:vertAlign w:val="superscript"/>
          <w:lang w:val="bs-Latn-BA"/>
        </w:rPr>
        <w:footnoteReference w:id="70"/>
      </w:r>
      <w:r w:rsidRPr="008924E0">
        <w:rPr>
          <w:lang w:val="bs-Latn-BA"/>
        </w:rPr>
        <w:t>:</w:t>
      </w:r>
    </w:p>
    <w:p w14:paraId="2E9E70C1" w14:textId="1DFE20D2" w:rsidR="00CF7A3C" w:rsidRPr="008924E0" w:rsidRDefault="00CF7A3C" w:rsidP="00CF7A3C">
      <w:pPr>
        <w:widowControl w:val="0"/>
        <w:numPr>
          <w:ilvl w:val="0"/>
          <w:numId w:val="12"/>
        </w:numPr>
        <w:pBdr>
          <w:top w:val="nil"/>
          <w:left w:val="nil"/>
          <w:bottom w:val="nil"/>
          <w:right w:val="nil"/>
          <w:between w:val="nil"/>
        </w:pBdr>
        <w:spacing w:after="0" w:line="276" w:lineRule="auto"/>
        <w:rPr>
          <w:color w:val="000000"/>
          <w:lang w:val="bs-Latn-BA"/>
        </w:rPr>
      </w:pPr>
      <w:r w:rsidRPr="008924E0">
        <w:rPr>
          <w:color w:val="000000"/>
          <w:lang w:val="bs-Latn-BA"/>
        </w:rPr>
        <w:t>Zakon o energijskoj efikasnosti FBiH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color w:val="000000"/>
          <w:lang w:val="bs-Latn-BA"/>
        </w:rPr>
        <w:t>22/17);</w:t>
      </w:r>
    </w:p>
    <w:p w14:paraId="0F58567C" w14:textId="7B4022F2" w:rsidR="00CF7A3C" w:rsidRPr="008924E0" w:rsidRDefault="00CF7A3C" w:rsidP="00CF7A3C">
      <w:pPr>
        <w:widowControl w:val="0"/>
        <w:numPr>
          <w:ilvl w:val="0"/>
          <w:numId w:val="12"/>
        </w:numPr>
        <w:pBdr>
          <w:top w:val="nil"/>
          <w:left w:val="nil"/>
          <w:bottom w:val="nil"/>
          <w:right w:val="nil"/>
          <w:between w:val="nil"/>
        </w:pBdr>
        <w:spacing w:after="0" w:line="276" w:lineRule="auto"/>
        <w:rPr>
          <w:color w:val="000000"/>
          <w:lang w:val="bs-Latn-BA"/>
        </w:rPr>
      </w:pPr>
      <w:r w:rsidRPr="008924E0">
        <w:rPr>
          <w:color w:val="000000"/>
          <w:lang w:val="bs-Latn-BA"/>
        </w:rPr>
        <w:t>Pravilnik o postupku za obračun optimalnih troškova minimalnih zahtjeva za energijska svojstava zgrada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color w:val="000000"/>
          <w:lang w:val="bs-Latn-BA"/>
        </w:rPr>
        <w:t>31/21);</w:t>
      </w:r>
    </w:p>
    <w:p w14:paraId="4AFA99A1" w14:textId="6A234A8C" w:rsidR="00CF7A3C" w:rsidRPr="008924E0" w:rsidRDefault="00CF7A3C" w:rsidP="00CF7A3C">
      <w:pPr>
        <w:widowControl w:val="0"/>
        <w:numPr>
          <w:ilvl w:val="0"/>
          <w:numId w:val="12"/>
        </w:numPr>
        <w:pBdr>
          <w:top w:val="nil"/>
          <w:left w:val="nil"/>
          <w:bottom w:val="nil"/>
          <w:right w:val="nil"/>
          <w:between w:val="nil"/>
        </w:pBdr>
        <w:spacing w:after="0" w:line="276" w:lineRule="auto"/>
        <w:rPr>
          <w:lang w:val="bs-Latn-BA"/>
        </w:rPr>
      </w:pPr>
      <w:r w:rsidRPr="008924E0">
        <w:rPr>
          <w:color w:val="000000"/>
          <w:lang w:val="bs-Latn-BA"/>
        </w:rPr>
        <w:t>Pravilnik o minimalnim zahtjevima za energijskim karateristikama zgrada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w:t>
      </w:r>
      <w:r w:rsidRPr="008924E0">
        <w:rPr>
          <w:color w:val="000000"/>
          <w:lang w:val="bs-Latn-BA"/>
        </w:rPr>
        <w:t xml:space="preserve">br. 81/19, 85/19); </w:t>
      </w:r>
    </w:p>
    <w:p w14:paraId="0AE49361" w14:textId="1723ACFA" w:rsidR="00CF7A3C" w:rsidRPr="008924E0" w:rsidRDefault="00CF7A3C" w:rsidP="00CF7A3C">
      <w:pPr>
        <w:widowControl w:val="0"/>
        <w:numPr>
          <w:ilvl w:val="0"/>
          <w:numId w:val="12"/>
        </w:numPr>
        <w:pBdr>
          <w:top w:val="nil"/>
          <w:left w:val="nil"/>
          <w:bottom w:val="nil"/>
          <w:right w:val="nil"/>
          <w:between w:val="nil"/>
        </w:pBdr>
        <w:spacing w:after="0" w:line="276" w:lineRule="auto"/>
        <w:rPr>
          <w:lang w:val="bs-Latn-BA"/>
        </w:rPr>
      </w:pPr>
      <w:r w:rsidRPr="008924E0">
        <w:rPr>
          <w:color w:val="000000"/>
          <w:lang w:val="bs-Latn-BA"/>
        </w:rPr>
        <w:t>Uredba o provođenju energijskih audita i izdavanju energijskih certifikata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color w:val="000000"/>
          <w:lang w:val="bs-Latn-BA"/>
        </w:rPr>
        <w:t xml:space="preserve">87/18); </w:t>
      </w:r>
    </w:p>
    <w:p w14:paraId="7DF69433" w14:textId="4B0F9DCD" w:rsidR="00CF7A3C" w:rsidRPr="008924E0" w:rsidRDefault="00CF7A3C" w:rsidP="00CF7A3C">
      <w:pPr>
        <w:widowControl w:val="0"/>
        <w:numPr>
          <w:ilvl w:val="0"/>
          <w:numId w:val="12"/>
        </w:numPr>
        <w:pBdr>
          <w:top w:val="nil"/>
          <w:left w:val="nil"/>
          <w:bottom w:val="nil"/>
          <w:right w:val="nil"/>
          <w:between w:val="nil"/>
        </w:pBdr>
        <w:spacing w:after="0" w:line="276" w:lineRule="auto"/>
        <w:rPr>
          <w:lang w:val="bs-Latn-BA"/>
        </w:rPr>
      </w:pPr>
      <w:r w:rsidRPr="008924E0">
        <w:rPr>
          <w:color w:val="000000"/>
          <w:lang w:val="bs-Latn-BA"/>
        </w:rPr>
        <w:t xml:space="preserve">Uredba o </w:t>
      </w:r>
      <w:r w:rsidR="00540A41">
        <w:rPr>
          <w:color w:val="000000"/>
          <w:lang w:val="bs-Latn-BA"/>
        </w:rPr>
        <w:t>uvjet</w:t>
      </w:r>
      <w:r w:rsidRPr="008924E0">
        <w:rPr>
          <w:color w:val="000000"/>
          <w:lang w:val="bs-Latn-BA"/>
        </w:rPr>
        <w:t>ima za davanje i oduzimanje ovlaštenja za provođenje energijskih audita i certificiranje zgrada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color w:val="000000"/>
          <w:lang w:val="bs-Latn-BA"/>
        </w:rPr>
        <w:t xml:space="preserve">87/18); </w:t>
      </w:r>
    </w:p>
    <w:p w14:paraId="77A06FEB" w14:textId="23CCC1FA" w:rsidR="00CF7A3C" w:rsidRPr="008924E0" w:rsidRDefault="00CF7A3C" w:rsidP="00CF7A3C">
      <w:pPr>
        <w:widowControl w:val="0"/>
        <w:numPr>
          <w:ilvl w:val="0"/>
          <w:numId w:val="12"/>
        </w:numPr>
        <w:pBdr>
          <w:top w:val="nil"/>
          <w:left w:val="nil"/>
          <w:bottom w:val="nil"/>
          <w:right w:val="nil"/>
          <w:between w:val="nil"/>
        </w:pBdr>
        <w:spacing w:after="0" w:line="276" w:lineRule="auto"/>
        <w:rPr>
          <w:lang w:val="bs-Latn-BA"/>
        </w:rPr>
      </w:pPr>
      <w:r w:rsidRPr="008924E0">
        <w:rPr>
          <w:color w:val="000000"/>
          <w:lang w:val="bs-Latn-BA"/>
        </w:rPr>
        <w:t>Pravilnik o redovnom energijskom auditu sistema grijanja i sistema klimatizacije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w:t>
      </w:r>
      <w:r w:rsidRPr="008924E0">
        <w:rPr>
          <w:color w:val="000000"/>
          <w:lang w:val="bs-Latn-BA"/>
        </w:rPr>
        <w:t xml:space="preserve">br. 72/19, 67/22); </w:t>
      </w:r>
    </w:p>
    <w:p w14:paraId="60F29343" w14:textId="344C7A98" w:rsidR="00CF7A3C" w:rsidRPr="008924E0" w:rsidRDefault="00CF7A3C" w:rsidP="00CF7A3C">
      <w:pPr>
        <w:widowControl w:val="0"/>
        <w:numPr>
          <w:ilvl w:val="0"/>
          <w:numId w:val="12"/>
        </w:numPr>
        <w:pBdr>
          <w:top w:val="nil"/>
          <w:left w:val="nil"/>
          <w:bottom w:val="nil"/>
          <w:right w:val="nil"/>
          <w:between w:val="nil"/>
        </w:pBdr>
        <w:spacing w:after="0" w:line="276" w:lineRule="auto"/>
        <w:rPr>
          <w:color w:val="000000"/>
          <w:lang w:val="bs-Latn-BA"/>
        </w:rPr>
      </w:pPr>
      <w:r w:rsidRPr="008924E0">
        <w:rPr>
          <w:color w:val="000000"/>
          <w:lang w:val="bs-Latn-BA"/>
        </w:rPr>
        <w:t>Pravilnik o informacionom sistemu energijske efikasnosti FBiH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color w:val="000000"/>
          <w:lang w:val="bs-Latn-BA"/>
        </w:rPr>
        <w:t>02/19)</w:t>
      </w:r>
    </w:p>
    <w:p w14:paraId="55086C25" w14:textId="76C3A2FF" w:rsidR="00CF7A3C" w:rsidRPr="008924E0" w:rsidRDefault="00CF7A3C" w:rsidP="00CF7A3C">
      <w:pPr>
        <w:widowControl w:val="0"/>
        <w:numPr>
          <w:ilvl w:val="0"/>
          <w:numId w:val="12"/>
        </w:numPr>
        <w:pBdr>
          <w:top w:val="nil"/>
          <w:left w:val="nil"/>
          <w:bottom w:val="nil"/>
          <w:right w:val="nil"/>
          <w:between w:val="nil"/>
        </w:pBdr>
        <w:spacing w:after="0" w:line="276" w:lineRule="auto"/>
        <w:rPr>
          <w:color w:val="000000"/>
          <w:lang w:val="bs-Latn-BA"/>
        </w:rPr>
      </w:pPr>
      <w:r w:rsidRPr="008924E0">
        <w:rPr>
          <w:color w:val="000000"/>
          <w:lang w:val="bs-Latn-BA"/>
        </w:rPr>
        <w:t>Pravilnik o tehničkim zahtjevima za sisteme ventilacije, djelomične ventilacije i klimatizacije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color w:val="000000"/>
          <w:lang w:val="bs-Latn-BA"/>
        </w:rPr>
        <w:t>49/09);</w:t>
      </w:r>
    </w:p>
    <w:p w14:paraId="3F29BC7B" w14:textId="18C48E63" w:rsidR="00CF7A3C" w:rsidRPr="008924E0" w:rsidRDefault="00CF7A3C" w:rsidP="00CF7A3C">
      <w:pPr>
        <w:widowControl w:val="0"/>
        <w:numPr>
          <w:ilvl w:val="0"/>
          <w:numId w:val="12"/>
        </w:numPr>
        <w:pBdr>
          <w:top w:val="nil"/>
          <w:left w:val="nil"/>
          <w:bottom w:val="nil"/>
          <w:right w:val="nil"/>
          <w:between w:val="nil"/>
        </w:pBdr>
        <w:spacing w:after="0" w:line="276" w:lineRule="auto"/>
        <w:rPr>
          <w:color w:val="000000"/>
          <w:lang w:val="bs-Latn-BA"/>
        </w:rPr>
      </w:pPr>
      <w:r w:rsidRPr="008924E0">
        <w:rPr>
          <w:color w:val="000000"/>
          <w:lang w:val="bs-Latn-BA"/>
        </w:rPr>
        <w:t>Pravilnik o tehničkim zahtjevima za sisteme grijanja i hlađenja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color w:val="000000"/>
          <w:lang w:val="bs-Latn-BA"/>
        </w:rPr>
        <w:t>49/09).</w:t>
      </w:r>
    </w:p>
    <w:p w14:paraId="3F3089E2" w14:textId="09964B51" w:rsidR="00CF7A3C" w:rsidRPr="008924E0" w:rsidRDefault="00CF7A3C" w:rsidP="00CF7A3C">
      <w:pPr>
        <w:spacing w:before="120" w:after="120" w:line="276" w:lineRule="auto"/>
        <w:rPr>
          <w:lang w:val="bs-Latn-BA"/>
        </w:rPr>
      </w:pPr>
      <w:r w:rsidRPr="008924E0">
        <w:rPr>
          <w:lang w:val="bs-Latn-BA"/>
        </w:rPr>
        <w:t>Prema Pravilniku o minimalnim zahtjevima za energijskim karakteristikama zgrada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w:t>
      </w:r>
      <w:r w:rsidRPr="008924E0">
        <w:rPr>
          <w:color w:val="000000"/>
          <w:lang w:val="bs-Latn-BA"/>
        </w:rPr>
        <w:t xml:space="preserve">br. </w:t>
      </w:r>
      <w:r w:rsidRPr="008924E0">
        <w:rPr>
          <w:lang w:val="bs-Latn-BA"/>
        </w:rPr>
        <w:t>81/19, 85/19), minimalni zahtjevi za novogradnju i renoviranje u pogledu energ</w:t>
      </w:r>
      <w:r w:rsidR="002F3499">
        <w:rPr>
          <w:lang w:val="bs-Latn-BA"/>
        </w:rPr>
        <w:t>ijskog</w:t>
      </w:r>
      <w:r w:rsidRPr="008924E0">
        <w:rPr>
          <w:lang w:val="bs-Latn-BA"/>
        </w:rPr>
        <w:t xml:space="preserve"> razreda su da nove zgrade imaju energ</w:t>
      </w:r>
      <w:r w:rsidR="002F3499">
        <w:rPr>
          <w:lang w:val="bs-Latn-BA"/>
        </w:rPr>
        <w:t>ijski</w:t>
      </w:r>
      <w:r w:rsidRPr="008924E0">
        <w:rPr>
          <w:lang w:val="bs-Latn-BA"/>
        </w:rPr>
        <w:t xml:space="preserve"> razred najmanje „B“, a renoviranje mora poboljšati ocjenu postojećih zgrada za najmanje jednu klasu. Energijski učinak zgrade računa se na osnovu maksimalno dozvoljene potrošnje energije za grijanje, izražene kao omjer njene potrošnje u odnosu na maksimalnu količinu, kategorija „B“, u kilovat satima po kvadratnom metru (kWh/m</w:t>
      </w:r>
      <w:r w:rsidRPr="008924E0">
        <w:rPr>
          <w:vertAlign w:val="superscript"/>
          <w:lang w:val="bs-Latn-BA"/>
        </w:rPr>
        <w:t>2</w:t>
      </w:r>
      <w:r w:rsidRPr="008924E0">
        <w:rPr>
          <w:lang w:val="bs-Latn-BA"/>
        </w:rPr>
        <w:t>) godišnje.</w:t>
      </w:r>
    </w:p>
    <w:p w14:paraId="44267CB7" w14:textId="77777777" w:rsidR="00CF7A3C" w:rsidRPr="008924E0" w:rsidRDefault="00CF7A3C" w:rsidP="00CF7A3C">
      <w:pPr>
        <w:rPr>
          <w:lang w:val="bs-Latn-BA"/>
        </w:rPr>
      </w:pPr>
      <w:r w:rsidRPr="008924E0">
        <w:rPr>
          <w:lang w:val="bs-Latn-BA"/>
        </w:rPr>
        <w:t>Izmjene i dopune Zakona o energijskoj efikasnosti FBiH koje su u pripremi odnose se na sljedeće:</w:t>
      </w:r>
    </w:p>
    <w:p w14:paraId="138B5B9D" w14:textId="77777777" w:rsidR="00CF7A3C" w:rsidRPr="008924E0" w:rsidRDefault="00CF7A3C" w:rsidP="00CF7A3C">
      <w:pPr>
        <w:numPr>
          <w:ilvl w:val="0"/>
          <w:numId w:val="27"/>
        </w:numPr>
        <w:pBdr>
          <w:top w:val="nil"/>
          <w:left w:val="nil"/>
          <w:bottom w:val="nil"/>
          <w:right w:val="nil"/>
          <w:between w:val="nil"/>
        </w:pBdr>
        <w:spacing w:before="160" w:after="0" w:line="276" w:lineRule="auto"/>
        <w:rPr>
          <w:lang w:val="bs-Latn-BA"/>
        </w:rPr>
      </w:pPr>
      <w:r w:rsidRPr="008924E0">
        <w:rPr>
          <w:color w:val="000000"/>
          <w:lang w:val="bs-Latn-BA"/>
        </w:rPr>
        <w:t>usklađivanja sa Direktivom 2012/27/EU u oblasti energijskih tipova zgrada i Direktivom 2010/31/EU o energijskim karakteristikama zgrada;</w:t>
      </w:r>
    </w:p>
    <w:p w14:paraId="6446556C" w14:textId="7A4C3147" w:rsidR="00CF7A3C" w:rsidRPr="008924E0" w:rsidRDefault="00CF7A3C" w:rsidP="00CF7A3C">
      <w:pPr>
        <w:numPr>
          <w:ilvl w:val="0"/>
          <w:numId w:val="27"/>
        </w:numPr>
        <w:pBdr>
          <w:top w:val="nil"/>
          <w:left w:val="nil"/>
          <w:bottom w:val="nil"/>
          <w:right w:val="nil"/>
          <w:between w:val="nil"/>
        </w:pBdr>
        <w:spacing w:after="0" w:line="276" w:lineRule="auto"/>
        <w:rPr>
          <w:lang w:val="bs-Latn-BA"/>
        </w:rPr>
      </w:pPr>
      <w:r w:rsidRPr="008924E0">
        <w:rPr>
          <w:color w:val="000000"/>
          <w:lang w:val="bs-Latn-BA"/>
        </w:rPr>
        <w:t xml:space="preserve">omogućavanja implementacije obligacionih šema, izrada i usvajanje podzakonskog akta kojim bi se definirala pitanja implementacije obligacionih šema, metodologije za utvrđivanje ciljnih ušteda od uspostave obligacionih šema, te metodologija za izračunavanje naknada </w:t>
      </w:r>
      <w:r w:rsidRPr="008924E0">
        <w:rPr>
          <w:color w:val="000000"/>
          <w:lang w:val="bs-Latn-BA"/>
        </w:rPr>
        <w:lastRenderedPageBreak/>
        <w:t xml:space="preserve">obligacionih šema, kao što je i predviđeno Mapom puta za transpoziciju i implementaciju preuzetih </w:t>
      </w:r>
      <w:r w:rsidR="00F03625">
        <w:rPr>
          <w:color w:val="000000"/>
          <w:lang w:val="bs-Latn-BA"/>
        </w:rPr>
        <w:t>obvez</w:t>
      </w:r>
      <w:r w:rsidRPr="008924E0">
        <w:rPr>
          <w:color w:val="000000"/>
          <w:lang w:val="bs-Latn-BA"/>
        </w:rPr>
        <w:t>a Ugovorom o uspostavi Energetske zajednice;</w:t>
      </w:r>
    </w:p>
    <w:p w14:paraId="794803B2" w14:textId="498D7D4C" w:rsidR="00CF7A3C" w:rsidRPr="008924E0" w:rsidRDefault="00CF7A3C" w:rsidP="00CF7A3C">
      <w:pPr>
        <w:numPr>
          <w:ilvl w:val="0"/>
          <w:numId w:val="27"/>
        </w:numPr>
        <w:pBdr>
          <w:top w:val="nil"/>
          <w:left w:val="nil"/>
          <w:bottom w:val="nil"/>
          <w:right w:val="nil"/>
          <w:between w:val="nil"/>
        </w:pBdr>
        <w:spacing w:line="276" w:lineRule="auto"/>
        <w:rPr>
          <w:lang w:val="bs-Latn-BA"/>
        </w:rPr>
      </w:pPr>
      <w:r w:rsidRPr="008924E0">
        <w:rPr>
          <w:color w:val="000000"/>
          <w:lang w:val="bs-Latn-BA"/>
        </w:rPr>
        <w:t xml:space="preserve">propisivanja </w:t>
      </w:r>
      <w:r w:rsidR="00F03625">
        <w:rPr>
          <w:color w:val="000000"/>
          <w:lang w:val="bs-Latn-BA"/>
        </w:rPr>
        <w:t>obvez</w:t>
      </w:r>
      <w:r w:rsidRPr="008924E0">
        <w:rPr>
          <w:color w:val="000000"/>
          <w:lang w:val="bs-Latn-BA"/>
        </w:rPr>
        <w:t>e izrade Strategije obnove zgrada i njezino ažuriranje u skladu sa članom 15 Uredbe 2018/1999/EU koji se odnosi na izradu dugoročnih strategija.</w:t>
      </w:r>
    </w:p>
    <w:p w14:paraId="5AC2C058" w14:textId="65D4202A" w:rsidR="00CF7A3C" w:rsidRPr="008924E0" w:rsidRDefault="00CF7A3C" w:rsidP="00CF7A3C">
      <w:pPr>
        <w:rPr>
          <w:lang w:val="bs-Latn-BA"/>
        </w:rPr>
      </w:pPr>
      <w:r w:rsidRPr="008924E0">
        <w:rPr>
          <w:lang w:val="bs-Latn-BA"/>
        </w:rPr>
        <w:t xml:space="preserve">Na osnovu Odluke Ministarskog vijeća 2021/14/MC-EnC, a prema članu 15 Uredbe 2018/1999/EU, Strategija bi se trebala </w:t>
      </w:r>
      <w:r w:rsidR="002F3499">
        <w:rPr>
          <w:lang w:val="bs-Latn-BA"/>
        </w:rPr>
        <w:t>ažurirati</w:t>
      </w:r>
      <w:r w:rsidRPr="008924E0">
        <w:rPr>
          <w:lang w:val="bs-Latn-BA"/>
        </w:rPr>
        <w:t xml:space="preserve"> svakih </w:t>
      </w:r>
      <w:r w:rsidR="002F3499">
        <w:rPr>
          <w:lang w:val="bs-Latn-BA"/>
        </w:rPr>
        <w:t>pet (</w:t>
      </w:r>
      <w:r w:rsidRPr="008924E0">
        <w:rPr>
          <w:lang w:val="bs-Latn-BA"/>
        </w:rPr>
        <w:t>5</w:t>
      </w:r>
      <w:r w:rsidR="002F3499">
        <w:rPr>
          <w:lang w:val="bs-Latn-BA"/>
        </w:rPr>
        <w:t>)</w:t>
      </w:r>
      <w:r w:rsidRPr="008924E0">
        <w:rPr>
          <w:lang w:val="bs-Latn-BA"/>
        </w:rPr>
        <w:t xml:space="preserve"> godina.</w:t>
      </w:r>
    </w:p>
    <w:p w14:paraId="7C59D365" w14:textId="3A435658" w:rsidR="00CF7A3C" w:rsidRPr="008924E0" w:rsidRDefault="00CF7A3C" w:rsidP="00CF7A3C">
      <w:pPr>
        <w:rPr>
          <w:lang w:val="bs-Latn-BA"/>
        </w:rPr>
      </w:pPr>
      <w:r w:rsidRPr="008924E0">
        <w:rPr>
          <w:lang w:val="bs-Latn-BA"/>
        </w:rPr>
        <w:t xml:space="preserve">Dodatno, prema članu 9 Direktive 2010/31/EU, a koji se odnosi na zgrade gotovo nulte energije, kao dio svog godišnjeg izvještaja o implementaciji ovog člana, Sekretarijat </w:t>
      </w:r>
      <w:r w:rsidR="00781A33">
        <w:rPr>
          <w:lang w:val="bs-Latn-BA"/>
        </w:rPr>
        <w:t xml:space="preserve">EnZ </w:t>
      </w:r>
      <w:r w:rsidRPr="008924E0">
        <w:rPr>
          <w:lang w:val="bs-Latn-BA"/>
        </w:rPr>
        <w:t>će svake četiri godine izvještavati Ministarski savjet o napretku ugovornih strana u povećanju broja zgrada sa skoro nultom potrošnjom energije. Na osnovu ovih prijavljenih informacija, Sekretarijat će, prema potrebi, izraditi akcioni plan i predložiti preporuke i mjere u skladu sa članom 34 Uredbe 2018/1999/EU, kako je prilagođeno i usvojeno Odlukom Ministarskog vijeća 2021/14/MC-EnC, da poveća broj tih zgrada i podstakne najbolje prakse u pogledu isplative transformacije postojećih zgrada u zgrade sa skoro nultom potrošnjom energije. Takav izvještaj se dostavlja Sekretarijatu kao dio integriranih nacionalnih energetskih i klimatskih planova ugovornih strana iz člana 3 Uredbe EU 2018/1999, kako je prilagođeno i usvojeno Odlukom Ministarskog vijeća 2021/14/MC-EnC.</w:t>
      </w:r>
    </w:p>
    <w:p w14:paraId="1D0FCB52" w14:textId="77777777" w:rsidR="00CF7A3C" w:rsidRPr="008924E0" w:rsidRDefault="00CF7A3C" w:rsidP="00CF7A3C">
      <w:pPr>
        <w:rPr>
          <w:lang w:val="bs-Latn-BA"/>
        </w:rPr>
      </w:pPr>
      <w:r w:rsidRPr="008924E0">
        <w:rPr>
          <w:lang w:val="bs-Latn-BA"/>
        </w:rPr>
        <w:t xml:space="preserve">Osim ažuriranja Strategije potrebno je raditi na njenom konstantnom praćenju i redovnom izvještavanju, što je nadležnost Federalnog ministarstva prostornog uređenja koje je zaduženo da prati provođenje ove Strategije i podnosi izvještaj o njenoj realizaciji na usvajanje Vladi FBiH najkasnije do 30. aprila u tekućoj godini za prethodnu godinu. </w:t>
      </w:r>
    </w:p>
    <w:p w14:paraId="01F7C58F" w14:textId="77777777" w:rsidR="00CF7A3C" w:rsidRPr="008924E0" w:rsidRDefault="00CF7A3C" w:rsidP="00CF7A3C">
      <w:pPr>
        <w:rPr>
          <w:lang w:val="bs-Latn-BA"/>
        </w:rPr>
      </w:pPr>
      <w:r w:rsidRPr="008924E0">
        <w:rPr>
          <w:lang w:val="bs-Latn-BA"/>
        </w:rPr>
        <w:t>Nadalje, potrebna je priprema podzakonske legislative u oblasti EE u FBiH, a koja se odnosi na sljedeće:</w:t>
      </w:r>
    </w:p>
    <w:p w14:paraId="1962BE57" w14:textId="77777777" w:rsidR="00CF7A3C" w:rsidRPr="008924E0" w:rsidRDefault="00CF7A3C" w:rsidP="00CF7A3C">
      <w:pPr>
        <w:numPr>
          <w:ilvl w:val="0"/>
          <w:numId w:val="38"/>
        </w:numPr>
        <w:pBdr>
          <w:top w:val="nil"/>
          <w:left w:val="nil"/>
          <w:bottom w:val="nil"/>
          <w:right w:val="nil"/>
          <w:between w:val="nil"/>
        </w:pBdr>
        <w:spacing w:after="120" w:line="276" w:lineRule="auto"/>
        <w:rPr>
          <w:color w:val="000000"/>
          <w:lang w:val="bs-Latn-BA"/>
        </w:rPr>
      </w:pPr>
      <w:r w:rsidRPr="008924E0">
        <w:rPr>
          <w:color w:val="000000"/>
          <w:lang w:val="bs-Latn-BA"/>
        </w:rPr>
        <w:t>Pravilnik o provođenju energijskih audita komunalnih usluga FBiH, na osnovu člana 28. tačka d) Zakona;</w:t>
      </w:r>
    </w:p>
    <w:p w14:paraId="7C2CDCB5" w14:textId="77777777" w:rsidR="00CF7A3C" w:rsidRPr="008924E0" w:rsidRDefault="00CF7A3C" w:rsidP="00CF7A3C">
      <w:pPr>
        <w:numPr>
          <w:ilvl w:val="0"/>
          <w:numId w:val="38"/>
        </w:numPr>
        <w:pBdr>
          <w:top w:val="nil"/>
          <w:left w:val="nil"/>
          <w:bottom w:val="nil"/>
          <w:right w:val="nil"/>
          <w:between w:val="nil"/>
        </w:pBdr>
        <w:spacing w:after="120" w:line="276" w:lineRule="auto"/>
        <w:rPr>
          <w:color w:val="000000"/>
          <w:lang w:val="bs-Latn-BA"/>
        </w:rPr>
      </w:pPr>
      <w:r w:rsidRPr="008924E0">
        <w:rPr>
          <w:color w:val="000000"/>
          <w:lang w:val="bs-Latn-BA"/>
        </w:rPr>
        <w:t>Nacrt Pravilnika o provođenju energijskih audita u industriji u FBiH, na osnovu člana 16. stav 7. Zakona;</w:t>
      </w:r>
    </w:p>
    <w:p w14:paraId="601BF913" w14:textId="77777777" w:rsidR="00CF7A3C" w:rsidRPr="008924E0" w:rsidRDefault="00CF7A3C" w:rsidP="00CF7A3C">
      <w:pPr>
        <w:numPr>
          <w:ilvl w:val="0"/>
          <w:numId w:val="38"/>
        </w:numPr>
        <w:pBdr>
          <w:top w:val="nil"/>
          <w:left w:val="nil"/>
          <w:bottom w:val="nil"/>
          <w:right w:val="nil"/>
          <w:between w:val="nil"/>
        </w:pBdr>
        <w:spacing w:after="120" w:line="276" w:lineRule="auto"/>
        <w:rPr>
          <w:color w:val="000000"/>
          <w:lang w:val="bs-Latn-BA"/>
        </w:rPr>
      </w:pPr>
      <w:r w:rsidRPr="008924E0">
        <w:rPr>
          <w:color w:val="000000"/>
          <w:lang w:val="bs-Latn-BA"/>
        </w:rPr>
        <w:t>Nacrt Pravilnika o ugovaranju i realizaciji energijskih usluga/energijskih performansi ugovor (ESCO) na osnovu člana 42. Zakona;</w:t>
      </w:r>
    </w:p>
    <w:p w14:paraId="2C2F2858" w14:textId="77777777" w:rsidR="00CF7A3C" w:rsidRPr="008924E0" w:rsidRDefault="00CF7A3C" w:rsidP="00CF7A3C">
      <w:pPr>
        <w:numPr>
          <w:ilvl w:val="0"/>
          <w:numId w:val="38"/>
        </w:numPr>
        <w:pBdr>
          <w:top w:val="nil"/>
          <w:left w:val="nil"/>
          <w:bottom w:val="nil"/>
          <w:right w:val="nil"/>
          <w:between w:val="nil"/>
        </w:pBdr>
        <w:spacing w:after="120" w:line="276" w:lineRule="auto"/>
        <w:rPr>
          <w:color w:val="000000"/>
          <w:lang w:val="bs-Latn-BA"/>
        </w:rPr>
      </w:pPr>
      <w:r w:rsidRPr="008924E0">
        <w:rPr>
          <w:color w:val="000000"/>
          <w:lang w:val="bs-Latn-BA"/>
        </w:rPr>
        <w:t>Procedure za provođenje analize korištenja alternativnih energetskih sistema pri izdavanju građevinskih dozvola za zgrade;</w:t>
      </w:r>
    </w:p>
    <w:p w14:paraId="282B74AA" w14:textId="05CD2AC5" w:rsidR="00CF7A3C" w:rsidRPr="008924E0" w:rsidRDefault="00CF7A3C" w:rsidP="00CF7A3C">
      <w:pPr>
        <w:numPr>
          <w:ilvl w:val="0"/>
          <w:numId w:val="38"/>
        </w:numPr>
        <w:pBdr>
          <w:top w:val="nil"/>
          <w:left w:val="nil"/>
          <w:bottom w:val="nil"/>
          <w:right w:val="nil"/>
          <w:between w:val="nil"/>
        </w:pBdr>
        <w:spacing w:line="240" w:lineRule="auto"/>
        <w:rPr>
          <w:color w:val="000000"/>
          <w:lang w:val="bs-Latn-BA"/>
        </w:rPr>
      </w:pPr>
      <w:r w:rsidRPr="008924E0">
        <w:rPr>
          <w:color w:val="000000"/>
          <w:lang w:val="bs-Latn-BA"/>
        </w:rPr>
        <w:t xml:space="preserve">Uredba i pravilnik vezano za obligacione šeme energijske efikasnosti radi omogućavanja implementacije obligacionih šema (izrada i usvajanje podzakonskog akta kojim bi se definirala pitanja implementacije obligacionih šema, metodologije za utvrđivanje ciljnih ušteda od uspostave obligacionih šema, te metodologija za izračunavanje naknada obligacionih šema, kao što je i predviđeno Mapom puta za transpoziciju i implementaciju preuzetih </w:t>
      </w:r>
      <w:r w:rsidR="00F03625">
        <w:rPr>
          <w:color w:val="000000"/>
          <w:lang w:val="bs-Latn-BA"/>
        </w:rPr>
        <w:t>obvez</w:t>
      </w:r>
      <w:r w:rsidRPr="008924E0">
        <w:rPr>
          <w:color w:val="000000"/>
          <w:lang w:val="bs-Latn-BA"/>
        </w:rPr>
        <w:t>a Ugovorom o uspostavi Energetske zajednice);</w:t>
      </w:r>
    </w:p>
    <w:p w14:paraId="2627562E" w14:textId="77777777" w:rsidR="00CF7A3C" w:rsidRPr="008924E0" w:rsidRDefault="00CF7A3C" w:rsidP="00CF7A3C">
      <w:pPr>
        <w:numPr>
          <w:ilvl w:val="0"/>
          <w:numId w:val="38"/>
        </w:numPr>
        <w:pBdr>
          <w:top w:val="nil"/>
          <w:left w:val="nil"/>
          <w:bottom w:val="nil"/>
          <w:right w:val="nil"/>
          <w:between w:val="nil"/>
        </w:pBdr>
        <w:spacing w:before="160" w:after="0" w:line="276" w:lineRule="auto"/>
        <w:rPr>
          <w:lang w:val="bs-Latn-BA"/>
        </w:rPr>
      </w:pPr>
      <w:r w:rsidRPr="008924E0">
        <w:rPr>
          <w:color w:val="000000"/>
          <w:lang w:val="bs-Latn-BA"/>
        </w:rPr>
        <w:t>Pravilnik o mjerenju stvarne potrošnje energije u sistemima daljinskog grijanja, hlađenja i snabdijevanja potrošnom toplom vodom;</w:t>
      </w:r>
    </w:p>
    <w:p w14:paraId="4E21F3EF" w14:textId="77777777" w:rsidR="00CF7A3C" w:rsidRPr="008924E0" w:rsidRDefault="00CF7A3C" w:rsidP="00CF7A3C">
      <w:pPr>
        <w:numPr>
          <w:ilvl w:val="0"/>
          <w:numId w:val="38"/>
        </w:numPr>
        <w:pBdr>
          <w:top w:val="nil"/>
          <w:left w:val="nil"/>
          <w:bottom w:val="nil"/>
          <w:right w:val="nil"/>
          <w:between w:val="nil"/>
        </w:pBdr>
        <w:spacing w:after="0" w:line="276" w:lineRule="auto"/>
        <w:rPr>
          <w:lang w:val="bs-Latn-BA"/>
        </w:rPr>
      </w:pPr>
      <w:r w:rsidRPr="008924E0">
        <w:rPr>
          <w:color w:val="000000"/>
          <w:lang w:val="bs-Latn-BA"/>
        </w:rPr>
        <w:t>Kriteriji i procedure za odobrenja novih proizvodnih kapaciteta prema odredbama člana 7. Direktive 2009/72/EU o električnoj energiji i člana 14(5) Direktive 2012/72/EU;</w:t>
      </w:r>
    </w:p>
    <w:p w14:paraId="0797EDC5" w14:textId="77777777" w:rsidR="00CF7A3C" w:rsidRPr="008924E0" w:rsidRDefault="00CF7A3C" w:rsidP="00CF7A3C">
      <w:pPr>
        <w:numPr>
          <w:ilvl w:val="0"/>
          <w:numId w:val="38"/>
        </w:numPr>
        <w:pBdr>
          <w:top w:val="nil"/>
          <w:left w:val="nil"/>
          <w:bottom w:val="nil"/>
          <w:right w:val="nil"/>
          <w:between w:val="nil"/>
        </w:pBdr>
        <w:spacing w:after="0" w:line="276" w:lineRule="auto"/>
        <w:rPr>
          <w:lang w:val="bs-Latn-BA"/>
        </w:rPr>
      </w:pPr>
      <w:r w:rsidRPr="008924E0">
        <w:rPr>
          <w:color w:val="000000"/>
          <w:lang w:val="bs-Latn-BA"/>
        </w:rPr>
        <w:t>Izmjena i dopuna podzakonske regulative za omogućavanje prioritetnog pristupa i donošenje pravila dispečiranja za visokoefikasnu kogeneraciju i potpuno usaglašavanje sa zahtjevima EED;</w:t>
      </w:r>
    </w:p>
    <w:p w14:paraId="6A895F27" w14:textId="15E2DEE0" w:rsidR="00CF7A3C" w:rsidRPr="008924E0" w:rsidRDefault="00CF7A3C" w:rsidP="00CF7A3C">
      <w:pPr>
        <w:numPr>
          <w:ilvl w:val="0"/>
          <w:numId w:val="38"/>
        </w:numPr>
        <w:pBdr>
          <w:top w:val="nil"/>
          <w:left w:val="nil"/>
          <w:bottom w:val="nil"/>
          <w:right w:val="nil"/>
          <w:between w:val="nil"/>
        </w:pBdr>
        <w:spacing w:after="0" w:line="276" w:lineRule="auto"/>
        <w:rPr>
          <w:lang w:val="bs-Latn-BA"/>
        </w:rPr>
      </w:pPr>
      <w:r w:rsidRPr="008924E0">
        <w:rPr>
          <w:color w:val="000000"/>
          <w:lang w:val="bs-Latn-BA"/>
        </w:rPr>
        <w:lastRenderedPageBreak/>
        <w:t xml:space="preserve">Izmjene i dopune postojećih podzakonskih akata u sektoru električne energije i </w:t>
      </w:r>
      <w:r w:rsidR="000934E2">
        <w:rPr>
          <w:color w:val="000000"/>
          <w:lang w:val="bs-Latn-BA"/>
        </w:rPr>
        <w:t>plina</w:t>
      </w:r>
      <w:r w:rsidRPr="008924E0">
        <w:rPr>
          <w:color w:val="000000"/>
          <w:lang w:val="bs-Latn-BA"/>
        </w:rPr>
        <w:t xml:space="preserve"> kojima se uključuju odredbe člana 15 EED;</w:t>
      </w:r>
    </w:p>
    <w:p w14:paraId="33144B09" w14:textId="3B8CF544" w:rsidR="00CF7A3C" w:rsidRPr="008924E0" w:rsidRDefault="00CF7A3C" w:rsidP="00CF7A3C">
      <w:pPr>
        <w:numPr>
          <w:ilvl w:val="0"/>
          <w:numId w:val="38"/>
        </w:numPr>
        <w:pBdr>
          <w:top w:val="nil"/>
          <w:left w:val="nil"/>
          <w:bottom w:val="nil"/>
          <w:right w:val="nil"/>
          <w:between w:val="nil"/>
        </w:pBdr>
        <w:spacing w:line="276" w:lineRule="auto"/>
        <w:rPr>
          <w:lang w:val="bs-Latn-BA"/>
        </w:rPr>
      </w:pPr>
      <w:r w:rsidRPr="008924E0">
        <w:rPr>
          <w:color w:val="000000"/>
          <w:lang w:val="bs-Latn-BA"/>
        </w:rPr>
        <w:t xml:space="preserve">Metodologija i smjernice za izradu relevantnih strateških i planskih dokumenata u sektoru električne energije i </w:t>
      </w:r>
      <w:r w:rsidR="000934E2">
        <w:rPr>
          <w:color w:val="000000"/>
          <w:lang w:val="bs-Latn-BA"/>
        </w:rPr>
        <w:t>plina</w:t>
      </w:r>
      <w:r w:rsidRPr="008924E0">
        <w:rPr>
          <w:color w:val="000000"/>
          <w:lang w:val="bs-Latn-BA"/>
        </w:rPr>
        <w:t xml:space="preserve"> kojima se uključuju odredbe člana 15 EED.</w:t>
      </w:r>
    </w:p>
    <w:p w14:paraId="2C8F7961" w14:textId="77777777" w:rsidR="00CF7A3C" w:rsidRPr="008924E0" w:rsidRDefault="00CF7A3C" w:rsidP="00CF7A3C">
      <w:pPr>
        <w:rPr>
          <w:lang w:val="bs-Latn-BA"/>
        </w:rPr>
      </w:pPr>
      <w:r w:rsidRPr="008924E0">
        <w:rPr>
          <w:lang w:val="bs-Latn-BA"/>
        </w:rPr>
        <w:t>Prema Zakonu o energijskoj efikasnosti FBiH, organi javne uprave, organizacije, regulatorna tijela, javne ustanove, agencije, jedinice lokalne samouprave i javna preduzeća dužni su provoditi upravljanje energijom u zgradama u kojima djeluju.</w:t>
      </w:r>
    </w:p>
    <w:p w14:paraId="1730414D" w14:textId="1AB3BE01" w:rsidR="00CF7A3C" w:rsidRPr="008924E0" w:rsidRDefault="00CF7A3C" w:rsidP="00CF7A3C">
      <w:pPr>
        <w:rPr>
          <w:lang w:val="bs-Latn-BA"/>
        </w:rPr>
      </w:pPr>
      <w:r w:rsidRPr="008924E0">
        <w:rPr>
          <w:lang w:val="bs-Latn-BA"/>
        </w:rPr>
        <w:t>U svrhu sistematskog prikupljanja i obrade podataka, kao i izvještavanja, Zakon predviđa uspostavljanje Informacionog sistema energijske efikasnosti u FBiH (ISEE)</w:t>
      </w:r>
      <w:r w:rsidRPr="008924E0">
        <w:rPr>
          <w:vertAlign w:val="superscript"/>
          <w:lang w:val="bs-Latn-BA"/>
        </w:rPr>
        <w:footnoteReference w:id="71"/>
      </w:r>
      <w:r w:rsidRPr="008924E0">
        <w:rPr>
          <w:lang w:val="bs-Latn-BA"/>
        </w:rPr>
        <w:t xml:space="preserve">, za čije upravljanje i održavanje je nadležan Fond za zaštitu okoliša FBiH. U kontekstu nosilaca podataka u ISSE, podatke su </w:t>
      </w:r>
      <w:r w:rsidR="00F03625">
        <w:rPr>
          <w:lang w:val="bs-Latn-BA"/>
        </w:rPr>
        <w:t>obvez</w:t>
      </w:r>
      <w:r w:rsidRPr="008924E0">
        <w:rPr>
          <w:lang w:val="bs-Latn-BA"/>
        </w:rPr>
        <w:t>ni da dostavljaju vlasnici objekata, vlasnici sistema centralnog grijanja i klimatizacije, ministarstva, kantoni, lokalne samouprave, Fond, pružaoci energetskih usluga, distributeri energije, operateri distributivnih sistema, mali operatori distributivnog sistema, dobavljači i mali dobavljači, kao i veliki potrošači.</w:t>
      </w:r>
    </w:p>
    <w:p w14:paraId="3145F041" w14:textId="685F3C5B" w:rsidR="00CF7A3C" w:rsidRPr="008924E0" w:rsidRDefault="00CF7A3C" w:rsidP="00CF7A3C">
      <w:pPr>
        <w:rPr>
          <w:lang w:val="bs-Latn-BA"/>
        </w:rPr>
      </w:pPr>
      <w:r w:rsidRPr="008924E0">
        <w:rPr>
          <w:lang w:val="bs-Latn-BA"/>
        </w:rPr>
        <w:t xml:space="preserve">Obzirom na složenost aktivnosti koje treba provesti, te veliki broj subjekata i složenu strukturu, Pravilnik o informacionom sistemu energijske efikasnosti Federacije BiH definira </w:t>
      </w:r>
      <w:r w:rsidR="00F03625">
        <w:rPr>
          <w:lang w:val="bs-Latn-BA"/>
        </w:rPr>
        <w:t>obvez</w:t>
      </w:r>
      <w:r w:rsidRPr="008924E0">
        <w:rPr>
          <w:lang w:val="bs-Latn-BA"/>
        </w:rPr>
        <w:t xml:space="preserve">u uspostavljanja organizacione šeme upravljanja energijom na svim nivoima vlasti u cilju ujednačavanja i obezbjeđivanja provedivog pristupa </w:t>
      </w:r>
      <w:r w:rsidR="00F03625">
        <w:rPr>
          <w:lang w:val="bs-Latn-BA"/>
        </w:rPr>
        <w:t>obvez</w:t>
      </w:r>
      <w:r w:rsidRPr="008924E0">
        <w:rPr>
          <w:lang w:val="bs-Latn-BA"/>
        </w:rPr>
        <w:t xml:space="preserve">ama javnog sektora. Cilj je uspostavljanje sistema upravljanja energijom u javnom sektoru u FBiH, koji je pored ispunjavanja </w:t>
      </w:r>
      <w:r w:rsidR="00F03625">
        <w:rPr>
          <w:lang w:val="bs-Latn-BA"/>
        </w:rPr>
        <w:t>obvez</w:t>
      </w:r>
      <w:r w:rsidRPr="008924E0">
        <w:rPr>
          <w:lang w:val="bs-Latn-BA"/>
        </w:rPr>
        <w:t>a iz Zakona, osnova za planiranje investicija za povećanje energijske efikasnosti objekata kojima upravljaju određeni nivoi vlasti u FBiH.</w:t>
      </w:r>
    </w:p>
    <w:p w14:paraId="631EB9D0" w14:textId="77777777" w:rsidR="00CF7A3C" w:rsidRPr="008924E0" w:rsidRDefault="00CF7A3C" w:rsidP="00CF7A3C">
      <w:pPr>
        <w:rPr>
          <w:lang w:val="bs-Latn-BA"/>
        </w:rPr>
      </w:pPr>
      <w:r w:rsidRPr="008924E0">
        <w:rPr>
          <w:lang w:val="bs-Latn-BA"/>
        </w:rPr>
        <w:t>Informacioni sistem energijske efikasnosti je uspostavljen i djelimično operativan od 2019. godine. ISSE je web platforma koja objedinjuje pet nezavisnih komponenti sa aplikacijama i bazama podataka, i do danas su u funkciji sljedeće komponente:</w:t>
      </w:r>
    </w:p>
    <w:p w14:paraId="2CCB565A" w14:textId="77777777" w:rsidR="00CF7A3C" w:rsidRPr="008924E0" w:rsidRDefault="00CF7A3C" w:rsidP="00CF7A3C">
      <w:pPr>
        <w:numPr>
          <w:ilvl w:val="0"/>
          <w:numId w:val="29"/>
        </w:numPr>
        <w:pBdr>
          <w:top w:val="nil"/>
          <w:left w:val="nil"/>
          <w:bottom w:val="nil"/>
          <w:right w:val="nil"/>
          <w:between w:val="nil"/>
        </w:pBdr>
        <w:spacing w:after="0" w:line="276" w:lineRule="auto"/>
        <w:rPr>
          <w:lang w:val="bs-Latn-BA"/>
        </w:rPr>
      </w:pPr>
      <w:r w:rsidRPr="008924E0">
        <w:rPr>
          <w:color w:val="000000"/>
          <w:lang w:val="bs-Latn-BA"/>
        </w:rPr>
        <w:t>Komponenta 1 - Zakonski i strateški okvir, i akcioni planovi i programi;</w:t>
      </w:r>
    </w:p>
    <w:p w14:paraId="0FBC82DB" w14:textId="77777777" w:rsidR="00CF7A3C" w:rsidRPr="008924E0" w:rsidRDefault="00CF7A3C" w:rsidP="00CF7A3C">
      <w:pPr>
        <w:numPr>
          <w:ilvl w:val="0"/>
          <w:numId w:val="29"/>
        </w:numPr>
        <w:pBdr>
          <w:top w:val="nil"/>
          <w:left w:val="nil"/>
          <w:bottom w:val="nil"/>
          <w:right w:val="nil"/>
          <w:between w:val="nil"/>
        </w:pBdr>
        <w:spacing w:after="0" w:line="276" w:lineRule="auto"/>
        <w:rPr>
          <w:lang w:val="bs-Latn-BA"/>
        </w:rPr>
      </w:pPr>
      <w:r w:rsidRPr="008924E0">
        <w:rPr>
          <w:color w:val="000000"/>
          <w:lang w:val="bs-Latn-BA"/>
        </w:rPr>
        <w:t>Komponenta 2 - Sistem za monitoring i verifikaciju ušteda energije (SMiV/MVP);</w:t>
      </w:r>
    </w:p>
    <w:p w14:paraId="4DF4BBF6" w14:textId="77777777" w:rsidR="00CF7A3C" w:rsidRPr="008924E0" w:rsidRDefault="00CF7A3C" w:rsidP="00CF7A3C">
      <w:pPr>
        <w:numPr>
          <w:ilvl w:val="0"/>
          <w:numId w:val="29"/>
        </w:numPr>
        <w:pBdr>
          <w:top w:val="nil"/>
          <w:left w:val="nil"/>
          <w:bottom w:val="nil"/>
          <w:right w:val="nil"/>
          <w:between w:val="nil"/>
        </w:pBdr>
        <w:spacing w:after="0" w:line="276" w:lineRule="auto"/>
        <w:rPr>
          <w:lang w:val="bs-Latn-BA"/>
        </w:rPr>
      </w:pPr>
      <w:r w:rsidRPr="008924E0">
        <w:rPr>
          <w:color w:val="000000"/>
          <w:lang w:val="bs-Latn-BA"/>
        </w:rPr>
        <w:t>Komponenta 3 - Sistem za upravljanje energijom (SUE/EMIS);</w:t>
      </w:r>
    </w:p>
    <w:p w14:paraId="40DBB33E" w14:textId="77777777" w:rsidR="00CF7A3C" w:rsidRPr="008924E0" w:rsidRDefault="00CF7A3C" w:rsidP="00CF7A3C">
      <w:pPr>
        <w:numPr>
          <w:ilvl w:val="0"/>
          <w:numId w:val="29"/>
        </w:numPr>
        <w:pBdr>
          <w:top w:val="nil"/>
          <w:left w:val="nil"/>
          <w:bottom w:val="nil"/>
          <w:right w:val="nil"/>
          <w:between w:val="nil"/>
        </w:pBdr>
        <w:spacing w:after="0" w:line="276" w:lineRule="auto"/>
        <w:rPr>
          <w:lang w:val="bs-Latn-BA"/>
        </w:rPr>
      </w:pPr>
      <w:r w:rsidRPr="008924E0">
        <w:rPr>
          <w:color w:val="000000"/>
          <w:lang w:val="bs-Latn-BA"/>
        </w:rPr>
        <w:t>Komponenta 4 - Registar energijskih certifikata (REC) u FBiH, uspostavljen od strane Federalnog ministarstva prostornog uređenja.</w:t>
      </w:r>
    </w:p>
    <w:p w14:paraId="47783A6C" w14:textId="77777777" w:rsidR="00CF7A3C" w:rsidRPr="008924E0" w:rsidRDefault="00CF7A3C" w:rsidP="00CF7A3C">
      <w:pPr>
        <w:spacing w:before="120" w:after="120" w:line="276" w:lineRule="auto"/>
        <w:rPr>
          <w:lang w:val="bs-Latn-BA"/>
        </w:rPr>
      </w:pPr>
      <w:r w:rsidRPr="008924E0">
        <w:rPr>
          <w:lang w:val="bs-Latn-BA"/>
        </w:rPr>
        <w:t>Praćenje troškova energije kroz sistem upravljanja i kontrole energije potrebno je nadograditi kroz:</w:t>
      </w:r>
    </w:p>
    <w:p w14:paraId="6A662676" w14:textId="77777777" w:rsidR="00CF7A3C" w:rsidRPr="008924E0" w:rsidRDefault="00CF7A3C" w:rsidP="00CF7A3C">
      <w:pPr>
        <w:numPr>
          <w:ilvl w:val="0"/>
          <w:numId w:val="32"/>
        </w:numPr>
        <w:pBdr>
          <w:top w:val="nil"/>
          <w:left w:val="nil"/>
          <w:bottom w:val="nil"/>
          <w:right w:val="nil"/>
          <w:between w:val="nil"/>
        </w:pBdr>
        <w:spacing w:after="0" w:line="240" w:lineRule="auto"/>
        <w:rPr>
          <w:color w:val="000000"/>
          <w:lang w:val="bs-Latn-BA"/>
        </w:rPr>
      </w:pPr>
      <w:r w:rsidRPr="008924E0">
        <w:rPr>
          <w:color w:val="000000"/>
          <w:lang w:val="bs-Latn-BA"/>
        </w:rPr>
        <w:t>Komponentu 5 – Registar energijskih audita sistema grijanja i klimatizacije u FBiH, koji treba biti  uspostavljen od strane Federalnog ministarstva energije, rudarstva i industrije;</w:t>
      </w:r>
    </w:p>
    <w:p w14:paraId="6BDE65EA" w14:textId="77777777" w:rsidR="00CF7A3C" w:rsidRPr="008924E0" w:rsidRDefault="00CF7A3C" w:rsidP="00CF7A3C">
      <w:pPr>
        <w:numPr>
          <w:ilvl w:val="0"/>
          <w:numId w:val="32"/>
        </w:numPr>
        <w:pBdr>
          <w:top w:val="nil"/>
          <w:left w:val="nil"/>
          <w:bottom w:val="nil"/>
          <w:right w:val="nil"/>
          <w:between w:val="nil"/>
        </w:pBdr>
        <w:spacing w:after="0" w:line="240" w:lineRule="auto"/>
        <w:rPr>
          <w:color w:val="000000"/>
          <w:lang w:val="bs-Latn-BA"/>
        </w:rPr>
      </w:pPr>
      <w:r w:rsidRPr="008924E0">
        <w:rPr>
          <w:color w:val="000000"/>
          <w:lang w:val="bs-Latn-BA"/>
        </w:rPr>
        <w:t>Implementaciju INTERFACE Informacionog sistema energijske efikasnosti FBiH.</w:t>
      </w:r>
    </w:p>
    <w:p w14:paraId="4DF8B52C" w14:textId="77777777" w:rsidR="00CF7A3C" w:rsidRPr="008924E0" w:rsidRDefault="00CF7A3C" w:rsidP="00CF7A3C">
      <w:pPr>
        <w:spacing w:before="120"/>
        <w:rPr>
          <w:lang w:val="bs-Latn-BA"/>
        </w:rPr>
      </w:pPr>
      <w:r w:rsidRPr="008924E0">
        <w:rPr>
          <w:lang w:val="bs-Latn-BA"/>
        </w:rPr>
        <w:t xml:space="preserve">U kontekstu pripreme Strategije obnove zgrada, potrebno je imati u vidu da što se tiče stambenog sektora, svi kantoni u FBiH nemaju donesen Zakon o upraviteljima u zgradama kolektivnog stanovanja. Vlasnici etažnih stanova u zgradama kolektivnog stanovanja dužni su osnovati udruženje i izabrati svog predstavnika. Udruženje zauzvrat treba da angažira kompaniju za upravljanje stambenim zgradama, te da otvori račun za plaćanje naknade za održavanje. </w:t>
      </w:r>
    </w:p>
    <w:p w14:paraId="594B39DE" w14:textId="77777777" w:rsidR="00CF7A3C" w:rsidRPr="008924E0" w:rsidRDefault="00CF7A3C" w:rsidP="00CF7A3C">
      <w:pPr>
        <w:rPr>
          <w:lang w:val="bs-Latn-BA"/>
        </w:rPr>
      </w:pPr>
      <w:r w:rsidRPr="008924E0">
        <w:rPr>
          <w:lang w:val="bs-Latn-BA"/>
        </w:rPr>
        <w:t>U FBiH, Zakon o stvarnim pravima</w:t>
      </w:r>
      <w:r w:rsidRPr="008924E0">
        <w:rPr>
          <w:b/>
          <w:vertAlign w:val="superscript"/>
          <w:lang w:val="bs-Latn-BA"/>
        </w:rPr>
        <w:footnoteReference w:id="72"/>
      </w:r>
      <w:r w:rsidRPr="008924E0">
        <w:rPr>
          <w:b/>
          <w:lang w:val="bs-Latn-BA"/>
        </w:rPr>
        <w:t xml:space="preserve"> </w:t>
      </w:r>
      <w:r w:rsidRPr="008924E0">
        <w:rPr>
          <w:lang w:val="bs-Latn-BA"/>
        </w:rPr>
        <w:t xml:space="preserve">i Zakoni o korištenju, upravljanju i održavanju zajedničkih dijelova i uređaja na kantonalnom nivou reguliraju odnose etažnih vlasnika i upravljanje zajedničkim dijelovima </w:t>
      </w:r>
      <w:r w:rsidRPr="008924E0">
        <w:rPr>
          <w:lang w:val="bs-Latn-BA"/>
        </w:rPr>
        <w:lastRenderedPageBreak/>
        <w:t xml:space="preserve">stambenih zgrada. U FBiH ovi zakoni definiraju neophodne uvjete postojanja zajedničke imovine, dok drugi zakoni sadrže detaljnije propise za stambeni sektor. Korištenje, upravljanje i održavanje zajedničkih dijelova zgrade regulirani su na kantonalnom nivou u FBiH. Poteškoće stvara način donošenja odluka u objektima kolektivnog stanovanja. Kantonalni zakoni su neusklađeni u smislu većine koja donosi odluke za radove i poslove koji izlaze iz okvira redovnog upravljanja zgradom. Odluke se pretežno donose uz saglasnost svih etažnih vlasnika zgrade ili uz saglasnost etažnih vlasnika stanova čiji stanovi čine više od 2/3 ukupne korisne površine zgrade. Kada je u pitanju obnova stambenih zgrada navedeni načini donošenja odluka mogu otežati ili onemogućiti istu. </w:t>
      </w:r>
    </w:p>
    <w:p w14:paraId="35F7CE2B" w14:textId="77777777" w:rsidR="00CF7A3C" w:rsidRPr="008924E0" w:rsidRDefault="00CF7A3C" w:rsidP="00CF7A3C">
      <w:pPr>
        <w:spacing w:after="120" w:line="276" w:lineRule="auto"/>
        <w:rPr>
          <w:lang w:val="bs-Latn-BA"/>
        </w:rPr>
      </w:pPr>
      <w:r w:rsidRPr="008924E0">
        <w:rPr>
          <w:lang w:val="bs-Latn-BA"/>
        </w:rPr>
        <w:t xml:space="preserve">Dodatno, na nivou FBiH ne postoji inventar zgrada (jedinstven šifrarnik zgrada sa identifikacionim brojem (ID) po svakom objektu), uključujući stambene i nestambene zgrade, što bi omogućilo planiranje renoviranja zgrada u skladu sa tipom i starošću zgrada, te praćenje stvarne potrošnje energije i ušteda nakon implementacije mjera EE. </w:t>
      </w:r>
    </w:p>
    <w:p w14:paraId="7EAD1D43" w14:textId="6D44B7CE" w:rsidR="00CF7A3C" w:rsidRPr="008924E0" w:rsidRDefault="00CF7A3C" w:rsidP="00CF7A3C">
      <w:pPr>
        <w:spacing w:after="120" w:line="276" w:lineRule="auto"/>
        <w:rPr>
          <w:lang w:val="bs-Latn-BA"/>
        </w:rPr>
      </w:pPr>
      <w:r w:rsidRPr="008924E0">
        <w:rPr>
          <w:lang w:val="bs-Latn-BA"/>
        </w:rPr>
        <w:t xml:space="preserve">Direktiva 2012/27/EU o energijskoj efikasnosti definira obligacione šeme za EE kao instrumente politike ili mehanizme na osnovu kojih distributeri i/ili snabdjevači energije imaju </w:t>
      </w:r>
      <w:r w:rsidR="00F03625">
        <w:rPr>
          <w:lang w:val="bs-Latn-BA"/>
        </w:rPr>
        <w:t>obvez</w:t>
      </w:r>
      <w:r w:rsidRPr="008924E0">
        <w:rPr>
          <w:lang w:val="bs-Latn-BA"/>
        </w:rPr>
        <w:t xml:space="preserve">u da postižu određene uštede kod krajnjih kupaca, ulaganjem u mjere EE kod krajnjih kupaca. Navedene obligacione šeme nisu predviđene Zakonom o energijskoj efikasnosti u FBiH, što onemogućuje  njihovu implementaciju. Prijedlog izmjena i dopuna Zakona, kojim bi se omogućila transpozicija odredbi o obligacionim šemama iz Direktive 2012/27/EU je u pripremi. </w:t>
      </w:r>
    </w:p>
    <w:p w14:paraId="524884C8" w14:textId="77777777" w:rsidR="00CF7A3C" w:rsidRPr="008924E0" w:rsidRDefault="00CF7A3C" w:rsidP="00CF7A3C">
      <w:pPr>
        <w:spacing w:after="120" w:line="276" w:lineRule="auto"/>
        <w:rPr>
          <w:lang w:val="bs-Latn-BA"/>
        </w:rPr>
      </w:pPr>
      <w:r w:rsidRPr="008924E0">
        <w:rPr>
          <w:lang w:val="bs-Latn-BA"/>
        </w:rPr>
        <w:t xml:space="preserve">Propisi o energijskom označavanju i ekodizajnu nisu usvojeni u FBiH. Zakon o EE u FBiH propisuje da proizvodi koji troše energiju, a koji su na tržište moraju imati oznaku sa podacima o energijskoj efikasnosti proizvoda. Aktivnosti na pripremi ovih propisa su u toku, ali podzakonski akti još uvijek nisu doneseni. </w:t>
      </w:r>
    </w:p>
    <w:p w14:paraId="431AC6CC" w14:textId="29AA0CE4" w:rsidR="00CF7A3C" w:rsidRPr="008924E0" w:rsidRDefault="00CF7A3C" w:rsidP="00CF7A3C">
      <w:pPr>
        <w:spacing w:after="120" w:line="276" w:lineRule="auto"/>
        <w:rPr>
          <w:lang w:val="bs-Latn-BA"/>
        </w:rPr>
      </w:pPr>
      <w:r w:rsidRPr="008924E0">
        <w:rPr>
          <w:lang w:val="bs-Latn-BA"/>
        </w:rPr>
        <w:t xml:space="preserve">Naplata toplotne energije na osnovu potrošnje nije implementirana u sistemima daljinskog grijanja. Cijena struje i </w:t>
      </w:r>
      <w:r w:rsidR="000934E2">
        <w:rPr>
          <w:lang w:val="bs-Latn-BA"/>
        </w:rPr>
        <w:t>plina</w:t>
      </w:r>
      <w:r w:rsidRPr="008924E0">
        <w:rPr>
          <w:lang w:val="bs-Latn-BA"/>
        </w:rPr>
        <w:t xml:space="preserve"> u BiH jedna je od najnižih u Europi, iako ima tendencije rasta uzimajući u obzir trenutnu situaciju u Europi i globalnu enegetsku krizu. Cijena toplotne energije u sistemu daljinskog grijanja kreće se od 0,43-0,89 EUR/m</w:t>
      </w:r>
      <w:r w:rsidRPr="008924E0">
        <w:rPr>
          <w:vertAlign w:val="superscript"/>
          <w:lang w:val="bs-Latn-BA"/>
        </w:rPr>
        <w:t>2</w:t>
      </w:r>
      <w:r w:rsidRPr="008924E0">
        <w:rPr>
          <w:lang w:val="bs-Latn-BA"/>
        </w:rPr>
        <w:t>. Energija za grijanje u BiH se više od 80% stambenog fonda plaća paušalno, odnosno po kvadratnom metru grijane površine. To znači da se energija za grijanje plaća u istom iznosu bez obzira na potrošnju. Procjenjuje se da oko 20% površine stambenog sektora u BiH koristi usluge daljinskih grijanja.</w:t>
      </w:r>
    </w:p>
    <w:p w14:paraId="7549474A" w14:textId="77777777" w:rsidR="00CF7A3C" w:rsidRPr="008924E0" w:rsidRDefault="00CF7A3C" w:rsidP="00CF7A3C">
      <w:pPr>
        <w:spacing w:after="120" w:line="276" w:lineRule="auto"/>
        <w:rPr>
          <w:lang w:val="bs-Latn-BA"/>
        </w:rPr>
      </w:pPr>
      <w:r w:rsidRPr="008924E0">
        <w:rPr>
          <w:lang w:val="bs-Latn-BA"/>
        </w:rPr>
        <w:t>Evidentna je neusklađenost kantonalnih zakona o građenju sa Zakonom, što ukazuje na potrebu da se u kantonalne zakone o građenju uvrste odredbe Zakona o EE u FBiH.</w:t>
      </w:r>
    </w:p>
    <w:p w14:paraId="1740D127" w14:textId="40026D78" w:rsidR="00CF7A3C" w:rsidRPr="008924E0" w:rsidRDefault="00CF7A3C" w:rsidP="00CF7A3C">
      <w:pPr>
        <w:spacing w:after="120" w:line="276" w:lineRule="auto"/>
        <w:rPr>
          <w:lang w:val="bs-Latn-BA"/>
        </w:rPr>
      </w:pPr>
      <w:r w:rsidRPr="008924E0">
        <w:rPr>
          <w:lang w:val="bs-Latn-BA"/>
        </w:rPr>
        <w:t xml:space="preserve">Zakon o energijskoj efikasnosti u FBiH nije usaglašen sa Direktivom u oblasti definiranja energijskih tipova zgrada, prvenstveno zgrada gotovo nulte energije </w:t>
      </w:r>
      <w:r w:rsidRPr="008924E0">
        <w:rPr>
          <w:i/>
          <w:lang w:val="bs-Latn-BA"/>
        </w:rPr>
        <w:t xml:space="preserve">(eng. Nearly-zero Buildings). </w:t>
      </w:r>
      <w:r w:rsidRPr="008924E0">
        <w:rPr>
          <w:lang w:val="bs-Latn-BA"/>
        </w:rPr>
        <w:t xml:space="preserve">Standard zgrada gotovo nulte energije je uveden Direktivom 2010/31/EU o EPBD 2010. godine, i prema Odluci Ministarskog vijeća 2015/08/MC-EnC </w:t>
      </w:r>
      <w:r w:rsidR="00F03625">
        <w:rPr>
          <w:lang w:val="bs-Latn-BA"/>
        </w:rPr>
        <w:t>obvez</w:t>
      </w:r>
      <w:r w:rsidRPr="008924E0">
        <w:rPr>
          <w:lang w:val="bs-Latn-BA"/>
        </w:rPr>
        <w:t>an je za Ugovorne članice EnZ. Po ovoj direktivi zgrade gotovo nulte energije su definirane kao zgrade koje su izuzetno energijski efikasne i gdje je skoro nulta ili niska potrošnja energije potrebna za funkcioniranje zgrade, dobijena u velikoj mjeri iz obnovljivih izvora energije, uključujući energiju proizvedenu na samoj lokaciji ili u njenoj blizini (član 2 Direktive 2010/31/EU). Direktiva 2010/31/EU EPBD nalaže da nakon 31. decembra 2018. godine sve novoizgrađene javne zgrade  (koje koriste državne institucije ili su u državnoj svojini), a do 31. decembra 2020. godine i sve ostale novoizgrađene zgrade, moraju biti zgrade gotovo nulte energije.</w:t>
      </w:r>
      <w:r w:rsidRPr="008924E0">
        <w:rPr>
          <w:vertAlign w:val="superscript"/>
          <w:lang w:val="bs-Latn-BA"/>
        </w:rPr>
        <w:footnoteReference w:id="73"/>
      </w:r>
      <w:r w:rsidRPr="008924E0">
        <w:rPr>
          <w:lang w:val="bs-Latn-BA"/>
        </w:rPr>
        <w:t xml:space="preserve"> </w:t>
      </w:r>
      <w:r w:rsidRPr="008924E0">
        <w:rPr>
          <w:lang w:val="bs-Latn-BA"/>
        </w:rPr>
        <w:lastRenderedPageBreak/>
        <w:t>Odlukom Ministarskog vijeća Energetske Zajednice 2010/02/MC-EnC</w:t>
      </w:r>
      <w:r w:rsidRPr="008924E0">
        <w:rPr>
          <w:vertAlign w:val="superscript"/>
          <w:lang w:val="bs-Latn-BA"/>
        </w:rPr>
        <w:footnoteReference w:id="74"/>
      </w:r>
      <w:r w:rsidRPr="008924E0">
        <w:rPr>
          <w:lang w:val="bs-Latn-BA"/>
        </w:rPr>
        <w:t xml:space="preserve"> kojoj je EPBD direktiva postala </w:t>
      </w:r>
      <w:r w:rsidR="00F03625">
        <w:rPr>
          <w:lang w:val="bs-Latn-BA"/>
        </w:rPr>
        <w:t>obvez</w:t>
      </w:r>
      <w:r w:rsidRPr="008924E0">
        <w:rPr>
          <w:lang w:val="bs-Latn-BA"/>
        </w:rPr>
        <w:t xml:space="preserve">ujuća za države članice EnZ, u članu 9 propisani su drugačiji rokovi za gore pomenutu </w:t>
      </w:r>
      <w:r w:rsidR="00F03625">
        <w:rPr>
          <w:lang w:val="bs-Latn-BA"/>
        </w:rPr>
        <w:t>obvez</w:t>
      </w:r>
      <w:r w:rsidRPr="008924E0">
        <w:rPr>
          <w:lang w:val="bs-Latn-BA"/>
        </w:rPr>
        <w:t>u tj. nakon 30. juna 2019. godine sve nove zgrade koje koriste državne institucije i  vlasništvo su države treba da budu zgrade gotovo nulte energije, a do 30. juna 2021. godine sve nove zgrade treba da budu zgrade skoro nulte energije.</w:t>
      </w:r>
      <w:r w:rsidRPr="008924E0">
        <w:rPr>
          <w:vertAlign w:val="superscript"/>
          <w:lang w:val="bs-Latn-BA"/>
        </w:rPr>
        <w:footnoteReference w:id="75"/>
      </w:r>
      <w:r w:rsidRPr="008924E0">
        <w:rPr>
          <w:lang w:val="bs-Latn-BA"/>
        </w:rPr>
        <w:t xml:space="preserve"> </w:t>
      </w:r>
    </w:p>
    <w:p w14:paraId="2CA494F8" w14:textId="690761B8" w:rsidR="00CF7A3C" w:rsidRPr="008924E0" w:rsidRDefault="00CF7A3C" w:rsidP="00CF7A3C">
      <w:pPr>
        <w:spacing w:after="120" w:line="276" w:lineRule="auto"/>
        <w:rPr>
          <w:lang w:val="bs-Latn-BA"/>
        </w:rPr>
      </w:pPr>
      <w:r w:rsidRPr="008924E0">
        <w:rPr>
          <w:lang w:val="bs-Latn-BA"/>
        </w:rPr>
        <w:t>Općenito, vezano za nadzor, primjenu građevinskih propisa u BiH je situacija zadovoljavajuća u pogledu novih zgrada i značajnije obnove (rekonstrukcije) postojećih objekata.</w:t>
      </w:r>
      <w:r w:rsidRPr="008924E0">
        <w:rPr>
          <w:color w:val="222222"/>
          <w:lang w:val="bs-Latn-BA"/>
        </w:rPr>
        <w:t xml:space="preserve"> </w:t>
      </w:r>
      <w:r w:rsidRPr="008924E0">
        <w:rPr>
          <w:lang w:val="bs-Latn-BA"/>
        </w:rPr>
        <w:t xml:space="preserve">Izdavanje energijskih certifikata u FBiH je </w:t>
      </w:r>
      <w:r w:rsidR="00F03625">
        <w:rPr>
          <w:lang w:val="bs-Latn-BA"/>
        </w:rPr>
        <w:t>obvez</w:t>
      </w:r>
      <w:r w:rsidRPr="008924E0">
        <w:rPr>
          <w:lang w:val="bs-Latn-BA"/>
        </w:rPr>
        <w:t xml:space="preserve">no za sve nove zgrade i zgrade značajne obnove – pri čemu se energijski certifikat mora pribaviti prije izdavanja odobrenja za upotrebu. Imajući u vidu ovaj zahtjev, implementacija minimalnih zahtjeva za energijskim karakteristikama novih/rekonstruiranih zgrada i zahtjevi za energijskim certifikatima su implementirani u većini slučajeva. Međutim, kako je ranije pomenuto, u FBiH još uvijek nije izvršeno usklađivanje kantonalnih zakona o građenju sa Zakonom o EE u FBiH, tako da propisi nisu u potpunosti primjenjivi na svim kantonalnim i općinskim nivoima. </w:t>
      </w:r>
    </w:p>
    <w:p w14:paraId="40F3B2BA" w14:textId="6906BDAD" w:rsidR="00CF7A3C" w:rsidRPr="008924E0" w:rsidRDefault="00CF7A3C" w:rsidP="00CF7A3C">
      <w:pPr>
        <w:spacing w:after="120" w:line="276" w:lineRule="auto"/>
        <w:rPr>
          <w:lang w:val="bs-Latn-BA"/>
        </w:rPr>
      </w:pPr>
      <w:r w:rsidRPr="008924E0">
        <w:rPr>
          <w:lang w:val="bs-Latn-BA"/>
        </w:rPr>
        <w:t xml:space="preserve">Agencija za energijsku efikasnost FBiH (AEE FBiH) prema članu 5 i 6 Zakona o EE u FBiH, nije uspostavljena.  </w:t>
      </w:r>
      <w:r w:rsidR="000934E2">
        <w:rPr>
          <w:lang w:val="bs-Latn-BA"/>
        </w:rPr>
        <w:t xml:space="preserve">Prema Zakonu o EE u FBiH, </w:t>
      </w:r>
      <w:r w:rsidRPr="008924E0">
        <w:rPr>
          <w:lang w:val="bs-Latn-BA"/>
        </w:rPr>
        <w:t xml:space="preserve">AEE FBiH je neprofitna organizacija sa svojstvom pravnog lica za obavljanje stručnih poslova na unapređenju uvjeta i mjera za racionalnu upotrebu i štednju energije i energenata, kao i poboljšanje EE u svim sektorima potrošnje energije. </w:t>
      </w:r>
    </w:p>
    <w:p w14:paraId="601C7218" w14:textId="77777777" w:rsidR="00CF7A3C" w:rsidRPr="008924E0" w:rsidRDefault="00CF7A3C" w:rsidP="00CF7A3C">
      <w:pPr>
        <w:spacing w:after="120" w:line="276" w:lineRule="auto"/>
        <w:rPr>
          <w:color w:val="222222"/>
          <w:lang w:val="bs-Latn-BA"/>
        </w:rPr>
      </w:pPr>
      <w:r w:rsidRPr="008924E0">
        <w:rPr>
          <w:lang w:val="bs-Latn-BA"/>
        </w:rPr>
        <w:t>U FBiH u toku je postupak formiranja Komisije za nezavisnu kontrolu izvještaja o obavljenim energetskim pregledima i izdatim certifikatima prema članu  39  Zakona o EE u FBiH.</w:t>
      </w:r>
    </w:p>
    <w:p w14:paraId="3E51EB78" w14:textId="77777777" w:rsidR="00CF7A3C" w:rsidRPr="008924E0" w:rsidRDefault="00CF7A3C" w:rsidP="00CF7A3C">
      <w:pPr>
        <w:spacing w:after="120" w:line="276" w:lineRule="auto"/>
        <w:rPr>
          <w:lang w:val="bs-Latn-BA"/>
        </w:rPr>
      </w:pPr>
      <w:r w:rsidRPr="008924E0">
        <w:rPr>
          <w:lang w:val="bs-Latn-BA"/>
        </w:rPr>
        <w:t xml:space="preserve">U postojećim zakonima o JPP, energijska efikasnost nije definirana kao javni interes pa je potrebno izvršiti njihovo usklađivanje u ovom segmentu čime bi se omogućilo sklapanje ugovora o JPP (ESCO, i sl.) u segmentu obnove zgrada. </w:t>
      </w:r>
    </w:p>
    <w:p w14:paraId="67C331E2" w14:textId="41ED28BF" w:rsidR="00CF7A3C" w:rsidRPr="008924E0" w:rsidRDefault="00CF7A3C" w:rsidP="00CF7A3C">
      <w:pPr>
        <w:spacing w:after="120" w:line="276" w:lineRule="auto"/>
        <w:rPr>
          <w:lang w:val="bs-Latn-BA"/>
        </w:rPr>
      </w:pPr>
      <w:r w:rsidRPr="008924E0">
        <w:rPr>
          <w:lang w:val="bs-Latn-BA"/>
        </w:rPr>
        <w:t xml:space="preserve">Zakoni o budžetu, javnim nabavkama i javno-privatnom partnerstvu nisu usklađeni u dijelovima jasnog definiranja višegodišnjeg planiranja budžeta i samim tim višegodišnjeg ugovaranja </w:t>
      </w:r>
      <w:r w:rsidR="007B690C">
        <w:rPr>
          <w:lang w:val="bs-Latn-BA"/>
        </w:rPr>
        <w:t>financ</w:t>
      </w:r>
      <w:r w:rsidRPr="008924E0">
        <w:rPr>
          <w:lang w:val="bs-Latn-BA"/>
        </w:rPr>
        <w:t xml:space="preserve">ijskih </w:t>
      </w:r>
      <w:r w:rsidR="00F03625">
        <w:rPr>
          <w:lang w:val="bs-Latn-BA"/>
        </w:rPr>
        <w:t>obvez</w:t>
      </w:r>
      <w:r w:rsidRPr="008924E0">
        <w:rPr>
          <w:lang w:val="bs-Latn-BA"/>
        </w:rPr>
        <w:t xml:space="preserve">a. Ova činjenica onemogućava uključivanje značajnijeg kapitala privatnog sektora u realizaciju obnove javnih zgrada kada su u pitanju veći i strateški projekti zbog neisplativosti investicije u periodu od 4 godine u okviru kojih je moguće budžetiranje. </w:t>
      </w:r>
    </w:p>
    <w:p w14:paraId="465D9C65" w14:textId="77777777" w:rsidR="00CF7A3C" w:rsidRPr="008924E0" w:rsidRDefault="00CF7A3C" w:rsidP="00CF7A3C">
      <w:pPr>
        <w:spacing w:after="120" w:line="276" w:lineRule="auto"/>
        <w:rPr>
          <w:lang w:val="bs-Latn-BA"/>
        </w:rPr>
      </w:pPr>
      <w:r w:rsidRPr="008924E0">
        <w:rPr>
          <w:lang w:val="bs-Latn-BA"/>
        </w:rPr>
        <w:t>Kriterij energijske efikasnosti nije integriran u postupke javnih nabavki u FBiH, kako je to definirano članom 21 Zakona o EE u FBiH.</w:t>
      </w:r>
    </w:p>
    <w:p w14:paraId="10459ABF" w14:textId="77777777" w:rsidR="00CF7A3C" w:rsidRPr="008924E0" w:rsidRDefault="00CF7A3C" w:rsidP="00CF7A3C">
      <w:pPr>
        <w:spacing w:after="120" w:line="276" w:lineRule="auto"/>
        <w:rPr>
          <w:lang w:val="bs-Latn-BA"/>
        </w:rPr>
      </w:pPr>
      <w:r w:rsidRPr="008924E0">
        <w:rPr>
          <w:lang w:val="bs-Latn-BA"/>
        </w:rPr>
        <w:t>Uzimajući u obzir status u oblasti EE u zgradarstvu u FBiH, a u kontekstu Strategije obnove zgrada u FBiH, identificirano je sljedeće:</w:t>
      </w:r>
    </w:p>
    <w:p w14:paraId="37F01D46" w14:textId="77777777" w:rsidR="00824F63" w:rsidRPr="008924E0" w:rsidRDefault="00824F63" w:rsidP="00824F63">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Ciljevi u okviru Integriranog energetskog i klimatskog plana za BiH do 2030 (NECP 2030) još uvijek se usklađuju sa Sekretarijatom EnZ (prema Odluci Ministarskog vijeća 2021/14/MC-EnC, novi rok za izradu nacrta NECP-a za Ugovorne strane EnZ je 30 juni 2023. godine);</w:t>
      </w:r>
    </w:p>
    <w:p w14:paraId="119FC825" w14:textId="77777777" w:rsidR="00824F63" w:rsidRPr="008924E0" w:rsidRDefault="00824F63" w:rsidP="00824F63">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Transpozicija direktiva EU vezano za EE u zakonodavstvo FBiH nije u potpunosti izvršena;</w:t>
      </w:r>
    </w:p>
    <w:p w14:paraId="39CDF262" w14:textId="77777777" w:rsidR="00824F63" w:rsidRPr="00421D43" w:rsidRDefault="00824F63" w:rsidP="00824F63">
      <w:pPr>
        <w:numPr>
          <w:ilvl w:val="0"/>
          <w:numId w:val="10"/>
        </w:numPr>
        <w:pBdr>
          <w:top w:val="nil"/>
          <w:left w:val="nil"/>
          <w:bottom w:val="nil"/>
          <w:right w:val="nil"/>
          <w:between w:val="nil"/>
        </w:pBdr>
        <w:spacing w:after="120" w:line="240" w:lineRule="auto"/>
        <w:rPr>
          <w:color w:val="000000" w:themeColor="text1"/>
          <w:lang w:val="bs-Latn-BA"/>
        </w:rPr>
      </w:pPr>
      <w:r w:rsidRPr="00421D43">
        <w:rPr>
          <w:color w:val="000000" w:themeColor="text1"/>
          <w:lang w:val="bs-Latn-BA"/>
        </w:rPr>
        <w:t>Kantonalni zakoni o prostornom uređenju nisu usklađeni kako međusobno, tako i sa Federalnim zakonom o prostornom uređenju</w:t>
      </w:r>
      <w:r>
        <w:rPr>
          <w:color w:val="000000" w:themeColor="text1"/>
          <w:lang w:val="bs-Latn-BA"/>
        </w:rPr>
        <w:t xml:space="preserve"> </w:t>
      </w:r>
      <w:r>
        <w:rPr>
          <w:color w:val="000000"/>
          <w:lang w:val="bs-Latn-BA"/>
        </w:rPr>
        <w:t>i Zakonom o energijskoj efikasnosti FBiH;</w:t>
      </w:r>
    </w:p>
    <w:p w14:paraId="2CD86342" w14:textId="77777777" w:rsidR="00824F63" w:rsidRPr="00421D43" w:rsidRDefault="00824F63" w:rsidP="00824F63">
      <w:pPr>
        <w:numPr>
          <w:ilvl w:val="0"/>
          <w:numId w:val="10"/>
        </w:numPr>
        <w:pBdr>
          <w:top w:val="nil"/>
          <w:left w:val="nil"/>
          <w:bottom w:val="nil"/>
          <w:right w:val="nil"/>
          <w:between w:val="nil"/>
        </w:pBdr>
        <w:spacing w:after="120" w:line="240" w:lineRule="auto"/>
        <w:rPr>
          <w:color w:val="000000" w:themeColor="text1"/>
          <w:lang w:val="bs-Latn-BA"/>
        </w:rPr>
      </w:pPr>
      <w:r w:rsidRPr="00421D43">
        <w:rPr>
          <w:color w:val="000000" w:themeColor="text1"/>
          <w:lang w:val="bs-Latn-BA"/>
        </w:rPr>
        <w:lastRenderedPageBreak/>
        <w:t xml:space="preserve">Novi Zakon o prostornom uređenju u nadležnosti Federacije BiH, a koji </w:t>
      </w:r>
      <w:r>
        <w:rPr>
          <w:color w:val="000000"/>
          <w:lang w:val="bs-Latn-BA"/>
        </w:rPr>
        <w:t>je u potpunosti usklađen sa Zakonom o energijskoj  efikasnosti</w:t>
      </w:r>
      <w:r w:rsidRPr="00421D43">
        <w:rPr>
          <w:color w:val="000000" w:themeColor="text1"/>
          <w:lang w:val="bs-Latn-BA"/>
        </w:rPr>
        <w:t xml:space="preserve"> EE u zgradarstvu je u formi nacrta (2021.) i još uvijek nije usvojen;</w:t>
      </w:r>
    </w:p>
    <w:p w14:paraId="0464A3A9" w14:textId="77777777" w:rsidR="00824F63" w:rsidRPr="008924E0" w:rsidRDefault="00824F63" w:rsidP="00824F63">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 xml:space="preserve">Harmoniziranje propisa </w:t>
      </w:r>
      <w:r w:rsidRPr="00421D43">
        <w:rPr>
          <w:lang w:val="bs-Latn-BA"/>
        </w:rPr>
        <w:t>relevantnih</w:t>
      </w:r>
      <w:r w:rsidRPr="008924E0">
        <w:rPr>
          <w:color w:val="000000"/>
          <w:lang w:val="bs-Latn-BA"/>
        </w:rPr>
        <w:t xml:space="preserve"> za EE na svim nivoima vlasti u FBiH nije u potpunosti izvršeno;</w:t>
      </w:r>
    </w:p>
    <w:p w14:paraId="23E74537" w14:textId="77777777" w:rsidR="00824F63" w:rsidRPr="008924E0" w:rsidRDefault="00824F63" w:rsidP="00824F63">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 xml:space="preserve">Akcioni planovi EE na nivou kantona, kao i Programi poboljšanja EE na nivou općina i/ili gradova (jedinica lokalne samouprave), nisu doneseni u svim kantonima odnosno </w:t>
      </w:r>
      <w:r w:rsidRPr="00421D43">
        <w:rPr>
          <w:lang w:val="bs-Latn-BA"/>
        </w:rPr>
        <w:t>općinama</w:t>
      </w:r>
      <w:r>
        <w:rPr>
          <w:lang w:val="bs-Latn-BA"/>
        </w:rPr>
        <w:t xml:space="preserve"> i gradovima</w:t>
      </w:r>
      <w:r w:rsidRPr="00421D43">
        <w:rPr>
          <w:lang w:val="bs-Latn-BA"/>
        </w:rPr>
        <w:t>;</w:t>
      </w:r>
    </w:p>
    <w:p w14:paraId="35AB189A" w14:textId="015021A7" w:rsidR="00CF7A3C" w:rsidRPr="008924E0" w:rsidRDefault="00CF7A3C" w:rsidP="00CF7A3C">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 xml:space="preserve">Dugoročni i održivi modeli </w:t>
      </w:r>
      <w:r w:rsidR="007B690C">
        <w:rPr>
          <w:color w:val="000000"/>
          <w:lang w:val="bs-Latn-BA"/>
        </w:rPr>
        <w:t>financ</w:t>
      </w:r>
      <w:r w:rsidRPr="008924E0">
        <w:rPr>
          <w:color w:val="000000"/>
          <w:lang w:val="bs-Latn-BA"/>
        </w:rPr>
        <w:t>iranja EE nisu uspostavljeni u FBiH (osim Revolving fonda za energijsku efikasnost javnih zgrada u Federaciji BiH pri FMPU);</w:t>
      </w:r>
    </w:p>
    <w:p w14:paraId="7FDBA75B" w14:textId="77777777" w:rsidR="00CF7A3C" w:rsidRPr="008924E0" w:rsidRDefault="00CF7A3C" w:rsidP="00CF7A3C">
      <w:pPr>
        <w:numPr>
          <w:ilvl w:val="0"/>
          <w:numId w:val="10"/>
        </w:numPr>
        <w:pBdr>
          <w:top w:val="nil"/>
          <w:left w:val="nil"/>
          <w:bottom w:val="nil"/>
          <w:right w:val="nil"/>
          <w:between w:val="nil"/>
        </w:pBdr>
        <w:spacing w:after="120" w:line="240" w:lineRule="auto"/>
        <w:rPr>
          <w:color w:val="000000"/>
          <w:lang w:val="bs-Latn-BA"/>
        </w:rPr>
      </w:pPr>
      <w:r w:rsidRPr="008924E0">
        <w:rPr>
          <w:color w:val="000000"/>
          <w:lang w:val="bs-Latn-BA"/>
        </w:rPr>
        <w:t>Agencija za EE FBiH kao institucija nadležna za sve aktivnosti u oblasti EE u FBiH, nije uspostavljena.</w:t>
      </w:r>
    </w:p>
    <w:p w14:paraId="28B03EFA" w14:textId="77777777" w:rsidR="00CF7A3C" w:rsidRPr="008924E0" w:rsidRDefault="00CF7A3C" w:rsidP="00CF7A3C">
      <w:pPr>
        <w:pBdr>
          <w:top w:val="nil"/>
          <w:left w:val="nil"/>
          <w:bottom w:val="nil"/>
          <w:right w:val="nil"/>
          <w:between w:val="nil"/>
        </w:pBdr>
        <w:spacing w:after="120" w:line="240" w:lineRule="auto"/>
        <w:ind w:left="720" w:hanging="360"/>
        <w:rPr>
          <w:color w:val="000000"/>
          <w:lang w:val="bs-Latn-BA"/>
        </w:rPr>
      </w:pPr>
    </w:p>
    <w:p w14:paraId="0C6CCC79" w14:textId="77777777" w:rsidR="00CF7A3C" w:rsidRPr="008924E0" w:rsidRDefault="00CF7A3C" w:rsidP="00581C1C">
      <w:pPr>
        <w:pStyle w:val="Heading3"/>
        <w:numPr>
          <w:ilvl w:val="2"/>
          <w:numId w:val="54"/>
        </w:numPr>
      </w:pPr>
      <w:bookmarkStart w:id="184" w:name="_Toc134011809"/>
      <w:r w:rsidRPr="008924E0">
        <w:t>Važeći strateški dokumenti</w:t>
      </w:r>
      <w:bookmarkEnd w:id="184"/>
    </w:p>
    <w:p w14:paraId="44ECF4A8" w14:textId="77777777" w:rsidR="00CF7A3C" w:rsidRPr="008924E0" w:rsidRDefault="00CF7A3C" w:rsidP="00CF7A3C">
      <w:pPr>
        <w:spacing w:after="0"/>
        <w:rPr>
          <w:lang w:val="bs-Latn-BA"/>
        </w:rPr>
      </w:pPr>
      <w:r w:rsidRPr="008924E0">
        <w:rPr>
          <w:lang w:val="bs-Latn-BA"/>
        </w:rPr>
        <w:t xml:space="preserve">Energijska efikasnost u zgradarstvu integrirana je i u druge relevantne strateške dokumente na državnom i entitetskim nivoima. </w:t>
      </w:r>
    </w:p>
    <w:p w14:paraId="51729B6F" w14:textId="77777777" w:rsidR="00CF7A3C" w:rsidRPr="008924E0" w:rsidRDefault="00CF7A3C" w:rsidP="00CF7A3C">
      <w:pPr>
        <w:spacing w:after="0"/>
        <w:rPr>
          <w:lang w:val="bs-Latn-BA"/>
        </w:rPr>
      </w:pPr>
      <w:r w:rsidRPr="008924E0">
        <w:rPr>
          <w:lang w:val="bs-Latn-BA"/>
        </w:rPr>
        <w:t>U nastavku je dat pregled relevantnih strateških dokumenta koji su razmatrani u okviru situacione analize, a odnose se na dole navedene ključne oblasti.</w:t>
      </w:r>
    </w:p>
    <w:p w14:paraId="34C1D953" w14:textId="77777777" w:rsidR="00CF7A3C" w:rsidRPr="008924E0" w:rsidRDefault="00CF7A3C" w:rsidP="00CF7A3C">
      <w:pPr>
        <w:spacing w:after="0"/>
        <w:rPr>
          <w:color w:val="FF0000"/>
          <w:lang w:val="bs-Latn-BA"/>
        </w:rPr>
      </w:pPr>
    </w:p>
    <w:p w14:paraId="1D675B1F" w14:textId="736F6A8E" w:rsidR="00695AEF" w:rsidRDefault="00695AEF" w:rsidP="00695AEF">
      <w:pPr>
        <w:pStyle w:val="Caption"/>
        <w:keepNext/>
      </w:pPr>
      <w:bookmarkStart w:id="185" w:name="_Toc133499620"/>
      <w:r>
        <w:t>Tabela 11.1.</w:t>
      </w:r>
      <w:r w:rsidR="00000000">
        <w:fldChar w:fldCharType="begin"/>
      </w:r>
      <w:r w:rsidR="00000000">
        <w:instrText xml:space="preserve"> SEQ Tabela_11.1. \* ARABIC </w:instrText>
      </w:r>
      <w:r w:rsidR="00000000">
        <w:fldChar w:fldCharType="separate"/>
      </w:r>
      <w:r w:rsidR="002D62B3">
        <w:rPr>
          <w:noProof/>
        </w:rPr>
        <w:t>1</w:t>
      </w:r>
      <w:r w:rsidR="00000000">
        <w:rPr>
          <w:noProof/>
        </w:rPr>
        <w:fldChar w:fldCharType="end"/>
      </w:r>
      <w:r>
        <w:t xml:space="preserve"> </w:t>
      </w:r>
      <w:r w:rsidRPr="00E04EF4">
        <w:t>Pregled važećih strateških dokumenata po oblastima</w:t>
      </w:r>
      <w:bookmarkEnd w:id="185"/>
    </w:p>
    <w:tbl>
      <w:tblPr>
        <w:tblStyle w:val="27"/>
        <w:tblW w:w="9027"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513"/>
        <w:gridCol w:w="4514"/>
      </w:tblGrid>
      <w:tr w:rsidR="00CF7A3C" w:rsidRPr="008924E0" w14:paraId="7A4812B9" w14:textId="77777777" w:rsidTr="00695AEF">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4513" w:type="dxa"/>
          </w:tcPr>
          <w:p w14:paraId="254D4030" w14:textId="77777777" w:rsidR="00CF7A3C" w:rsidRPr="008924E0" w:rsidRDefault="00CF7A3C" w:rsidP="000B085B">
            <w:pPr>
              <w:rPr>
                <w:rFonts w:asciiTheme="minorHAnsi" w:hAnsiTheme="minorHAnsi" w:cstheme="minorHAnsi"/>
                <w:lang w:val="bs-Latn-BA"/>
              </w:rPr>
            </w:pPr>
            <w:r w:rsidRPr="008924E0">
              <w:rPr>
                <w:rFonts w:asciiTheme="minorHAnsi" w:hAnsiTheme="minorHAnsi" w:cstheme="minorHAnsi"/>
                <w:lang w:val="bs-Latn-BA"/>
              </w:rPr>
              <w:t>Oblast</w:t>
            </w:r>
          </w:p>
        </w:tc>
        <w:tc>
          <w:tcPr>
            <w:tcW w:w="4514" w:type="dxa"/>
          </w:tcPr>
          <w:p w14:paraId="1FA439BF"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Strateški dokumenti</w:t>
            </w:r>
          </w:p>
        </w:tc>
      </w:tr>
      <w:tr w:rsidR="00CF7A3C" w:rsidRPr="008924E0" w14:paraId="351D5830"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restart"/>
            <w:vAlign w:val="center"/>
          </w:tcPr>
          <w:p w14:paraId="3A034835" w14:textId="77777777" w:rsidR="00CF7A3C" w:rsidRPr="008924E0" w:rsidRDefault="00CF7A3C" w:rsidP="000B085B">
            <w:pPr>
              <w:spacing w:after="60"/>
              <w:rPr>
                <w:rFonts w:asciiTheme="minorHAnsi" w:hAnsiTheme="minorHAnsi" w:cstheme="minorHAnsi"/>
                <w:lang w:val="bs-Latn-BA"/>
              </w:rPr>
            </w:pPr>
            <w:r w:rsidRPr="008924E0">
              <w:rPr>
                <w:rFonts w:asciiTheme="minorHAnsi" w:hAnsiTheme="minorHAnsi" w:cstheme="minorHAnsi"/>
                <w:lang w:val="bs-Latn-BA"/>
              </w:rPr>
              <w:t>Energetika i energijska efikasnost</w:t>
            </w:r>
          </w:p>
        </w:tc>
        <w:tc>
          <w:tcPr>
            <w:tcW w:w="4514" w:type="dxa"/>
            <w:vAlign w:val="center"/>
          </w:tcPr>
          <w:p w14:paraId="2AF5DC9E" w14:textId="77777777" w:rsidR="00CF7A3C" w:rsidRPr="008924E0" w:rsidRDefault="00CF7A3C" w:rsidP="000B08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Integrirani energetski i klimatski plan za BiH do 2030 (</w:t>
            </w:r>
            <w:r w:rsidRPr="008924E0">
              <w:rPr>
                <w:rFonts w:asciiTheme="minorHAnsi" w:hAnsiTheme="minorHAnsi" w:cstheme="minorHAnsi"/>
                <w:i/>
                <w:lang w:val="bs-Latn-BA"/>
              </w:rPr>
              <w:t>National Energy and Climate Plan -NECP 2030)</w:t>
            </w:r>
            <w:r w:rsidRPr="008924E0">
              <w:rPr>
                <w:rFonts w:asciiTheme="minorHAnsi" w:hAnsiTheme="minorHAnsi" w:cstheme="minorHAnsi"/>
                <w:lang w:val="bs-Latn-BA"/>
              </w:rPr>
              <w:t xml:space="preserve"> -nacrt 2020.</w:t>
            </w:r>
          </w:p>
        </w:tc>
      </w:tr>
      <w:tr w:rsidR="00CF7A3C" w:rsidRPr="008924E0" w14:paraId="12720A99"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41CD0B85"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b w:val="0"/>
                <w:lang w:val="bs-Latn-BA"/>
              </w:rPr>
            </w:pPr>
          </w:p>
        </w:tc>
        <w:tc>
          <w:tcPr>
            <w:tcW w:w="4514" w:type="dxa"/>
            <w:vAlign w:val="center"/>
          </w:tcPr>
          <w:p w14:paraId="723FBE3C" w14:textId="77777777" w:rsidR="00CF7A3C" w:rsidRPr="008924E0" w:rsidRDefault="00CF7A3C" w:rsidP="000B08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Okvirna energetska strategija Bosne i Hercegovine do 2035. godine</w:t>
            </w:r>
            <w:r w:rsidRPr="008924E0">
              <w:rPr>
                <w:rFonts w:asciiTheme="minorHAnsi" w:hAnsiTheme="minorHAnsi" w:cstheme="minorHAnsi"/>
                <w:vertAlign w:val="superscript"/>
                <w:lang w:val="bs-Latn-BA"/>
              </w:rPr>
              <w:footnoteReference w:id="76"/>
            </w:r>
            <w:r w:rsidRPr="008924E0">
              <w:rPr>
                <w:rFonts w:asciiTheme="minorHAnsi" w:hAnsiTheme="minorHAnsi" w:cstheme="minorHAnsi"/>
                <w:lang w:val="bs-Latn-BA"/>
              </w:rPr>
              <w:t xml:space="preserve"> (2018.)</w:t>
            </w:r>
          </w:p>
        </w:tc>
      </w:tr>
      <w:tr w:rsidR="00CF7A3C" w:rsidRPr="008924E0" w14:paraId="22094B56"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3C0D3A5E"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lang w:val="bs-Latn-BA"/>
              </w:rPr>
            </w:pPr>
          </w:p>
        </w:tc>
        <w:tc>
          <w:tcPr>
            <w:tcW w:w="4514" w:type="dxa"/>
            <w:vAlign w:val="center"/>
          </w:tcPr>
          <w:p w14:paraId="6284F71F" w14:textId="77777777" w:rsidR="00CF7A3C" w:rsidRPr="008924E0" w:rsidRDefault="00CF7A3C" w:rsidP="000B08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Nacionalni akcioni plan energetske efikasnosti 2019-2021 - nacrt</w:t>
            </w:r>
          </w:p>
        </w:tc>
      </w:tr>
      <w:tr w:rsidR="00CF7A3C" w:rsidRPr="001972F5" w14:paraId="47BDBCBE"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599BEB5F"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lang w:val="bs-Latn-BA"/>
              </w:rPr>
            </w:pPr>
          </w:p>
        </w:tc>
        <w:tc>
          <w:tcPr>
            <w:tcW w:w="4514" w:type="dxa"/>
            <w:vAlign w:val="center"/>
          </w:tcPr>
          <w:p w14:paraId="4DA18024" w14:textId="77777777" w:rsidR="00CF7A3C" w:rsidRPr="008924E0" w:rsidRDefault="00CF7A3C" w:rsidP="000B08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Akcioni plan energijske efikasnosti FBiH 2019-2021</w:t>
            </w:r>
            <w:r w:rsidRPr="008924E0">
              <w:rPr>
                <w:rFonts w:asciiTheme="minorHAnsi" w:hAnsiTheme="minorHAnsi" w:cstheme="minorHAnsi"/>
                <w:vertAlign w:val="superscript"/>
                <w:lang w:val="bs-Latn-BA"/>
              </w:rPr>
              <w:footnoteReference w:id="77"/>
            </w:r>
            <w:r w:rsidRPr="008924E0">
              <w:rPr>
                <w:rFonts w:asciiTheme="minorHAnsi" w:hAnsiTheme="minorHAnsi" w:cstheme="minorHAnsi"/>
                <w:lang w:val="bs-Latn-BA"/>
              </w:rPr>
              <w:t xml:space="preserve"> </w:t>
            </w:r>
          </w:p>
        </w:tc>
      </w:tr>
      <w:tr w:rsidR="00CF7A3C" w:rsidRPr="008924E0" w14:paraId="7A15784E"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54FEB2CB"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b w:val="0"/>
                <w:lang w:val="bs-Latn-BA"/>
              </w:rPr>
            </w:pPr>
          </w:p>
        </w:tc>
        <w:tc>
          <w:tcPr>
            <w:tcW w:w="4514" w:type="dxa"/>
            <w:vAlign w:val="center"/>
          </w:tcPr>
          <w:p w14:paraId="4A1DF38E" w14:textId="77777777" w:rsidR="00CF7A3C" w:rsidRPr="008924E0" w:rsidRDefault="00CF7A3C" w:rsidP="000B08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Nacionalna strategija obnove zgrada za period do 2050. godine – nacrt 2019.</w:t>
            </w:r>
          </w:p>
        </w:tc>
      </w:tr>
      <w:tr w:rsidR="00CF7A3C" w:rsidRPr="008924E0" w14:paraId="5B3C9875"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24B553DB"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lang w:val="bs-Latn-BA"/>
              </w:rPr>
            </w:pPr>
          </w:p>
        </w:tc>
        <w:tc>
          <w:tcPr>
            <w:tcW w:w="4514" w:type="dxa"/>
            <w:vAlign w:val="center"/>
          </w:tcPr>
          <w:p w14:paraId="5B5EB46D" w14:textId="77777777" w:rsidR="00CF7A3C" w:rsidRPr="008924E0" w:rsidRDefault="00CF7A3C" w:rsidP="000B08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Strategija obnove zgrada u FBiH za period do 2050. godine – nacrt 2019.</w:t>
            </w:r>
          </w:p>
        </w:tc>
      </w:tr>
      <w:tr w:rsidR="00CF7A3C" w:rsidRPr="001972F5" w14:paraId="13D49A60"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3EB198B2"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lang w:val="bs-Latn-BA"/>
              </w:rPr>
            </w:pPr>
          </w:p>
        </w:tc>
        <w:tc>
          <w:tcPr>
            <w:tcW w:w="4514" w:type="dxa"/>
            <w:vAlign w:val="center"/>
          </w:tcPr>
          <w:p w14:paraId="3E3BB67C" w14:textId="77777777" w:rsidR="00CF7A3C" w:rsidRPr="008924E0" w:rsidRDefault="00CF7A3C" w:rsidP="000B08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Operativni plan poboljšanja energijske efikasnosti u institucijama FBiH</w:t>
            </w:r>
            <w:r w:rsidRPr="008924E0">
              <w:rPr>
                <w:rFonts w:asciiTheme="minorHAnsi" w:hAnsiTheme="minorHAnsi" w:cstheme="minorHAnsi"/>
                <w:vertAlign w:val="superscript"/>
                <w:lang w:val="bs-Latn-BA"/>
              </w:rPr>
              <w:footnoteReference w:id="78"/>
            </w:r>
            <w:r w:rsidRPr="008924E0">
              <w:rPr>
                <w:rFonts w:asciiTheme="minorHAnsi" w:hAnsiTheme="minorHAnsi" w:cstheme="minorHAnsi"/>
                <w:lang w:val="bs-Latn-BA"/>
              </w:rPr>
              <w:t xml:space="preserve"> (2021.)</w:t>
            </w:r>
          </w:p>
        </w:tc>
      </w:tr>
      <w:tr w:rsidR="00CF7A3C" w:rsidRPr="008924E0" w14:paraId="5C26B888"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restart"/>
            <w:vAlign w:val="center"/>
          </w:tcPr>
          <w:p w14:paraId="5E331ADB" w14:textId="77777777" w:rsidR="00CF7A3C" w:rsidRPr="008924E0" w:rsidRDefault="00CF7A3C" w:rsidP="000B085B">
            <w:pPr>
              <w:rPr>
                <w:rFonts w:asciiTheme="minorHAnsi" w:hAnsiTheme="minorHAnsi" w:cstheme="minorHAnsi"/>
                <w:lang w:val="bs-Latn-BA"/>
              </w:rPr>
            </w:pPr>
            <w:r w:rsidRPr="008924E0">
              <w:rPr>
                <w:rFonts w:asciiTheme="minorHAnsi" w:hAnsiTheme="minorHAnsi" w:cstheme="minorHAnsi"/>
                <w:lang w:val="bs-Latn-BA"/>
              </w:rPr>
              <w:t>Održivi urbani razvoj</w:t>
            </w:r>
          </w:p>
        </w:tc>
        <w:tc>
          <w:tcPr>
            <w:tcW w:w="4514" w:type="dxa"/>
            <w:vAlign w:val="center"/>
          </w:tcPr>
          <w:p w14:paraId="699A366C" w14:textId="77777777" w:rsidR="00CF7A3C" w:rsidRPr="008924E0" w:rsidRDefault="00CF7A3C" w:rsidP="000B08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Strategije razvoja Federacije Bosne i Hercegovine 2021.-2027</w:t>
            </w:r>
            <w:r w:rsidRPr="008924E0">
              <w:rPr>
                <w:rFonts w:asciiTheme="minorHAnsi" w:hAnsiTheme="minorHAnsi" w:cstheme="minorHAnsi"/>
                <w:vertAlign w:val="superscript"/>
                <w:lang w:val="bs-Latn-BA"/>
              </w:rPr>
              <w:footnoteReference w:id="79"/>
            </w:r>
            <w:r w:rsidRPr="008924E0">
              <w:rPr>
                <w:rFonts w:asciiTheme="minorHAnsi" w:hAnsiTheme="minorHAnsi" w:cstheme="minorHAnsi"/>
                <w:lang w:val="bs-Latn-BA"/>
              </w:rPr>
              <w:t xml:space="preserve"> (2022.)</w:t>
            </w:r>
          </w:p>
        </w:tc>
      </w:tr>
      <w:tr w:rsidR="00CF7A3C" w:rsidRPr="001972F5" w14:paraId="6E935637"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54821771"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b w:val="0"/>
                <w:lang w:val="bs-Latn-BA"/>
              </w:rPr>
            </w:pPr>
          </w:p>
        </w:tc>
        <w:tc>
          <w:tcPr>
            <w:tcW w:w="4514" w:type="dxa"/>
            <w:vAlign w:val="center"/>
          </w:tcPr>
          <w:p w14:paraId="1DCA2252" w14:textId="77777777" w:rsidR="00CF7A3C" w:rsidRPr="008924E0" w:rsidRDefault="00CF7A3C" w:rsidP="000B08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Okvir za realizaciju ciljeva održivog razvoja u BiH</w:t>
            </w:r>
            <w:r w:rsidRPr="008924E0">
              <w:rPr>
                <w:rFonts w:asciiTheme="minorHAnsi" w:hAnsiTheme="minorHAnsi" w:cstheme="minorHAnsi"/>
                <w:vertAlign w:val="superscript"/>
                <w:lang w:val="bs-Latn-BA"/>
              </w:rPr>
              <w:footnoteReference w:id="80"/>
            </w:r>
            <w:r w:rsidRPr="008924E0">
              <w:rPr>
                <w:rFonts w:asciiTheme="minorHAnsi" w:hAnsiTheme="minorHAnsi" w:cstheme="minorHAnsi"/>
                <w:lang w:val="bs-Latn-BA"/>
              </w:rPr>
              <w:t xml:space="preserve"> (2020.)</w:t>
            </w:r>
          </w:p>
        </w:tc>
      </w:tr>
      <w:tr w:rsidR="00CF7A3C" w:rsidRPr="008924E0" w14:paraId="0A1AAD18"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255F5F30"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b w:val="0"/>
                <w:lang w:val="bs-Latn-BA"/>
              </w:rPr>
            </w:pPr>
          </w:p>
        </w:tc>
        <w:tc>
          <w:tcPr>
            <w:tcW w:w="4514" w:type="dxa"/>
            <w:vAlign w:val="center"/>
          </w:tcPr>
          <w:p w14:paraId="56D37ACB" w14:textId="77777777" w:rsidR="00CF7A3C" w:rsidRPr="008924E0" w:rsidRDefault="00CF7A3C" w:rsidP="000B08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Zelena agenda za Zapadni Balkan 2030</w:t>
            </w:r>
            <w:r w:rsidRPr="008924E0">
              <w:rPr>
                <w:rFonts w:asciiTheme="minorHAnsi" w:hAnsiTheme="minorHAnsi" w:cstheme="minorHAnsi"/>
                <w:vertAlign w:val="superscript"/>
                <w:lang w:val="bs-Latn-BA"/>
              </w:rPr>
              <w:footnoteReference w:id="81"/>
            </w:r>
            <w:r w:rsidRPr="008924E0">
              <w:rPr>
                <w:rFonts w:asciiTheme="minorHAnsi" w:hAnsiTheme="minorHAnsi" w:cstheme="minorHAnsi"/>
                <w:lang w:val="bs-Latn-BA"/>
              </w:rPr>
              <w:t xml:space="preserve"> (2022.)</w:t>
            </w:r>
          </w:p>
        </w:tc>
      </w:tr>
      <w:tr w:rsidR="00CF7A3C" w:rsidRPr="001972F5" w14:paraId="7A4F4BB8"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restart"/>
            <w:vAlign w:val="center"/>
          </w:tcPr>
          <w:p w14:paraId="3C6F220C" w14:textId="77777777" w:rsidR="00CF7A3C" w:rsidRPr="008924E0" w:rsidRDefault="00CF7A3C" w:rsidP="000B085B">
            <w:pPr>
              <w:rPr>
                <w:rFonts w:asciiTheme="minorHAnsi" w:hAnsiTheme="minorHAnsi" w:cstheme="minorHAnsi"/>
                <w:i/>
                <w:lang w:val="bs-Latn-BA"/>
              </w:rPr>
            </w:pPr>
            <w:r w:rsidRPr="008924E0">
              <w:rPr>
                <w:rFonts w:asciiTheme="minorHAnsi" w:hAnsiTheme="minorHAnsi" w:cstheme="minorHAnsi"/>
                <w:lang w:val="bs-Latn-BA"/>
              </w:rPr>
              <w:lastRenderedPageBreak/>
              <w:t>Okoliš i klima</w:t>
            </w:r>
          </w:p>
        </w:tc>
        <w:tc>
          <w:tcPr>
            <w:tcW w:w="4514" w:type="dxa"/>
            <w:vAlign w:val="center"/>
          </w:tcPr>
          <w:p w14:paraId="0E7A0645" w14:textId="77777777" w:rsidR="00CF7A3C" w:rsidRPr="008924E0" w:rsidRDefault="00CF7A3C" w:rsidP="000B08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Strategija prilagođavanja klimatskim promjenama i niskoemisijskog razvoja BiH 2020‒2030</w:t>
            </w:r>
            <w:r w:rsidRPr="008924E0">
              <w:rPr>
                <w:rFonts w:asciiTheme="minorHAnsi" w:hAnsiTheme="minorHAnsi" w:cstheme="minorHAnsi"/>
                <w:vertAlign w:val="superscript"/>
                <w:lang w:val="bs-Latn-BA"/>
              </w:rPr>
              <w:footnoteReference w:id="82"/>
            </w:r>
            <w:r w:rsidRPr="008924E0">
              <w:rPr>
                <w:rFonts w:asciiTheme="minorHAnsi" w:hAnsiTheme="minorHAnsi" w:cstheme="minorHAnsi"/>
                <w:lang w:val="bs-Latn-BA"/>
              </w:rPr>
              <w:t xml:space="preserve"> (2021.)</w:t>
            </w:r>
          </w:p>
        </w:tc>
      </w:tr>
      <w:tr w:rsidR="00CF7A3C" w:rsidRPr="008924E0" w14:paraId="08CCE1F8"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4F18DD0F"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lang w:val="bs-Latn-BA"/>
              </w:rPr>
            </w:pPr>
          </w:p>
        </w:tc>
        <w:tc>
          <w:tcPr>
            <w:tcW w:w="4514" w:type="dxa"/>
            <w:vAlign w:val="center"/>
          </w:tcPr>
          <w:p w14:paraId="07E5752D" w14:textId="77777777" w:rsidR="00CF7A3C" w:rsidRPr="008924E0" w:rsidRDefault="00CF7A3C" w:rsidP="000B08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Utvrđeni doprinos BiH 2020‒2030</w:t>
            </w:r>
            <w:r w:rsidRPr="008924E0">
              <w:rPr>
                <w:rFonts w:asciiTheme="minorHAnsi" w:hAnsiTheme="minorHAnsi" w:cstheme="minorHAnsi"/>
                <w:vertAlign w:val="superscript"/>
                <w:lang w:val="bs-Latn-BA"/>
              </w:rPr>
              <w:footnoteReference w:id="83"/>
            </w:r>
            <w:r w:rsidRPr="008924E0">
              <w:rPr>
                <w:rFonts w:asciiTheme="minorHAnsi" w:hAnsiTheme="minorHAnsi" w:cstheme="minorHAnsi"/>
                <w:lang w:val="bs-Latn-BA"/>
              </w:rPr>
              <w:t xml:space="preserve"> </w:t>
            </w:r>
            <w:r w:rsidRPr="008924E0">
              <w:rPr>
                <w:rFonts w:asciiTheme="minorHAnsi" w:hAnsiTheme="minorHAnsi" w:cstheme="minorHAnsi"/>
                <w:i/>
                <w:lang w:val="bs-Latn-BA"/>
              </w:rPr>
              <w:t>(Nationally Determined Contribution - NDC)</w:t>
            </w:r>
          </w:p>
        </w:tc>
      </w:tr>
      <w:tr w:rsidR="00CF7A3C" w:rsidRPr="008924E0" w14:paraId="41B95419"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3705976C"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b w:val="0"/>
                <w:lang w:val="bs-Latn-BA"/>
              </w:rPr>
            </w:pPr>
          </w:p>
        </w:tc>
        <w:tc>
          <w:tcPr>
            <w:tcW w:w="4514" w:type="dxa"/>
            <w:vAlign w:val="center"/>
          </w:tcPr>
          <w:p w14:paraId="6C8EEA24" w14:textId="77777777" w:rsidR="00CF7A3C" w:rsidRPr="008924E0" w:rsidRDefault="00CF7A3C" w:rsidP="000B085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Mapa puta sa akcionim planom za period 2020 – 2030</w:t>
            </w:r>
            <w:r w:rsidRPr="008924E0">
              <w:rPr>
                <w:rFonts w:asciiTheme="minorHAnsi" w:hAnsiTheme="minorHAnsi" w:cstheme="minorHAnsi"/>
                <w:vertAlign w:val="superscript"/>
                <w:lang w:val="bs-Latn-BA"/>
              </w:rPr>
              <w:footnoteReference w:id="84"/>
            </w:r>
            <w:r w:rsidRPr="008924E0">
              <w:rPr>
                <w:rFonts w:asciiTheme="minorHAnsi" w:hAnsiTheme="minorHAnsi" w:cstheme="minorHAnsi"/>
                <w:lang w:val="bs-Latn-BA"/>
              </w:rPr>
              <w:t xml:space="preserve"> - nacrt 2020.</w:t>
            </w:r>
          </w:p>
        </w:tc>
      </w:tr>
      <w:tr w:rsidR="00CF7A3C" w:rsidRPr="008924E0" w14:paraId="19CAB624"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vMerge/>
            <w:vAlign w:val="center"/>
          </w:tcPr>
          <w:p w14:paraId="7DDC2802" w14:textId="77777777" w:rsidR="00CF7A3C" w:rsidRPr="008924E0" w:rsidRDefault="00CF7A3C" w:rsidP="000B085B">
            <w:pPr>
              <w:widowControl w:val="0"/>
              <w:pBdr>
                <w:top w:val="nil"/>
                <w:left w:val="nil"/>
                <w:bottom w:val="nil"/>
                <w:right w:val="nil"/>
                <w:between w:val="nil"/>
              </w:pBdr>
              <w:spacing w:line="276" w:lineRule="auto"/>
              <w:rPr>
                <w:rFonts w:asciiTheme="minorHAnsi" w:hAnsiTheme="minorHAnsi" w:cstheme="minorHAnsi"/>
                <w:b w:val="0"/>
                <w:lang w:val="bs-Latn-BA"/>
              </w:rPr>
            </w:pPr>
          </w:p>
        </w:tc>
        <w:tc>
          <w:tcPr>
            <w:tcW w:w="4514" w:type="dxa"/>
            <w:vAlign w:val="center"/>
          </w:tcPr>
          <w:p w14:paraId="01F7C845" w14:textId="77777777" w:rsidR="00CF7A3C" w:rsidRPr="008924E0" w:rsidRDefault="00CF7A3C" w:rsidP="000B085B">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lang w:val="bs-Latn-BA"/>
              </w:rPr>
              <w:t>Federalna strategija zaštite okoliša 2022‒2032</w:t>
            </w:r>
            <w:r w:rsidRPr="008924E0">
              <w:rPr>
                <w:rFonts w:asciiTheme="minorHAnsi" w:hAnsiTheme="minorHAnsi" w:cstheme="minorHAnsi"/>
                <w:vertAlign w:val="superscript"/>
                <w:lang w:val="bs-Latn-BA"/>
              </w:rPr>
              <w:footnoteReference w:id="85"/>
            </w:r>
            <w:r w:rsidRPr="008924E0">
              <w:rPr>
                <w:rFonts w:asciiTheme="minorHAnsi" w:hAnsiTheme="minorHAnsi" w:cstheme="minorHAnsi"/>
                <w:lang w:val="bs-Latn-BA"/>
              </w:rPr>
              <w:t xml:space="preserve"> (2022.)</w:t>
            </w:r>
          </w:p>
        </w:tc>
      </w:tr>
    </w:tbl>
    <w:p w14:paraId="10BA49F7" w14:textId="77777777" w:rsidR="00CF7A3C" w:rsidRPr="008924E0" w:rsidRDefault="00CF7A3C" w:rsidP="00581C1C">
      <w:pPr>
        <w:pStyle w:val="Heading2"/>
        <w:numPr>
          <w:ilvl w:val="1"/>
          <w:numId w:val="54"/>
        </w:numPr>
        <w:rPr>
          <w:lang w:val="bs-Latn-BA"/>
        </w:rPr>
      </w:pPr>
      <w:bookmarkStart w:id="186" w:name="_Toc134011810"/>
      <w:r w:rsidRPr="008924E0">
        <w:rPr>
          <w:lang w:val="bs-Latn-BA"/>
        </w:rPr>
        <w:t>Opis postojećeg stanja građevinskog fonda</w:t>
      </w:r>
      <w:bookmarkEnd w:id="186"/>
    </w:p>
    <w:p w14:paraId="55B44CC4" w14:textId="77777777" w:rsidR="00CF7A3C" w:rsidRPr="008924E0" w:rsidRDefault="00CF7A3C" w:rsidP="00581C1C">
      <w:pPr>
        <w:pStyle w:val="Heading3"/>
        <w:numPr>
          <w:ilvl w:val="2"/>
          <w:numId w:val="54"/>
        </w:numPr>
      </w:pPr>
      <w:r w:rsidRPr="008924E0">
        <w:t xml:space="preserve"> </w:t>
      </w:r>
      <w:bookmarkStart w:id="187" w:name="_Toc134011811"/>
      <w:r w:rsidRPr="008924E0">
        <w:t>Pregled dosadašnjih aktivnosti na energetskoj obnovi zgrada u FBiH</w:t>
      </w:r>
      <w:bookmarkEnd w:id="187"/>
    </w:p>
    <w:p w14:paraId="0C42FDC9" w14:textId="77777777" w:rsidR="00F64EC0" w:rsidRPr="008924E0" w:rsidRDefault="00F64EC0" w:rsidP="00F64EC0">
      <w:pPr>
        <w:widowControl w:val="0"/>
        <w:spacing w:after="120" w:line="276" w:lineRule="auto"/>
        <w:rPr>
          <w:lang w:val="bs-Latn-BA"/>
        </w:rPr>
      </w:pPr>
      <w:r w:rsidRPr="008924E0">
        <w:rPr>
          <w:lang w:val="bs-Latn-BA"/>
        </w:rPr>
        <w:t xml:space="preserve">Dosadašnje aktivnosti na </w:t>
      </w:r>
      <w:r>
        <w:rPr>
          <w:lang w:val="bs-Latn-BA"/>
        </w:rPr>
        <w:t>energij</w:t>
      </w:r>
      <w:r w:rsidRPr="008924E0">
        <w:rPr>
          <w:lang w:val="bs-Latn-BA"/>
        </w:rPr>
        <w:t>skoj obnovi zgrada u FBiH uglavnom su se fokusirale na javne zgrade</w:t>
      </w:r>
      <w:r>
        <w:rPr>
          <w:lang w:val="bs-Latn-BA"/>
        </w:rPr>
        <w:t xml:space="preserve">, koje su prema EPBD direktivi trebale biti pozitivan primjer unaprijeđenja energijske efikasnosti u zgradarstvu, te su stoga </w:t>
      </w:r>
      <w:r w:rsidRPr="008924E0">
        <w:rPr>
          <w:lang w:val="bs-Latn-BA"/>
        </w:rPr>
        <w:t xml:space="preserve">sredstva stranih  donatora uglavnom bila usmjerena na javni sektor. </w:t>
      </w:r>
      <w:r>
        <w:rPr>
          <w:lang w:val="bs-Latn-BA"/>
        </w:rPr>
        <w:t>Financ</w:t>
      </w:r>
      <w:r w:rsidRPr="008924E0">
        <w:rPr>
          <w:lang w:val="bs-Latn-BA"/>
        </w:rPr>
        <w:t>ijske institucije i organizacije koje podržavaju projekte energijske efikasnosti zadnjih  10-ak godina u sektoru javnih zgrada u FBiH su:</w:t>
      </w:r>
    </w:p>
    <w:p w14:paraId="010ECE88" w14:textId="77777777" w:rsidR="00F64EC0" w:rsidRPr="008924E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Svjetska banka (World Bank)</w:t>
      </w:r>
    </w:p>
    <w:p w14:paraId="3015E7F6" w14:textId="77777777" w:rsidR="00F64EC0" w:rsidRPr="008924E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Europska banka za obnovu i razvoj (EBRD)</w:t>
      </w:r>
    </w:p>
    <w:p w14:paraId="537096D1" w14:textId="77777777" w:rsidR="00F64EC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Green for Growth Fund for South-eastern Europe (GGF)</w:t>
      </w:r>
    </w:p>
    <w:p w14:paraId="2156BC16" w14:textId="77777777" w:rsidR="00F64EC0" w:rsidRPr="008924E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Pr>
          <w:color w:val="000000"/>
          <w:lang w:val="bs-Latn-BA"/>
        </w:rPr>
        <w:t>Zeleni klimatski fond (GCF)</w:t>
      </w:r>
    </w:p>
    <w:p w14:paraId="177A6638" w14:textId="77777777" w:rsidR="00F64EC0" w:rsidRPr="008924E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Europska investicijska banka (EIB)</w:t>
      </w:r>
    </w:p>
    <w:p w14:paraId="4DB03E19" w14:textId="77777777" w:rsidR="00F64EC0" w:rsidRPr="008924E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Kreditanstalt für Wiederaufbau (KfW)</w:t>
      </w:r>
    </w:p>
    <w:p w14:paraId="7D4B110E" w14:textId="77777777" w:rsidR="00F64EC0" w:rsidRPr="008924E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Program Ujedinjenih naroda za razvoj (UNDP)</w:t>
      </w:r>
    </w:p>
    <w:p w14:paraId="43DA4D55" w14:textId="77777777" w:rsidR="00F64EC0" w:rsidRPr="008924E0" w:rsidRDefault="00F64EC0" w:rsidP="00F64EC0">
      <w:pPr>
        <w:widowControl w:val="0"/>
        <w:numPr>
          <w:ilvl w:val="0"/>
          <w:numId w:val="22"/>
        </w:numPr>
        <w:pBdr>
          <w:top w:val="nil"/>
          <w:left w:val="nil"/>
          <w:bottom w:val="nil"/>
          <w:right w:val="nil"/>
          <w:between w:val="nil"/>
        </w:pBdr>
        <w:spacing w:after="0" w:line="276" w:lineRule="auto"/>
        <w:rPr>
          <w:color w:val="000000"/>
          <w:lang w:val="bs-Latn-BA"/>
        </w:rPr>
      </w:pPr>
      <w:r w:rsidRPr="008924E0">
        <w:rPr>
          <w:color w:val="000000"/>
          <w:lang w:val="bs-Latn-BA"/>
        </w:rPr>
        <w:t>Švedska agencija za međunarodni razvoj i suradnju (SIDA)</w:t>
      </w:r>
    </w:p>
    <w:p w14:paraId="28D58A7A" w14:textId="77777777" w:rsidR="00F64EC0" w:rsidRPr="008924E0" w:rsidRDefault="00F64EC0" w:rsidP="00F64EC0">
      <w:pPr>
        <w:widowControl w:val="0"/>
        <w:numPr>
          <w:ilvl w:val="0"/>
          <w:numId w:val="22"/>
        </w:numPr>
        <w:pBdr>
          <w:top w:val="nil"/>
          <w:left w:val="nil"/>
          <w:bottom w:val="nil"/>
          <w:right w:val="nil"/>
          <w:between w:val="nil"/>
        </w:pBdr>
        <w:spacing w:after="120" w:line="276" w:lineRule="auto"/>
        <w:rPr>
          <w:color w:val="000000"/>
          <w:lang w:val="bs-Latn-BA"/>
        </w:rPr>
      </w:pPr>
      <w:r w:rsidRPr="008924E0">
        <w:rPr>
          <w:color w:val="000000"/>
          <w:lang w:val="bs-Latn-BA"/>
        </w:rPr>
        <w:t>Njemačko drušvo za međunarodnu saradnju – GIZ (Deutsche Gesellschaft für Internationale Zusammenarbeit GmbH).</w:t>
      </w:r>
    </w:p>
    <w:p w14:paraId="253549C5" w14:textId="2E45383E" w:rsidR="00CF7A3C" w:rsidRPr="008924E0" w:rsidRDefault="00CF7A3C" w:rsidP="00CF7A3C">
      <w:pPr>
        <w:spacing w:after="120" w:line="276" w:lineRule="auto"/>
        <w:rPr>
          <w:lang w:val="bs-Latn-BA"/>
        </w:rPr>
      </w:pPr>
      <w:r w:rsidRPr="008924E0">
        <w:rPr>
          <w:lang w:val="bs-Latn-BA"/>
        </w:rPr>
        <w:t xml:space="preserve">Na nivou BiH nije uspostavljen nijedan održiv program ili mehanizam za implementaciju mjera EE u stambenom sektoru. Na kantonalnom nivou postoje pokušaji od strane Kantona Sarajevo i Grada Tuzle. Obligacione šeme za energijsku efikasnost (koje zahtijevaju podršku EE od strane distributera energije) do danas nisu uspostavljene, niti su kantoni, gradovi i općine bili uključeni u bilo kakve </w:t>
      </w:r>
      <w:r w:rsidR="007B690C">
        <w:rPr>
          <w:lang w:val="bs-Latn-BA"/>
        </w:rPr>
        <w:t>financ</w:t>
      </w:r>
      <w:r w:rsidRPr="008924E0">
        <w:rPr>
          <w:lang w:val="bs-Latn-BA"/>
        </w:rPr>
        <w:t xml:space="preserve">ijske programe podrške za svoje akcione planove EE. U oblasti </w:t>
      </w:r>
      <w:r w:rsidR="007B690C">
        <w:rPr>
          <w:lang w:val="bs-Latn-BA"/>
        </w:rPr>
        <w:t>financ</w:t>
      </w:r>
      <w:r w:rsidRPr="008924E0">
        <w:rPr>
          <w:lang w:val="bs-Latn-BA"/>
        </w:rPr>
        <w:t xml:space="preserve">iranja stambenog sektora, samo su dostupna kreditna sredstva komercijalnih banaka, a vlasnici stanova i individualnih stambenih zgrada uglavnom se oslanjaju na vlastitu </w:t>
      </w:r>
      <w:r w:rsidR="007B690C">
        <w:rPr>
          <w:lang w:val="bs-Latn-BA"/>
        </w:rPr>
        <w:t>financ</w:t>
      </w:r>
      <w:r w:rsidRPr="008924E0">
        <w:rPr>
          <w:lang w:val="bs-Latn-BA"/>
        </w:rPr>
        <w:t>ijsku sposobnost.</w:t>
      </w:r>
    </w:p>
    <w:p w14:paraId="085BC9BC" w14:textId="77777777" w:rsidR="00CF7A3C" w:rsidRPr="008924E0" w:rsidRDefault="00CF7A3C" w:rsidP="00CF7A3C">
      <w:pPr>
        <w:rPr>
          <w:lang w:val="bs-Latn-BA"/>
        </w:rPr>
      </w:pPr>
      <w:r w:rsidRPr="008924E0">
        <w:rPr>
          <w:lang w:val="bs-Latn-BA"/>
        </w:rPr>
        <w:t>Aktivnosti koje podržavaju donatori su opisane u nastavku.</w:t>
      </w:r>
    </w:p>
    <w:p w14:paraId="4456E97E" w14:textId="7BBD62D6" w:rsidR="00CF7A3C" w:rsidRPr="008924E0" w:rsidRDefault="00CF7A3C" w:rsidP="00CF7A3C">
      <w:pPr>
        <w:pBdr>
          <w:top w:val="nil"/>
          <w:left w:val="nil"/>
          <w:bottom w:val="nil"/>
          <w:right w:val="nil"/>
          <w:between w:val="nil"/>
        </w:pBdr>
        <w:shd w:val="clear" w:color="auto" w:fill="FFFFFF"/>
        <w:spacing w:after="120" w:line="276" w:lineRule="auto"/>
        <w:rPr>
          <w:color w:val="000000"/>
          <w:lang w:val="bs-Latn-BA"/>
        </w:rPr>
      </w:pPr>
      <w:r w:rsidRPr="008924E0">
        <w:rPr>
          <w:color w:val="000000"/>
          <w:lang w:val="bs-Latn-BA"/>
        </w:rPr>
        <w:t>UNDP inicijative posljednjih godina uglavnom su bile usmjerene na EE u javnim zgradama. Od 2013. godine, projekt </w:t>
      </w:r>
      <w:r w:rsidRPr="008924E0">
        <w:rPr>
          <w:i/>
          <w:color w:val="000000"/>
          <w:lang w:val="bs-Latn-BA"/>
        </w:rPr>
        <w:t>Zeleni ekonomski razvoj</w:t>
      </w:r>
      <w:r w:rsidRPr="008924E0">
        <w:rPr>
          <w:color w:val="000000"/>
          <w:lang w:val="bs-Latn-BA"/>
        </w:rPr>
        <w:t> (GED)</w:t>
      </w:r>
      <w:r w:rsidRPr="008924E0">
        <w:rPr>
          <w:color w:val="000000"/>
          <w:vertAlign w:val="superscript"/>
          <w:lang w:val="bs-Latn-BA"/>
        </w:rPr>
        <w:footnoteReference w:id="86"/>
      </w:r>
      <w:r w:rsidRPr="008924E0">
        <w:rPr>
          <w:color w:val="000000"/>
          <w:lang w:val="bs-Latn-BA"/>
        </w:rPr>
        <w:t>, </w:t>
      </w:r>
      <w:r w:rsidR="007B690C">
        <w:rPr>
          <w:color w:val="000000"/>
          <w:lang w:val="bs-Latn-BA"/>
        </w:rPr>
        <w:t>financ</w:t>
      </w:r>
      <w:r w:rsidRPr="008924E0">
        <w:rPr>
          <w:color w:val="000000"/>
          <w:lang w:val="bs-Latn-BA"/>
        </w:rPr>
        <w:t xml:space="preserve">ira Vlada </w:t>
      </w:r>
      <w:r w:rsidR="003D639E">
        <w:rPr>
          <w:color w:val="000000"/>
          <w:lang w:val="bs-Latn-BA"/>
        </w:rPr>
        <w:t xml:space="preserve">Kraljevine </w:t>
      </w:r>
      <w:r w:rsidRPr="008924E0">
        <w:rPr>
          <w:color w:val="000000"/>
          <w:lang w:val="bs-Latn-BA"/>
        </w:rPr>
        <w:t xml:space="preserve">Švedske, a implementira Razvojni program Ujedinjenih nacija (UNDP) u saradnji sa Ministarstvom vanjske trgovine i ekonomskih odnosa Bosne i Hercegovine, Fondom za zaštitu okoliša Federacije BiH i Fondom za zaštitu </w:t>
      </w:r>
      <w:r w:rsidRPr="008924E0">
        <w:rPr>
          <w:color w:val="000000"/>
          <w:lang w:val="bs-Latn-BA"/>
        </w:rPr>
        <w:lastRenderedPageBreak/>
        <w:t>životne sredine i energetsku efikasnost Republike Srpske, entitetskim ministarstvima prostornog uređenja, entitetskim ministarstvima za energiju, kantonalnim ministarstvima, jedinicama lokalne samouprave te drugim partnerima. Projekt </w:t>
      </w:r>
      <w:r w:rsidRPr="008924E0">
        <w:rPr>
          <w:i/>
          <w:color w:val="000000"/>
          <w:lang w:val="bs-Latn-BA"/>
        </w:rPr>
        <w:t>Zeleni ekonomski razvoj</w:t>
      </w:r>
      <w:r w:rsidRPr="008924E0">
        <w:rPr>
          <w:color w:val="000000"/>
          <w:lang w:val="bs-Latn-BA"/>
        </w:rPr>
        <w:t xml:space="preserve"> doprinosi uspostavi održivog sistema upravljanja energijom/energetskog menadžmenta na svim nivoima vlasti u Bosni i Hercegovini, sa ciljem smanjenja emisija štetnih </w:t>
      </w:r>
      <w:r w:rsidR="00F64EC0">
        <w:rPr>
          <w:color w:val="000000"/>
          <w:lang w:val="bs-Latn-BA"/>
        </w:rPr>
        <w:t>plinova</w:t>
      </w:r>
      <w:r w:rsidRPr="008924E0">
        <w:rPr>
          <w:color w:val="000000"/>
          <w:lang w:val="bs-Latn-BA"/>
        </w:rPr>
        <w:t xml:space="preserve">, unaprijeđenja energijske efikasnosti javnih objekata  i sistema javne rasvjete, te reinvestiranja ostvarenih </w:t>
      </w:r>
      <w:r w:rsidR="007B690C">
        <w:rPr>
          <w:color w:val="000000"/>
          <w:lang w:val="bs-Latn-BA"/>
        </w:rPr>
        <w:t>financ</w:t>
      </w:r>
      <w:r w:rsidRPr="008924E0">
        <w:rPr>
          <w:color w:val="000000"/>
          <w:lang w:val="bs-Latn-BA"/>
        </w:rPr>
        <w:t xml:space="preserve">ijskih ušteda. Projekat obuhvata i aktivnosti vezane za obnovljive izvore energije. U saradnji sa Fondom za zaštitu okoliša Federacije Bosne i Hercegovine institucionalizacija upravljanja energijom/energetskog menadžmenta uvedena je u osam (8) kantona, a odluka o </w:t>
      </w:r>
      <w:r w:rsidR="00F03625">
        <w:rPr>
          <w:color w:val="000000"/>
          <w:lang w:val="bs-Latn-BA"/>
        </w:rPr>
        <w:t>obvez</w:t>
      </w:r>
      <w:r w:rsidRPr="008924E0">
        <w:rPr>
          <w:color w:val="000000"/>
          <w:lang w:val="bs-Latn-BA"/>
        </w:rPr>
        <w:t>nom unosu podataka o potrošnji u Informacioni sistem za upravljanje energijom (EMIS) usvojena u šest (6) kantona,</w:t>
      </w:r>
    </w:p>
    <w:p w14:paraId="55486974" w14:textId="77777777" w:rsidR="00CF7A3C" w:rsidRPr="008924E0" w:rsidRDefault="00CF7A3C" w:rsidP="00CF7A3C">
      <w:pPr>
        <w:pBdr>
          <w:top w:val="nil"/>
          <w:left w:val="nil"/>
          <w:bottom w:val="nil"/>
          <w:right w:val="nil"/>
          <w:between w:val="nil"/>
        </w:pBdr>
        <w:shd w:val="clear" w:color="auto" w:fill="FFFFFF"/>
        <w:spacing w:after="120" w:line="276" w:lineRule="auto"/>
        <w:rPr>
          <w:color w:val="000000"/>
          <w:lang w:val="bs-Latn-BA"/>
        </w:rPr>
      </w:pPr>
      <w:r w:rsidRPr="008924E0">
        <w:rPr>
          <w:color w:val="000000"/>
          <w:lang w:val="bs-Latn-BA"/>
        </w:rPr>
        <w:t>U svrhu identifikacije najefikasnijih mjera za poboljšanje energijske efikasnosti, provedeno više od 350 detaljnih energijskih audita javnih objekata,  a mjere poboljšanja EE na 262 javna objekta i 13 sistema javne rasvjete. Očekivani rezultati doprinijet će:</w:t>
      </w:r>
    </w:p>
    <w:p w14:paraId="56026972" w14:textId="77777777" w:rsidR="00CF7A3C" w:rsidRPr="008924E0" w:rsidRDefault="00CF7A3C" w:rsidP="00CF7A3C">
      <w:pPr>
        <w:numPr>
          <w:ilvl w:val="0"/>
          <w:numId w:val="39"/>
        </w:numPr>
        <w:pBdr>
          <w:top w:val="nil"/>
          <w:left w:val="nil"/>
          <w:bottom w:val="nil"/>
          <w:right w:val="nil"/>
          <w:between w:val="nil"/>
        </w:pBdr>
        <w:shd w:val="clear" w:color="auto" w:fill="FFFFFF"/>
        <w:spacing w:after="120" w:line="240" w:lineRule="auto"/>
        <w:rPr>
          <w:color w:val="000000"/>
          <w:lang w:val="bs-Latn-BA"/>
        </w:rPr>
      </w:pPr>
      <w:r w:rsidRPr="008924E0">
        <w:rPr>
          <w:color w:val="000000"/>
          <w:lang w:val="bs-Latn-BA"/>
        </w:rPr>
        <w:t>uštedama u javnim budžetima od preko 6.2 miliona KM godišnje,</w:t>
      </w:r>
    </w:p>
    <w:p w14:paraId="3594203E" w14:textId="77777777" w:rsidR="00CF7A3C" w:rsidRPr="008924E0" w:rsidRDefault="00CF7A3C" w:rsidP="00CF7A3C">
      <w:pPr>
        <w:numPr>
          <w:ilvl w:val="0"/>
          <w:numId w:val="39"/>
        </w:numPr>
        <w:pBdr>
          <w:top w:val="nil"/>
          <w:left w:val="nil"/>
          <w:bottom w:val="nil"/>
          <w:right w:val="nil"/>
          <w:between w:val="nil"/>
        </w:pBdr>
        <w:shd w:val="clear" w:color="auto" w:fill="FFFFFF"/>
        <w:spacing w:after="120" w:line="240" w:lineRule="auto"/>
        <w:rPr>
          <w:color w:val="000000"/>
          <w:lang w:val="bs-Latn-BA"/>
        </w:rPr>
      </w:pPr>
      <w:r w:rsidRPr="008924E0">
        <w:rPr>
          <w:color w:val="000000"/>
          <w:lang w:val="bs-Latn-BA"/>
        </w:rPr>
        <w:t>smanjenju potrošnje energije u prosjeku za 59 posto,</w:t>
      </w:r>
    </w:p>
    <w:p w14:paraId="0EA5BE99" w14:textId="77777777" w:rsidR="00CF7A3C" w:rsidRPr="008924E0" w:rsidRDefault="00CF7A3C" w:rsidP="00CF7A3C">
      <w:pPr>
        <w:numPr>
          <w:ilvl w:val="0"/>
          <w:numId w:val="39"/>
        </w:numPr>
        <w:pBdr>
          <w:top w:val="nil"/>
          <w:left w:val="nil"/>
          <w:bottom w:val="nil"/>
          <w:right w:val="nil"/>
          <w:between w:val="nil"/>
        </w:pBdr>
        <w:shd w:val="clear" w:color="auto" w:fill="FFFFFF"/>
        <w:spacing w:after="120" w:line="240" w:lineRule="auto"/>
        <w:rPr>
          <w:color w:val="000000"/>
          <w:lang w:val="bs-Latn-BA"/>
        </w:rPr>
      </w:pPr>
      <w:r w:rsidRPr="008924E0">
        <w:rPr>
          <w:color w:val="000000"/>
          <w:lang w:val="bs-Latn-BA"/>
        </w:rPr>
        <w:t>kreiranju preko 2.500 zelenih poslova,</w:t>
      </w:r>
    </w:p>
    <w:p w14:paraId="078D9F6B" w14:textId="77777777" w:rsidR="00CF7A3C" w:rsidRPr="008924E0" w:rsidRDefault="00CF7A3C" w:rsidP="00CF7A3C">
      <w:pPr>
        <w:numPr>
          <w:ilvl w:val="0"/>
          <w:numId w:val="39"/>
        </w:numPr>
        <w:pBdr>
          <w:top w:val="nil"/>
          <w:left w:val="nil"/>
          <w:bottom w:val="nil"/>
          <w:right w:val="nil"/>
          <w:between w:val="nil"/>
        </w:pBdr>
        <w:shd w:val="clear" w:color="auto" w:fill="FFFFFF"/>
        <w:spacing w:after="120" w:line="240" w:lineRule="auto"/>
        <w:rPr>
          <w:color w:val="000000"/>
          <w:lang w:val="bs-Latn-BA"/>
        </w:rPr>
      </w:pPr>
      <w:r w:rsidRPr="008924E0">
        <w:rPr>
          <w:color w:val="000000"/>
          <w:lang w:val="bs-Latn-BA"/>
        </w:rPr>
        <w:t>smanjenju emisije CO</w:t>
      </w:r>
      <w:r w:rsidRPr="00EA76A9">
        <w:rPr>
          <w:color w:val="000000"/>
          <w:vertAlign w:val="subscript"/>
          <w:lang w:val="bs-Latn-BA"/>
        </w:rPr>
        <w:t>2</w:t>
      </w:r>
      <w:r w:rsidRPr="008924E0">
        <w:rPr>
          <w:color w:val="000000"/>
          <w:lang w:val="bs-Latn-BA"/>
        </w:rPr>
        <w:t xml:space="preserve"> za oko 16.200 tona godišnje,</w:t>
      </w:r>
    </w:p>
    <w:p w14:paraId="5F298950" w14:textId="2B85AE0B" w:rsidR="00CF7A3C" w:rsidRPr="008924E0" w:rsidRDefault="00CF7A3C" w:rsidP="00CF7A3C">
      <w:pPr>
        <w:numPr>
          <w:ilvl w:val="0"/>
          <w:numId w:val="39"/>
        </w:numPr>
        <w:pBdr>
          <w:top w:val="nil"/>
          <w:left w:val="nil"/>
          <w:bottom w:val="nil"/>
          <w:right w:val="nil"/>
          <w:between w:val="nil"/>
        </w:pBdr>
        <w:shd w:val="clear" w:color="auto" w:fill="FFFFFF"/>
        <w:spacing w:after="120" w:line="240" w:lineRule="auto"/>
        <w:rPr>
          <w:color w:val="000000"/>
          <w:lang w:val="bs-Latn-BA"/>
        </w:rPr>
      </w:pPr>
      <w:r w:rsidRPr="008924E0">
        <w:rPr>
          <w:color w:val="000000"/>
          <w:lang w:val="bs-Latn-BA"/>
        </w:rPr>
        <w:t xml:space="preserve">poboljšanju </w:t>
      </w:r>
      <w:r w:rsidR="00540A41">
        <w:rPr>
          <w:color w:val="000000"/>
          <w:lang w:val="bs-Latn-BA"/>
        </w:rPr>
        <w:t>uvjet</w:t>
      </w:r>
      <w:r w:rsidRPr="008924E0">
        <w:rPr>
          <w:color w:val="000000"/>
          <w:lang w:val="bs-Latn-BA"/>
        </w:rPr>
        <w:t>a rada i boravka za preko 670.000 korisnika/ca, od čega više od 270.000 žena.</w:t>
      </w:r>
    </w:p>
    <w:p w14:paraId="578599CD" w14:textId="44FEACB1" w:rsidR="00CF7A3C" w:rsidRPr="008924E0" w:rsidRDefault="00CF7A3C" w:rsidP="00CF7A3C">
      <w:pPr>
        <w:shd w:val="clear" w:color="auto" w:fill="FFFFFF"/>
        <w:spacing w:after="120" w:line="276" w:lineRule="auto"/>
        <w:rPr>
          <w:color w:val="000000"/>
          <w:lang w:val="bs-Latn-BA"/>
        </w:rPr>
      </w:pPr>
      <w:r w:rsidRPr="008924E0">
        <w:rPr>
          <w:color w:val="000000"/>
          <w:lang w:val="bs-Latn-BA"/>
        </w:rPr>
        <w:t xml:space="preserve">Zbog dužeg perioda zanemarivanja i nedovoljnog ulaganja u Bosni i Hercegovini, javna infrastruktura, a posebno zgrade, sada su u zapuštenom stanju i hitno je potrebna njihova </w:t>
      </w:r>
      <w:r w:rsidR="006A5773">
        <w:rPr>
          <w:color w:val="000000"/>
          <w:lang w:val="bs-Latn-BA"/>
        </w:rPr>
        <w:t>obnova</w:t>
      </w:r>
      <w:r w:rsidRPr="008924E0">
        <w:rPr>
          <w:color w:val="000000"/>
          <w:lang w:val="bs-Latn-BA"/>
        </w:rPr>
        <w:t xml:space="preserve"> i modernizacija. Preko 70% zgrada javne namjene u BiH je izgrađeno prije više od 30 godina. Osim energijske efikasnosti, značajan potencijal za smanjenje emisija </w:t>
      </w:r>
      <w:r w:rsidR="007D7A49">
        <w:rPr>
          <w:color w:val="000000"/>
          <w:lang w:val="bs-Latn-BA"/>
        </w:rPr>
        <w:t>ugljičnog dioksida</w:t>
      </w:r>
      <w:r w:rsidRPr="008924E0">
        <w:rPr>
          <w:color w:val="000000"/>
          <w:lang w:val="bs-Latn-BA"/>
        </w:rPr>
        <w:t xml:space="preserve"> s efektom staklene bašte leži u mjerama zamjene energenta jer preko 80% zgrada javnog sektora trenutno koristi fosilna goriva (ugalj, lož ulje i prirodni plin) ili sisteme daljinskog grijanja koji također uglavnom koriste ugalj. Uvođenje značajnog udjela obnovljivih izvora energije u tehničke sisteme, te  ulaganja u EE, ima ključnu ulogu u smanjenju emisije </w:t>
      </w:r>
      <w:r w:rsidR="007D7A49">
        <w:rPr>
          <w:color w:val="000000"/>
          <w:lang w:val="bs-Latn-BA"/>
        </w:rPr>
        <w:t>ugljičnog dioksida</w:t>
      </w:r>
      <w:r w:rsidRPr="008924E0">
        <w:rPr>
          <w:color w:val="000000"/>
          <w:lang w:val="bs-Latn-BA"/>
        </w:rPr>
        <w:t xml:space="preserve">. </w:t>
      </w:r>
    </w:p>
    <w:p w14:paraId="3B6A4236" w14:textId="54C7EBCD" w:rsidR="00CF7A3C" w:rsidRPr="008924E0" w:rsidRDefault="00CF7A3C" w:rsidP="00CF7A3C">
      <w:pPr>
        <w:shd w:val="clear" w:color="auto" w:fill="FFFFFF"/>
        <w:spacing w:after="120" w:line="276" w:lineRule="auto"/>
        <w:rPr>
          <w:color w:val="000000"/>
          <w:lang w:val="bs-Latn-BA"/>
        </w:rPr>
      </w:pPr>
      <w:r w:rsidRPr="008924E0">
        <w:rPr>
          <w:color w:val="000000"/>
          <w:lang w:val="bs-Latn-BA"/>
        </w:rPr>
        <w:t xml:space="preserve">Projekat „Povećanje ulaganja u javne zgrade sa niskom stopom emisije </w:t>
      </w:r>
      <w:r w:rsidR="007D7A49">
        <w:rPr>
          <w:color w:val="000000"/>
          <w:lang w:val="bs-Latn-BA"/>
        </w:rPr>
        <w:t>ugljičnog dioksida</w:t>
      </w:r>
      <w:r w:rsidRPr="008924E0">
        <w:rPr>
          <w:color w:val="000000"/>
          <w:lang w:val="bs-Latn-BA"/>
        </w:rPr>
        <w:t xml:space="preserve"> u Bosni i Hercegovini“</w:t>
      </w:r>
      <w:r w:rsidRPr="008924E0">
        <w:rPr>
          <w:color w:val="000000"/>
          <w:vertAlign w:val="superscript"/>
          <w:lang w:val="bs-Latn-BA"/>
        </w:rPr>
        <w:footnoteReference w:id="87"/>
      </w:r>
      <w:r w:rsidRPr="008924E0">
        <w:rPr>
          <w:color w:val="000000"/>
          <w:lang w:val="bs-Latn-BA"/>
        </w:rPr>
        <w:t xml:space="preserve"> za područje Federacije Bosne i Hercegovine realizira se u saradnji sa UNDP-om, Federalnim ministarstvom prostornog uređenja i Fondom za zaštitu okoliša Federacije Bosne i Hercegovine. Projekat upravlja sa 17,346 miliona USD iz sredstava grantova Zelenog klimatskog fonda (GCF-a) radi prevazilaženja utvrđenih prepreka za ulaganje u adaptacije zgrada javne namjene s niskom emisijom </w:t>
      </w:r>
      <w:r w:rsidR="007D7A49">
        <w:rPr>
          <w:color w:val="000000"/>
          <w:lang w:val="bs-Latn-BA"/>
        </w:rPr>
        <w:t>ugljičnog dioksida</w:t>
      </w:r>
      <w:r w:rsidRPr="008924E0">
        <w:rPr>
          <w:color w:val="000000"/>
          <w:lang w:val="bs-Latn-BA"/>
        </w:rPr>
        <w:t>, kao i dodatnih 105,22 miliona USD su</w:t>
      </w:r>
      <w:r w:rsidR="007B690C">
        <w:rPr>
          <w:color w:val="000000"/>
          <w:lang w:val="bs-Latn-BA"/>
        </w:rPr>
        <w:t>financ</w:t>
      </w:r>
      <w:r w:rsidRPr="008924E0">
        <w:rPr>
          <w:color w:val="000000"/>
          <w:lang w:val="bs-Latn-BA"/>
        </w:rPr>
        <w:t>iranja iz različitih izvora, kao što su Fondovi za zaštitu okoliša/životne sredine, entitetski i općinski budžeti, te međunarodne organizacije (UNDP, GEF, Svjetska banka, SIDA) u svrhu rješavanja rizika zemlje i sektorskih rizika.</w:t>
      </w:r>
    </w:p>
    <w:p w14:paraId="767AEB4E" w14:textId="14AE04CC" w:rsidR="00CF7A3C" w:rsidRPr="008924E0" w:rsidRDefault="00CF7A3C" w:rsidP="00CF7A3C">
      <w:pPr>
        <w:shd w:val="clear" w:color="auto" w:fill="FFFFFF"/>
        <w:spacing w:after="120" w:line="276" w:lineRule="auto"/>
        <w:rPr>
          <w:color w:val="000000"/>
          <w:lang w:val="bs-Latn-BA"/>
        </w:rPr>
      </w:pPr>
      <w:r w:rsidRPr="008924E0">
        <w:rPr>
          <w:color w:val="000000"/>
          <w:lang w:val="bs-Latn-BA"/>
        </w:rPr>
        <w:t xml:space="preserve">Cilj Projekta je podrška naporima Bosne i Hercegovine da odgovori na izazove klimatskih promjena, smanji emisije </w:t>
      </w:r>
      <w:r w:rsidR="007D7A49">
        <w:rPr>
          <w:color w:val="000000"/>
          <w:lang w:val="bs-Latn-BA"/>
        </w:rPr>
        <w:t>ugljičnog dioksida</w:t>
      </w:r>
      <w:r w:rsidRPr="008924E0">
        <w:rPr>
          <w:color w:val="000000"/>
          <w:lang w:val="bs-Latn-BA"/>
        </w:rPr>
        <w:t xml:space="preserve"> i prilagodi se klimatskim promjenama, što je u skladu sa preporukama Nacionalno utvrđenog doprinosa (NDC) i Strategijom prilagođavanja na klimatske promjene u Bosni i Hercegovini. Očekivani rezultati projekta su:</w:t>
      </w:r>
    </w:p>
    <w:p w14:paraId="64A1F96F" w14:textId="77777777" w:rsidR="00CF7A3C" w:rsidRPr="008924E0" w:rsidRDefault="00CF7A3C" w:rsidP="00CF7A3C">
      <w:pPr>
        <w:numPr>
          <w:ilvl w:val="0"/>
          <w:numId w:val="40"/>
        </w:numPr>
        <w:shd w:val="clear" w:color="auto" w:fill="FFFFFF"/>
        <w:spacing w:after="120" w:line="240" w:lineRule="auto"/>
        <w:rPr>
          <w:color w:val="000000"/>
          <w:lang w:val="bs-Latn-BA"/>
        </w:rPr>
      </w:pPr>
      <w:r w:rsidRPr="008924E0">
        <w:rPr>
          <w:color w:val="000000"/>
          <w:lang w:val="bs-Latn-BA"/>
        </w:rPr>
        <w:lastRenderedPageBreak/>
        <w:t>utopljavanjem 430 javnih objekata u BiH sa niskom emisijom ugljika biće dosegnuta nulta stopa emisije ugljika;</w:t>
      </w:r>
    </w:p>
    <w:p w14:paraId="34EAF8F5" w14:textId="72FABA1B" w:rsidR="00CF7A3C" w:rsidRPr="008924E0" w:rsidRDefault="00CF7A3C" w:rsidP="00CF7A3C">
      <w:pPr>
        <w:numPr>
          <w:ilvl w:val="0"/>
          <w:numId w:val="40"/>
        </w:numPr>
        <w:shd w:val="clear" w:color="auto" w:fill="FFFFFF"/>
        <w:spacing w:after="120" w:line="240" w:lineRule="auto"/>
        <w:rPr>
          <w:color w:val="000000"/>
          <w:lang w:val="bs-Latn-BA"/>
        </w:rPr>
      </w:pPr>
      <w:r w:rsidRPr="008924E0">
        <w:rPr>
          <w:color w:val="000000"/>
          <w:lang w:val="bs-Latn-BA"/>
        </w:rPr>
        <w:t xml:space="preserve">unaprijeđeni </w:t>
      </w:r>
      <w:r w:rsidR="00540A41">
        <w:rPr>
          <w:color w:val="000000"/>
          <w:lang w:val="bs-Latn-BA"/>
        </w:rPr>
        <w:t>uvjet</w:t>
      </w:r>
      <w:r w:rsidRPr="008924E0">
        <w:rPr>
          <w:color w:val="000000"/>
          <w:lang w:val="bs-Latn-BA"/>
        </w:rPr>
        <w:t>i boravka u javnim objektima za 150.000 korisnika od kojih je 80.000 žena;</w:t>
      </w:r>
    </w:p>
    <w:p w14:paraId="355D9C7B" w14:textId="77777777" w:rsidR="00CF7A3C" w:rsidRPr="008924E0" w:rsidRDefault="00CF7A3C" w:rsidP="00CF7A3C">
      <w:pPr>
        <w:numPr>
          <w:ilvl w:val="0"/>
          <w:numId w:val="40"/>
        </w:numPr>
        <w:shd w:val="clear" w:color="auto" w:fill="FFFFFF"/>
        <w:spacing w:after="120" w:line="240" w:lineRule="auto"/>
        <w:rPr>
          <w:color w:val="000000"/>
          <w:lang w:val="bs-Latn-BA"/>
        </w:rPr>
      </w:pPr>
      <w:r w:rsidRPr="008924E0">
        <w:rPr>
          <w:color w:val="000000"/>
          <w:lang w:val="bs-Latn-BA"/>
        </w:rPr>
        <w:t>otvoreno 5.630 radnih mjesta sa punim radnim vremenom;</w:t>
      </w:r>
    </w:p>
    <w:p w14:paraId="6348ED7A" w14:textId="77777777" w:rsidR="00CF7A3C" w:rsidRPr="008924E0" w:rsidRDefault="00CF7A3C" w:rsidP="00CF7A3C">
      <w:pPr>
        <w:numPr>
          <w:ilvl w:val="0"/>
          <w:numId w:val="40"/>
        </w:numPr>
        <w:shd w:val="clear" w:color="auto" w:fill="FFFFFF"/>
        <w:spacing w:after="120" w:line="240" w:lineRule="auto"/>
        <w:rPr>
          <w:color w:val="000000"/>
          <w:lang w:val="bs-Latn-BA"/>
        </w:rPr>
      </w:pPr>
      <w:r w:rsidRPr="008924E0">
        <w:rPr>
          <w:color w:val="000000"/>
          <w:lang w:val="bs-Latn-BA"/>
        </w:rPr>
        <w:t>obučeno preko 2.500 osoba u oblasti održivog energetskog menadžmenta;</w:t>
      </w:r>
    </w:p>
    <w:p w14:paraId="7FCB5681" w14:textId="208AE6F6" w:rsidR="00CF7A3C" w:rsidRPr="008924E0" w:rsidRDefault="00CF7A3C" w:rsidP="00CF7A3C">
      <w:pPr>
        <w:numPr>
          <w:ilvl w:val="0"/>
          <w:numId w:val="40"/>
        </w:numPr>
        <w:shd w:val="clear" w:color="auto" w:fill="FFFFFF"/>
        <w:spacing w:after="120" w:line="240" w:lineRule="auto"/>
        <w:rPr>
          <w:color w:val="000000"/>
          <w:lang w:val="bs-Latn-BA"/>
        </w:rPr>
      </w:pPr>
      <w:r w:rsidRPr="008924E0">
        <w:rPr>
          <w:color w:val="000000"/>
          <w:lang w:val="bs-Latn-BA"/>
        </w:rPr>
        <w:t xml:space="preserve">smanjenje emisije stakleničkih </w:t>
      </w:r>
      <w:r w:rsidR="00F64EC0">
        <w:rPr>
          <w:color w:val="000000"/>
          <w:lang w:val="bs-Latn-BA"/>
        </w:rPr>
        <w:t>plinova</w:t>
      </w:r>
      <w:r w:rsidRPr="008924E0">
        <w:rPr>
          <w:color w:val="000000"/>
          <w:lang w:val="bs-Latn-BA"/>
        </w:rPr>
        <w:t xml:space="preserve"> za 2,02 miliona tona ekvivalenta </w:t>
      </w:r>
      <w:r w:rsidR="007D7A49">
        <w:rPr>
          <w:color w:val="000000"/>
          <w:lang w:val="bs-Latn-BA"/>
        </w:rPr>
        <w:t>ugljičnog dioksida</w:t>
      </w:r>
      <w:r w:rsidRPr="008924E0">
        <w:rPr>
          <w:color w:val="000000"/>
          <w:lang w:val="bs-Latn-BA"/>
        </w:rPr>
        <w:t>;</w:t>
      </w:r>
    </w:p>
    <w:p w14:paraId="36C2965D" w14:textId="5CA731FA" w:rsidR="00CF7A3C" w:rsidRPr="008924E0" w:rsidRDefault="00CF7A3C" w:rsidP="00CF7A3C">
      <w:pPr>
        <w:numPr>
          <w:ilvl w:val="0"/>
          <w:numId w:val="40"/>
        </w:numPr>
        <w:shd w:val="clear" w:color="auto" w:fill="FFFFFF"/>
        <w:spacing w:after="120" w:line="240" w:lineRule="auto"/>
        <w:rPr>
          <w:color w:val="000000"/>
          <w:lang w:val="bs-Latn-BA"/>
        </w:rPr>
      </w:pPr>
      <w:r w:rsidRPr="008924E0">
        <w:rPr>
          <w:color w:val="000000"/>
          <w:lang w:val="bs-Latn-BA"/>
        </w:rPr>
        <w:t xml:space="preserve">promjena ustaljenog modela </w:t>
      </w:r>
      <w:r w:rsidR="007B690C">
        <w:rPr>
          <w:color w:val="000000"/>
          <w:lang w:val="bs-Latn-BA"/>
        </w:rPr>
        <w:t>financ</w:t>
      </w:r>
      <w:r w:rsidRPr="008924E0">
        <w:rPr>
          <w:color w:val="000000"/>
          <w:lang w:val="bs-Latn-BA"/>
        </w:rPr>
        <w:t xml:space="preserve">iranja u sektoru javne gradnje prelaskom na model koji nije zasnovan na grantovima i diverzifikaciji izvora i instrumenata </w:t>
      </w:r>
      <w:r w:rsidR="007B690C">
        <w:rPr>
          <w:color w:val="000000"/>
          <w:lang w:val="bs-Latn-BA"/>
        </w:rPr>
        <w:t>financ</w:t>
      </w:r>
      <w:r w:rsidRPr="008924E0">
        <w:rPr>
          <w:color w:val="000000"/>
          <w:lang w:val="bs-Latn-BA"/>
        </w:rPr>
        <w:t>iranja.</w:t>
      </w:r>
    </w:p>
    <w:p w14:paraId="620F3F3B" w14:textId="77777777" w:rsidR="00CF7A3C" w:rsidRPr="008924E0" w:rsidRDefault="00CF7A3C" w:rsidP="00CF7A3C">
      <w:pPr>
        <w:rPr>
          <w:lang w:val="bs-Latn-BA"/>
        </w:rPr>
      </w:pPr>
      <w:r w:rsidRPr="008924E0">
        <w:rPr>
          <w:lang w:val="bs-Latn-BA"/>
        </w:rPr>
        <w:t>Osim toga, cilj URBAN LED projekta od 2018. godine je podsticanje ulaganja za transformacijski pomak ka niskougljičnom urbanom razvoju u BiH, čime se promoviraju sigurniji, čistiji i zdraviji gradovi i smanjuju urbane emisije GHG.</w:t>
      </w:r>
    </w:p>
    <w:p w14:paraId="7DF9A547" w14:textId="0C3EB898" w:rsidR="00CF7A3C" w:rsidRPr="008924E0" w:rsidRDefault="00CF7A3C" w:rsidP="00CF7A3C">
      <w:pPr>
        <w:rPr>
          <w:lang w:val="bs-Latn-BA"/>
        </w:rPr>
      </w:pPr>
      <w:r w:rsidRPr="008924E0">
        <w:rPr>
          <w:lang w:val="bs-Latn-BA"/>
        </w:rPr>
        <w:t>Primarni cilj UNDP-ovog projekta “Dekarbonizacija u stambenom sektoru BiH”</w:t>
      </w:r>
      <w:r w:rsidRPr="008924E0">
        <w:rPr>
          <w:vertAlign w:val="superscript"/>
          <w:lang w:val="bs-Latn-BA"/>
        </w:rPr>
        <w:footnoteReference w:id="88"/>
      </w:r>
      <w:r w:rsidRPr="008924E0">
        <w:rPr>
          <w:lang w:val="bs-Latn-BA"/>
        </w:rPr>
        <w:t xml:space="preserve"> koji je započeo u martu 2021. godine je izgradnja temelja za povećanje ulaganja u stambene zgrade. Direktni korisnici će biti porodice koje žive u stambenim zgradama u 37 gradova i općina širom BiH. Projekt će se fokusirati na provedbu aktivnosti u 37 općina koje su izradile ili su u procesu izrade Akcionih planova za održivu energiju i klimu (SECAP) ili Akcionih planova za održivu energiju (SEAP) i stoga su se </w:t>
      </w:r>
      <w:r w:rsidR="00F03625">
        <w:rPr>
          <w:lang w:val="bs-Latn-BA"/>
        </w:rPr>
        <w:t>obvez</w:t>
      </w:r>
      <w:r w:rsidRPr="008924E0">
        <w:rPr>
          <w:lang w:val="bs-Latn-BA"/>
        </w:rPr>
        <w:t>ali da će svoje napore usmjeriti, između ostalih prioriteta, smanjenju zagađenja zraka, poboljšanju energijske efikasnosti itd.</w:t>
      </w:r>
    </w:p>
    <w:p w14:paraId="6D4695BE" w14:textId="3BA6704F" w:rsidR="00CF7A3C" w:rsidRPr="008924E0" w:rsidRDefault="00CF7A3C" w:rsidP="00CF7A3C">
      <w:pPr>
        <w:rPr>
          <w:lang w:val="bs-Latn-BA"/>
        </w:rPr>
      </w:pPr>
      <w:r w:rsidRPr="008924E0">
        <w:rPr>
          <w:lang w:val="bs-Latn-BA"/>
        </w:rPr>
        <w:t xml:space="preserve">Projekat energijske efikasnosi u Bosni i Hercegovini (BEEP) zvanično je pokrenut 2016. godine, te su osigurana kreditna sredstva za </w:t>
      </w:r>
      <w:r w:rsidR="007B690C">
        <w:rPr>
          <w:lang w:val="bs-Latn-BA"/>
        </w:rPr>
        <w:t>financ</w:t>
      </w:r>
      <w:r w:rsidRPr="008924E0">
        <w:rPr>
          <w:lang w:val="bs-Latn-BA"/>
        </w:rPr>
        <w:t xml:space="preserve">iranje projekta od strane Međunarodne banke za obnovu i razvoj (International Bank for Reconstruction and Development - IBRD). Cilj razvoja projekta je pokazati prednosti poboljšanja EE u zgradama javnog sektora i podržati razvoj skalabilnih modela </w:t>
      </w:r>
      <w:r w:rsidR="007B690C">
        <w:rPr>
          <w:lang w:val="bs-Latn-BA"/>
        </w:rPr>
        <w:t>financ</w:t>
      </w:r>
      <w:r w:rsidRPr="008924E0">
        <w:rPr>
          <w:lang w:val="bs-Latn-BA"/>
        </w:rPr>
        <w:t xml:space="preserve">iranja EE. </w:t>
      </w:r>
    </w:p>
    <w:p w14:paraId="47EB8B17" w14:textId="77777777" w:rsidR="00CF7A3C" w:rsidRPr="008924E0" w:rsidRDefault="00CF7A3C" w:rsidP="00CF7A3C">
      <w:pPr>
        <w:rPr>
          <w:lang w:val="bs-Latn-BA"/>
        </w:rPr>
      </w:pPr>
      <w:r w:rsidRPr="008924E0">
        <w:rPr>
          <w:lang w:val="bs-Latn-BA"/>
        </w:rPr>
        <w:t>U okviru BEEP i Additional Financing for BEEP</w:t>
      </w:r>
      <w:r w:rsidRPr="008924E0">
        <w:rPr>
          <w:vertAlign w:val="superscript"/>
          <w:lang w:val="bs-Latn-BA"/>
        </w:rPr>
        <w:footnoteReference w:id="89"/>
      </w:r>
      <w:r w:rsidRPr="008924E0">
        <w:rPr>
          <w:lang w:val="bs-Latn-BA"/>
        </w:rPr>
        <w:t xml:space="preserve"> u periodu 2015. -2024. kroz ukupnu investiciju od 32,5 miliona EUR predviđena je obnova 95 javnih objekata. Do sada je obnovljeno 80 javnih zgrada ukupne površine veće od 246.000 m². Provođenjem aktivnosti u okviru BEEP projekta očekuje se smanjenje emisija CO</w:t>
      </w:r>
      <w:r w:rsidRPr="00DA1A46">
        <w:rPr>
          <w:vertAlign w:val="subscript"/>
          <w:lang w:val="bs-Latn-BA"/>
        </w:rPr>
        <w:t>2</w:t>
      </w:r>
      <w:r w:rsidRPr="008924E0">
        <w:rPr>
          <w:lang w:val="bs-Latn-BA"/>
        </w:rPr>
        <w:t xml:space="preserve"> od gotovo 9.000 tona godišnje, dok uštede energije na godišnjem nivou iznose 29.5 miliona kWh.</w:t>
      </w:r>
    </w:p>
    <w:p w14:paraId="3243CEF1" w14:textId="77777777" w:rsidR="00CF7A3C" w:rsidRPr="008924E0" w:rsidRDefault="00CF7A3C" w:rsidP="00CF7A3C">
      <w:pPr>
        <w:rPr>
          <w:lang w:val="bs-Latn-BA"/>
        </w:rPr>
      </w:pPr>
      <w:r w:rsidRPr="008924E0">
        <w:rPr>
          <w:lang w:val="bs-Latn-BA"/>
        </w:rPr>
        <w:t>Njemačko drušvo za međunarodnu saradnju – GIZ (Deutsche Gesellschaft für Internationale Zusammenarbeit GmbH) od 1995. godine djeluje u Bosni i Hercegovini u ime Saveznog ministarstva za ekonomsku saradnju i razvoj (BMZ). Dosadašnje inicijative su bile fokusirane na podršku općinama širom BiH za pripremu SEAP-a odnosno SECAP-a i pripremu povezanih događaja podizanja svijesti. Osim toga, pojedini gradovi su se pridružili inicijativi EU Covenant of Mayor, i ti gradovi provode povremene promotivne aktivnosti.</w:t>
      </w:r>
    </w:p>
    <w:p w14:paraId="6E66C85E" w14:textId="77777777" w:rsidR="00CF7A3C" w:rsidRPr="008924E0" w:rsidRDefault="00CF7A3C" w:rsidP="00CF7A3C">
      <w:pPr>
        <w:rPr>
          <w:lang w:val="bs-Latn-BA"/>
        </w:rPr>
      </w:pPr>
      <w:r w:rsidRPr="008924E0">
        <w:rPr>
          <w:lang w:val="bs-Latn-BA"/>
        </w:rPr>
        <w:t>U okviru regionalnog projekta Energijska efikasnost u općinskim udruženjima (EeMA), koji se realizira kroz Otvorene regionalne fondove za Jugoistočnu Europu – Energijska efikasnost (ORF-EE) i Modernizacija komunalnih usluga (ORF-MMS), GIZ je implementirao osam pilot projekata energijske efikasnosti širom BiH. Unapređenje EE provedeno je u općinama Bijeljina, Novi Grad, Gradiška, Ilidža, Zenica, Foča, Trebinje i Kreševo.</w:t>
      </w:r>
    </w:p>
    <w:p w14:paraId="7821AFA9" w14:textId="6E54474C" w:rsidR="00CF7A3C" w:rsidRPr="008924E0" w:rsidRDefault="00CF7A3C" w:rsidP="00CF7A3C">
      <w:pPr>
        <w:rPr>
          <w:lang w:val="bs-Latn-BA"/>
        </w:rPr>
      </w:pPr>
      <w:r w:rsidRPr="008924E0">
        <w:rPr>
          <w:lang w:val="bs-Latn-BA"/>
        </w:rPr>
        <w:lastRenderedPageBreak/>
        <w:t xml:space="preserve">Nadalje, GIZ-ov projekat „Dekarbonizacija energetskog sektora (DecES) u BiH“, </w:t>
      </w:r>
      <w:r w:rsidR="007B690C">
        <w:rPr>
          <w:lang w:val="bs-Latn-BA"/>
        </w:rPr>
        <w:t>financ</w:t>
      </w:r>
      <w:r w:rsidRPr="008924E0">
        <w:rPr>
          <w:lang w:val="bs-Latn-BA"/>
        </w:rPr>
        <w:t xml:space="preserve">ira njemačko Ministarstvo za ekonomsku saradnju i razvoj (BMZ). U saradnji sa MVTEO, projekat DecES pomaže BiH u domenu generalne promocije okvirnih uvjeta za dekarbonizaciju energetskog sektora, sa određenim fokusom na promociju EE i obnovljivih izvora energije, kao i ispunjavanje </w:t>
      </w:r>
      <w:r w:rsidR="00F03625">
        <w:rPr>
          <w:lang w:val="bs-Latn-BA"/>
        </w:rPr>
        <w:t>obvez</w:t>
      </w:r>
      <w:r w:rsidRPr="008924E0">
        <w:rPr>
          <w:lang w:val="bs-Latn-BA"/>
        </w:rPr>
        <w:t>a zemlje u okviru Ugovora o EnZ.  Dio projekta je i podprojekat „Razvoj programa podrške energijskoj efikasnosti u sektoru stambenih zgrada“, gdje DecES podržava razvoj osnovnih elemenata potrebnih za uspostavljanje EE programa za stambeni sektor.</w:t>
      </w:r>
    </w:p>
    <w:p w14:paraId="3F5CEDCA" w14:textId="0BCB1CD3" w:rsidR="00CF7A3C" w:rsidRPr="008924E0" w:rsidRDefault="00CF7A3C" w:rsidP="00CF7A3C">
      <w:pPr>
        <w:rPr>
          <w:lang w:val="bs-Latn-BA"/>
        </w:rPr>
      </w:pPr>
      <w:r w:rsidRPr="008924E0">
        <w:rPr>
          <w:lang w:val="bs-Latn-BA"/>
        </w:rPr>
        <w:t xml:space="preserve">USAID-ova energetska investiciona aktivnost pomogao dionicima u BiH da pripreme model šeme energijske efikasnosti (EEO) koji je prilagođen okolnostima u BiH i ustavnim </w:t>
      </w:r>
      <w:r w:rsidR="00646378">
        <w:rPr>
          <w:lang w:val="bs-Latn-BA"/>
        </w:rPr>
        <w:t>nadležnostima</w:t>
      </w:r>
      <w:r w:rsidR="00646378" w:rsidRPr="008924E0">
        <w:rPr>
          <w:lang w:val="bs-Latn-BA"/>
        </w:rPr>
        <w:t xml:space="preserve"> </w:t>
      </w:r>
      <w:r w:rsidRPr="008924E0">
        <w:rPr>
          <w:lang w:val="bs-Latn-BA"/>
        </w:rPr>
        <w:t xml:space="preserve">svih nivoa vlasti. Ova pomoć je obavljena preko EEO radne grupe, koju čine sva relevantna državna i entitetska ministarstva, institucije i regulatorne komisije. U tom smislu, najvažnije je </w:t>
      </w:r>
      <w:r w:rsidR="00AB786E">
        <w:rPr>
          <w:lang w:val="bs-Latn-BA"/>
        </w:rPr>
        <w:t>definirati</w:t>
      </w:r>
      <w:r w:rsidRPr="008924E0">
        <w:rPr>
          <w:lang w:val="bs-Latn-BA"/>
        </w:rPr>
        <w:t xml:space="preserve"> ispravne ciljeve politike, koji ocrtavaju šta mehanizam namjerava postići. Ciljevi politike definiraju ciljeve visokog nivoa EEO šema odnosno oni moraju biti jednostavni, jasni i fokusirani na postizanje ušteda energije, što je primarna svrha EEO šeme.</w:t>
      </w:r>
    </w:p>
    <w:p w14:paraId="6B1B40E9" w14:textId="0A1D79A3" w:rsidR="00CF7A3C" w:rsidRPr="008924E0" w:rsidRDefault="00CF7A3C" w:rsidP="00CF7A3C">
      <w:pPr>
        <w:rPr>
          <w:lang w:val="bs-Latn-BA"/>
        </w:rPr>
      </w:pPr>
      <w:r w:rsidRPr="008924E0">
        <w:rPr>
          <w:lang w:val="bs-Latn-BA"/>
        </w:rPr>
        <w:t xml:space="preserve">Osim toga, USAID-ova aktivnost energetske politike koja je pokrenuta u septembru 2019. pomaže BiH u koordinaciji, upravljanju i poboljšanju transparentnosti u sektoru </w:t>
      </w:r>
      <w:r w:rsidR="000934E2">
        <w:rPr>
          <w:lang w:val="bs-Latn-BA"/>
        </w:rPr>
        <w:t>plina</w:t>
      </w:r>
      <w:r w:rsidRPr="008924E0">
        <w:rPr>
          <w:lang w:val="bs-Latn-BA"/>
        </w:rPr>
        <w:t xml:space="preserve"> i električne energije uz pružanje ciljane tehničke pomoći za poboljšanje i pojednostavljenje okruženja energetske politike i pravnog okvira. Kroz ovaj projekat, USAID razvija i/ili preporučuje zakonodavne i druge mjere na svim nivoima vlasti kako bi osigurao da energetski sektor BiH bude usklađen sa zahtjevima EU. USAID također pomaže MVTEO BiH i relevantnim entitetskim ministarstvima u poboljšanju energetskih strategija i akcionih planova, uključujući izradu NECP-a.</w:t>
      </w:r>
    </w:p>
    <w:p w14:paraId="0F962561" w14:textId="72ED9003" w:rsidR="00CF7A3C" w:rsidRPr="008924E0" w:rsidRDefault="00CF7A3C" w:rsidP="00CF7A3C">
      <w:pPr>
        <w:rPr>
          <w:lang w:val="bs-Latn-BA"/>
        </w:rPr>
      </w:pPr>
      <w:r w:rsidRPr="008924E0">
        <w:rPr>
          <w:lang w:val="bs-Latn-BA"/>
        </w:rPr>
        <w:t xml:space="preserve">Važno je napomenuti da je svaki entitet u BiH osnovao Fond za zaštitu okoliša, koji se uglavnom </w:t>
      </w:r>
      <w:r w:rsidR="007B690C">
        <w:rPr>
          <w:lang w:val="bs-Latn-BA"/>
        </w:rPr>
        <w:t>financ</w:t>
      </w:r>
      <w:r w:rsidRPr="008924E0">
        <w:rPr>
          <w:lang w:val="bs-Latn-BA"/>
        </w:rPr>
        <w:t xml:space="preserve">ira iz novčanih kazni zagađivačima okoliša i može se koristiti za </w:t>
      </w:r>
      <w:r w:rsidR="007B690C">
        <w:rPr>
          <w:lang w:val="bs-Latn-BA"/>
        </w:rPr>
        <w:t>financ</w:t>
      </w:r>
      <w:r w:rsidRPr="008924E0">
        <w:rPr>
          <w:lang w:val="bs-Latn-BA"/>
        </w:rPr>
        <w:t>iranje projekata energijske efikasnosti. Fondovi, međutim, još uvijek ne nude programe za EE renoviranje stambenog sektora</w:t>
      </w:r>
      <w:r w:rsidR="00646378">
        <w:rPr>
          <w:lang w:val="bs-Latn-BA"/>
        </w:rPr>
        <w:t xml:space="preserve"> ali </w:t>
      </w:r>
      <w:r w:rsidRPr="008924E0">
        <w:rPr>
          <w:lang w:val="bs-Latn-BA"/>
        </w:rPr>
        <w:t xml:space="preserve">daju grant </w:t>
      </w:r>
      <w:r w:rsidR="00646378">
        <w:rPr>
          <w:lang w:val="bs-Latn-BA"/>
        </w:rPr>
        <w:t xml:space="preserve">za </w:t>
      </w:r>
      <w:r w:rsidRPr="008924E0">
        <w:rPr>
          <w:lang w:val="bs-Latn-BA"/>
        </w:rPr>
        <w:t>su</w:t>
      </w:r>
      <w:r w:rsidR="007B690C">
        <w:rPr>
          <w:lang w:val="bs-Latn-BA"/>
        </w:rPr>
        <w:t>financ</w:t>
      </w:r>
      <w:r w:rsidRPr="008924E0">
        <w:rPr>
          <w:lang w:val="bs-Latn-BA"/>
        </w:rPr>
        <w:t xml:space="preserve">iranje </w:t>
      </w:r>
      <w:r w:rsidR="00646378" w:rsidRPr="008924E0">
        <w:rPr>
          <w:lang w:val="bs-Latn-BA"/>
        </w:rPr>
        <w:t>energijsk</w:t>
      </w:r>
      <w:r w:rsidR="00646378">
        <w:rPr>
          <w:lang w:val="bs-Latn-BA"/>
        </w:rPr>
        <w:t>ih</w:t>
      </w:r>
      <w:r w:rsidR="00646378" w:rsidRPr="008924E0">
        <w:rPr>
          <w:lang w:val="bs-Latn-BA"/>
        </w:rPr>
        <w:t xml:space="preserve"> </w:t>
      </w:r>
      <w:r w:rsidRPr="008924E0">
        <w:rPr>
          <w:lang w:val="bs-Latn-BA"/>
        </w:rPr>
        <w:t>audit</w:t>
      </w:r>
      <w:r w:rsidR="00646378">
        <w:rPr>
          <w:lang w:val="bs-Latn-BA"/>
        </w:rPr>
        <w:t>a</w:t>
      </w:r>
      <w:r w:rsidRPr="008924E0">
        <w:rPr>
          <w:lang w:val="bs-Latn-BA"/>
        </w:rPr>
        <w:t xml:space="preserve"> </w:t>
      </w:r>
      <w:r w:rsidR="00646378">
        <w:rPr>
          <w:lang w:val="bs-Latn-BA"/>
        </w:rPr>
        <w:t>za</w:t>
      </w:r>
      <w:r w:rsidR="00646378" w:rsidRPr="008924E0">
        <w:rPr>
          <w:lang w:val="bs-Latn-BA"/>
        </w:rPr>
        <w:t xml:space="preserve"> </w:t>
      </w:r>
      <w:r w:rsidRPr="008924E0">
        <w:rPr>
          <w:lang w:val="bs-Latn-BA"/>
        </w:rPr>
        <w:t>zgrad</w:t>
      </w:r>
      <w:r w:rsidR="00646378">
        <w:rPr>
          <w:lang w:val="bs-Latn-BA"/>
        </w:rPr>
        <w:t>e</w:t>
      </w:r>
      <w:r w:rsidRPr="008924E0">
        <w:rPr>
          <w:lang w:val="bs-Latn-BA"/>
        </w:rPr>
        <w:t xml:space="preserve"> kolektivnog stanovanja. Na nivou FBiH, Fond za zaštitu okoliša uspostavio je Revolving fond za </w:t>
      </w:r>
      <w:r w:rsidR="007B690C">
        <w:rPr>
          <w:lang w:val="bs-Latn-BA"/>
        </w:rPr>
        <w:t>financ</w:t>
      </w:r>
      <w:r w:rsidRPr="008924E0">
        <w:rPr>
          <w:lang w:val="bs-Latn-BA"/>
        </w:rPr>
        <w:t>iranje projekata u oblasti EE i OIE</w:t>
      </w:r>
      <w:r w:rsidRPr="008924E0">
        <w:rPr>
          <w:vertAlign w:val="superscript"/>
          <w:lang w:val="bs-Latn-BA"/>
        </w:rPr>
        <w:footnoteReference w:id="90"/>
      </w:r>
      <w:r w:rsidRPr="008924E0">
        <w:rPr>
          <w:lang w:val="bs-Latn-BA"/>
        </w:rPr>
        <w:t>.</w:t>
      </w:r>
    </w:p>
    <w:p w14:paraId="0E24C219" w14:textId="320776CB" w:rsidR="00CF7A3C" w:rsidRPr="008924E0" w:rsidRDefault="00CF7A3C" w:rsidP="00CF7A3C">
      <w:pPr>
        <w:widowControl w:val="0"/>
        <w:rPr>
          <w:lang w:val="bs-Latn-BA"/>
        </w:rPr>
      </w:pPr>
      <w:r w:rsidRPr="008924E0">
        <w:rPr>
          <w:lang w:val="bs-Latn-BA"/>
        </w:rPr>
        <w:t xml:space="preserve">Projekat u oblasti energijske efikasnosti, </w:t>
      </w:r>
      <w:r w:rsidR="007B690C">
        <w:rPr>
          <w:lang w:val="bs-Latn-BA"/>
        </w:rPr>
        <w:t>financ</w:t>
      </w:r>
      <w:r w:rsidRPr="008924E0">
        <w:rPr>
          <w:lang w:val="bs-Latn-BA"/>
        </w:rPr>
        <w:t>iran od strane KfW-a</w:t>
      </w:r>
      <w:r w:rsidRPr="008924E0">
        <w:rPr>
          <w:vertAlign w:val="superscript"/>
          <w:lang w:val="bs-Latn-BA"/>
        </w:rPr>
        <w:footnoteReference w:id="91"/>
      </w:r>
      <w:r w:rsidRPr="008924E0">
        <w:rPr>
          <w:lang w:val="bs-Latn-BA"/>
        </w:rPr>
        <w:t xml:space="preserve"> putem granta u iznosu od 9,5 miliona EUR, a provodi se u Federaciji Bosne i Hercegovine u periodu od 2019. do 2023. godine. Projekat će promovirati EE i poboljšati javne usluge u školama i vrtićima (uključujući visokoškolske ustanove) ulaganjem u mjere EE. Opći razvojni cilj projekta je pridonijeti globalnoj klimi i lokalnoj zaštiti okoliša, te održivom ekonomskom razvoju u Bosni i Hercegovini. Dodatni cilj i korist od navedenog projekta je poboljšanje javnih usluga i smanjenje energetskog siromaštva. Sam projekat će se fokusirati na škole i vrtiće odnosno 15 javnih zgrada.</w:t>
      </w:r>
    </w:p>
    <w:p w14:paraId="3336F3FA" w14:textId="77777777" w:rsidR="00CF7A3C" w:rsidRPr="008924E0" w:rsidRDefault="00CF7A3C" w:rsidP="00CF7A3C">
      <w:pPr>
        <w:widowControl w:val="0"/>
        <w:rPr>
          <w:lang w:val="bs-Latn-BA"/>
        </w:rPr>
      </w:pPr>
      <w:r w:rsidRPr="008924E0">
        <w:rPr>
          <w:lang w:val="bs-Latn-BA"/>
        </w:rPr>
        <w:t>Nadalje, kroz projekat “Tekući transferi drugim razinama vlasti i fondovima - za projekt utopljavanja zgrada radi uštede energije“, provodi se program utroška sredstava s kriterijima raspodjele sredstava. U periodu 2011 – 2022. kroz investiciju od 6 miliona EUR, obnovljeno je 247 javnih zgrada.</w:t>
      </w:r>
    </w:p>
    <w:p w14:paraId="5E3A8ED1" w14:textId="702501FD" w:rsidR="00CF7A3C" w:rsidRPr="008924E0" w:rsidRDefault="00CF7A3C" w:rsidP="00CF7A3C">
      <w:pPr>
        <w:rPr>
          <w:lang w:val="bs-Latn-BA"/>
        </w:rPr>
      </w:pPr>
      <w:r w:rsidRPr="008924E0">
        <w:rPr>
          <w:lang w:val="bs-Latn-BA"/>
        </w:rPr>
        <w:t xml:space="preserve">Pravilnikom o raspodjeli sredstava uspostavljen je Revolving fond u Fondu za zaštitu okoliša FBiH za </w:t>
      </w:r>
      <w:r w:rsidR="007B690C">
        <w:rPr>
          <w:lang w:val="bs-Latn-BA"/>
        </w:rPr>
        <w:t>financ</w:t>
      </w:r>
      <w:r w:rsidRPr="008924E0">
        <w:rPr>
          <w:lang w:val="bs-Latn-BA"/>
        </w:rPr>
        <w:t xml:space="preserve">iranje EE projekata. Sredstva, u obliku zajmova iz Revolving fonda mogu </w:t>
      </w:r>
      <w:r w:rsidR="007B690C">
        <w:rPr>
          <w:lang w:val="bs-Latn-BA"/>
        </w:rPr>
        <w:t>financ</w:t>
      </w:r>
      <w:r w:rsidRPr="008924E0">
        <w:rPr>
          <w:lang w:val="bs-Latn-BA"/>
        </w:rPr>
        <w:t>irati projekte, programe i aktivnosti u svrhu ulaganja u poboljšanje EE u stambenim zgradama (između ostalog), što može uključivati ​​mjere koje se odnose na poboljšanje omotača zgrade, sistem grijanja, ventilacije i klimatizacije i sistem osvjetljenja.</w:t>
      </w:r>
    </w:p>
    <w:p w14:paraId="0785CF55" w14:textId="26DDDA6E" w:rsidR="00CF7A3C" w:rsidRPr="008924E0" w:rsidRDefault="00CF7A3C" w:rsidP="00CF7A3C">
      <w:pPr>
        <w:rPr>
          <w:lang w:val="bs-Latn-BA"/>
        </w:rPr>
      </w:pPr>
      <w:r w:rsidRPr="008924E0">
        <w:rPr>
          <w:lang w:val="bs-Latn-BA"/>
        </w:rPr>
        <w:lastRenderedPageBreak/>
        <w:t xml:space="preserve">Kantoni poput Kantona Sarajevo, Tuzlanskog kantona i  Zeničko – Dobojskog kantona u FBiH su ponudili </w:t>
      </w:r>
      <w:r w:rsidR="007B690C">
        <w:rPr>
          <w:lang w:val="bs-Latn-BA"/>
        </w:rPr>
        <w:t>financ</w:t>
      </w:r>
      <w:r w:rsidRPr="008924E0">
        <w:rPr>
          <w:lang w:val="bs-Latn-BA"/>
        </w:rPr>
        <w:t>ijsku podršku za EE obnovu stambenih zgrada u vidu grantova od 30 – 50% investicije. U Sarajevu je značajan broj zgrade kolektivnog stanovanja energijski obnovljene. Osim toga, nekoliko općina, uključujući i općinu Centar Sarajevo</w:t>
      </w:r>
      <w:r w:rsidRPr="008924E0">
        <w:rPr>
          <w:color w:val="000000"/>
          <w:vertAlign w:val="superscript"/>
          <w:lang w:val="bs-Latn-BA"/>
        </w:rPr>
        <w:footnoteReference w:id="92"/>
      </w:r>
      <w:r w:rsidRPr="008924E0">
        <w:rPr>
          <w:lang w:val="bs-Latn-BA"/>
        </w:rPr>
        <w:t xml:space="preserve"> također subvencioniraju kredite za obnovu stambenih zgrada.</w:t>
      </w:r>
    </w:p>
    <w:p w14:paraId="336F9678" w14:textId="77777777" w:rsidR="00CF7A3C" w:rsidRPr="008924E0" w:rsidRDefault="00CF7A3C" w:rsidP="00CF7A3C">
      <w:pPr>
        <w:rPr>
          <w:lang w:val="bs-Latn-BA"/>
        </w:rPr>
      </w:pPr>
      <w:r w:rsidRPr="008924E0">
        <w:rPr>
          <w:lang w:val="bs-Latn-BA"/>
        </w:rPr>
        <w:t>Cilj Modela poboljšanja energijske efikasnosti zgrada u Kantonu Sarajevo (EE Model) je sistemska podrška građanima u poboljšanju energijskih karakteristika stambenih zgrada, pod povoljnijim uvjetima. Smanjenje energije potrebne za grijanje stambenih zgrada rezultirat će smanjenjem zagađenja zraka i boljim komforom za korisnike. Model EE nastoji smanjiti potrošnju čvrstih goriva, posebno u urbanim sredinama i omogućiti održivo korištenje prirodnog plina za grijanje.</w:t>
      </w:r>
    </w:p>
    <w:p w14:paraId="5AEC41F9" w14:textId="77777777" w:rsidR="00CF7A3C" w:rsidRPr="008924E0" w:rsidRDefault="00CF7A3C" w:rsidP="00CF7A3C">
      <w:pPr>
        <w:rPr>
          <w:lang w:val="bs-Latn-BA"/>
        </w:rPr>
      </w:pPr>
      <w:r w:rsidRPr="008924E0">
        <w:rPr>
          <w:lang w:val="bs-Latn-BA"/>
        </w:rPr>
        <w:t>Osnovni princip na kojem se zasniva Model EE je otplata troškova EE ulaganja iz ostvarenih ušteda, što znači da za vlasnike zgrada u kojima se provode EE mjere nema povećanja troškova zbog ulaganja u mjere. Korisnici - aplikanti projekta Model EE su vlasnici kuća i stanova u kolektivnim zgradama sa područja općina Kantona Sarajevo, što obuhvata urbano područje i padinske dijelove Kantona Sarajevo. Prednosti za korisnike projekta su sljedeće:</w:t>
      </w:r>
    </w:p>
    <w:p w14:paraId="34ABD921" w14:textId="77777777" w:rsidR="00CF7A3C" w:rsidRPr="008924E0" w:rsidRDefault="00CF7A3C" w:rsidP="00CF7A3C">
      <w:pPr>
        <w:numPr>
          <w:ilvl w:val="0"/>
          <w:numId w:val="19"/>
        </w:numPr>
        <w:pBdr>
          <w:top w:val="nil"/>
          <w:left w:val="nil"/>
          <w:bottom w:val="nil"/>
          <w:right w:val="nil"/>
          <w:between w:val="nil"/>
        </w:pBdr>
        <w:spacing w:after="0" w:line="276" w:lineRule="auto"/>
        <w:ind w:left="720"/>
        <w:jc w:val="left"/>
        <w:rPr>
          <w:lang w:val="bs-Latn-BA"/>
        </w:rPr>
      </w:pPr>
      <w:r w:rsidRPr="008924E0">
        <w:rPr>
          <w:color w:val="000000"/>
          <w:lang w:val="bs-Latn-BA"/>
        </w:rPr>
        <w:t>Pokriveni troškovi energijskih audita i projektne dokumentacije za implementaciju mjera EE;</w:t>
      </w:r>
    </w:p>
    <w:p w14:paraId="3FB5A181" w14:textId="77777777" w:rsidR="00CF7A3C" w:rsidRPr="008924E0" w:rsidRDefault="00CF7A3C" w:rsidP="00CF7A3C">
      <w:pPr>
        <w:numPr>
          <w:ilvl w:val="0"/>
          <w:numId w:val="19"/>
        </w:numPr>
        <w:pBdr>
          <w:top w:val="nil"/>
          <w:left w:val="nil"/>
          <w:bottom w:val="nil"/>
          <w:right w:val="nil"/>
          <w:between w:val="nil"/>
        </w:pBdr>
        <w:spacing w:after="0" w:line="276" w:lineRule="auto"/>
        <w:ind w:left="720"/>
        <w:jc w:val="left"/>
        <w:rPr>
          <w:lang w:val="bs-Latn-BA"/>
        </w:rPr>
      </w:pPr>
      <w:r w:rsidRPr="008924E0">
        <w:rPr>
          <w:color w:val="000000"/>
          <w:lang w:val="bs-Latn-BA"/>
        </w:rPr>
        <w:t>Mogućnost korištenja namjenske kreditne linije kod banaka koje su partneri u implementaciji EE modela;</w:t>
      </w:r>
    </w:p>
    <w:p w14:paraId="36019586" w14:textId="77777777" w:rsidR="00CF7A3C" w:rsidRPr="008924E0" w:rsidRDefault="00CF7A3C" w:rsidP="00CF7A3C">
      <w:pPr>
        <w:numPr>
          <w:ilvl w:val="0"/>
          <w:numId w:val="19"/>
        </w:numPr>
        <w:pBdr>
          <w:top w:val="nil"/>
          <w:left w:val="nil"/>
          <w:bottom w:val="nil"/>
          <w:right w:val="nil"/>
          <w:between w:val="nil"/>
        </w:pBdr>
        <w:spacing w:after="0" w:line="276" w:lineRule="auto"/>
        <w:ind w:left="720"/>
        <w:jc w:val="left"/>
        <w:rPr>
          <w:lang w:val="bs-Latn-BA"/>
        </w:rPr>
      </w:pPr>
      <w:r w:rsidRPr="008924E0">
        <w:rPr>
          <w:color w:val="000000"/>
          <w:lang w:val="bs-Latn-BA"/>
        </w:rPr>
        <w:t>Subvencioniranje dijela kamatne stope za korisnike kojima su odobrena kreditna sredstva u okviru projekta;</w:t>
      </w:r>
    </w:p>
    <w:p w14:paraId="75D21057" w14:textId="40325C12" w:rsidR="00CF7A3C" w:rsidRPr="008924E0" w:rsidRDefault="00CF7A3C" w:rsidP="00CF7A3C">
      <w:pPr>
        <w:numPr>
          <w:ilvl w:val="0"/>
          <w:numId w:val="19"/>
        </w:numPr>
        <w:pBdr>
          <w:top w:val="nil"/>
          <w:left w:val="nil"/>
          <w:bottom w:val="nil"/>
          <w:right w:val="nil"/>
          <w:between w:val="nil"/>
        </w:pBdr>
        <w:spacing w:after="0" w:line="276" w:lineRule="auto"/>
        <w:ind w:left="720"/>
        <w:jc w:val="left"/>
        <w:rPr>
          <w:lang w:val="bs-Latn-BA"/>
        </w:rPr>
      </w:pPr>
      <w:r w:rsidRPr="008924E0">
        <w:rPr>
          <w:color w:val="000000"/>
          <w:lang w:val="bs-Latn-BA"/>
        </w:rPr>
        <w:t>Su</w:t>
      </w:r>
      <w:r w:rsidR="007B690C">
        <w:rPr>
          <w:color w:val="000000"/>
          <w:lang w:val="bs-Latn-BA"/>
        </w:rPr>
        <w:t>financ</w:t>
      </w:r>
      <w:r w:rsidRPr="008924E0">
        <w:rPr>
          <w:color w:val="000000"/>
          <w:lang w:val="bs-Latn-BA"/>
        </w:rPr>
        <w:t>iranje dijela troškova u iznosu do 45% za grijanje zgrada i druge mjere EE predviđene za predmetnu zgradu;</w:t>
      </w:r>
    </w:p>
    <w:p w14:paraId="16C9D192" w14:textId="77777777" w:rsidR="00CF7A3C" w:rsidRPr="008924E0" w:rsidRDefault="00CF7A3C" w:rsidP="00CF7A3C">
      <w:pPr>
        <w:numPr>
          <w:ilvl w:val="0"/>
          <w:numId w:val="19"/>
        </w:numPr>
        <w:pBdr>
          <w:top w:val="nil"/>
          <w:left w:val="nil"/>
          <w:bottom w:val="nil"/>
          <w:right w:val="nil"/>
          <w:between w:val="nil"/>
        </w:pBdr>
        <w:spacing w:after="200" w:line="276" w:lineRule="auto"/>
        <w:ind w:left="720"/>
        <w:jc w:val="left"/>
        <w:rPr>
          <w:lang w:val="bs-Latn-BA"/>
        </w:rPr>
      </w:pPr>
      <w:r w:rsidRPr="008924E0">
        <w:rPr>
          <w:color w:val="000000"/>
          <w:lang w:val="bs-Latn-BA"/>
        </w:rPr>
        <w:t>Pokrivaju se troškovi nadzora nad izvođenjem radova u cilju poboljšanja EE u zgradama.</w:t>
      </w:r>
    </w:p>
    <w:p w14:paraId="57797A2C" w14:textId="640E6AC6" w:rsidR="00CF7A3C" w:rsidRPr="008924E0" w:rsidRDefault="00CF7A3C" w:rsidP="00CF7A3C">
      <w:pPr>
        <w:rPr>
          <w:lang w:val="bs-Latn-BA"/>
        </w:rPr>
      </w:pPr>
      <w:r w:rsidRPr="008924E0">
        <w:rPr>
          <w:lang w:val="bs-Latn-BA"/>
        </w:rPr>
        <w:t xml:space="preserve">Model EE predviđa aktivnosti promocije i edukacije vlasnika kuća o prednostima primjene mjera EE u stambenim zgradama, prije svega uštede energije i poboljšanja kvaliteta zraka, ali i neke druge koje su u skladu sa opredjeljenjem EU i svijeta. Projekat se realizira kroz </w:t>
      </w:r>
      <w:r w:rsidR="00F03625">
        <w:rPr>
          <w:lang w:val="bs-Latn-BA"/>
        </w:rPr>
        <w:t>obvez</w:t>
      </w:r>
      <w:r w:rsidRPr="008924E0">
        <w:rPr>
          <w:lang w:val="bs-Latn-BA"/>
        </w:rPr>
        <w:t>ujuće faze i to:</w:t>
      </w:r>
    </w:p>
    <w:p w14:paraId="6A50C34C" w14:textId="77777777" w:rsidR="00CF7A3C" w:rsidRPr="008924E0" w:rsidRDefault="00CF7A3C" w:rsidP="00CF7A3C">
      <w:pPr>
        <w:numPr>
          <w:ilvl w:val="0"/>
          <w:numId w:val="17"/>
        </w:numPr>
        <w:pBdr>
          <w:top w:val="nil"/>
          <w:left w:val="nil"/>
          <w:bottom w:val="nil"/>
          <w:right w:val="nil"/>
          <w:between w:val="nil"/>
        </w:pBdr>
        <w:spacing w:after="0" w:line="276" w:lineRule="auto"/>
        <w:ind w:left="810" w:hanging="450"/>
        <w:jc w:val="left"/>
        <w:rPr>
          <w:lang w:val="bs-Latn-BA"/>
        </w:rPr>
      </w:pPr>
      <w:r w:rsidRPr="008924E0">
        <w:rPr>
          <w:color w:val="000000"/>
          <w:lang w:val="bs-Latn-BA"/>
        </w:rPr>
        <w:t>Faza 1 obuhvata provođenje energijskog audita objekta, izradu ekonomski opravdanih mjera i investiciono tehničke dokumentacije u skladu sa važećim propisima;</w:t>
      </w:r>
    </w:p>
    <w:p w14:paraId="3761283B" w14:textId="77777777" w:rsidR="00CF7A3C" w:rsidRPr="008924E0" w:rsidRDefault="00CF7A3C" w:rsidP="00CF7A3C">
      <w:pPr>
        <w:numPr>
          <w:ilvl w:val="0"/>
          <w:numId w:val="17"/>
        </w:numPr>
        <w:pBdr>
          <w:top w:val="nil"/>
          <w:left w:val="nil"/>
          <w:bottom w:val="nil"/>
          <w:right w:val="nil"/>
          <w:between w:val="nil"/>
        </w:pBdr>
        <w:spacing w:after="200" w:line="276" w:lineRule="auto"/>
        <w:ind w:left="810" w:hanging="450"/>
        <w:jc w:val="left"/>
        <w:rPr>
          <w:lang w:val="bs-Latn-BA"/>
        </w:rPr>
      </w:pPr>
      <w:r w:rsidRPr="008924E0">
        <w:rPr>
          <w:color w:val="000000"/>
          <w:lang w:val="bs-Latn-BA"/>
        </w:rPr>
        <w:t>Faza 2 obuhvata izvođenje građevinsko – zanatskih radova na utopljavanju objekata u cilju uštede energije.</w:t>
      </w:r>
    </w:p>
    <w:p w14:paraId="25512F4F" w14:textId="77777777" w:rsidR="00CF7A3C" w:rsidRPr="008924E0" w:rsidRDefault="00CF7A3C" w:rsidP="00CF7A3C">
      <w:pPr>
        <w:rPr>
          <w:lang w:val="bs-Latn-BA"/>
        </w:rPr>
      </w:pPr>
      <w:r w:rsidRPr="008924E0">
        <w:rPr>
          <w:lang w:val="bs-Latn-BA"/>
        </w:rPr>
        <w:t>Tehničku podršku implementaciji projekta pruža Sarajevska regionalna razvojna agencija (Sarajevo Economic Region Development Agency - SERDA) u okviru Ureda za energetsku efikasnost</w:t>
      </w:r>
      <w:r w:rsidRPr="008924E0">
        <w:rPr>
          <w:color w:val="000000"/>
          <w:vertAlign w:val="superscript"/>
          <w:lang w:val="bs-Latn-BA"/>
        </w:rPr>
        <w:footnoteReference w:id="93"/>
      </w:r>
      <w:r w:rsidRPr="008924E0">
        <w:rPr>
          <w:lang w:val="bs-Latn-BA"/>
        </w:rPr>
        <w:t>.</w:t>
      </w:r>
    </w:p>
    <w:p w14:paraId="3690B54E" w14:textId="62E71626" w:rsidR="00CF7A3C" w:rsidRPr="008924E0" w:rsidRDefault="00CF7A3C" w:rsidP="00CF7A3C">
      <w:pPr>
        <w:rPr>
          <w:lang w:val="bs-Latn-BA"/>
        </w:rPr>
      </w:pPr>
      <w:r w:rsidRPr="008924E0">
        <w:rPr>
          <w:lang w:val="bs-Latn-BA"/>
        </w:rPr>
        <w:t xml:space="preserve">Među međunarodnim </w:t>
      </w:r>
      <w:r w:rsidR="007B690C">
        <w:rPr>
          <w:lang w:val="bs-Latn-BA"/>
        </w:rPr>
        <w:t>financ</w:t>
      </w:r>
      <w:r w:rsidRPr="008924E0">
        <w:rPr>
          <w:lang w:val="bs-Latn-BA"/>
        </w:rPr>
        <w:t xml:space="preserve">ijskim institucijama koje su aktivne u </w:t>
      </w:r>
      <w:r w:rsidR="007B690C">
        <w:rPr>
          <w:lang w:val="bs-Latn-BA"/>
        </w:rPr>
        <w:t>financ</w:t>
      </w:r>
      <w:r w:rsidRPr="008924E0">
        <w:rPr>
          <w:lang w:val="bs-Latn-BA"/>
        </w:rPr>
        <w:t>iranju kreditnih linija preko komercijalnih banaka u FBiH za renoviranje i mjere EE u stambenom sektoru (zgradam</w:t>
      </w:r>
      <w:r w:rsidR="003D639E">
        <w:rPr>
          <w:lang w:val="bs-Latn-BA"/>
        </w:rPr>
        <w:t>a</w:t>
      </w:r>
      <w:r w:rsidRPr="008924E0">
        <w:rPr>
          <w:lang w:val="bs-Latn-BA"/>
        </w:rPr>
        <w:t xml:space="preserve"> kolektivnog </w:t>
      </w:r>
      <w:r w:rsidRPr="008924E0">
        <w:rPr>
          <w:lang w:val="bs-Latn-BA"/>
        </w:rPr>
        <w:lastRenderedPageBreak/>
        <w:t>stanovanja) su EBRD preko GEFF</w:t>
      </w:r>
      <w:r w:rsidRPr="008924E0">
        <w:rPr>
          <w:color w:val="000000"/>
          <w:vertAlign w:val="superscript"/>
          <w:lang w:val="bs-Latn-BA"/>
        </w:rPr>
        <w:footnoteReference w:id="94"/>
      </w:r>
      <w:r w:rsidRPr="008924E0">
        <w:rPr>
          <w:lang w:val="bs-Latn-BA"/>
        </w:rPr>
        <w:t>, KfW</w:t>
      </w:r>
      <w:r w:rsidRPr="008924E0">
        <w:rPr>
          <w:color w:val="000000"/>
          <w:vertAlign w:val="superscript"/>
          <w:lang w:val="bs-Latn-BA"/>
        </w:rPr>
        <w:footnoteReference w:id="95"/>
      </w:r>
      <w:r w:rsidRPr="008924E0">
        <w:rPr>
          <w:lang w:val="bs-Latn-BA"/>
        </w:rPr>
        <w:t xml:space="preserve"> i GGF</w:t>
      </w:r>
      <w:r w:rsidRPr="008924E0">
        <w:rPr>
          <w:color w:val="000000"/>
          <w:vertAlign w:val="superscript"/>
          <w:lang w:val="bs-Latn-BA"/>
        </w:rPr>
        <w:footnoteReference w:id="96"/>
      </w:r>
      <w:r w:rsidRPr="008924E0">
        <w:rPr>
          <w:lang w:val="bs-Latn-BA"/>
        </w:rPr>
        <w:t>. Neki međunarodni donatori, uključujući UNDP, GIZ i USAID, obezbijedili su ograničeno su</w:t>
      </w:r>
      <w:r w:rsidR="007B690C">
        <w:rPr>
          <w:lang w:val="bs-Latn-BA"/>
        </w:rPr>
        <w:t>financ</w:t>
      </w:r>
      <w:r w:rsidRPr="008924E0">
        <w:rPr>
          <w:lang w:val="bs-Latn-BA"/>
        </w:rPr>
        <w:t>iranje za mjere EE za stanovanje.</w:t>
      </w:r>
    </w:p>
    <w:p w14:paraId="68882F60" w14:textId="77777777" w:rsidR="00CF7A3C" w:rsidRPr="008924E0" w:rsidRDefault="00CF7A3C" w:rsidP="00CF7A3C">
      <w:pPr>
        <w:rPr>
          <w:lang w:val="bs-Latn-BA"/>
        </w:rPr>
      </w:pPr>
      <w:r w:rsidRPr="008924E0">
        <w:rPr>
          <w:lang w:val="bs-Latn-BA"/>
        </w:rPr>
        <w:t>USAID je zajedno sa švicarskim Caritasom osiguravao djelimične grantove za EE renoviranje porodičnih kuća što je izazvalo veliko interesovanje vlasnika, i rezultiralo velikim brojem prijava.</w:t>
      </w:r>
    </w:p>
    <w:p w14:paraId="4B8E5F00" w14:textId="77777777" w:rsidR="00CF7A3C" w:rsidRPr="008924E0" w:rsidRDefault="00CF7A3C" w:rsidP="00CF7A3C">
      <w:pPr>
        <w:rPr>
          <w:lang w:val="bs-Latn-BA"/>
        </w:rPr>
      </w:pPr>
      <w:r w:rsidRPr="008924E0">
        <w:rPr>
          <w:lang w:val="bs-Latn-BA"/>
        </w:rPr>
        <w:t>Projekat Habitat for Humanity REELIH (Rezidencijalna EE za domaćinstva sa niskim primanjima) ima relevantno iskustvo za kreditiranje EE u zgradama kolektivnog stanovanja. Habitat for Humanity je ponudio zajmove za poboljšanje EE sa kamatnom stopom od 3%. Projekat je planirao da realizira 10 projekata fasadne izolacije za zgrade kolektivnog stanovanja, uz besplatnu tehničku pomoć za izradu sve administrativno-tehničke dokumentacije, a potom i subvenciju od 70% troškova investicije – dakle vlasnicima stanova bilo je potrebno da uzmu kredit za samo 30% vrijednosti investicije. Do 2017. godine samo četiri zgrade (49 stambenih jedinica, 133 stanara) su obnovljene. Projekat je pozvao 700 zgrada u Tuzlanskom kantonu da se prijave za program – a pristiglo je samo 19 prijava. Ovaj rezultat pokazuje poteškoće u provođenju EE obnove stambenih zgrada u FBiH. Identificirani razlozi za to su:</w:t>
      </w:r>
    </w:p>
    <w:p w14:paraId="2FDF56C5" w14:textId="77777777" w:rsidR="00CF7A3C" w:rsidRPr="008924E0" w:rsidRDefault="00CF7A3C" w:rsidP="00CF7A3C">
      <w:pPr>
        <w:numPr>
          <w:ilvl w:val="0"/>
          <w:numId w:val="41"/>
        </w:numPr>
        <w:pBdr>
          <w:top w:val="nil"/>
          <w:left w:val="nil"/>
          <w:bottom w:val="nil"/>
          <w:right w:val="nil"/>
          <w:between w:val="nil"/>
        </w:pBdr>
        <w:spacing w:after="120" w:line="240" w:lineRule="auto"/>
        <w:ind w:left="720"/>
        <w:jc w:val="left"/>
        <w:rPr>
          <w:lang w:val="bs-Latn-BA"/>
        </w:rPr>
      </w:pPr>
      <w:r w:rsidRPr="008924E0">
        <w:rPr>
          <w:color w:val="000000"/>
          <w:lang w:val="bs-Latn-BA"/>
        </w:rPr>
        <w:t>za donošenje odluka o ulaganju u mnoge zgrade kolektivnog stanovanja (ovisno o kantonu) potrebno je 100% glasova;</w:t>
      </w:r>
    </w:p>
    <w:p w14:paraId="2610A041" w14:textId="77777777" w:rsidR="00CF7A3C" w:rsidRPr="008924E0" w:rsidRDefault="00CF7A3C" w:rsidP="00CF7A3C">
      <w:pPr>
        <w:numPr>
          <w:ilvl w:val="0"/>
          <w:numId w:val="41"/>
        </w:numPr>
        <w:pBdr>
          <w:top w:val="nil"/>
          <w:left w:val="nil"/>
          <w:bottom w:val="nil"/>
          <w:right w:val="nil"/>
          <w:between w:val="nil"/>
        </w:pBdr>
        <w:spacing w:after="120" w:line="240" w:lineRule="auto"/>
        <w:ind w:left="720"/>
        <w:jc w:val="left"/>
        <w:rPr>
          <w:lang w:val="bs-Latn-BA"/>
        </w:rPr>
      </w:pPr>
      <w:r w:rsidRPr="008924E0">
        <w:rPr>
          <w:color w:val="000000"/>
          <w:lang w:val="bs-Latn-BA"/>
        </w:rPr>
        <w:t>zbog siromaštva obično ima najmanje 10% vlasnika kuća u svakoj zgradi koji ne mogu priuštiti dodatne troškove za EE renoviranje;</w:t>
      </w:r>
    </w:p>
    <w:p w14:paraId="66E0AB89" w14:textId="77777777" w:rsidR="00CF7A3C" w:rsidRPr="008924E0" w:rsidRDefault="00CF7A3C" w:rsidP="00CF7A3C">
      <w:pPr>
        <w:numPr>
          <w:ilvl w:val="0"/>
          <w:numId w:val="41"/>
        </w:numPr>
        <w:pBdr>
          <w:top w:val="nil"/>
          <w:left w:val="nil"/>
          <w:bottom w:val="nil"/>
          <w:right w:val="nil"/>
          <w:between w:val="nil"/>
        </w:pBdr>
        <w:spacing w:after="120" w:line="240" w:lineRule="auto"/>
        <w:ind w:left="720"/>
        <w:jc w:val="left"/>
        <w:rPr>
          <w:lang w:val="bs-Latn-BA"/>
        </w:rPr>
      </w:pPr>
      <w:r w:rsidRPr="008924E0">
        <w:rPr>
          <w:color w:val="000000"/>
          <w:lang w:val="bs-Latn-BA"/>
        </w:rPr>
        <w:t>gotovo uvijek postoji barem jedan vlasnik u svakoj zgradi koji je protiv, a onda se često vrlo glasno protivi i blokira ideju EE projekta.</w:t>
      </w:r>
    </w:p>
    <w:p w14:paraId="5421A360" w14:textId="5ECA7ECA" w:rsidR="00CF7A3C" w:rsidRPr="008924E0" w:rsidRDefault="00CF7A3C" w:rsidP="00CF7A3C">
      <w:pPr>
        <w:rPr>
          <w:lang w:val="bs-Latn-BA"/>
        </w:rPr>
      </w:pPr>
      <w:r w:rsidRPr="008924E0">
        <w:rPr>
          <w:lang w:val="bs-Latn-BA"/>
        </w:rPr>
        <w:t>Green Economy Financing Facility in Western Balkans - GEFF</w:t>
      </w:r>
      <w:r w:rsidRPr="008924E0">
        <w:rPr>
          <w:vertAlign w:val="superscript"/>
          <w:lang w:val="bs-Latn-BA"/>
        </w:rPr>
        <w:footnoteReference w:id="97"/>
      </w:r>
      <w:r w:rsidRPr="008924E0">
        <w:rPr>
          <w:lang w:val="bs-Latn-BA"/>
        </w:rPr>
        <w:t xml:space="preserve"> je EBRD-ov projekat energijske efikasnosti stambenih objekata na Zapadnom Balkanu, koji u BiH obezbjeđuje </w:t>
      </w:r>
      <w:r w:rsidR="007B690C">
        <w:rPr>
          <w:lang w:val="bs-Latn-BA"/>
        </w:rPr>
        <w:t>financ</w:t>
      </w:r>
      <w:r w:rsidRPr="008924E0">
        <w:rPr>
          <w:lang w:val="bs-Latn-BA"/>
        </w:rPr>
        <w:t xml:space="preserve">iranje u stambenom sektoru kao i preduzećima koja domaćinstvima pružaju proizvode i usluge vezano za EE i obnovljive izvore energije. Ukupan obim kreditne linije namijenjene BiH je 22 miliona EUR. GEFF pruža kredite korisnicima preko lokalnih </w:t>
      </w:r>
      <w:r w:rsidR="007B690C">
        <w:rPr>
          <w:lang w:val="bs-Latn-BA"/>
        </w:rPr>
        <w:t>financ</w:t>
      </w:r>
      <w:r w:rsidRPr="008924E0">
        <w:rPr>
          <w:lang w:val="bs-Latn-BA"/>
        </w:rPr>
        <w:t>ijskih institucija: Partner MKF, UniCredit banka Mostar, UniCredit banka Banja Luka, Intesa Sanpaolo banka, Sparkasse Bank BiH, ProCredit banka BiH i Mikrofin.</w:t>
      </w:r>
    </w:p>
    <w:p w14:paraId="29857657" w14:textId="50CC5151" w:rsidR="00CF7A3C" w:rsidRPr="008924E0" w:rsidRDefault="00CF7A3C" w:rsidP="00CF7A3C">
      <w:pPr>
        <w:rPr>
          <w:lang w:val="bs-Latn-BA"/>
        </w:rPr>
      </w:pPr>
      <w:r w:rsidRPr="008924E0">
        <w:rPr>
          <w:lang w:val="bs-Latn-BA"/>
        </w:rPr>
        <w:t xml:space="preserve">Raiffeisen banka d.d. BiH, uz podršku KfW razvojne banke, uvela je novu kreditnu liniju za </w:t>
      </w:r>
      <w:r w:rsidR="007B690C">
        <w:rPr>
          <w:lang w:val="bs-Latn-BA"/>
        </w:rPr>
        <w:t>financ</w:t>
      </w:r>
      <w:r w:rsidRPr="008924E0">
        <w:rPr>
          <w:lang w:val="bs-Latn-BA"/>
        </w:rPr>
        <w:t>iranje investicija u EE i projekte koji ostvaruju uštede energije. Minimalna ušteda energije na sredstvima koja su predmet kredita treba iznositi 20% ili više</w:t>
      </w:r>
      <w:r w:rsidRPr="008924E0">
        <w:rPr>
          <w:color w:val="000000"/>
          <w:vertAlign w:val="superscript"/>
          <w:lang w:val="bs-Latn-BA"/>
        </w:rPr>
        <w:footnoteReference w:id="98"/>
      </w:r>
      <w:r w:rsidRPr="008924E0">
        <w:rPr>
          <w:lang w:val="bs-Latn-BA"/>
        </w:rPr>
        <w:t>, a aplikanti mogu dobiti grant do 20%. Za stambeni kredit (kupovina postojeće stambene jedinice sa energijskim certifikatom i namjenski krediti za adaptaciju/rekonstrukciju stambene jedinice) podržavaju se:</w:t>
      </w:r>
    </w:p>
    <w:p w14:paraId="0019A0A1" w14:textId="77777777" w:rsidR="00CF7A3C" w:rsidRPr="008924E0" w:rsidRDefault="00CF7A3C" w:rsidP="00CF7A3C">
      <w:pPr>
        <w:numPr>
          <w:ilvl w:val="0"/>
          <w:numId w:val="20"/>
        </w:numPr>
        <w:pBdr>
          <w:top w:val="nil"/>
          <w:left w:val="nil"/>
          <w:bottom w:val="nil"/>
          <w:right w:val="nil"/>
          <w:between w:val="nil"/>
        </w:pBdr>
        <w:spacing w:after="0" w:line="276" w:lineRule="auto"/>
        <w:jc w:val="left"/>
        <w:rPr>
          <w:lang w:val="bs-Latn-BA"/>
        </w:rPr>
      </w:pPr>
      <w:r w:rsidRPr="008924E0">
        <w:rPr>
          <w:color w:val="000000"/>
          <w:lang w:val="bs-Latn-BA"/>
        </w:rPr>
        <w:t>Kupovina postojeće stambene jedinice sa energijskim certifikatom kojim se potvrđuje da je nivo EE zgrade 20% bolji od zakonski definiranog minimuma. Stepen efikasnosti stambene jedinice utvrđuje se provjerom podataka iz energijskog certifikata;</w:t>
      </w:r>
    </w:p>
    <w:p w14:paraId="7233FCBA" w14:textId="77777777" w:rsidR="00CF7A3C" w:rsidRPr="008924E0" w:rsidRDefault="00CF7A3C" w:rsidP="00CF7A3C">
      <w:pPr>
        <w:numPr>
          <w:ilvl w:val="0"/>
          <w:numId w:val="20"/>
        </w:numPr>
        <w:pBdr>
          <w:top w:val="nil"/>
          <w:left w:val="nil"/>
          <w:bottom w:val="nil"/>
          <w:right w:val="nil"/>
          <w:between w:val="nil"/>
        </w:pBdr>
        <w:spacing w:after="0" w:line="276" w:lineRule="auto"/>
        <w:jc w:val="left"/>
        <w:rPr>
          <w:lang w:val="bs-Latn-BA"/>
        </w:rPr>
      </w:pPr>
      <w:r w:rsidRPr="008924E0">
        <w:rPr>
          <w:color w:val="000000"/>
          <w:lang w:val="bs-Latn-BA"/>
        </w:rPr>
        <w:t>Rekonstrukcija i adaptacija stambene zgrade;</w:t>
      </w:r>
    </w:p>
    <w:p w14:paraId="4F736D46" w14:textId="77777777" w:rsidR="00CF7A3C" w:rsidRPr="00E04EF4" w:rsidRDefault="00CF7A3C" w:rsidP="00CF7A3C">
      <w:pPr>
        <w:numPr>
          <w:ilvl w:val="0"/>
          <w:numId w:val="20"/>
        </w:numPr>
        <w:pBdr>
          <w:top w:val="nil"/>
          <w:left w:val="nil"/>
          <w:bottom w:val="nil"/>
          <w:right w:val="nil"/>
          <w:between w:val="nil"/>
        </w:pBdr>
        <w:spacing w:after="120" w:line="276" w:lineRule="auto"/>
        <w:jc w:val="left"/>
        <w:rPr>
          <w:lang w:val="bs-Latn-BA"/>
        </w:rPr>
      </w:pPr>
      <w:r w:rsidRPr="008924E0">
        <w:rPr>
          <w:color w:val="000000"/>
          <w:lang w:val="bs-Latn-BA"/>
        </w:rPr>
        <w:t>Kupovina kućnih aparata sa oznakom EU klase A+.</w:t>
      </w:r>
    </w:p>
    <w:p w14:paraId="5EB00124" w14:textId="77777777" w:rsidR="00E04EF4" w:rsidRPr="008924E0" w:rsidRDefault="00E04EF4" w:rsidP="00E04EF4">
      <w:pPr>
        <w:pBdr>
          <w:top w:val="nil"/>
          <w:left w:val="nil"/>
          <w:bottom w:val="nil"/>
          <w:right w:val="nil"/>
          <w:between w:val="nil"/>
        </w:pBdr>
        <w:spacing w:after="120" w:line="276" w:lineRule="auto"/>
        <w:ind w:left="720"/>
        <w:jc w:val="left"/>
        <w:rPr>
          <w:lang w:val="bs-Latn-BA"/>
        </w:rPr>
      </w:pPr>
    </w:p>
    <w:p w14:paraId="1A33E7BB" w14:textId="77777777" w:rsidR="00CF7A3C" w:rsidRPr="008924E0" w:rsidRDefault="00CF7A3C" w:rsidP="00581C1C">
      <w:pPr>
        <w:pStyle w:val="Heading3"/>
        <w:numPr>
          <w:ilvl w:val="2"/>
          <w:numId w:val="54"/>
        </w:numPr>
      </w:pPr>
      <w:bookmarkStart w:id="188" w:name="_Toc134011812"/>
      <w:r w:rsidRPr="008924E0">
        <w:lastRenderedPageBreak/>
        <w:t>Zgrade organa uprave i javne zgrade</w:t>
      </w:r>
      <w:bookmarkEnd w:id="188"/>
    </w:p>
    <w:p w14:paraId="544DA77B" w14:textId="4CB6A84E" w:rsidR="00CF7A3C" w:rsidRPr="008924E0" w:rsidRDefault="00CF7A3C" w:rsidP="00CF7A3C">
      <w:pPr>
        <w:spacing w:after="120" w:line="276" w:lineRule="auto"/>
        <w:rPr>
          <w:lang w:val="bs-Latn-BA"/>
        </w:rPr>
      </w:pPr>
      <w:r w:rsidRPr="008924E0">
        <w:rPr>
          <w:lang w:val="bs-Latn-BA"/>
        </w:rPr>
        <w:t>U okviru člana 5. Direktive 2012/27/EU o energijskoj efikasnosti koji se odnosi na obnovu zgrada organa uprave i javne zgrade na nivou 3% godišnje od ukupne grijane/hlađene površine zgrada sa površinom većom od 250</w:t>
      </w:r>
      <w:r w:rsidR="00646378">
        <w:rPr>
          <w:lang w:val="bs-Latn-BA"/>
        </w:rPr>
        <w:t xml:space="preserve"> </w:t>
      </w:r>
      <w:r w:rsidRPr="008924E0">
        <w:rPr>
          <w:lang w:val="bs-Latn-BA"/>
        </w:rPr>
        <w:t>m</w:t>
      </w:r>
      <w:r w:rsidRPr="008924E0">
        <w:rPr>
          <w:vertAlign w:val="superscript"/>
          <w:lang w:val="bs-Latn-BA"/>
        </w:rPr>
        <w:t>2</w:t>
      </w:r>
      <w:r w:rsidRPr="008924E0">
        <w:rPr>
          <w:lang w:val="bs-Latn-BA"/>
        </w:rPr>
        <w:t xml:space="preserve">, a skladu sa Odlukom Ministarskog vijeća EnZ 2015/08/MV-EZ, predviđena je </w:t>
      </w:r>
      <w:r w:rsidR="00F03625">
        <w:rPr>
          <w:lang w:val="bs-Latn-BA"/>
        </w:rPr>
        <w:t>obvez</w:t>
      </w:r>
      <w:r w:rsidRPr="008924E0">
        <w:rPr>
          <w:lang w:val="bs-Latn-BA"/>
        </w:rPr>
        <w:t xml:space="preserve">a potpisnica Ugovora o EnZ da počevši od 1. decembra 2017. godine na godišnjem nivou energetski obnove (unaprijede energijsku efikasnost) 1% ukupne grijane/hlađene površine zgrada koje su u vlasništvu države, javnih zgrada i zgrada koje koriste organi iavne uprave, tako da te zgrade dostignu najmanje energijska svojstva definirana u skladu članom 4. Direktive 2010/31/EU. </w:t>
      </w:r>
      <w:r w:rsidR="00F03625">
        <w:rPr>
          <w:lang w:val="bs-Latn-BA"/>
        </w:rPr>
        <w:t>Obvez</w:t>
      </w:r>
      <w:r w:rsidRPr="008924E0">
        <w:rPr>
          <w:lang w:val="bs-Latn-BA"/>
        </w:rPr>
        <w:t>a potpisnica Ugovora o EnZ je i da do 1. januara 2017. godine uspostave i učine javno dostupnim spisak grijanih/hlađenih zgrada sa korisnom površinom većom od 500 m</w:t>
      </w:r>
      <w:r w:rsidRPr="008924E0">
        <w:rPr>
          <w:vertAlign w:val="superscript"/>
          <w:lang w:val="bs-Latn-BA"/>
        </w:rPr>
        <w:t>2</w:t>
      </w:r>
      <w:r w:rsidRPr="008924E0">
        <w:rPr>
          <w:lang w:val="bs-Latn-BA"/>
        </w:rPr>
        <w:t xml:space="preserve"> a od 2019. godine sa površinom većom od 250</w:t>
      </w:r>
      <w:r w:rsidR="00646378">
        <w:rPr>
          <w:lang w:val="bs-Latn-BA"/>
        </w:rPr>
        <w:t xml:space="preserve"> </w:t>
      </w:r>
      <w:r w:rsidRPr="008924E0">
        <w:rPr>
          <w:lang w:val="bs-Latn-BA"/>
        </w:rPr>
        <w:t>m</w:t>
      </w:r>
      <w:r w:rsidRPr="008924E0">
        <w:rPr>
          <w:vertAlign w:val="superscript"/>
          <w:lang w:val="bs-Latn-BA"/>
        </w:rPr>
        <w:t>2</w:t>
      </w:r>
      <w:r w:rsidRPr="008924E0">
        <w:rPr>
          <w:lang w:val="bs-Latn-BA"/>
        </w:rPr>
        <w:t xml:space="preserve">. Od 2024. godine, </w:t>
      </w:r>
      <w:r w:rsidR="00F03625">
        <w:rPr>
          <w:lang w:val="bs-Latn-BA"/>
        </w:rPr>
        <w:t>obvez</w:t>
      </w:r>
      <w:r w:rsidRPr="008924E0">
        <w:rPr>
          <w:lang w:val="bs-Latn-BA"/>
        </w:rPr>
        <w:t>a Ugovornih strana o EnZ će biti godišnja obnova 3% od ukupne grijane/hlađene površine zgrada sa površinom većom od 250</w:t>
      </w:r>
      <w:r w:rsidR="00646378">
        <w:rPr>
          <w:lang w:val="bs-Latn-BA"/>
        </w:rPr>
        <w:t xml:space="preserve"> </w:t>
      </w:r>
      <w:r w:rsidRPr="008924E0">
        <w:rPr>
          <w:lang w:val="bs-Latn-BA"/>
        </w:rPr>
        <w:t>m</w:t>
      </w:r>
      <w:r w:rsidRPr="008924E0">
        <w:rPr>
          <w:vertAlign w:val="superscript"/>
          <w:lang w:val="bs-Latn-BA"/>
        </w:rPr>
        <w:t>2</w:t>
      </w:r>
      <w:r w:rsidRPr="008924E0">
        <w:rPr>
          <w:lang w:val="bs-Latn-BA"/>
        </w:rPr>
        <w:t>.</w:t>
      </w:r>
    </w:p>
    <w:p w14:paraId="421EFC84" w14:textId="1C849D9E" w:rsidR="00CF7A3C" w:rsidRPr="008924E0" w:rsidRDefault="00CF7A3C" w:rsidP="00CF7A3C">
      <w:pPr>
        <w:spacing w:after="120" w:line="276" w:lineRule="auto"/>
        <w:rPr>
          <w:lang w:val="bs-Latn-BA"/>
        </w:rPr>
      </w:pPr>
      <w:r w:rsidRPr="008924E0">
        <w:rPr>
          <w:lang w:val="bs-Latn-BA"/>
        </w:rPr>
        <w:t xml:space="preserve">Bosna i Hercegovina je preuzela </w:t>
      </w:r>
      <w:r w:rsidR="00F03625">
        <w:rPr>
          <w:lang w:val="bs-Latn-BA"/>
        </w:rPr>
        <w:t>obvez</w:t>
      </w:r>
      <w:r w:rsidRPr="008924E0">
        <w:rPr>
          <w:lang w:val="bs-Latn-BA"/>
        </w:rPr>
        <w:t xml:space="preserve">u implementacije člana 5. Direktive 2012/27/EU na način da se osigura na godišnjem nivou energetsko unaprijeđenje 1% korisne površine zgrada organa javne uprave i javnih zgrada koje se griju i/ili hlade. Akcioni plan povećanja energijske efikasnosti i prihvatanje odluke o redovnom  izvještavanju o potrošnji energije javnih objekata u institucijama Bosne i Hercegovine, urađen je za period 2018 – 2023.  i obuhvatio je 16 zgrada. U toku je izrada dorađenog Akcionog plana povećanja energijske efikasnosti javnih objekata u nadležnosti državnih institucija BiH koji će obuhvatiti dodatnih 19 zgrada (ukupno 35 zgrada). Dodatno je pripremljen Okvir za </w:t>
      </w:r>
      <w:r w:rsidR="007B690C">
        <w:rPr>
          <w:lang w:val="bs-Latn-BA"/>
        </w:rPr>
        <w:t>financ</w:t>
      </w:r>
      <w:r w:rsidRPr="008924E0">
        <w:rPr>
          <w:lang w:val="bs-Latn-BA"/>
        </w:rPr>
        <w:t>iranje projekata i mjera energijske efikasnosti za ulaganja u javne zgrade institucija Bosne i Hercegovine</w:t>
      </w:r>
      <w:r w:rsidRPr="008924E0">
        <w:rPr>
          <w:vertAlign w:val="superscript"/>
          <w:lang w:val="bs-Latn-BA"/>
        </w:rPr>
        <w:footnoteReference w:id="99"/>
      </w:r>
      <w:r w:rsidRPr="008924E0">
        <w:rPr>
          <w:lang w:val="bs-Latn-BA"/>
        </w:rPr>
        <w:t>.</w:t>
      </w:r>
    </w:p>
    <w:p w14:paraId="39CA1DD5" w14:textId="50A71A44" w:rsidR="00CF7A3C" w:rsidRPr="008924E0" w:rsidRDefault="00CF7A3C" w:rsidP="00CF7A3C">
      <w:pPr>
        <w:shd w:val="clear" w:color="auto" w:fill="FFFFFF"/>
        <w:spacing w:after="120" w:line="276" w:lineRule="auto"/>
        <w:rPr>
          <w:color w:val="222222"/>
          <w:lang w:val="bs-Latn-BA"/>
        </w:rPr>
      </w:pPr>
      <w:r w:rsidRPr="008924E0">
        <w:rPr>
          <w:color w:val="222222"/>
          <w:lang w:val="bs-Latn-BA"/>
        </w:rPr>
        <w:t>Vijeće ministara BiH, na prijedlog Ministarstva vanjske trgovine i ekonomskih odnosa, 2019. godine donijelo je Odluku o uspostavljanju Sistema energetskog menadžmenta i Informacionog sistema EE u institucijama Bosne i Hercegovine</w:t>
      </w:r>
      <w:r w:rsidRPr="008924E0">
        <w:rPr>
          <w:color w:val="222222"/>
          <w:vertAlign w:val="superscript"/>
          <w:lang w:val="bs-Latn-BA"/>
        </w:rPr>
        <w:footnoteReference w:id="100"/>
      </w:r>
      <w:r w:rsidRPr="008924E0">
        <w:rPr>
          <w:b/>
          <w:color w:val="222222"/>
          <w:lang w:val="bs-Latn-BA"/>
        </w:rPr>
        <w:t>.</w:t>
      </w:r>
      <w:r w:rsidRPr="008924E0">
        <w:rPr>
          <w:color w:val="222222"/>
          <w:lang w:val="bs-Latn-BA"/>
        </w:rPr>
        <w:t xml:space="preserve"> Ovom odlukom, uspostavljaju se Sistem energetskog menadžmenta i Informacioni sistem EE u institucijama BiH i propisuju </w:t>
      </w:r>
      <w:r w:rsidR="00F03625">
        <w:rPr>
          <w:color w:val="222222"/>
          <w:lang w:val="bs-Latn-BA"/>
        </w:rPr>
        <w:t>obvez</w:t>
      </w:r>
      <w:r w:rsidRPr="008924E0">
        <w:rPr>
          <w:color w:val="222222"/>
          <w:lang w:val="bs-Latn-BA"/>
        </w:rPr>
        <w:t>e nosilaca aktivnosti energetskog menadžmenta, radi omogućavanja upravljanja energijom, troškovima i emisijama u vezi sa potrošnjom energije i vode te izvještavanja o potrošnji i ostvarenim uštedama.</w:t>
      </w:r>
    </w:p>
    <w:p w14:paraId="19E751F8" w14:textId="77777777" w:rsidR="00CF7A3C" w:rsidRPr="008924E0" w:rsidRDefault="00CF7A3C" w:rsidP="00CF7A3C">
      <w:pPr>
        <w:shd w:val="clear" w:color="auto" w:fill="FFFFFF"/>
        <w:spacing w:after="120" w:line="276" w:lineRule="auto"/>
        <w:rPr>
          <w:color w:val="222222"/>
          <w:lang w:val="bs-Latn-BA"/>
        </w:rPr>
      </w:pPr>
      <w:r w:rsidRPr="008924E0">
        <w:rPr>
          <w:color w:val="222222"/>
          <w:lang w:val="bs-Latn-BA"/>
        </w:rPr>
        <w:t>Ministarstvo vanjske trgovine i ekonomskih odnosa i Služba za zajedničke poslove institucija BiH zaduženi su da najmanje jednom godišnje Vijeću ministara BiH dostave informaciju o efektima uspostavljanja Sistema energetskog menadžmenta i Informacionog sistema EE u institucijama Bosne i Hercegovine i preporukama za dodatno unapređenje Sistema.</w:t>
      </w:r>
    </w:p>
    <w:p w14:paraId="5A40458C" w14:textId="77777777" w:rsidR="00CF7A3C" w:rsidRPr="008924E0" w:rsidRDefault="00CF7A3C" w:rsidP="00CF7A3C">
      <w:pPr>
        <w:spacing w:after="120" w:line="276" w:lineRule="auto"/>
        <w:rPr>
          <w:lang w:val="bs-Latn-BA"/>
        </w:rPr>
      </w:pPr>
      <w:r w:rsidRPr="008924E0">
        <w:rPr>
          <w:lang w:val="bs-Latn-BA"/>
        </w:rPr>
        <w:t>Javne zgrade u nadležnosti institucija FBiH u skladu sa članom 5. Direktive 2012/27/EU o energijskoj efikasnosti tretirane su kroz Operativni plan poboljšanja energijske efikasnosti u institucijama FBiH koji je usvojen 2021. godine</w:t>
      </w:r>
      <w:r w:rsidRPr="008924E0">
        <w:rPr>
          <w:vertAlign w:val="superscript"/>
          <w:lang w:val="bs-Latn-BA"/>
        </w:rPr>
        <w:footnoteReference w:id="101"/>
      </w:r>
      <w:r w:rsidRPr="008924E0">
        <w:rPr>
          <w:lang w:val="bs-Latn-BA"/>
        </w:rPr>
        <w:t>.</w:t>
      </w:r>
    </w:p>
    <w:p w14:paraId="6EB8FD60" w14:textId="77777777" w:rsidR="00CF7A3C" w:rsidRPr="008924E0" w:rsidRDefault="00CF7A3C" w:rsidP="00CF7A3C">
      <w:pPr>
        <w:spacing w:after="120" w:line="276" w:lineRule="auto"/>
        <w:rPr>
          <w:lang w:val="bs-Latn-BA"/>
        </w:rPr>
      </w:pPr>
      <w:r w:rsidRPr="008924E0">
        <w:rPr>
          <w:lang w:val="bs-Latn-BA"/>
        </w:rPr>
        <w:t xml:space="preserve">Operativni plan za poboljšanje energijske efikasnosti u institucijama Federacije Bosne i Hercegovine (u nastavku: Operativni plan) proizilazi i usklađen je sa Akcionim planom za energijsku efikasnost u Federaciji Bosne i Hercegovine za period 2019-2021. godine, i pripremljen u skladu sa Zakonom o energijskoj efikasnosti u Federaciji Bosne i Hercegovine.  Prema odredbama Zakona o EE, a u skladu sa članom 13., Operativni plan  urađen za tri godine, obuhvata: </w:t>
      </w:r>
    </w:p>
    <w:p w14:paraId="49DD2CD5" w14:textId="77777777" w:rsidR="00CF7A3C" w:rsidRPr="008924E0" w:rsidRDefault="00CF7A3C" w:rsidP="00CF7A3C">
      <w:pPr>
        <w:numPr>
          <w:ilvl w:val="0"/>
          <w:numId w:val="7"/>
        </w:numPr>
        <w:pBdr>
          <w:top w:val="nil"/>
          <w:left w:val="nil"/>
          <w:bottom w:val="nil"/>
          <w:right w:val="nil"/>
          <w:between w:val="nil"/>
        </w:pBdr>
        <w:spacing w:after="0" w:line="276" w:lineRule="auto"/>
        <w:rPr>
          <w:lang w:val="bs-Latn-BA"/>
        </w:rPr>
      </w:pPr>
      <w:r w:rsidRPr="008924E0">
        <w:rPr>
          <w:color w:val="000000"/>
          <w:lang w:val="bs-Latn-BA"/>
        </w:rPr>
        <w:lastRenderedPageBreak/>
        <w:t xml:space="preserve">mjere koje treba provesti u institucijama javne uprave, </w:t>
      </w:r>
    </w:p>
    <w:p w14:paraId="450DC304" w14:textId="77777777" w:rsidR="00CF7A3C" w:rsidRPr="008924E0" w:rsidRDefault="00CF7A3C" w:rsidP="00CF7A3C">
      <w:pPr>
        <w:numPr>
          <w:ilvl w:val="0"/>
          <w:numId w:val="7"/>
        </w:numPr>
        <w:pBdr>
          <w:top w:val="nil"/>
          <w:left w:val="nil"/>
          <w:bottom w:val="nil"/>
          <w:right w:val="nil"/>
          <w:between w:val="nil"/>
        </w:pBdr>
        <w:spacing w:after="0" w:line="276" w:lineRule="auto"/>
        <w:rPr>
          <w:lang w:val="bs-Latn-BA"/>
        </w:rPr>
      </w:pPr>
      <w:r w:rsidRPr="008924E0">
        <w:rPr>
          <w:color w:val="000000"/>
          <w:lang w:val="bs-Latn-BA"/>
        </w:rPr>
        <w:t xml:space="preserve">dinamiku provođenja mjera i </w:t>
      </w:r>
    </w:p>
    <w:p w14:paraId="3BFF4FEA" w14:textId="77777777" w:rsidR="00CF7A3C" w:rsidRPr="008924E0" w:rsidRDefault="00CF7A3C" w:rsidP="00CF7A3C">
      <w:pPr>
        <w:numPr>
          <w:ilvl w:val="0"/>
          <w:numId w:val="7"/>
        </w:numPr>
        <w:pBdr>
          <w:top w:val="nil"/>
          <w:left w:val="nil"/>
          <w:bottom w:val="nil"/>
          <w:right w:val="nil"/>
          <w:between w:val="nil"/>
        </w:pBdr>
        <w:spacing w:after="0" w:line="276" w:lineRule="auto"/>
        <w:rPr>
          <w:lang w:val="bs-Latn-BA"/>
        </w:rPr>
      </w:pPr>
      <w:r w:rsidRPr="008924E0">
        <w:rPr>
          <w:color w:val="000000"/>
          <w:lang w:val="bs-Latn-BA"/>
        </w:rPr>
        <w:t>sredstva neophodna za realizaciju mjera, izvori i način njihovog osiguranja.</w:t>
      </w:r>
    </w:p>
    <w:p w14:paraId="4CA98738" w14:textId="7FA8FEFE" w:rsidR="00CF7A3C" w:rsidRPr="008924E0" w:rsidRDefault="00CF7A3C" w:rsidP="00CF7A3C">
      <w:pPr>
        <w:spacing w:before="120" w:after="120" w:line="276" w:lineRule="auto"/>
        <w:rPr>
          <w:lang w:val="bs-Latn-BA"/>
        </w:rPr>
      </w:pPr>
      <w:r w:rsidRPr="008924E0">
        <w:rPr>
          <w:lang w:val="bs-Latn-BA"/>
        </w:rPr>
        <w:t xml:space="preserve">Analizom postojećeg stanja konstatovano je da zahtijevana energija grijanja u 36 javnih zgrada pod nadležnošću Federacije Bosne i Hercegovine iznosi 6.549.033 kWh/godišnje. Najveće učešće među energentima koji se koriste u zgradama federalnih institucija ima </w:t>
      </w:r>
      <w:r w:rsidR="001C6C64">
        <w:rPr>
          <w:lang w:val="bs-Latn-BA"/>
        </w:rPr>
        <w:t>plin</w:t>
      </w:r>
      <w:r w:rsidRPr="008924E0">
        <w:rPr>
          <w:lang w:val="bs-Latn-BA"/>
        </w:rPr>
        <w:t xml:space="preserve"> (oko 40%). Kvantifikovani cilj ovog plana je smanjenje potrošnje energije za 4.671.680 kWh godišnje ili 58% trenutnih energetskih potreba 36 predmetnih zgrada. Smanjenje potrošnje energije u vijeku trajanja mjera energijske efikasnosti iznosi 101.471.538 kWh. Takvo smanjenje potrošnje uz promjenu energenata dovodi do smanjenja emisija CO</w:t>
      </w:r>
      <w:r w:rsidRPr="008924E0">
        <w:rPr>
          <w:vertAlign w:val="subscript"/>
          <w:lang w:val="bs-Latn-BA"/>
        </w:rPr>
        <w:t>2</w:t>
      </w:r>
      <w:r w:rsidRPr="008924E0">
        <w:rPr>
          <w:lang w:val="bs-Latn-BA"/>
        </w:rPr>
        <w:t xml:space="preserve"> od 2.299 tona godišnje ili u vijeku trajanja predviđenih mjera energijske efikasnosti, u iznosu od 46.073 tona CO</w:t>
      </w:r>
      <w:r w:rsidRPr="008924E0">
        <w:rPr>
          <w:vertAlign w:val="subscript"/>
          <w:lang w:val="bs-Latn-BA"/>
        </w:rPr>
        <w:t>2</w:t>
      </w:r>
      <w:r w:rsidRPr="008924E0">
        <w:rPr>
          <w:lang w:val="bs-Latn-BA"/>
        </w:rPr>
        <w:t xml:space="preserve">. Predmetne zgrade imaju ukupno 4.864 uposlenika i korisnika, gdje će se ispunjenjem plana bitno poboljšati </w:t>
      </w:r>
      <w:r w:rsidR="00540A41">
        <w:rPr>
          <w:lang w:val="bs-Latn-BA"/>
        </w:rPr>
        <w:t>uvjet</w:t>
      </w:r>
      <w:r w:rsidRPr="008924E0">
        <w:rPr>
          <w:lang w:val="bs-Latn-BA"/>
        </w:rPr>
        <w:t xml:space="preserve">i za boravak i rad. </w:t>
      </w:r>
    </w:p>
    <w:p w14:paraId="1EB54690" w14:textId="77777777" w:rsidR="00CF7A3C" w:rsidRPr="008924E0" w:rsidRDefault="00CF7A3C" w:rsidP="00CF7A3C">
      <w:pPr>
        <w:spacing w:after="120" w:line="276" w:lineRule="auto"/>
        <w:rPr>
          <w:lang w:val="bs-Latn-BA"/>
        </w:rPr>
      </w:pPr>
      <w:r w:rsidRPr="008924E0">
        <w:rPr>
          <w:lang w:val="bs-Latn-BA"/>
        </w:rPr>
        <w:t xml:space="preserve">Kako bi se mogli ostvariti predviđeni ciljevi, potrebno je provesti mjere energijske efikasnosti koje podrazumijevaju termoizolaciju vanjskih zidova, termoizolaciju stropova i krovova, zamjenu fasadne stolarije, mašinske mjere i mjere na rasvjeti. </w:t>
      </w:r>
    </w:p>
    <w:p w14:paraId="2B60C646" w14:textId="286E4074" w:rsidR="00CF7A3C" w:rsidRPr="008924E0" w:rsidRDefault="00CF7A3C" w:rsidP="00CF7A3C">
      <w:pPr>
        <w:spacing w:after="120" w:line="276" w:lineRule="auto"/>
        <w:rPr>
          <w:lang w:val="bs-Latn-BA"/>
        </w:rPr>
      </w:pPr>
      <w:r w:rsidRPr="008924E0">
        <w:rPr>
          <w:lang w:val="bs-Latn-BA"/>
        </w:rPr>
        <w:t xml:space="preserve">Navedeni ciljevi se trebaju realizirati kroz provođenje mjera na 36 javnih zgrada, uz ukupnu vrijednost investicija od 6.129.133 KM i </w:t>
      </w:r>
      <w:r w:rsidR="007B690C">
        <w:rPr>
          <w:lang w:val="bs-Latn-BA"/>
        </w:rPr>
        <w:t>financ</w:t>
      </w:r>
      <w:r w:rsidRPr="008924E0">
        <w:rPr>
          <w:lang w:val="bs-Latn-BA"/>
        </w:rPr>
        <w:t xml:space="preserve">ijske uštede od 685.831 KM godišnje ili u vijeku trajanja mjera energijske efikasnosti od 14.164.816 KM. Navedeni iznos uključuje </w:t>
      </w:r>
      <w:r w:rsidR="007B690C">
        <w:rPr>
          <w:lang w:val="bs-Latn-BA"/>
        </w:rPr>
        <w:t>financ</w:t>
      </w:r>
      <w:r w:rsidRPr="008924E0">
        <w:rPr>
          <w:lang w:val="bs-Latn-BA"/>
        </w:rPr>
        <w:t xml:space="preserve">ijska sredstva koja će biti korištena za pripremne i kontrolne mjere. Ako bi se projekti odnosno realizacija mjera EE na 36 predloženih zgrada provodila istovremeno, bili bi ostvareni sljedeći rezultati: jednostavni period povrata od  9 godina i 3 mjeseca, neto sadašnja vrijednost u iznosu od 2.048.132 KM, interna stopa prinosa od 8,5% i indeks profitabilnosti od 1,33, što dovodi do zaključka da su projekti prihvatljivi sa </w:t>
      </w:r>
      <w:r w:rsidR="007B690C">
        <w:rPr>
          <w:lang w:val="bs-Latn-BA"/>
        </w:rPr>
        <w:t>financ</w:t>
      </w:r>
      <w:r w:rsidRPr="008924E0">
        <w:rPr>
          <w:lang w:val="bs-Latn-BA"/>
        </w:rPr>
        <w:t xml:space="preserve">ijskog aspekta. </w:t>
      </w:r>
    </w:p>
    <w:p w14:paraId="3AA33B9B" w14:textId="752834C0" w:rsidR="00CF7A3C" w:rsidRPr="008924E0" w:rsidRDefault="00CF7A3C" w:rsidP="00CF7A3C">
      <w:pPr>
        <w:spacing w:after="120" w:line="276" w:lineRule="auto"/>
        <w:rPr>
          <w:lang w:val="bs-Latn-BA"/>
        </w:rPr>
      </w:pPr>
      <w:r w:rsidRPr="008924E0">
        <w:rPr>
          <w:lang w:val="bs-Latn-BA"/>
        </w:rPr>
        <w:t xml:space="preserve">Nosioci realizacije operativnog plana, u smislu uspostavljanja i održavanja sistema upravljanja potrošnjom energije, usklađuju svoj rad i organizacioni pristup u skladu sa Pravilnikom o Informacionom sistemu energijske efikasnosti Federacije Bosne i Hercegovine, te imaju </w:t>
      </w:r>
      <w:r w:rsidR="00F03625">
        <w:rPr>
          <w:lang w:val="bs-Latn-BA"/>
        </w:rPr>
        <w:t>obvez</w:t>
      </w:r>
      <w:r w:rsidRPr="008924E0">
        <w:rPr>
          <w:lang w:val="bs-Latn-BA"/>
        </w:rPr>
        <w:t xml:space="preserve">u, u smislu poboljšanja upravljanja potrošnjom energije, da primjenjuju organizacioni pristup i svoje aktivnosti u skladu sa Pravilnikom o ISEE. Navedeno, između ostalog, znači sljedeće: </w:t>
      </w:r>
    </w:p>
    <w:p w14:paraId="23326A6C" w14:textId="77777777" w:rsidR="00CF7A3C" w:rsidRPr="008924E0" w:rsidRDefault="00CF7A3C" w:rsidP="00CF7A3C">
      <w:pPr>
        <w:numPr>
          <w:ilvl w:val="0"/>
          <w:numId w:val="13"/>
        </w:numPr>
        <w:pBdr>
          <w:top w:val="nil"/>
          <w:left w:val="nil"/>
          <w:bottom w:val="nil"/>
          <w:right w:val="nil"/>
          <w:between w:val="nil"/>
        </w:pBdr>
        <w:spacing w:after="120" w:line="240" w:lineRule="auto"/>
        <w:rPr>
          <w:lang w:val="bs-Latn-BA"/>
        </w:rPr>
      </w:pPr>
      <w:r w:rsidRPr="008924E0">
        <w:rPr>
          <w:color w:val="000000"/>
          <w:lang w:val="bs-Latn-BA"/>
        </w:rPr>
        <w:t xml:space="preserve">angažman odgovornih lica u sistemu upravljanja energijom; </w:t>
      </w:r>
    </w:p>
    <w:p w14:paraId="60298527" w14:textId="77777777" w:rsidR="00CF7A3C" w:rsidRPr="008924E0" w:rsidRDefault="00CF7A3C" w:rsidP="00CF7A3C">
      <w:pPr>
        <w:numPr>
          <w:ilvl w:val="0"/>
          <w:numId w:val="13"/>
        </w:numPr>
        <w:pBdr>
          <w:top w:val="nil"/>
          <w:left w:val="nil"/>
          <w:bottom w:val="nil"/>
          <w:right w:val="nil"/>
          <w:between w:val="nil"/>
        </w:pBdr>
        <w:spacing w:after="120" w:line="240" w:lineRule="auto"/>
        <w:rPr>
          <w:lang w:val="bs-Latn-BA"/>
        </w:rPr>
      </w:pPr>
      <w:r w:rsidRPr="008924E0">
        <w:rPr>
          <w:color w:val="000000"/>
          <w:lang w:val="bs-Latn-BA"/>
        </w:rPr>
        <w:t xml:space="preserve">operativni rad imenovanih lica prema odgovornostima datim kroz Pravilnik o ISEE; </w:t>
      </w:r>
    </w:p>
    <w:p w14:paraId="33E613CB" w14:textId="40A38573" w:rsidR="00CF7A3C" w:rsidRPr="008924E0" w:rsidRDefault="00F03625" w:rsidP="00CF7A3C">
      <w:pPr>
        <w:numPr>
          <w:ilvl w:val="0"/>
          <w:numId w:val="13"/>
        </w:numPr>
        <w:pBdr>
          <w:top w:val="nil"/>
          <w:left w:val="nil"/>
          <w:bottom w:val="nil"/>
          <w:right w:val="nil"/>
          <w:between w:val="nil"/>
        </w:pBdr>
        <w:spacing w:after="120" w:line="240" w:lineRule="auto"/>
        <w:rPr>
          <w:lang w:val="bs-Latn-BA"/>
        </w:rPr>
      </w:pPr>
      <w:r>
        <w:rPr>
          <w:color w:val="000000"/>
          <w:lang w:val="bs-Latn-BA"/>
        </w:rPr>
        <w:t>obvez</w:t>
      </w:r>
      <w:r w:rsidR="00CF7A3C" w:rsidRPr="008924E0">
        <w:rPr>
          <w:color w:val="000000"/>
          <w:lang w:val="bs-Latn-BA"/>
        </w:rPr>
        <w:t xml:space="preserve">no korištenje Sistema za upravljanje energijom koji </w:t>
      </w:r>
      <w:r>
        <w:rPr>
          <w:color w:val="000000"/>
          <w:lang w:val="bs-Latn-BA"/>
        </w:rPr>
        <w:t>obvez</w:t>
      </w:r>
      <w:r w:rsidR="00CF7A3C" w:rsidRPr="008924E0">
        <w:rPr>
          <w:color w:val="000000"/>
          <w:lang w:val="bs-Latn-BA"/>
        </w:rPr>
        <w:t xml:space="preserve">uje na unos podataka o potrošnji energije i vode a sve u svrhu kontrole, analize i izvještavanja o potrošnji energije i vode od strane imenovanih lica (energijski menadžer i energijski saradnik) </w:t>
      </w:r>
    </w:p>
    <w:p w14:paraId="1C92186F" w14:textId="35FA7332" w:rsidR="00CF7A3C" w:rsidRPr="008924E0" w:rsidRDefault="00F03625" w:rsidP="00CF7A3C">
      <w:pPr>
        <w:numPr>
          <w:ilvl w:val="0"/>
          <w:numId w:val="13"/>
        </w:numPr>
        <w:pBdr>
          <w:top w:val="nil"/>
          <w:left w:val="nil"/>
          <w:bottom w:val="nil"/>
          <w:right w:val="nil"/>
          <w:between w:val="nil"/>
        </w:pBdr>
        <w:spacing w:after="120" w:line="240" w:lineRule="auto"/>
        <w:rPr>
          <w:lang w:val="bs-Latn-BA"/>
        </w:rPr>
      </w:pPr>
      <w:r>
        <w:rPr>
          <w:color w:val="000000"/>
          <w:lang w:val="bs-Latn-BA"/>
        </w:rPr>
        <w:t>obvez</w:t>
      </w:r>
      <w:r w:rsidR="00CF7A3C" w:rsidRPr="008924E0">
        <w:rPr>
          <w:color w:val="000000"/>
          <w:lang w:val="bs-Latn-BA"/>
        </w:rPr>
        <w:t xml:space="preserve">no korištenje Sistema za monitoring i verifikaciju ušteda energije (SMiV) definiran Pravilnikom ISEE, ostvarenih primjenom pojedinačnih mjera energijske efikasnosti te </w:t>
      </w:r>
      <w:r>
        <w:rPr>
          <w:color w:val="000000"/>
          <w:lang w:val="bs-Latn-BA"/>
        </w:rPr>
        <w:t>obvez</w:t>
      </w:r>
      <w:r w:rsidR="00CF7A3C" w:rsidRPr="008924E0">
        <w:rPr>
          <w:color w:val="000000"/>
          <w:lang w:val="bs-Latn-BA"/>
        </w:rPr>
        <w:t xml:space="preserve">a unosa podataka o realizovanim mjerama energijske efikasnosti, a sve u svrhu praćenja ostvarenih ušteda i ispunjenja ciljeva utvrđenih strateškim dokumentima energijske efikasnosti na teritoriji Federacije BiH; </w:t>
      </w:r>
    </w:p>
    <w:p w14:paraId="2BC00AF4" w14:textId="77777777" w:rsidR="00CF7A3C" w:rsidRPr="008924E0" w:rsidRDefault="00CF7A3C" w:rsidP="00CF7A3C">
      <w:pPr>
        <w:numPr>
          <w:ilvl w:val="0"/>
          <w:numId w:val="13"/>
        </w:numPr>
        <w:pBdr>
          <w:top w:val="nil"/>
          <w:left w:val="nil"/>
          <w:bottom w:val="nil"/>
          <w:right w:val="nil"/>
          <w:between w:val="nil"/>
        </w:pBdr>
        <w:spacing w:after="120" w:line="240" w:lineRule="auto"/>
        <w:rPr>
          <w:lang w:val="bs-Latn-BA"/>
        </w:rPr>
      </w:pPr>
      <w:r w:rsidRPr="008924E0">
        <w:rPr>
          <w:color w:val="000000"/>
          <w:lang w:val="bs-Latn-BA"/>
        </w:rPr>
        <w:t>u kontekstu ovog plana, nadležni energijski menadžer/energijski menadžeri pokreće/u aktivnosti za realizaciju projektnih aktivnosti za nadležnu/e instituciju/e.</w:t>
      </w:r>
    </w:p>
    <w:p w14:paraId="01710810" w14:textId="77777777" w:rsidR="00CF7A3C" w:rsidRPr="008924E0" w:rsidRDefault="00CF7A3C" w:rsidP="00CF7A3C">
      <w:pPr>
        <w:pBdr>
          <w:top w:val="nil"/>
          <w:left w:val="nil"/>
          <w:bottom w:val="nil"/>
          <w:right w:val="nil"/>
          <w:between w:val="nil"/>
        </w:pBdr>
        <w:spacing w:after="120" w:line="240" w:lineRule="auto"/>
        <w:ind w:left="720"/>
        <w:rPr>
          <w:lang w:val="bs-Latn-BA"/>
        </w:rPr>
      </w:pPr>
    </w:p>
    <w:p w14:paraId="684F03FC" w14:textId="77777777" w:rsidR="00CF7A3C" w:rsidRPr="008924E0" w:rsidRDefault="00CF7A3C" w:rsidP="00581C1C">
      <w:pPr>
        <w:pStyle w:val="Heading3"/>
        <w:numPr>
          <w:ilvl w:val="2"/>
          <w:numId w:val="54"/>
        </w:numPr>
      </w:pPr>
      <w:bookmarkStart w:id="189" w:name="_Toc134011813"/>
      <w:r w:rsidRPr="008924E0">
        <w:lastRenderedPageBreak/>
        <w:t>Primjeri dobre prakse</w:t>
      </w:r>
      <w:bookmarkEnd w:id="189"/>
    </w:p>
    <w:p w14:paraId="3A58C0E7" w14:textId="1FF57629" w:rsidR="00CF7A3C" w:rsidRPr="008924E0" w:rsidRDefault="00CF7A3C" w:rsidP="00CF7A3C">
      <w:pPr>
        <w:shd w:val="clear" w:color="auto" w:fill="FFFFFF"/>
        <w:spacing w:after="120" w:line="276" w:lineRule="auto"/>
        <w:rPr>
          <w:lang w:val="bs-Latn-BA"/>
        </w:rPr>
      </w:pPr>
      <w:r w:rsidRPr="008924E0">
        <w:rPr>
          <w:lang w:val="bs-Latn-BA"/>
        </w:rPr>
        <w:t>Kao primjer dobre prakse u obnovi fonda individualnih stambenih objekata izdvaja se GEFF program</w:t>
      </w:r>
      <w:r w:rsidRPr="008924E0">
        <w:rPr>
          <w:vertAlign w:val="superscript"/>
          <w:lang w:val="bs-Latn-BA"/>
        </w:rPr>
        <w:footnoteReference w:id="102"/>
      </w:r>
      <w:r w:rsidRPr="008924E0">
        <w:rPr>
          <w:lang w:val="bs-Latn-BA"/>
        </w:rPr>
        <w:t xml:space="preserve">. GEFF na Zapadnom Balkanu je uspostavila Europska banka za obnovu i razvoj (EBRD) uz podršku donatora, a obezbjeđuje specijalizirane kreditne linije za fizička lica, uz poticaje za investicije koje </w:t>
      </w:r>
      <w:r w:rsidR="007B690C">
        <w:rPr>
          <w:lang w:val="bs-Latn-BA"/>
        </w:rPr>
        <w:t>financ</w:t>
      </w:r>
      <w:r w:rsidRPr="008924E0">
        <w:rPr>
          <w:lang w:val="bs-Latn-BA"/>
        </w:rPr>
        <w:t xml:space="preserve">ira EU za ulaganja u energijsku efikasnost. Program zajedno </w:t>
      </w:r>
      <w:r w:rsidR="007B690C">
        <w:rPr>
          <w:lang w:val="bs-Latn-BA"/>
        </w:rPr>
        <w:t>financ</w:t>
      </w:r>
      <w:r w:rsidRPr="008924E0">
        <w:rPr>
          <w:lang w:val="bs-Latn-BA"/>
        </w:rPr>
        <w:t xml:space="preserve">iraju Savezno ministarstvo </w:t>
      </w:r>
      <w:r w:rsidR="007B690C">
        <w:rPr>
          <w:lang w:val="bs-Latn-BA"/>
        </w:rPr>
        <w:t>financ</w:t>
      </w:r>
      <w:r w:rsidRPr="008924E0">
        <w:rPr>
          <w:lang w:val="bs-Latn-BA"/>
        </w:rPr>
        <w:t xml:space="preserve">ija Republike Austrije (BMF) i bilateralni donatori u okviru Investicionog okvira za Zapadni Balkan (WBIF). Program je dio Regionalnog programa energijske efikasnosti (REEP) za Zapadni Balkan i sprovodi se u partnerstvu sa Sekretarijatom EnZ. </w:t>
      </w:r>
    </w:p>
    <w:p w14:paraId="79ED2180" w14:textId="77777777" w:rsidR="00CF7A3C" w:rsidRPr="008924E0" w:rsidRDefault="00CF7A3C" w:rsidP="00CF7A3C">
      <w:pPr>
        <w:shd w:val="clear" w:color="auto" w:fill="FFFFFF"/>
        <w:spacing w:after="120" w:line="276" w:lineRule="auto"/>
        <w:rPr>
          <w:lang w:val="bs-Latn-BA"/>
        </w:rPr>
      </w:pPr>
      <w:r w:rsidRPr="008924E0">
        <w:rPr>
          <w:lang w:val="bs-Latn-BA"/>
        </w:rPr>
        <w:t>Provođenje mjera EE, kao što su toplinska izolacija, ugradnja toplotnih pumpi, solarnih panela, peći na pelet, prozora i vrata sa niskim koeficijentom prolaza toplote, dovodi do smanjenja potrošnje energije i emisije stakleničkih plinova, čime se ispunjavaju koraci na putu zacrtanom u EU Zeleni plan. Također, što je najvažnije, omogućava značajne uštede novca na godišnjem nivou. Na primjer, ugradnjom toplotne pumpe u kombinaciji sa dobrom toplinskom izolacijom vanjskih zidova i EE prozorima na porodičnoj kući moguće je uštedjeti do 2.500 KM godišnje, a emisiju CO</w:t>
      </w:r>
      <w:r w:rsidRPr="00DA1A46">
        <w:rPr>
          <w:vertAlign w:val="subscript"/>
          <w:lang w:val="bs-Latn-BA"/>
        </w:rPr>
        <w:t>2</w:t>
      </w:r>
      <w:r w:rsidRPr="008924E0">
        <w:rPr>
          <w:lang w:val="bs-Latn-BA"/>
        </w:rPr>
        <w:t xml:space="preserve"> smanjiti i do 15 tona godišnje. Primjenom istih mjera na stan moguće je potencijalno smanjenje troškova do 1.200 KM godišnje, te smanjenje emisije CO</w:t>
      </w:r>
      <w:r w:rsidRPr="00DA1A46">
        <w:rPr>
          <w:vertAlign w:val="subscript"/>
          <w:lang w:val="bs-Latn-BA"/>
        </w:rPr>
        <w:t>2</w:t>
      </w:r>
      <w:r w:rsidRPr="008924E0">
        <w:rPr>
          <w:lang w:val="bs-Latn-BA"/>
        </w:rPr>
        <w:t xml:space="preserve"> za 7 tona godišnje. </w:t>
      </w:r>
    </w:p>
    <w:p w14:paraId="192B2590" w14:textId="77777777" w:rsidR="00CF7A3C" w:rsidRPr="008924E0" w:rsidRDefault="00CF7A3C" w:rsidP="00CF7A3C">
      <w:pPr>
        <w:spacing w:after="120" w:line="276" w:lineRule="auto"/>
        <w:rPr>
          <w:lang w:val="bs-Latn-BA"/>
        </w:rPr>
      </w:pPr>
      <w:r w:rsidRPr="008924E0">
        <w:rPr>
          <w:lang w:val="bs-Latn-BA"/>
        </w:rPr>
        <w:t xml:space="preserve">GEFF za zapadni Balkan je program koji implementira EBRD koji ima za cilj dekarbonizaciju i ozelenjivanje stambenog sektora na zapadnom Balkanu, uključujući i BiH, pružanjem poticaja stanovništvu. GEFF program omogućava vraćanje dijela sredstava kroz grantove Europske unije, a u zavisnosti od broja uvedenih mjera EE, poticaji se penju i do 20%. Ukupna vrijednost investicija u zelene tehnologije kroz GEFF program na Zapadnom Balkanu je 135 miliona EUR, od čega je za BiH namijenjeno preko 30 miliona EUR. </w:t>
      </w:r>
    </w:p>
    <w:p w14:paraId="274CB4BE" w14:textId="77777777" w:rsidR="00CF7A3C" w:rsidRPr="008924E0" w:rsidRDefault="00CF7A3C" w:rsidP="00CF7A3C">
      <w:pPr>
        <w:spacing w:after="120" w:line="276" w:lineRule="auto"/>
        <w:rPr>
          <w:lang w:val="bs-Latn-BA"/>
        </w:rPr>
      </w:pPr>
      <w:r w:rsidRPr="008924E0">
        <w:rPr>
          <w:lang w:val="bs-Latn-BA"/>
        </w:rPr>
        <w:t>Danas su domaćinstva mnogo svjesnija mogućnosti koje donosi poboljšana domaća energijska efikasnost, a direktan pokazatelj toga je veliko interesovanje javnosti i broj realiziranih projekata”. Za samo četiri godine, od kada je GEFF program aktivan na Zapadnom Balkanu, preko 12.000 domaćinstava u regionu poboljšalo je EE svojih domova, uključujući preko 4.000 porodica iz BiH. Europska unija je do danas donirala ukupno 10 miliona EUR stanovnicima regije za ulaganja u zelene tehnologije, od čega je 2 miliona EUR donirano domaćinstvima u BiH. Energijski efikasni prozori i vrata, kotlovi na biomasu i toplotna izolacija su najtraženiji artikli kada je u pitanju ulaganje u zelene tehnologije. Zahvaljujući primjeni EE tehnologija, domaćinstva na zapadnom Balkanu smanjila su emisiju CO</w:t>
      </w:r>
      <w:r w:rsidRPr="00642327">
        <w:rPr>
          <w:vertAlign w:val="subscript"/>
          <w:lang w:val="bs-Latn-BA"/>
        </w:rPr>
        <w:t>2</w:t>
      </w:r>
      <w:r w:rsidRPr="008924E0">
        <w:rPr>
          <w:lang w:val="bs-Latn-BA"/>
        </w:rPr>
        <w:t xml:space="preserve"> za 15.000 tona godišnje, što je ekvivalent uklanjanju 9.500 automobila sa ulica. </w:t>
      </w:r>
    </w:p>
    <w:p w14:paraId="44BEB60A" w14:textId="1B8F9600" w:rsidR="00CF7A3C" w:rsidRPr="008924E0" w:rsidRDefault="00CF7A3C" w:rsidP="00CF7A3C">
      <w:pPr>
        <w:spacing w:after="120" w:line="276" w:lineRule="auto"/>
        <w:rPr>
          <w:lang w:val="bs-Latn-BA"/>
        </w:rPr>
      </w:pPr>
      <w:r w:rsidRPr="008924E0">
        <w:rPr>
          <w:lang w:val="bs-Latn-BA"/>
        </w:rPr>
        <w:t xml:space="preserve">Projekat se provodi preko partnerskih </w:t>
      </w:r>
      <w:r w:rsidR="007B690C">
        <w:rPr>
          <w:lang w:val="bs-Latn-BA"/>
        </w:rPr>
        <w:t>financ</w:t>
      </w:r>
      <w:r w:rsidRPr="008924E0">
        <w:rPr>
          <w:lang w:val="bs-Latn-BA"/>
        </w:rPr>
        <w:t>ijskih institucija koje posluju u BiH: Partner MKF, UniCredit banka Mostar, UniCredit banka Banja Luka, Intesa Sanpaolo banka, Sparkasse Bank BiH, ProCredit banka BiH i Mikrofin.</w:t>
      </w:r>
      <w:r w:rsidR="00642327">
        <w:rPr>
          <w:lang w:val="bs-Latn-BA"/>
        </w:rPr>
        <w:t xml:space="preserve"> </w:t>
      </w:r>
    </w:p>
    <w:p w14:paraId="635A6F61" w14:textId="60A9486A" w:rsidR="00CF7A3C" w:rsidRPr="008924E0" w:rsidRDefault="00CF7A3C" w:rsidP="00CF7A3C">
      <w:pPr>
        <w:shd w:val="clear" w:color="auto" w:fill="FFFFFF"/>
        <w:spacing w:after="120" w:line="276" w:lineRule="auto"/>
        <w:rPr>
          <w:lang w:val="bs-Latn-BA"/>
        </w:rPr>
      </w:pPr>
      <w:r w:rsidRPr="008924E0">
        <w:rPr>
          <w:lang w:val="bs-Latn-BA"/>
        </w:rPr>
        <w:t xml:space="preserve">Javne zgrade u Sarajevu će značajno unaprijediti EE zahvaljujući </w:t>
      </w:r>
      <w:r w:rsidR="007B690C">
        <w:rPr>
          <w:lang w:val="bs-Latn-BA"/>
        </w:rPr>
        <w:t>financ</w:t>
      </w:r>
      <w:r w:rsidRPr="008924E0">
        <w:rPr>
          <w:lang w:val="bs-Latn-BA"/>
        </w:rPr>
        <w:t>ijskom paketu od 10 miliona EUR koji obezbjeđuju Europska banka za obnovu i razvoj i Europska unija u okviru Akcionog plana Zeleni grad za Kanton Sarajevo (Green City Action Plan).</w:t>
      </w:r>
    </w:p>
    <w:p w14:paraId="1F6FBC99" w14:textId="74392057" w:rsidR="00CF7A3C" w:rsidRPr="008924E0" w:rsidRDefault="00CF7A3C" w:rsidP="00CF7A3C">
      <w:pPr>
        <w:shd w:val="clear" w:color="auto" w:fill="FFFFFF"/>
        <w:spacing w:after="120" w:line="276" w:lineRule="auto"/>
        <w:rPr>
          <w:lang w:val="bs-Latn-BA"/>
        </w:rPr>
      </w:pPr>
      <w:r w:rsidRPr="008924E0">
        <w:rPr>
          <w:lang w:val="bs-Latn-BA"/>
        </w:rPr>
        <w:t>Investicije će obuhvatiti 29 škola i pratećih objekata, 6 vrtića, 3 učenička doma i 2 ambulante. Ušteda energije se procjenjuje na oko 13,7 GWh i rezultirala bi uštedom od 4.774 tone CO</w:t>
      </w:r>
      <w:r w:rsidRPr="00DA1A46">
        <w:rPr>
          <w:vertAlign w:val="subscript"/>
          <w:lang w:val="bs-Latn-BA"/>
        </w:rPr>
        <w:t>2</w:t>
      </w:r>
      <w:r w:rsidRPr="008924E0">
        <w:rPr>
          <w:lang w:val="bs-Latn-BA"/>
        </w:rPr>
        <w:t xml:space="preserve"> godišnje. Mjere EE </w:t>
      </w:r>
      <w:r w:rsidRPr="008924E0">
        <w:rPr>
          <w:lang w:val="bs-Latn-BA"/>
        </w:rPr>
        <w:lastRenderedPageBreak/>
        <w:t xml:space="preserve">će uključivati uvođenje čišćeg i efikasnijeg grijanja, bolju izolaciju, bolje osvjetljenje i ukupna poboljšanja. Radovi </w:t>
      </w:r>
      <w:r w:rsidR="00646378">
        <w:rPr>
          <w:lang w:val="bs-Latn-BA"/>
        </w:rPr>
        <w:t>energijske</w:t>
      </w:r>
      <w:r w:rsidR="00646378" w:rsidRPr="008924E0">
        <w:rPr>
          <w:lang w:val="bs-Latn-BA"/>
        </w:rPr>
        <w:t xml:space="preserve"> </w:t>
      </w:r>
      <w:r w:rsidRPr="008924E0">
        <w:rPr>
          <w:lang w:val="bs-Latn-BA"/>
        </w:rPr>
        <w:t>obnove na ovim objektima su u toku.</w:t>
      </w:r>
    </w:p>
    <w:p w14:paraId="1CA303B0" w14:textId="4E9AAE14" w:rsidR="00CF7A3C" w:rsidRPr="008924E0" w:rsidRDefault="00CF7A3C" w:rsidP="00CF7A3C">
      <w:pPr>
        <w:shd w:val="clear" w:color="auto" w:fill="FFFFFF"/>
        <w:spacing w:after="120" w:line="276" w:lineRule="auto"/>
        <w:rPr>
          <w:lang w:val="bs-Latn-BA"/>
        </w:rPr>
      </w:pPr>
      <w:r w:rsidRPr="008924E0">
        <w:rPr>
          <w:lang w:val="bs-Latn-BA"/>
        </w:rPr>
        <w:t xml:space="preserve">Vlada Federacije BiH Zaključkom V. broj 8/2019 </w:t>
      </w:r>
      <w:r w:rsidR="001A3735">
        <w:rPr>
          <w:lang w:val="bs-Latn-BA"/>
        </w:rPr>
        <w:t>usvojenog</w:t>
      </w:r>
      <w:r w:rsidRPr="008924E0">
        <w:rPr>
          <w:lang w:val="bs-Latn-BA"/>
        </w:rPr>
        <w:t xml:space="preserve"> 17.01.2019. godine, u tački 1. </w:t>
      </w:r>
      <w:r w:rsidR="00646378" w:rsidRPr="008924E0">
        <w:rPr>
          <w:lang w:val="bs-Latn-BA"/>
        </w:rPr>
        <w:t>uspostav</w:t>
      </w:r>
      <w:r w:rsidR="00646378">
        <w:rPr>
          <w:lang w:val="bs-Latn-BA"/>
        </w:rPr>
        <w:t xml:space="preserve">ila je </w:t>
      </w:r>
      <w:r w:rsidRPr="008924E0">
        <w:rPr>
          <w:lang w:val="bs-Latn-BA"/>
        </w:rPr>
        <w:t>Revolving fond za energijsku efikasnost javnih zgrada za Federaciju BiH</w:t>
      </w:r>
      <w:r w:rsidR="00646378">
        <w:rPr>
          <w:lang w:val="bs-Latn-BA"/>
        </w:rPr>
        <w:t>,</w:t>
      </w:r>
      <w:r w:rsidRPr="008924E0">
        <w:rPr>
          <w:lang w:val="bs-Latn-BA"/>
        </w:rPr>
        <w:t xml:space="preserve"> u Jedinici za implementaciju projekta "Energetska efikasnost u Bosni i Hercegovini" za Federaciju BiH.</w:t>
      </w:r>
    </w:p>
    <w:p w14:paraId="34D14311" w14:textId="06C0472C" w:rsidR="00CF7A3C" w:rsidRPr="008924E0" w:rsidRDefault="00CF7A3C" w:rsidP="00CF7A3C">
      <w:pPr>
        <w:shd w:val="clear" w:color="auto" w:fill="FFFFFF"/>
        <w:spacing w:after="120" w:line="276" w:lineRule="auto"/>
        <w:rPr>
          <w:lang w:val="bs-Latn-BA"/>
        </w:rPr>
      </w:pPr>
      <w:r w:rsidRPr="008924E0">
        <w:rPr>
          <w:lang w:val="bs-Latn-BA"/>
        </w:rPr>
        <w:t xml:space="preserve">Tačkom 2. </w:t>
      </w:r>
      <w:r w:rsidR="00646378" w:rsidRPr="008924E0">
        <w:rPr>
          <w:lang w:val="bs-Latn-BA"/>
        </w:rPr>
        <w:t>zaduž</w:t>
      </w:r>
      <w:r w:rsidR="00646378">
        <w:rPr>
          <w:lang w:val="bs-Latn-BA"/>
        </w:rPr>
        <w:t>eni</w:t>
      </w:r>
      <w:r w:rsidR="00646378" w:rsidRPr="008924E0">
        <w:rPr>
          <w:lang w:val="bs-Latn-BA"/>
        </w:rPr>
        <w:t xml:space="preserve"> </w:t>
      </w:r>
      <w:r w:rsidRPr="008924E0">
        <w:rPr>
          <w:lang w:val="bs-Latn-BA"/>
        </w:rPr>
        <w:t>s</w:t>
      </w:r>
      <w:r w:rsidR="00646378">
        <w:rPr>
          <w:lang w:val="bs-Latn-BA"/>
        </w:rPr>
        <w:t>u</w:t>
      </w:r>
      <w:r w:rsidRPr="008924E0">
        <w:rPr>
          <w:lang w:val="bs-Latn-BA"/>
        </w:rPr>
        <w:t xml:space="preserve"> Federalno ministarstvo prostornog uređenja, Federalno ministarstvo </w:t>
      </w:r>
      <w:r w:rsidR="007B690C">
        <w:rPr>
          <w:lang w:val="bs-Latn-BA"/>
        </w:rPr>
        <w:t>financ</w:t>
      </w:r>
      <w:r w:rsidRPr="008924E0">
        <w:rPr>
          <w:lang w:val="bs-Latn-BA"/>
        </w:rPr>
        <w:t xml:space="preserve">ija i Jedinica za implementaciju projekta, da otpočnu aktivnosti uspostave i pilotiranja održivog modela </w:t>
      </w:r>
      <w:r w:rsidR="007B690C">
        <w:rPr>
          <w:lang w:val="bs-Latn-BA"/>
        </w:rPr>
        <w:t>financ</w:t>
      </w:r>
      <w:r w:rsidRPr="008924E0">
        <w:rPr>
          <w:lang w:val="bs-Latn-BA"/>
        </w:rPr>
        <w:t>iranja putem Revolving fonda iz tačke 1. Zaključka.</w:t>
      </w:r>
    </w:p>
    <w:p w14:paraId="5B06ABA1" w14:textId="19772034" w:rsidR="00CF7A3C" w:rsidRPr="008924E0" w:rsidRDefault="00646378" w:rsidP="00CF7A3C">
      <w:pPr>
        <w:shd w:val="clear" w:color="auto" w:fill="FFFFFF"/>
        <w:spacing w:after="120" w:line="276" w:lineRule="auto"/>
        <w:rPr>
          <w:lang w:val="bs-Latn-BA"/>
        </w:rPr>
      </w:pPr>
      <w:r>
        <w:rPr>
          <w:lang w:val="bs-Latn-BA"/>
        </w:rPr>
        <w:t xml:space="preserve">Tako je </w:t>
      </w:r>
      <w:r w:rsidR="00CF7A3C" w:rsidRPr="008924E0">
        <w:rPr>
          <w:lang w:val="bs-Latn-BA"/>
        </w:rPr>
        <w:t xml:space="preserve">Revolving fond za  energijsku efikasnost javnih zgrada u Federaciji BiH (u daljem tekstu Revolving fond)  uspostavljen kao dugoročni, održivi </w:t>
      </w:r>
      <w:r w:rsidR="007B690C">
        <w:rPr>
          <w:lang w:val="bs-Latn-BA"/>
        </w:rPr>
        <w:t>financ</w:t>
      </w:r>
      <w:r w:rsidR="00CF7A3C" w:rsidRPr="008924E0">
        <w:rPr>
          <w:lang w:val="bs-Latn-BA"/>
        </w:rPr>
        <w:t>ijski mehanizam za provođenje politike energijske efikasnosti u Federaciji BiH za javne zgrade.</w:t>
      </w:r>
    </w:p>
    <w:p w14:paraId="29F33221" w14:textId="02959EA5" w:rsidR="00CF7A3C" w:rsidRPr="008924E0" w:rsidRDefault="00CF7A3C" w:rsidP="00CF7A3C">
      <w:pPr>
        <w:shd w:val="clear" w:color="auto" w:fill="FFFFFF"/>
        <w:spacing w:after="120" w:line="276" w:lineRule="auto"/>
        <w:rPr>
          <w:lang w:val="bs-Latn-BA"/>
        </w:rPr>
      </w:pPr>
      <w:r w:rsidRPr="008924E0">
        <w:rPr>
          <w:lang w:val="bs-Latn-BA"/>
        </w:rPr>
        <w:t xml:space="preserve">Revolving fond kao dugoročni održivi </w:t>
      </w:r>
      <w:r w:rsidR="007B690C">
        <w:rPr>
          <w:lang w:val="bs-Latn-BA"/>
        </w:rPr>
        <w:t>financ</w:t>
      </w:r>
      <w:r w:rsidRPr="008924E0">
        <w:rPr>
          <w:lang w:val="bs-Latn-BA"/>
        </w:rPr>
        <w:t xml:space="preserve">ijski mehanizam uspostavljen je sa ciljem prikupljanja i upravljanja </w:t>
      </w:r>
      <w:r w:rsidR="007B690C">
        <w:rPr>
          <w:lang w:val="bs-Latn-BA"/>
        </w:rPr>
        <w:t>financ</w:t>
      </w:r>
      <w:r w:rsidRPr="008924E0">
        <w:rPr>
          <w:lang w:val="bs-Latn-BA"/>
        </w:rPr>
        <w:t>ijskim sredstvima, provođenj</w:t>
      </w:r>
      <w:r w:rsidR="00642327">
        <w:rPr>
          <w:lang w:val="bs-Latn-BA"/>
        </w:rPr>
        <w:t>a</w:t>
      </w:r>
      <w:r w:rsidRPr="008924E0">
        <w:rPr>
          <w:lang w:val="bs-Latn-BA"/>
        </w:rPr>
        <w:t xml:space="preserve"> mjera energijske efikasnosti u javnim zgradama u Federaciji BiH kroz dodjelu beskamatnih zajmova krajnjim korisnicima</w:t>
      </w:r>
      <w:r w:rsidR="00642327">
        <w:rPr>
          <w:lang w:val="bs-Latn-BA"/>
        </w:rPr>
        <w:t xml:space="preserve"> </w:t>
      </w:r>
      <w:r w:rsidRPr="008924E0">
        <w:rPr>
          <w:lang w:val="bs-Latn-BA"/>
        </w:rPr>
        <w:t xml:space="preserve">- javnim zgradama, </w:t>
      </w:r>
      <w:r w:rsidR="00642327">
        <w:rPr>
          <w:lang w:val="bs-Latn-BA"/>
        </w:rPr>
        <w:t xml:space="preserve">te </w:t>
      </w:r>
      <w:r w:rsidRPr="008924E0">
        <w:rPr>
          <w:lang w:val="bs-Latn-BA"/>
        </w:rPr>
        <w:t>prikupljanj</w:t>
      </w:r>
      <w:r w:rsidR="00642327">
        <w:rPr>
          <w:lang w:val="bs-Latn-BA"/>
        </w:rPr>
        <w:t>a</w:t>
      </w:r>
      <w:r w:rsidRPr="008924E0">
        <w:rPr>
          <w:lang w:val="bs-Latn-BA"/>
        </w:rPr>
        <w:t xml:space="preserve"> procijenjenih </w:t>
      </w:r>
      <w:r w:rsidR="007B690C">
        <w:rPr>
          <w:lang w:val="bs-Latn-BA"/>
        </w:rPr>
        <w:t>financ</w:t>
      </w:r>
      <w:r w:rsidRPr="008924E0">
        <w:rPr>
          <w:lang w:val="bs-Latn-BA"/>
        </w:rPr>
        <w:t>ijskih ušteda</w:t>
      </w:r>
      <w:r w:rsidR="00642327">
        <w:rPr>
          <w:lang w:val="bs-Latn-BA"/>
        </w:rPr>
        <w:t>.</w:t>
      </w:r>
      <w:r w:rsidRPr="008924E0">
        <w:rPr>
          <w:lang w:val="bs-Latn-BA"/>
        </w:rPr>
        <w:t xml:space="preserve"> </w:t>
      </w:r>
      <w:r w:rsidR="007B690C">
        <w:rPr>
          <w:lang w:val="bs-Latn-BA"/>
        </w:rPr>
        <w:t>Financ</w:t>
      </w:r>
      <w:r w:rsidR="00642327">
        <w:rPr>
          <w:lang w:val="bs-Latn-BA"/>
        </w:rPr>
        <w:t>ijske uštede</w:t>
      </w:r>
      <w:r w:rsidRPr="008924E0">
        <w:rPr>
          <w:lang w:val="bs-Latn-BA"/>
        </w:rPr>
        <w:t xml:space="preserve"> uplać</w:t>
      </w:r>
      <w:r w:rsidR="00642327">
        <w:rPr>
          <w:lang w:val="bs-Latn-BA"/>
        </w:rPr>
        <w:t>uju se</w:t>
      </w:r>
      <w:r w:rsidRPr="008924E0">
        <w:rPr>
          <w:lang w:val="bs-Latn-BA"/>
        </w:rPr>
        <w:t xml:space="preserve"> na račun Revolving fonda kao </w:t>
      </w:r>
      <w:r w:rsidR="00642327">
        <w:rPr>
          <w:lang w:val="bs-Latn-BA"/>
        </w:rPr>
        <w:t>povrat</w:t>
      </w:r>
      <w:r w:rsidRPr="008924E0">
        <w:rPr>
          <w:lang w:val="bs-Latn-BA"/>
        </w:rPr>
        <w:t xml:space="preserve"> investicije u mjere energijske efikasnosti sve do otplate iste iz ušteda i ponovno korištenje ovih uplaćenih sredstava za nove investicije u mjere energijske fiksnosti u javnim zgradama.</w:t>
      </w:r>
    </w:p>
    <w:p w14:paraId="71D6F261" w14:textId="663613B5" w:rsidR="00CF7A3C" w:rsidRPr="008924E0" w:rsidRDefault="00CF7A3C" w:rsidP="00CF7A3C">
      <w:pPr>
        <w:shd w:val="clear" w:color="auto" w:fill="FFFFFF"/>
        <w:spacing w:after="120" w:line="276" w:lineRule="auto"/>
        <w:rPr>
          <w:lang w:val="bs-Latn-BA"/>
        </w:rPr>
      </w:pPr>
      <w:r w:rsidRPr="008924E0">
        <w:rPr>
          <w:lang w:val="bs-Latn-BA"/>
        </w:rPr>
        <w:t xml:space="preserve">Revolving fond krajnjim korisnicima - javnim zgradama, kroz holistički pristup nudi puni paket usluga što podrazumijeva da FMPU putem Jedinice za implementaciju  </w:t>
      </w:r>
      <w:r w:rsidR="007B690C">
        <w:rPr>
          <w:lang w:val="bs-Latn-BA"/>
        </w:rPr>
        <w:t>financ</w:t>
      </w:r>
      <w:r w:rsidRPr="008924E0">
        <w:rPr>
          <w:lang w:val="bs-Latn-BA"/>
        </w:rPr>
        <w:t xml:space="preserve">ira i realizira cjelokupni projekat za krajnjeg korisnika, te u skladu sa kriterijima </w:t>
      </w:r>
      <w:r w:rsidR="00AB786E">
        <w:rPr>
          <w:lang w:val="bs-Latn-BA"/>
        </w:rPr>
        <w:t>definirani</w:t>
      </w:r>
      <w:r w:rsidRPr="008924E0">
        <w:rPr>
          <w:lang w:val="bs-Latn-BA"/>
        </w:rPr>
        <w:t>m u Operativnom priručniku odabire javnu  zgradu do tehničkog prijema građevinsko-zanatskih radova što uključuje: povezane tehničke usluge i ugradnju opreme za mjerenje potrošnje toplotne energije, temperaturu i vlažnost zraka, automatsko očitanje i prijenos podataka prije implementacije mjera energijske efikasnosti, nadzor nad izvođenjem građevinskih i građevinsko-zanatskih radova, energijsko certificiranje i edukaciju krajnjih korisnika - uposlenika javne zgrade, i na kraju praćenje i verifikaciju ušteda energije mjerenjem parametara potrošnje toplotne energije, temperature i vlažnosti zraka, automatskim očitanjem na instaliranoj opremi kod krajnjeg korisnika nakon implementacije mjera energijske efikasnosti i puštanja tehničkih sistema u pogon.</w:t>
      </w:r>
    </w:p>
    <w:p w14:paraId="5E1D5DA3" w14:textId="41A4F2AF" w:rsidR="00CF7A3C" w:rsidRPr="008924E0" w:rsidRDefault="00CF7A3C" w:rsidP="00CF7A3C">
      <w:pPr>
        <w:shd w:val="clear" w:color="auto" w:fill="FFFFFF"/>
        <w:spacing w:after="120" w:line="276" w:lineRule="auto"/>
        <w:rPr>
          <w:lang w:val="bs-Latn-BA"/>
        </w:rPr>
      </w:pPr>
      <w:r w:rsidRPr="008924E0">
        <w:rPr>
          <w:lang w:val="bs-Latn-BA"/>
        </w:rPr>
        <w:t xml:space="preserve">Procjene </w:t>
      </w:r>
      <w:r w:rsidR="007B690C">
        <w:rPr>
          <w:lang w:val="bs-Latn-BA"/>
        </w:rPr>
        <w:t>financ</w:t>
      </w:r>
      <w:r w:rsidRPr="008924E0">
        <w:rPr>
          <w:lang w:val="bs-Latn-BA"/>
        </w:rPr>
        <w:t>ijske uštede se planiraju Budžetom krajnjeg korisnika</w:t>
      </w:r>
      <w:r w:rsidR="008473B7">
        <w:rPr>
          <w:lang w:val="bs-Latn-BA"/>
        </w:rPr>
        <w:t>, te se</w:t>
      </w:r>
      <w:r w:rsidRPr="008924E0">
        <w:rPr>
          <w:lang w:val="bs-Latn-BA"/>
        </w:rPr>
        <w:t xml:space="preserve"> kroz realizaciju Budžeta vrši otplata investicije u vremenskom periodu do otplate investicije iz ušteda. Otplata zajma počinje nakon prve sezone grijanja</w:t>
      </w:r>
      <w:r w:rsidR="008473B7">
        <w:rPr>
          <w:lang w:val="bs-Latn-BA"/>
        </w:rPr>
        <w:t xml:space="preserve">, što nameće </w:t>
      </w:r>
      <w:r w:rsidRPr="008924E0">
        <w:rPr>
          <w:lang w:val="bs-Latn-BA"/>
        </w:rPr>
        <w:t>postoj</w:t>
      </w:r>
      <w:r w:rsidR="008473B7">
        <w:rPr>
          <w:lang w:val="bs-Latn-BA"/>
        </w:rPr>
        <w:t>anje</w:t>
      </w:r>
      <w:r w:rsidRPr="008924E0">
        <w:rPr>
          <w:lang w:val="bs-Latn-BA"/>
        </w:rPr>
        <w:t xml:space="preserve"> period</w:t>
      </w:r>
      <w:r w:rsidR="008473B7">
        <w:rPr>
          <w:lang w:val="bs-Latn-BA"/>
        </w:rPr>
        <w:t>a</w:t>
      </w:r>
      <w:r w:rsidRPr="008924E0">
        <w:rPr>
          <w:lang w:val="bs-Latn-BA"/>
        </w:rPr>
        <w:t xml:space="preserve"> otplate beskamantog zajma u Revolving fond</w:t>
      </w:r>
      <w:r w:rsidR="008473B7">
        <w:rPr>
          <w:lang w:val="bs-Latn-BA"/>
        </w:rPr>
        <w:t>, čiji komisionar je Union banka</w:t>
      </w:r>
      <w:r w:rsidRPr="008924E0">
        <w:rPr>
          <w:lang w:val="bs-Latn-BA"/>
        </w:rPr>
        <w:t>.</w:t>
      </w:r>
    </w:p>
    <w:p w14:paraId="279E0D5C" w14:textId="2355684E" w:rsidR="00CF7A3C" w:rsidRPr="008924E0" w:rsidRDefault="00CF7A3C" w:rsidP="00CF7A3C">
      <w:pPr>
        <w:shd w:val="clear" w:color="auto" w:fill="FFFFFF"/>
        <w:spacing w:after="120" w:line="276" w:lineRule="auto"/>
        <w:rPr>
          <w:lang w:val="bs-Latn-BA"/>
        </w:rPr>
      </w:pPr>
      <w:r w:rsidRPr="008924E0">
        <w:rPr>
          <w:lang w:val="bs-Latn-BA"/>
        </w:rPr>
        <w:t xml:space="preserve">Nakon završetka građevinskih i građevinsko-zanatskih radova i instalacije tehničke opreme krajnji korisnik i FMPU potpisuju Ugovor o prenosu instalirane opreme i izvršenih građevinskih i građevinsko-zanatskih radova, nakon čega i prije otplate investicije krajnji korisnik može knigovodstveno </w:t>
      </w:r>
      <w:r w:rsidR="008473B7">
        <w:rPr>
          <w:lang w:val="bs-Latn-BA"/>
        </w:rPr>
        <w:t>obračunati</w:t>
      </w:r>
      <w:r w:rsidRPr="008924E0">
        <w:rPr>
          <w:lang w:val="bs-Latn-BA"/>
        </w:rPr>
        <w:t xml:space="preserve"> povećanu </w:t>
      </w:r>
      <w:r w:rsidR="007B690C">
        <w:rPr>
          <w:lang w:val="bs-Latn-BA"/>
        </w:rPr>
        <w:t>financ</w:t>
      </w:r>
      <w:r w:rsidRPr="008924E0">
        <w:rPr>
          <w:lang w:val="bs-Latn-BA"/>
        </w:rPr>
        <w:t>ijsku vrijednost zgrade.</w:t>
      </w:r>
    </w:p>
    <w:p w14:paraId="75733F69" w14:textId="77777777" w:rsidR="00CF7A3C" w:rsidRPr="008924E0" w:rsidRDefault="00CF7A3C" w:rsidP="00CF7A3C">
      <w:pPr>
        <w:shd w:val="clear" w:color="auto" w:fill="FFFFFF"/>
        <w:spacing w:after="120" w:line="276" w:lineRule="auto"/>
        <w:rPr>
          <w:color w:val="262626"/>
          <w:lang w:val="bs-Latn-BA"/>
        </w:rPr>
      </w:pPr>
    </w:p>
    <w:p w14:paraId="615499CD" w14:textId="11945404" w:rsidR="00CF7A3C" w:rsidRDefault="00CF7A3C" w:rsidP="00581C1C">
      <w:pPr>
        <w:pStyle w:val="Heading3"/>
        <w:numPr>
          <w:ilvl w:val="2"/>
          <w:numId w:val="54"/>
        </w:numPr>
      </w:pPr>
      <w:bookmarkStart w:id="190" w:name="_Toc134011814"/>
      <w:r w:rsidRPr="008924E0">
        <w:t>Pregled fonda zgrada u FBiH</w:t>
      </w:r>
      <w:bookmarkEnd w:id="190"/>
      <w:r w:rsidRPr="008924E0">
        <w:t xml:space="preserve"> </w:t>
      </w:r>
    </w:p>
    <w:p w14:paraId="0267E4DD" w14:textId="17215F0C" w:rsidR="003D03F5" w:rsidRPr="003D03F5" w:rsidRDefault="003D03F5" w:rsidP="004D2CBA">
      <w:pPr>
        <w:rPr>
          <w:lang w:val="bs-Latn-BA"/>
        </w:rPr>
      </w:pPr>
      <w:r w:rsidRPr="001972F5">
        <w:rPr>
          <w:lang w:val="bs-Latn-BA"/>
        </w:rPr>
        <w:t>Struktura fonda zgrada FBiH se kontinuirano mijenja i aktualni pregled fonda zgrada temelji se na postojećim podacima iz raspoloživih dokumenta te planova i programa, kao i pretpostavkama o budućim kretanjima fonda zgrada zasnovanim na privrednim i raspoloživim statističkim ulaznim podacima.</w:t>
      </w:r>
    </w:p>
    <w:p w14:paraId="059D34A7" w14:textId="77777777" w:rsidR="00CF7A3C" w:rsidRPr="008924E0" w:rsidRDefault="00CF7A3C" w:rsidP="00BB40F0">
      <w:pPr>
        <w:pStyle w:val="Heading4"/>
        <w:numPr>
          <w:ilvl w:val="3"/>
          <w:numId w:val="54"/>
        </w:numPr>
        <w:ind w:left="1980" w:hanging="900"/>
        <w:rPr>
          <w:lang w:val="bs-Latn-BA"/>
        </w:rPr>
      </w:pPr>
      <w:bookmarkStart w:id="191" w:name="_Toc134011815"/>
      <w:r w:rsidRPr="008924E0">
        <w:rPr>
          <w:lang w:val="bs-Latn-BA"/>
        </w:rPr>
        <w:lastRenderedPageBreak/>
        <w:t>Kategorizacija fonda zgrada prema namjeni</w:t>
      </w:r>
      <w:bookmarkEnd w:id="191"/>
    </w:p>
    <w:p w14:paraId="7AF9A2B6" w14:textId="0A1B2DBB" w:rsidR="00CF7A3C" w:rsidRPr="008924E0" w:rsidRDefault="00CF7A3C" w:rsidP="00CF7A3C">
      <w:pPr>
        <w:rPr>
          <w:lang w:val="bs-Latn-BA"/>
        </w:rPr>
      </w:pPr>
      <w:r w:rsidRPr="008924E0">
        <w:rPr>
          <w:lang w:val="bs-Latn-BA"/>
        </w:rPr>
        <w:t>Fond zgrada Federacije BiH prema namjeni se klasificira u sljedeće kategorije:</w:t>
      </w:r>
    </w:p>
    <w:p w14:paraId="55E41B39" w14:textId="77777777" w:rsidR="00CF7A3C" w:rsidRPr="008924E0" w:rsidRDefault="00CF7A3C" w:rsidP="00CF7A3C">
      <w:pPr>
        <w:numPr>
          <w:ilvl w:val="0"/>
          <w:numId w:val="21"/>
        </w:numPr>
        <w:pBdr>
          <w:top w:val="nil"/>
          <w:left w:val="nil"/>
          <w:bottom w:val="nil"/>
          <w:right w:val="nil"/>
          <w:between w:val="nil"/>
        </w:pBdr>
        <w:spacing w:after="120" w:line="240" w:lineRule="auto"/>
        <w:ind w:hanging="357"/>
        <w:rPr>
          <w:lang w:val="bs-Latn-BA"/>
        </w:rPr>
      </w:pPr>
      <w:r w:rsidRPr="008924E0">
        <w:rPr>
          <w:color w:val="000000"/>
          <w:lang w:val="bs-Latn-BA"/>
        </w:rPr>
        <w:t>Stambene zgrade</w:t>
      </w:r>
    </w:p>
    <w:p w14:paraId="2AF54455" w14:textId="77777777" w:rsidR="00CF7A3C" w:rsidRPr="008924E0" w:rsidRDefault="00CF7A3C" w:rsidP="00CF7A3C">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Zgrade individualnog stanovanja</w:t>
      </w:r>
    </w:p>
    <w:p w14:paraId="1E4B3691" w14:textId="77777777" w:rsidR="00CF7A3C" w:rsidRPr="008924E0" w:rsidRDefault="00CF7A3C" w:rsidP="00CF7A3C">
      <w:pPr>
        <w:numPr>
          <w:ilvl w:val="0"/>
          <w:numId w:val="1"/>
        </w:numPr>
        <w:pBdr>
          <w:top w:val="nil"/>
          <w:left w:val="nil"/>
          <w:bottom w:val="nil"/>
          <w:right w:val="nil"/>
          <w:between w:val="nil"/>
        </w:pBdr>
        <w:spacing w:after="120" w:line="240" w:lineRule="auto"/>
        <w:ind w:hanging="355"/>
        <w:rPr>
          <w:lang w:val="bs-Latn-BA"/>
        </w:rPr>
      </w:pPr>
      <w:r w:rsidRPr="008924E0">
        <w:rPr>
          <w:color w:val="000000"/>
          <w:lang w:val="bs-Latn-BA"/>
        </w:rPr>
        <w:t>Samostojeće porodične kuće (SH)</w:t>
      </w:r>
    </w:p>
    <w:p w14:paraId="4679094E" w14:textId="77777777" w:rsidR="00CF7A3C" w:rsidRPr="008924E0" w:rsidRDefault="00CF7A3C" w:rsidP="00CF7A3C">
      <w:pPr>
        <w:numPr>
          <w:ilvl w:val="0"/>
          <w:numId w:val="1"/>
        </w:numPr>
        <w:pBdr>
          <w:top w:val="nil"/>
          <w:left w:val="nil"/>
          <w:bottom w:val="nil"/>
          <w:right w:val="nil"/>
          <w:between w:val="nil"/>
        </w:pBdr>
        <w:spacing w:after="120" w:line="240" w:lineRule="auto"/>
        <w:ind w:hanging="355"/>
        <w:rPr>
          <w:lang w:val="bs-Latn-BA"/>
        </w:rPr>
      </w:pPr>
      <w:r w:rsidRPr="008924E0">
        <w:rPr>
          <w:color w:val="000000"/>
          <w:lang w:val="bs-Latn-BA"/>
        </w:rPr>
        <w:t>Kuće u nizu (TH)</w:t>
      </w:r>
    </w:p>
    <w:p w14:paraId="2C66CAC1" w14:textId="77777777" w:rsidR="00CF7A3C" w:rsidRPr="008924E0" w:rsidRDefault="00CF7A3C" w:rsidP="00CF7A3C">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Zgrade kolektivnog stanovanja</w:t>
      </w:r>
    </w:p>
    <w:p w14:paraId="7E7D2AA5" w14:textId="77777777" w:rsidR="00CF7A3C" w:rsidRPr="008924E0" w:rsidRDefault="00CF7A3C" w:rsidP="00CF7A3C">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t xml:space="preserve"> Manje stambene zgrade (MH)</w:t>
      </w:r>
    </w:p>
    <w:p w14:paraId="22DA08A9" w14:textId="77777777" w:rsidR="00CF7A3C" w:rsidRPr="008924E0" w:rsidRDefault="00CF7A3C" w:rsidP="00CF7A3C">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t>Stambene zgrade u nizu (AB1)</w:t>
      </w:r>
    </w:p>
    <w:p w14:paraId="218AF3AB" w14:textId="77777777" w:rsidR="00CF7A3C" w:rsidRPr="008924E0" w:rsidRDefault="00CF7A3C" w:rsidP="00CF7A3C">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t xml:space="preserve">Veliki stambeni blokovi (AB2) </w:t>
      </w:r>
    </w:p>
    <w:p w14:paraId="6AB2AA68" w14:textId="77777777" w:rsidR="00CF7A3C" w:rsidRPr="008924E0" w:rsidRDefault="00CF7A3C" w:rsidP="00CF7A3C">
      <w:pPr>
        <w:numPr>
          <w:ilvl w:val="0"/>
          <w:numId w:val="3"/>
        </w:numPr>
        <w:pBdr>
          <w:top w:val="nil"/>
          <w:left w:val="nil"/>
          <w:bottom w:val="nil"/>
          <w:right w:val="nil"/>
          <w:between w:val="nil"/>
        </w:pBdr>
        <w:spacing w:after="120" w:line="240" w:lineRule="auto"/>
        <w:ind w:hanging="355"/>
        <w:rPr>
          <w:lang w:val="bs-Latn-BA"/>
        </w:rPr>
      </w:pPr>
      <w:r w:rsidRPr="008924E0">
        <w:rPr>
          <w:color w:val="000000"/>
          <w:lang w:val="bs-Latn-BA"/>
        </w:rPr>
        <w:t xml:space="preserve">Neboderi (H) </w:t>
      </w:r>
      <w:r w:rsidRPr="008924E0">
        <w:rPr>
          <w:color w:val="000000"/>
          <w:vertAlign w:val="superscript"/>
          <w:lang w:val="bs-Latn-BA"/>
        </w:rPr>
        <w:footnoteReference w:id="103"/>
      </w:r>
    </w:p>
    <w:p w14:paraId="31632AEF" w14:textId="77777777" w:rsidR="00CF7A3C" w:rsidRPr="008924E0" w:rsidRDefault="00CF7A3C" w:rsidP="00CF7A3C">
      <w:pPr>
        <w:numPr>
          <w:ilvl w:val="0"/>
          <w:numId w:val="21"/>
        </w:numPr>
        <w:pBdr>
          <w:top w:val="nil"/>
          <w:left w:val="nil"/>
          <w:bottom w:val="nil"/>
          <w:right w:val="nil"/>
          <w:between w:val="nil"/>
        </w:pBdr>
        <w:spacing w:after="120" w:line="240" w:lineRule="auto"/>
        <w:ind w:hanging="357"/>
        <w:rPr>
          <w:lang w:val="bs-Latn-BA"/>
        </w:rPr>
      </w:pPr>
      <w:r w:rsidRPr="008924E0">
        <w:rPr>
          <w:color w:val="000000"/>
          <w:lang w:val="bs-Latn-BA"/>
        </w:rPr>
        <w:t>Nestambene zgrade</w:t>
      </w:r>
    </w:p>
    <w:p w14:paraId="4472E35F" w14:textId="77777777" w:rsidR="00CF7A3C" w:rsidRPr="008924E0" w:rsidRDefault="00CF7A3C" w:rsidP="00CF7A3C">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 xml:space="preserve">Javne zgrade </w:t>
      </w:r>
    </w:p>
    <w:p w14:paraId="06899778" w14:textId="77777777" w:rsidR="00CF7A3C" w:rsidRPr="008924E0" w:rsidRDefault="00CF7A3C" w:rsidP="00CF7A3C">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predškolski odgoj (vrtići/obdaništa),</w:t>
      </w:r>
    </w:p>
    <w:p w14:paraId="678495E8" w14:textId="77777777" w:rsidR="00CF7A3C" w:rsidRPr="008924E0" w:rsidRDefault="00CF7A3C" w:rsidP="00CF7A3C">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obrazovanje (osnovne, srednje i visokoškolske ustanove),</w:t>
      </w:r>
    </w:p>
    <w:p w14:paraId="6477D1C7" w14:textId="77777777" w:rsidR="00CF7A3C" w:rsidRPr="008924E0" w:rsidRDefault="00CF7A3C" w:rsidP="00CF7A3C">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u zdravstvenom sektoru (domovi zdravlja, ambulante, apoteke i duge zgrade bez stacionara),</w:t>
      </w:r>
    </w:p>
    <w:p w14:paraId="63B799BB" w14:textId="7F6C85C1" w:rsidR="00CF7A3C" w:rsidRPr="008924E0" w:rsidRDefault="00CF7A3C" w:rsidP="00CF7A3C">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sportske djelatnosti (sportske dvorane, fiskulturne dvorane obrazovnih objekata),</w:t>
      </w:r>
    </w:p>
    <w:p w14:paraId="15917DFE" w14:textId="7088596C" w:rsidR="00CF7A3C" w:rsidRPr="008924E0" w:rsidRDefault="00CF7A3C" w:rsidP="00CF7A3C">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kulturne djelatnosti (domovi kulture, pozorišta/kazališta, bioskopi, biblioteke</w:t>
      </w:r>
      <w:r w:rsidR="00E723A8">
        <w:rPr>
          <w:color w:val="000000"/>
          <w:lang w:val="bs-Latn-BA"/>
        </w:rPr>
        <w:t>, muzeji, galerije</w:t>
      </w:r>
      <w:r w:rsidRPr="008924E0">
        <w:rPr>
          <w:color w:val="000000"/>
          <w:lang w:val="bs-Latn-BA"/>
        </w:rPr>
        <w:t>),</w:t>
      </w:r>
    </w:p>
    <w:p w14:paraId="099B31B3" w14:textId="77777777" w:rsidR="00CF7A3C" w:rsidRPr="008924E0" w:rsidRDefault="00CF7A3C" w:rsidP="00CF7A3C">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Zgrade za administrativne djelatnosti (kancelarijske zgrade),</w:t>
      </w:r>
    </w:p>
    <w:p w14:paraId="21CE4AE3" w14:textId="77777777" w:rsidR="00CF7A3C" w:rsidRPr="008924E0" w:rsidRDefault="00CF7A3C" w:rsidP="00CF7A3C">
      <w:pPr>
        <w:numPr>
          <w:ilvl w:val="0"/>
          <w:numId w:val="8"/>
        </w:numPr>
        <w:pBdr>
          <w:top w:val="nil"/>
          <w:left w:val="nil"/>
          <w:bottom w:val="nil"/>
          <w:right w:val="nil"/>
          <w:between w:val="nil"/>
        </w:pBdr>
        <w:spacing w:after="120" w:line="240" w:lineRule="auto"/>
        <w:ind w:hanging="355"/>
        <w:rPr>
          <w:lang w:val="bs-Latn-BA"/>
        </w:rPr>
      </w:pPr>
      <w:r w:rsidRPr="008924E0">
        <w:rPr>
          <w:color w:val="000000"/>
          <w:lang w:val="bs-Latn-BA"/>
        </w:rPr>
        <w:t xml:space="preserve">Zgrade za cjelodnevni boravak (bolnice, banje, studentski domovi itd.). </w:t>
      </w:r>
    </w:p>
    <w:p w14:paraId="021BBC69" w14:textId="77777777" w:rsidR="00CF7A3C" w:rsidRPr="008924E0" w:rsidRDefault="00CF7A3C" w:rsidP="00CF7A3C">
      <w:pPr>
        <w:numPr>
          <w:ilvl w:val="1"/>
          <w:numId w:val="2"/>
        </w:numPr>
        <w:pBdr>
          <w:top w:val="nil"/>
          <w:left w:val="nil"/>
          <w:bottom w:val="nil"/>
          <w:right w:val="nil"/>
          <w:between w:val="nil"/>
        </w:pBdr>
        <w:spacing w:after="120" w:line="240" w:lineRule="auto"/>
        <w:ind w:hanging="357"/>
        <w:rPr>
          <w:lang w:val="bs-Latn-BA"/>
        </w:rPr>
      </w:pPr>
      <w:r w:rsidRPr="008924E0">
        <w:rPr>
          <w:color w:val="000000"/>
          <w:lang w:val="bs-Latn-BA"/>
        </w:rPr>
        <w:t>Komercijalne zgrade.</w:t>
      </w:r>
    </w:p>
    <w:p w14:paraId="4E894BE9" w14:textId="1E9CD175" w:rsidR="006E5703" w:rsidRDefault="00CF7A3C" w:rsidP="00CF7A3C">
      <w:pPr>
        <w:rPr>
          <w:lang w:val="bs-Latn-BA"/>
        </w:rPr>
      </w:pPr>
      <w:r w:rsidRPr="008924E0">
        <w:rPr>
          <w:lang w:val="bs-Latn-BA"/>
        </w:rPr>
        <w:t>Fond postojećih stambenih zgrada u FBiH, prema rezultatima iz Popisa stanovništva 2013. godine obuhvata ukupnu korisnu površinu od 45.779.938 m</w:t>
      </w:r>
      <w:r w:rsidRPr="008924E0">
        <w:rPr>
          <w:vertAlign w:val="superscript"/>
          <w:lang w:val="bs-Latn-BA"/>
        </w:rPr>
        <w:t>2</w:t>
      </w:r>
      <w:r w:rsidRPr="008924E0">
        <w:rPr>
          <w:lang w:val="bs-Latn-BA"/>
        </w:rPr>
        <w:t>. Prema podacima iz Tipologije javnih zgrada BiH, korisna površina javnih zgrada u FBiH je 2016. godine iznosila 5.161.287 m</w:t>
      </w:r>
      <w:r w:rsidRPr="008924E0">
        <w:rPr>
          <w:vertAlign w:val="superscript"/>
          <w:lang w:val="bs-Latn-BA"/>
        </w:rPr>
        <w:t>2</w:t>
      </w:r>
      <w:r w:rsidRPr="008924E0">
        <w:rPr>
          <w:lang w:val="bs-Latn-BA"/>
        </w:rPr>
        <w:t>, a prema podacima u NECP</w:t>
      </w:r>
      <w:r w:rsidRPr="008924E0">
        <w:rPr>
          <w:vertAlign w:val="superscript"/>
          <w:lang w:val="bs-Latn-BA"/>
        </w:rPr>
        <w:footnoteReference w:id="104"/>
      </w:r>
      <w:r w:rsidRPr="008924E0">
        <w:rPr>
          <w:lang w:val="bs-Latn-BA"/>
        </w:rPr>
        <w:t xml:space="preserve"> korisna površina komercijalnih zgrada je iznosila 7.568.713 m</w:t>
      </w:r>
      <w:r w:rsidRPr="008924E0">
        <w:rPr>
          <w:vertAlign w:val="superscript"/>
          <w:lang w:val="bs-Latn-BA"/>
        </w:rPr>
        <w:t>2</w:t>
      </w:r>
      <w:r w:rsidRPr="008924E0">
        <w:rPr>
          <w:lang w:val="bs-Latn-BA"/>
        </w:rPr>
        <w:t xml:space="preserve">. Korisna površina fonda zgrada FBiH data je u Tabeli </w:t>
      </w:r>
      <w:r w:rsidR="00695AEF">
        <w:rPr>
          <w:lang w:val="bs-Latn-BA"/>
        </w:rPr>
        <w:t>11.</w:t>
      </w:r>
      <w:r w:rsidRPr="008924E0">
        <w:rPr>
          <w:lang w:val="bs-Latn-BA"/>
        </w:rPr>
        <w:t xml:space="preserve">1.2. </w:t>
      </w:r>
    </w:p>
    <w:p w14:paraId="390B4ACC" w14:textId="77777777" w:rsidR="00045BB4" w:rsidRDefault="00045BB4" w:rsidP="00CF7A3C">
      <w:pPr>
        <w:rPr>
          <w:lang w:val="bs-Latn-BA"/>
        </w:rPr>
      </w:pPr>
    </w:p>
    <w:p w14:paraId="3DCEBDB0" w14:textId="77777777" w:rsidR="00045BB4" w:rsidRDefault="00045BB4" w:rsidP="00CF7A3C">
      <w:pPr>
        <w:rPr>
          <w:lang w:val="bs-Latn-BA"/>
        </w:rPr>
      </w:pPr>
    </w:p>
    <w:p w14:paraId="7C7A88C9" w14:textId="77777777" w:rsidR="00045BB4" w:rsidRPr="008924E0" w:rsidRDefault="00045BB4" w:rsidP="00CF7A3C">
      <w:pPr>
        <w:rPr>
          <w:lang w:val="bs-Latn-BA"/>
        </w:rPr>
      </w:pPr>
    </w:p>
    <w:p w14:paraId="1CD753AF" w14:textId="40EF255C" w:rsidR="00695AEF" w:rsidRDefault="00695AEF" w:rsidP="00695AEF">
      <w:pPr>
        <w:pStyle w:val="Caption"/>
        <w:keepNext/>
      </w:pPr>
      <w:bookmarkStart w:id="192" w:name="_Toc133499621"/>
      <w:r>
        <w:lastRenderedPageBreak/>
        <w:t>Tabela 11.1.</w:t>
      </w:r>
      <w:r w:rsidR="00000000">
        <w:fldChar w:fldCharType="begin"/>
      </w:r>
      <w:r w:rsidR="00000000">
        <w:instrText xml:space="preserve"> SEQ Tabela_11.1. \* ARABIC </w:instrText>
      </w:r>
      <w:r w:rsidR="00000000">
        <w:fldChar w:fldCharType="separate"/>
      </w:r>
      <w:r w:rsidR="002D62B3">
        <w:rPr>
          <w:noProof/>
        </w:rPr>
        <w:t>2</w:t>
      </w:r>
      <w:r w:rsidR="00000000">
        <w:rPr>
          <w:noProof/>
        </w:rPr>
        <w:fldChar w:fldCharType="end"/>
      </w:r>
      <w:r>
        <w:t xml:space="preserve"> </w:t>
      </w:r>
      <w:r w:rsidRPr="008924E0">
        <w:rPr>
          <w:color w:val="000000"/>
        </w:rPr>
        <w:t>Ukupna korisna površina fonda zgrada FBiH</w:t>
      </w:r>
      <w:bookmarkEnd w:id="192"/>
    </w:p>
    <w:tbl>
      <w:tblPr>
        <w:tblStyle w:val="26"/>
        <w:tblW w:w="9027"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4513"/>
        <w:gridCol w:w="4514"/>
      </w:tblGrid>
      <w:tr w:rsidR="00CF7A3C" w:rsidRPr="008924E0" w14:paraId="3EF5AA84" w14:textId="77777777" w:rsidTr="00695AE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tcPr>
          <w:p w14:paraId="0BBEB996" w14:textId="77777777" w:rsidR="00CF7A3C" w:rsidRPr="008924E0" w:rsidRDefault="00CF7A3C" w:rsidP="000B085B">
            <w:pPr>
              <w:rPr>
                <w:lang w:val="bs-Latn-BA"/>
              </w:rPr>
            </w:pPr>
            <w:r w:rsidRPr="008924E0">
              <w:rPr>
                <w:lang w:val="bs-Latn-BA"/>
              </w:rPr>
              <w:t>Fond zgrada FBiH</w:t>
            </w:r>
          </w:p>
        </w:tc>
        <w:tc>
          <w:tcPr>
            <w:tcW w:w="4514" w:type="dxa"/>
          </w:tcPr>
          <w:p w14:paraId="2EE2697D" w14:textId="77777777" w:rsidR="00CF7A3C" w:rsidRPr="008924E0" w:rsidRDefault="00CF7A3C" w:rsidP="000B085B">
            <w:pPr>
              <w:jc w:val="right"/>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Površina (m</w:t>
            </w:r>
            <w:r w:rsidRPr="008924E0">
              <w:rPr>
                <w:vertAlign w:val="superscript"/>
                <w:lang w:val="bs-Latn-BA"/>
              </w:rPr>
              <w:t>2</w:t>
            </w:r>
            <w:r w:rsidRPr="008924E0">
              <w:rPr>
                <w:lang w:val="bs-Latn-BA"/>
              </w:rPr>
              <w:t>)</w:t>
            </w:r>
          </w:p>
        </w:tc>
      </w:tr>
      <w:tr w:rsidR="00CF7A3C" w:rsidRPr="008924E0" w14:paraId="58A21458"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tcPr>
          <w:p w14:paraId="719B5614" w14:textId="77777777" w:rsidR="00CF7A3C" w:rsidRPr="008924E0" w:rsidRDefault="00CF7A3C" w:rsidP="000B085B">
            <w:pPr>
              <w:rPr>
                <w:lang w:val="bs-Latn-BA"/>
              </w:rPr>
            </w:pPr>
            <w:r w:rsidRPr="008924E0">
              <w:rPr>
                <w:lang w:val="bs-Latn-BA"/>
              </w:rPr>
              <w:t>Stambene zgrade</w:t>
            </w:r>
          </w:p>
        </w:tc>
        <w:tc>
          <w:tcPr>
            <w:tcW w:w="4514" w:type="dxa"/>
          </w:tcPr>
          <w:p w14:paraId="6F422C15"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45.779.938</w:t>
            </w:r>
          </w:p>
        </w:tc>
      </w:tr>
      <w:tr w:rsidR="00CF7A3C" w:rsidRPr="008924E0" w14:paraId="36F35227"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tcPr>
          <w:p w14:paraId="5CF35167" w14:textId="77777777" w:rsidR="00CF7A3C" w:rsidRPr="008924E0" w:rsidRDefault="00CF7A3C" w:rsidP="000B085B">
            <w:pPr>
              <w:jc w:val="right"/>
              <w:rPr>
                <w:i/>
                <w:lang w:val="bs-Latn-BA"/>
              </w:rPr>
            </w:pPr>
            <w:r w:rsidRPr="008924E0">
              <w:rPr>
                <w:b w:val="0"/>
                <w:i/>
                <w:lang w:val="bs-Latn-BA"/>
              </w:rPr>
              <w:t>Zgrade individualnog stanovanja</w:t>
            </w:r>
          </w:p>
        </w:tc>
        <w:tc>
          <w:tcPr>
            <w:tcW w:w="4514" w:type="dxa"/>
          </w:tcPr>
          <w:p w14:paraId="7D86C9A9"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33.668.509</w:t>
            </w:r>
          </w:p>
        </w:tc>
      </w:tr>
      <w:tr w:rsidR="00CF7A3C" w:rsidRPr="008924E0" w14:paraId="0AE3F70B"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tcPr>
          <w:p w14:paraId="2FA38274" w14:textId="77777777" w:rsidR="00CF7A3C" w:rsidRPr="008924E0" w:rsidRDefault="00CF7A3C" w:rsidP="000B085B">
            <w:pPr>
              <w:jc w:val="right"/>
              <w:rPr>
                <w:i/>
                <w:lang w:val="bs-Latn-BA"/>
              </w:rPr>
            </w:pPr>
            <w:r w:rsidRPr="008924E0">
              <w:rPr>
                <w:b w:val="0"/>
                <w:i/>
                <w:lang w:val="bs-Latn-BA"/>
              </w:rPr>
              <w:t>Zgrade kolektivnog stanovanja</w:t>
            </w:r>
          </w:p>
        </w:tc>
        <w:tc>
          <w:tcPr>
            <w:tcW w:w="4514" w:type="dxa"/>
          </w:tcPr>
          <w:p w14:paraId="2ED05F47"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12.111.4297</w:t>
            </w:r>
          </w:p>
        </w:tc>
      </w:tr>
      <w:tr w:rsidR="00CF7A3C" w:rsidRPr="008924E0" w14:paraId="247DB4D0"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tcPr>
          <w:p w14:paraId="66892913" w14:textId="77777777" w:rsidR="00CF7A3C" w:rsidRPr="008924E0" w:rsidRDefault="00CF7A3C" w:rsidP="000B085B">
            <w:pPr>
              <w:rPr>
                <w:lang w:val="bs-Latn-BA"/>
              </w:rPr>
            </w:pPr>
            <w:r w:rsidRPr="008924E0">
              <w:rPr>
                <w:lang w:val="bs-Latn-BA"/>
              </w:rPr>
              <w:t>Nestambene zgrade</w:t>
            </w:r>
          </w:p>
        </w:tc>
        <w:tc>
          <w:tcPr>
            <w:tcW w:w="4514" w:type="dxa"/>
          </w:tcPr>
          <w:p w14:paraId="36F9B411"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12.730.000</w:t>
            </w:r>
          </w:p>
        </w:tc>
      </w:tr>
      <w:tr w:rsidR="00CF7A3C" w:rsidRPr="008924E0" w14:paraId="5E64A44B" w14:textId="77777777" w:rsidTr="00695AE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tcPr>
          <w:p w14:paraId="058E51BA" w14:textId="77777777" w:rsidR="00CF7A3C" w:rsidRPr="008924E0" w:rsidRDefault="00CF7A3C" w:rsidP="000B085B">
            <w:pPr>
              <w:jc w:val="right"/>
              <w:rPr>
                <w:i/>
                <w:lang w:val="bs-Latn-BA"/>
              </w:rPr>
            </w:pPr>
            <w:r w:rsidRPr="008924E0">
              <w:rPr>
                <w:b w:val="0"/>
                <w:i/>
                <w:lang w:val="bs-Latn-BA"/>
              </w:rPr>
              <w:t>Javne zgrade</w:t>
            </w:r>
          </w:p>
        </w:tc>
        <w:tc>
          <w:tcPr>
            <w:tcW w:w="4514" w:type="dxa"/>
          </w:tcPr>
          <w:p w14:paraId="3FE20EF5"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5.161.287</w:t>
            </w:r>
          </w:p>
        </w:tc>
      </w:tr>
      <w:tr w:rsidR="00CF7A3C" w:rsidRPr="008924E0" w14:paraId="046296EE" w14:textId="77777777" w:rsidTr="00695AE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3" w:type="dxa"/>
          </w:tcPr>
          <w:p w14:paraId="55FFC289" w14:textId="77777777" w:rsidR="00CF7A3C" w:rsidRPr="008924E0" w:rsidRDefault="00CF7A3C" w:rsidP="000B085B">
            <w:pPr>
              <w:jc w:val="right"/>
              <w:rPr>
                <w:i/>
                <w:lang w:val="bs-Latn-BA"/>
              </w:rPr>
            </w:pPr>
            <w:r w:rsidRPr="008924E0">
              <w:rPr>
                <w:b w:val="0"/>
                <w:i/>
                <w:lang w:val="bs-Latn-BA"/>
              </w:rPr>
              <w:t xml:space="preserve">Komercijalne zgrade </w:t>
            </w:r>
          </w:p>
        </w:tc>
        <w:tc>
          <w:tcPr>
            <w:tcW w:w="4514" w:type="dxa"/>
          </w:tcPr>
          <w:p w14:paraId="4FD6F42F"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xml:space="preserve">7.568.713 </w:t>
            </w:r>
          </w:p>
        </w:tc>
      </w:tr>
    </w:tbl>
    <w:p w14:paraId="5544D27F" w14:textId="77777777" w:rsidR="00CF7A3C" w:rsidRPr="008924E0" w:rsidRDefault="00CF7A3C" w:rsidP="00CF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bs-Latn-BA"/>
        </w:rPr>
      </w:pPr>
    </w:p>
    <w:p w14:paraId="4C4C2827" w14:textId="77777777" w:rsidR="00CF7A3C" w:rsidRPr="008924E0" w:rsidRDefault="00CF7A3C" w:rsidP="00CF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bs-Latn-BA"/>
        </w:rPr>
      </w:pPr>
      <w:r w:rsidRPr="008924E0">
        <w:rPr>
          <w:lang w:val="bs-Latn-BA"/>
        </w:rPr>
        <w:t>Prema arhitektonsko-građevinskim karakteristikama, stambeni fond se može razvrstati u odnosu na period gradnje. U okviru projekta Tipologija stambenih zgrada u Bosni Hercegovini, je predstavljen sistematizovani set podataka o arhitektonsko-građevinskim i energijskim karakteristikama kompletnog stambenog fonda u Bosni i Hercegovini</w:t>
      </w:r>
      <w:r w:rsidRPr="008924E0">
        <w:rPr>
          <w:vertAlign w:val="superscript"/>
          <w:lang w:val="bs-Latn-BA"/>
        </w:rPr>
        <w:footnoteReference w:id="105"/>
      </w:r>
      <w:r w:rsidRPr="008924E0">
        <w:rPr>
          <w:lang w:val="bs-Latn-BA"/>
        </w:rPr>
        <w:t xml:space="preserve">. Analiza je bazirana na prikupljenim arhitektonsko-građevinskim podacima i podacima o termotehničkim sistemima za 13.044 zgrada individualnog i kolektivnog stanovanja, odabranih prema modelu Agencije za statistiku Bosne i Hercegovine i Popisu stanovništva. </w:t>
      </w:r>
    </w:p>
    <w:p w14:paraId="20AD4E17" w14:textId="77777777" w:rsidR="00CF7A3C" w:rsidRPr="008924E0" w:rsidRDefault="00CF7A3C" w:rsidP="00BB40F0">
      <w:pPr>
        <w:pStyle w:val="Heading4"/>
        <w:numPr>
          <w:ilvl w:val="3"/>
          <w:numId w:val="54"/>
        </w:numPr>
        <w:ind w:left="1890" w:hanging="810"/>
        <w:rPr>
          <w:lang w:val="bs-Latn-BA"/>
        </w:rPr>
      </w:pPr>
      <w:bookmarkStart w:id="193" w:name="_Toc134011816"/>
      <w:r w:rsidRPr="008924E0">
        <w:rPr>
          <w:lang w:val="bs-Latn-BA"/>
        </w:rPr>
        <w:t>Kategorizacija fonda zgrada prema periodu gradnje</w:t>
      </w:r>
      <w:bookmarkEnd w:id="193"/>
    </w:p>
    <w:p w14:paraId="33998DBD" w14:textId="77777777" w:rsidR="00CF7A3C" w:rsidRPr="008924E0" w:rsidRDefault="00CF7A3C" w:rsidP="00CF7A3C">
      <w:pPr>
        <w:pStyle w:val="Heading5"/>
        <w:rPr>
          <w:lang w:val="bs-Latn-BA"/>
        </w:rPr>
      </w:pPr>
      <w:r w:rsidRPr="008924E0">
        <w:rPr>
          <w:lang w:val="bs-Latn-BA"/>
        </w:rPr>
        <w:t>Stambene zgrade</w:t>
      </w:r>
    </w:p>
    <w:p w14:paraId="24DF6D25" w14:textId="011C4455" w:rsidR="00CF7A3C" w:rsidRPr="008924E0" w:rsidRDefault="00CF7A3C" w:rsidP="00CF7A3C">
      <w:pPr>
        <w:tabs>
          <w:tab w:val="left" w:pos="4962"/>
        </w:tabs>
        <w:rPr>
          <w:lang w:val="bs-Latn-BA"/>
        </w:rPr>
      </w:pPr>
      <w:r w:rsidRPr="008924E0">
        <w:rPr>
          <w:lang w:val="bs-Latn-BA"/>
        </w:rPr>
        <w:t>Stambene zgrade su objekti namijenjeni trajnom stanovanju ljudi, jedne ili više porodica te se razlikuju stambene zgrade individualnog stanovanja, tj. porodične kuće sa do tri stana i maksimalno tri nadzemne etaže, i stambene zgrade namijenjene stanovanju više porodica, tzv. stambene zgrade kolektivnog stanovanja. Prema Tipologiji stambenih zgrada u BiH, za sve zgrade razvrstane prema tipu zgrade i periodu izgradnje, iskorištene su specifične arhitektonske karakteristike (tip prozora, materijal zida, debljina toplotne izolacije na vanjskom zidu i tip krova) kao ulazni podaci za klaster analizu</w:t>
      </w:r>
      <w:r w:rsidRPr="008924E0">
        <w:rPr>
          <w:i/>
          <w:vertAlign w:val="superscript"/>
          <w:lang w:val="bs-Latn-BA"/>
        </w:rPr>
        <w:footnoteReference w:id="106"/>
      </w:r>
      <w:r w:rsidRPr="008924E0">
        <w:rPr>
          <w:lang w:val="bs-Latn-BA"/>
        </w:rPr>
        <w:t xml:space="preserve"> i kategorizaciju. </w:t>
      </w:r>
    </w:p>
    <w:p w14:paraId="2A6AE3FB" w14:textId="77777777" w:rsidR="00CF7A3C" w:rsidRPr="008924E0" w:rsidRDefault="00CF7A3C" w:rsidP="00CF7A3C">
      <w:pPr>
        <w:spacing w:line="240" w:lineRule="auto"/>
        <w:rPr>
          <w:lang w:val="bs-Latn-BA"/>
        </w:rPr>
      </w:pPr>
      <w:r w:rsidRPr="008924E0">
        <w:rPr>
          <w:lang w:val="bs-Latn-BA"/>
        </w:rPr>
        <w:t xml:space="preserve">Sistematizacija zgrada prema periodima građenja, a prema Tipologiji stambenih zgrada u BiH je izvršena prema periodima: </w:t>
      </w:r>
    </w:p>
    <w:p w14:paraId="61B8EF38" w14:textId="77777777" w:rsidR="00CF7A3C" w:rsidRPr="008924E0" w:rsidRDefault="00CF7A3C" w:rsidP="00CF7A3C">
      <w:pPr>
        <w:numPr>
          <w:ilvl w:val="0"/>
          <w:numId w:val="35"/>
        </w:numPr>
        <w:spacing w:after="0" w:line="240" w:lineRule="auto"/>
        <w:jc w:val="left"/>
        <w:rPr>
          <w:lang w:val="bs-Latn-BA"/>
        </w:rPr>
      </w:pPr>
      <w:r w:rsidRPr="008924E0">
        <w:rPr>
          <w:lang w:val="bs-Latn-BA"/>
        </w:rPr>
        <w:t>do 1945. godine</w:t>
      </w:r>
    </w:p>
    <w:p w14:paraId="0EBE2BC9" w14:textId="77777777" w:rsidR="00CF7A3C" w:rsidRPr="008924E0" w:rsidRDefault="00CF7A3C" w:rsidP="00CF7A3C">
      <w:pPr>
        <w:numPr>
          <w:ilvl w:val="0"/>
          <w:numId w:val="35"/>
        </w:numPr>
        <w:spacing w:after="0" w:line="240" w:lineRule="auto"/>
        <w:jc w:val="left"/>
        <w:rPr>
          <w:lang w:val="bs-Latn-BA"/>
        </w:rPr>
      </w:pPr>
      <w:r w:rsidRPr="008924E0">
        <w:rPr>
          <w:lang w:val="bs-Latn-BA"/>
        </w:rPr>
        <w:t>1946.-1960.</w:t>
      </w:r>
    </w:p>
    <w:p w14:paraId="30A27BD6" w14:textId="77777777" w:rsidR="00CF7A3C" w:rsidRPr="008924E0" w:rsidRDefault="00CF7A3C" w:rsidP="00CF7A3C">
      <w:pPr>
        <w:numPr>
          <w:ilvl w:val="0"/>
          <w:numId w:val="35"/>
        </w:numPr>
        <w:spacing w:after="0" w:line="240" w:lineRule="auto"/>
        <w:jc w:val="left"/>
        <w:rPr>
          <w:lang w:val="bs-Latn-BA"/>
        </w:rPr>
      </w:pPr>
      <w:r w:rsidRPr="008924E0">
        <w:rPr>
          <w:lang w:val="bs-Latn-BA"/>
        </w:rPr>
        <w:t>1961.-1970.</w:t>
      </w:r>
    </w:p>
    <w:p w14:paraId="647594F6" w14:textId="77777777" w:rsidR="00CF7A3C" w:rsidRPr="008924E0" w:rsidRDefault="00CF7A3C" w:rsidP="00CF7A3C">
      <w:pPr>
        <w:numPr>
          <w:ilvl w:val="0"/>
          <w:numId w:val="35"/>
        </w:numPr>
        <w:spacing w:after="0" w:line="240" w:lineRule="auto"/>
        <w:jc w:val="left"/>
        <w:rPr>
          <w:lang w:val="bs-Latn-BA"/>
        </w:rPr>
      </w:pPr>
      <w:r w:rsidRPr="008924E0">
        <w:rPr>
          <w:lang w:val="bs-Latn-BA"/>
        </w:rPr>
        <w:t>1970.-1981.</w:t>
      </w:r>
    </w:p>
    <w:p w14:paraId="0DE08181" w14:textId="77777777" w:rsidR="00CF7A3C" w:rsidRPr="008924E0" w:rsidRDefault="00CF7A3C" w:rsidP="00CF7A3C">
      <w:pPr>
        <w:numPr>
          <w:ilvl w:val="0"/>
          <w:numId w:val="35"/>
        </w:numPr>
        <w:spacing w:after="0" w:line="240" w:lineRule="auto"/>
        <w:jc w:val="left"/>
        <w:rPr>
          <w:lang w:val="bs-Latn-BA"/>
        </w:rPr>
      </w:pPr>
      <w:r w:rsidRPr="008924E0">
        <w:rPr>
          <w:lang w:val="bs-Latn-BA"/>
        </w:rPr>
        <w:t>1981.-1990.</w:t>
      </w:r>
    </w:p>
    <w:p w14:paraId="78D4E70F" w14:textId="77777777" w:rsidR="00CF7A3C" w:rsidRPr="008924E0" w:rsidRDefault="00CF7A3C" w:rsidP="00CF7A3C">
      <w:pPr>
        <w:numPr>
          <w:ilvl w:val="0"/>
          <w:numId w:val="35"/>
        </w:numPr>
        <w:spacing w:after="200" w:line="240" w:lineRule="auto"/>
        <w:jc w:val="left"/>
        <w:rPr>
          <w:lang w:val="bs-Latn-BA"/>
        </w:rPr>
      </w:pPr>
      <w:r w:rsidRPr="008924E0">
        <w:rPr>
          <w:lang w:val="bs-Latn-BA"/>
        </w:rPr>
        <w:t>1990.-2014.</w:t>
      </w:r>
      <w:r w:rsidRPr="008924E0">
        <w:rPr>
          <w:vertAlign w:val="superscript"/>
          <w:lang w:val="bs-Latn-BA"/>
        </w:rPr>
        <w:footnoteReference w:id="107"/>
      </w:r>
    </w:p>
    <w:p w14:paraId="1AB1294E" w14:textId="77777777" w:rsidR="00CF7A3C" w:rsidRPr="008924E0" w:rsidRDefault="00CF7A3C" w:rsidP="00CF7A3C">
      <w:pPr>
        <w:tabs>
          <w:tab w:val="left" w:pos="4962"/>
        </w:tabs>
        <w:rPr>
          <w:lang w:val="bs-Latn-BA"/>
        </w:rPr>
      </w:pPr>
      <w:r w:rsidRPr="008924E0">
        <w:rPr>
          <w:lang w:val="bs-Latn-BA"/>
        </w:rPr>
        <w:t>Prema popisu</w:t>
      </w:r>
      <w:r w:rsidRPr="008924E0">
        <w:rPr>
          <w:vertAlign w:val="superscript"/>
          <w:lang w:val="bs-Latn-BA"/>
        </w:rPr>
        <w:footnoteReference w:id="108"/>
      </w:r>
      <w:r w:rsidRPr="008924E0">
        <w:rPr>
          <w:lang w:val="bs-Latn-BA"/>
        </w:rPr>
        <w:t xml:space="preserve"> iz 2013. ukupan broj zgrada u FBiH je 624.762. Od toga je 608.709 stambenih jedinica sa jednim, dva ili tri stana, što odgovara tipovima slobodnostojeća kuća (SH) i kuća u nizu (TH). </w:t>
      </w:r>
    </w:p>
    <w:p w14:paraId="198A5CBF" w14:textId="77777777" w:rsidR="00CF7A3C" w:rsidRPr="008924E0" w:rsidRDefault="00CF7A3C" w:rsidP="00CF7A3C">
      <w:pPr>
        <w:tabs>
          <w:tab w:val="left" w:pos="4962"/>
        </w:tabs>
        <w:rPr>
          <w:lang w:val="bs-Latn-BA"/>
        </w:rPr>
      </w:pPr>
      <w:r w:rsidRPr="008924E0">
        <w:rPr>
          <w:lang w:val="bs-Latn-BA"/>
        </w:rPr>
        <w:lastRenderedPageBreak/>
        <w:t xml:space="preserve">Ostatak zgrada (16.052) predstavljaju zgrade sa četiri ili više stanova, što odgovara zgradama kolektivnog stanovanja. Prema podacima iz Tipologije stambenih zgrada, ukupan broj zgrada je 508.100 zgrada, od čega 496.787 čine SH i TH zgrade individualnog stanovanja, a 11.313 čine zgrade kolektivnog stanovanja. Udio individualnih zgrada u ukupnom broju zgrada iz Popisa i Tipologije iznosi 97,43 % i 97,77 %, respektivno. Prema tome je moguće usklađivanje podataka o broju zgrada, bruto i korisnim površinama stambenog fonda iz Tipologije sa podacima iz Popisa, te su u nastavku prikazani ti podaci. </w:t>
      </w:r>
    </w:p>
    <w:p w14:paraId="245F8017" w14:textId="4371632B" w:rsidR="00FB0871" w:rsidRPr="008924E0" w:rsidRDefault="00CF7A3C" w:rsidP="00FB0871">
      <w:pPr>
        <w:rPr>
          <w:lang w:val="bs-Latn-BA"/>
        </w:rPr>
      </w:pPr>
      <w:r w:rsidRPr="008924E0">
        <w:rPr>
          <w:lang w:val="bs-Latn-BA"/>
        </w:rPr>
        <w:t xml:space="preserve">Raspodjela bruto grijane površine po kategorijama zgrada je prikazana u Tabeli </w:t>
      </w:r>
      <w:r w:rsidR="00695AEF">
        <w:rPr>
          <w:lang w:val="bs-Latn-BA"/>
        </w:rPr>
        <w:t>11.</w:t>
      </w:r>
      <w:r w:rsidRPr="008924E0">
        <w:rPr>
          <w:lang w:val="bs-Latn-BA"/>
        </w:rPr>
        <w:t xml:space="preserve">1.3. </w:t>
      </w:r>
      <w:r w:rsidR="00FB0871">
        <w:rPr>
          <w:lang w:val="bs-Latn-BA"/>
        </w:rPr>
        <w:t>Kategorija sa najvećim procentualnim udjelom bruto površin</w:t>
      </w:r>
      <w:r w:rsidR="00695AEF">
        <w:rPr>
          <w:lang w:val="bs-Latn-BA"/>
        </w:rPr>
        <w:t>e</w:t>
      </w:r>
      <w:r w:rsidR="00FB0871">
        <w:rPr>
          <w:lang w:val="bs-Latn-BA"/>
        </w:rPr>
        <w:t xml:space="preserve"> u ukupnoj bruto površini stambenih zgrada je kategorija SH, sa udjelom od 72,7 %. N</w:t>
      </w:r>
      <w:r w:rsidR="00FB0871" w:rsidRPr="008924E0">
        <w:rPr>
          <w:lang w:val="bs-Latn-BA"/>
        </w:rPr>
        <w:t xml:space="preserve">aredna kategorija po udjelu u je kategorija AB2 sa udjelom od 13,28 % (Tabela </w:t>
      </w:r>
      <w:r w:rsidR="00695AEF">
        <w:rPr>
          <w:lang w:val="bs-Latn-BA"/>
        </w:rPr>
        <w:t>11.</w:t>
      </w:r>
      <w:r w:rsidR="00FB0871" w:rsidRPr="008924E0">
        <w:rPr>
          <w:lang w:val="bs-Latn-BA"/>
        </w:rPr>
        <w:t xml:space="preserve">1.3). Najveća vrijednost bruto površine je za SH i periode izgradnje počevši od 1971. do 2013. te AB2 za period izgradnje od 1971.-1980. </w:t>
      </w:r>
    </w:p>
    <w:p w14:paraId="6E586CC3" w14:textId="526DBA83" w:rsidR="00695AEF" w:rsidRDefault="00695AEF" w:rsidP="00695AEF">
      <w:pPr>
        <w:pStyle w:val="Caption"/>
        <w:keepNext/>
      </w:pPr>
      <w:bookmarkStart w:id="194" w:name="_Toc133499622"/>
      <w:r>
        <w:t>Tabela 11.1.</w:t>
      </w:r>
      <w:r w:rsidR="00000000">
        <w:fldChar w:fldCharType="begin"/>
      </w:r>
      <w:r w:rsidR="00000000">
        <w:instrText xml:space="preserve"> SEQ Tabela_11.1. \* ARABIC </w:instrText>
      </w:r>
      <w:r w:rsidR="00000000">
        <w:fldChar w:fldCharType="separate"/>
      </w:r>
      <w:r w:rsidR="002D62B3">
        <w:rPr>
          <w:noProof/>
        </w:rPr>
        <w:t>3</w:t>
      </w:r>
      <w:r w:rsidR="00000000">
        <w:rPr>
          <w:noProof/>
        </w:rPr>
        <w:fldChar w:fldCharType="end"/>
      </w:r>
      <w:r>
        <w:t xml:space="preserve"> </w:t>
      </w:r>
      <w:r w:rsidRPr="008924E0">
        <w:rPr>
          <w:color w:val="000000"/>
        </w:rPr>
        <w:t>Bruto grijana površina zgrada u FBiH po tipovima i godini izgradnje</w:t>
      </w:r>
      <w:bookmarkEnd w:id="194"/>
    </w:p>
    <w:tbl>
      <w:tblPr>
        <w:tblStyle w:val="25"/>
        <w:tblW w:w="899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1411"/>
        <w:gridCol w:w="1373"/>
        <w:gridCol w:w="1027"/>
        <w:gridCol w:w="1027"/>
        <w:gridCol w:w="1027"/>
        <w:gridCol w:w="1128"/>
        <w:gridCol w:w="875"/>
        <w:gridCol w:w="1128"/>
      </w:tblGrid>
      <w:tr w:rsidR="00CF7A3C" w:rsidRPr="008924E0" w14:paraId="0556D6E1" w14:textId="77777777" w:rsidTr="00695AEF">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vMerge w:val="restart"/>
          </w:tcPr>
          <w:p w14:paraId="0F7E7DAD" w14:textId="77777777" w:rsidR="00CF7A3C" w:rsidRPr="008924E0" w:rsidRDefault="00CF7A3C" w:rsidP="000B085B">
            <w:pPr>
              <w:jc w:val="center"/>
              <w:rPr>
                <w:lang w:val="bs-Latn-BA"/>
              </w:rPr>
            </w:pPr>
            <w:r w:rsidRPr="008924E0">
              <w:rPr>
                <w:lang w:val="bs-Latn-BA"/>
              </w:rPr>
              <w:t>Period izgradnje </w:t>
            </w:r>
          </w:p>
        </w:tc>
        <w:tc>
          <w:tcPr>
            <w:tcW w:w="2400" w:type="dxa"/>
            <w:gridSpan w:val="2"/>
          </w:tcPr>
          <w:p w14:paraId="02A8189D"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Individualno stanovanje</w:t>
            </w:r>
          </w:p>
        </w:tc>
        <w:tc>
          <w:tcPr>
            <w:tcW w:w="4057" w:type="dxa"/>
            <w:gridSpan w:val="4"/>
          </w:tcPr>
          <w:p w14:paraId="05C4EC72"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Kolektivno stanovanje</w:t>
            </w:r>
          </w:p>
        </w:tc>
        <w:tc>
          <w:tcPr>
            <w:tcW w:w="1128" w:type="dxa"/>
            <w:vMerge w:val="restart"/>
          </w:tcPr>
          <w:p w14:paraId="6EAF87BD"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 Ukupno</w:t>
            </w:r>
          </w:p>
          <w:p w14:paraId="5EF74294"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lang w:val="bs-Latn-BA"/>
              </w:rPr>
            </w:pPr>
          </w:p>
          <w:p w14:paraId="4EC20C18"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lang w:val="bs-Latn-BA"/>
              </w:rPr>
            </w:pPr>
          </w:p>
        </w:tc>
      </w:tr>
      <w:tr w:rsidR="00CB76CD" w:rsidRPr="008924E0" w14:paraId="02D8C146" w14:textId="77777777" w:rsidTr="00695AEF">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1411" w:type="dxa"/>
            <w:vMerge/>
          </w:tcPr>
          <w:p w14:paraId="6F7E2743" w14:textId="77777777" w:rsidR="00CF7A3C" w:rsidRPr="008924E0" w:rsidRDefault="00CF7A3C" w:rsidP="000B085B">
            <w:pPr>
              <w:widowControl w:val="0"/>
              <w:pBdr>
                <w:top w:val="nil"/>
                <w:left w:val="nil"/>
                <w:bottom w:val="nil"/>
                <w:right w:val="nil"/>
                <w:between w:val="nil"/>
              </w:pBdr>
              <w:spacing w:line="276" w:lineRule="auto"/>
              <w:rPr>
                <w:lang w:val="bs-Latn-BA"/>
              </w:rPr>
            </w:pPr>
          </w:p>
        </w:tc>
        <w:tc>
          <w:tcPr>
            <w:tcW w:w="1373" w:type="dxa"/>
            <w:shd w:val="clear" w:color="auto" w:fill="006432"/>
          </w:tcPr>
          <w:p w14:paraId="55B5380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SH</w:t>
            </w:r>
          </w:p>
        </w:tc>
        <w:tc>
          <w:tcPr>
            <w:tcW w:w="1027" w:type="dxa"/>
            <w:shd w:val="clear" w:color="auto" w:fill="006432"/>
          </w:tcPr>
          <w:p w14:paraId="2432C2E7"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TH</w:t>
            </w:r>
          </w:p>
        </w:tc>
        <w:tc>
          <w:tcPr>
            <w:tcW w:w="1027" w:type="dxa"/>
            <w:shd w:val="clear" w:color="auto" w:fill="006432"/>
          </w:tcPr>
          <w:p w14:paraId="4A6BDC67"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MH</w:t>
            </w:r>
          </w:p>
        </w:tc>
        <w:tc>
          <w:tcPr>
            <w:tcW w:w="1027" w:type="dxa"/>
            <w:shd w:val="clear" w:color="auto" w:fill="006432"/>
          </w:tcPr>
          <w:p w14:paraId="26F33602"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AB1</w:t>
            </w:r>
          </w:p>
        </w:tc>
        <w:tc>
          <w:tcPr>
            <w:tcW w:w="1128" w:type="dxa"/>
            <w:shd w:val="clear" w:color="auto" w:fill="006432"/>
          </w:tcPr>
          <w:p w14:paraId="5B6BB55B"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AB2</w:t>
            </w:r>
          </w:p>
        </w:tc>
        <w:tc>
          <w:tcPr>
            <w:tcW w:w="875" w:type="dxa"/>
            <w:shd w:val="clear" w:color="auto" w:fill="006432"/>
          </w:tcPr>
          <w:p w14:paraId="4E193A9A"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H</w:t>
            </w:r>
          </w:p>
        </w:tc>
        <w:tc>
          <w:tcPr>
            <w:tcW w:w="1128" w:type="dxa"/>
            <w:vMerge/>
          </w:tcPr>
          <w:p w14:paraId="38E9F7EB" w14:textId="77777777" w:rsidR="00CF7A3C" w:rsidRPr="008924E0" w:rsidRDefault="00CF7A3C" w:rsidP="000B085B">
            <w:pPr>
              <w:widowControl w:val="0"/>
              <w:pBdr>
                <w:top w:val="nil"/>
                <w:left w:val="nil"/>
                <w:bottom w:val="nil"/>
                <w:right w:val="nil"/>
                <w:between w:val="nil"/>
              </w:pBdr>
              <w:spacing w:line="276" w:lineRule="auto"/>
              <w:cnfStyle w:val="000000100000" w:firstRow="0" w:lastRow="0" w:firstColumn="0" w:lastColumn="0" w:oddVBand="0" w:evenVBand="0" w:oddHBand="1" w:evenHBand="0" w:firstRowFirstColumn="0" w:firstRowLastColumn="0" w:lastRowFirstColumn="0" w:lastRowLastColumn="0"/>
              <w:rPr>
                <w:b/>
                <w:color w:val="FFFFFF"/>
                <w:lang w:val="bs-Latn-BA"/>
              </w:rPr>
            </w:pPr>
          </w:p>
        </w:tc>
      </w:tr>
      <w:tr w:rsidR="00CB76CD" w:rsidRPr="008924E0" w14:paraId="6696CCEC" w14:textId="77777777" w:rsidTr="00695AE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507B582C" w14:textId="77777777" w:rsidR="00CF7A3C" w:rsidRPr="008924E0" w:rsidRDefault="00CF7A3C" w:rsidP="000B085B">
            <w:pPr>
              <w:jc w:val="center"/>
              <w:rPr>
                <w:lang w:val="bs-Latn-BA"/>
              </w:rPr>
            </w:pPr>
            <w:r w:rsidRPr="008924E0">
              <w:rPr>
                <w:lang w:val="bs-Latn-BA"/>
              </w:rPr>
              <w:t>do 1945.</w:t>
            </w:r>
          </w:p>
        </w:tc>
        <w:tc>
          <w:tcPr>
            <w:tcW w:w="1373" w:type="dxa"/>
            <w:vAlign w:val="center"/>
          </w:tcPr>
          <w:p w14:paraId="26F25D3D"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396.448</w:t>
            </w:r>
          </w:p>
        </w:tc>
        <w:tc>
          <w:tcPr>
            <w:tcW w:w="1027" w:type="dxa"/>
            <w:vAlign w:val="center"/>
          </w:tcPr>
          <w:p w14:paraId="3AEFC20E"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13.317</w:t>
            </w:r>
          </w:p>
        </w:tc>
        <w:tc>
          <w:tcPr>
            <w:tcW w:w="1027" w:type="dxa"/>
            <w:vAlign w:val="center"/>
          </w:tcPr>
          <w:p w14:paraId="1AF46536"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118.071</w:t>
            </w:r>
          </w:p>
        </w:tc>
        <w:tc>
          <w:tcPr>
            <w:tcW w:w="1027" w:type="dxa"/>
            <w:vAlign w:val="center"/>
          </w:tcPr>
          <w:p w14:paraId="2CDB7F17"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151.361</w:t>
            </w:r>
          </w:p>
        </w:tc>
        <w:tc>
          <w:tcPr>
            <w:tcW w:w="1128" w:type="dxa"/>
            <w:vAlign w:val="center"/>
          </w:tcPr>
          <w:p w14:paraId="7BA77137"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0</w:t>
            </w:r>
          </w:p>
        </w:tc>
        <w:tc>
          <w:tcPr>
            <w:tcW w:w="875" w:type="dxa"/>
            <w:vAlign w:val="center"/>
          </w:tcPr>
          <w:p w14:paraId="61AF3F58"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4.060</w:t>
            </w:r>
          </w:p>
        </w:tc>
        <w:tc>
          <w:tcPr>
            <w:tcW w:w="1128" w:type="dxa"/>
            <w:vAlign w:val="center"/>
          </w:tcPr>
          <w:p w14:paraId="1B1DF042"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683.258</w:t>
            </w:r>
          </w:p>
        </w:tc>
      </w:tr>
      <w:tr w:rsidR="00CB76CD" w:rsidRPr="008924E0" w14:paraId="0620373B" w14:textId="77777777" w:rsidTr="00695A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4240555F" w14:textId="77777777" w:rsidR="00CF7A3C" w:rsidRPr="008924E0" w:rsidRDefault="00CF7A3C" w:rsidP="000B085B">
            <w:pPr>
              <w:jc w:val="center"/>
              <w:rPr>
                <w:lang w:val="bs-Latn-BA"/>
              </w:rPr>
            </w:pPr>
            <w:r w:rsidRPr="008924E0">
              <w:rPr>
                <w:lang w:val="bs-Latn-BA"/>
              </w:rPr>
              <w:t>1946.-1960.</w:t>
            </w:r>
          </w:p>
        </w:tc>
        <w:tc>
          <w:tcPr>
            <w:tcW w:w="1373" w:type="dxa"/>
            <w:vAlign w:val="center"/>
          </w:tcPr>
          <w:p w14:paraId="3917FCF9"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1.079.198</w:t>
            </w:r>
          </w:p>
        </w:tc>
        <w:tc>
          <w:tcPr>
            <w:tcW w:w="1027" w:type="dxa"/>
            <w:vAlign w:val="center"/>
          </w:tcPr>
          <w:p w14:paraId="68509FAA"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97.000</w:t>
            </w:r>
          </w:p>
        </w:tc>
        <w:tc>
          <w:tcPr>
            <w:tcW w:w="1027" w:type="dxa"/>
            <w:vAlign w:val="center"/>
          </w:tcPr>
          <w:p w14:paraId="780A3A56"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615.170</w:t>
            </w:r>
          </w:p>
        </w:tc>
        <w:tc>
          <w:tcPr>
            <w:tcW w:w="1027" w:type="dxa"/>
            <w:vAlign w:val="center"/>
          </w:tcPr>
          <w:p w14:paraId="3B6CDF91"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216.144</w:t>
            </w:r>
          </w:p>
        </w:tc>
        <w:tc>
          <w:tcPr>
            <w:tcW w:w="1128" w:type="dxa"/>
            <w:vAlign w:val="center"/>
          </w:tcPr>
          <w:p w14:paraId="5AC98DEC"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275.911</w:t>
            </w:r>
          </w:p>
        </w:tc>
        <w:tc>
          <w:tcPr>
            <w:tcW w:w="875" w:type="dxa"/>
            <w:vAlign w:val="center"/>
          </w:tcPr>
          <w:p w14:paraId="0156852F"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38.860</w:t>
            </w:r>
          </w:p>
        </w:tc>
        <w:tc>
          <w:tcPr>
            <w:tcW w:w="1128" w:type="dxa"/>
            <w:vAlign w:val="center"/>
          </w:tcPr>
          <w:p w14:paraId="6F400582"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2.322.283</w:t>
            </w:r>
          </w:p>
        </w:tc>
      </w:tr>
      <w:tr w:rsidR="00CB76CD" w:rsidRPr="008924E0" w14:paraId="766628B5" w14:textId="77777777" w:rsidTr="00695AE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1CF379C6" w14:textId="77777777" w:rsidR="00CF7A3C" w:rsidRPr="008924E0" w:rsidRDefault="00CF7A3C" w:rsidP="000B085B">
            <w:pPr>
              <w:jc w:val="center"/>
              <w:rPr>
                <w:lang w:val="bs-Latn-BA"/>
              </w:rPr>
            </w:pPr>
            <w:r w:rsidRPr="008924E0">
              <w:rPr>
                <w:lang w:val="bs-Latn-BA"/>
              </w:rPr>
              <w:t>1961.-1970.</w:t>
            </w:r>
          </w:p>
        </w:tc>
        <w:tc>
          <w:tcPr>
            <w:tcW w:w="1373" w:type="dxa"/>
            <w:vAlign w:val="center"/>
          </w:tcPr>
          <w:p w14:paraId="43936244"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3.809.542</w:t>
            </w:r>
          </w:p>
        </w:tc>
        <w:tc>
          <w:tcPr>
            <w:tcW w:w="1027" w:type="dxa"/>
            <w:vAlign w:val="center"/>
          </w:tcPr>
          <w:p w14:paraId="082DB388"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572.636</w:t>
            </w:r>
          </w:p>
        </w:tc>
        <w:tc>
          <w:tcPr>
            <w:tcW w:w="1027" w:type="dxa"/>
            <w:vAlign w:val="center"/>
          </w:tcPr>
          <w:p w14:paraId="5C4D204D"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1.396.508</w:t>
            </w:r>
          </w:p>
        </w:tc>
        <w:tc>
          <w:tcPr>
            <w:tcW w:w="1027" w:type="dxa"/>
            <w:vAlign w:val="center"/>
          </w:tcPr>
          <w:p w14:paraId="15DD1725"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762.536</w:t>
            </w:r>
          </w:p>
        </w:tc>
        <w:tc>
          <w:tcPr>
            <w:tcW w:w="1128" w:type="dxa"/>
            <w:vAlign w:val="center"/>
          </w:tcPr>
          <w:p w14:paraId="5DCDB2DE"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2.311.899</w:t>
            </w:r>
          </w:p>
        </w:tc>
        <w:tc>
          <w:tcPr>
            <w:tcW w:w="875" w:type="dxa"/>
            <w:vAlign w:val="center"/>
          </w:tcPr>
          <w:p w14:paraId="3753D2FA"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323.498</w:t>
            </w:r>
          </w:p>
        </w:tc>
        <w:tc>
          <w:tcPr>
            <w:tcW w:w="1128" w:type="dxa"/>
            <w:vAlign w:val="center"/>
          </w:tcPr>
          <w:p w14:paraId="25D1A2FA"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9.176.619</w:t>
            </w:r>
          </w:p>
        </w:tc>
      </w:tr>
      <w:tr w:rsidR="00CB76CD" w:rsidRPr="008924E0" w14:paraId="7805BCD5" w14:textId="77777777" w:rsidTr="00695A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4834AA6E" w14:textId="77777777" w:rsidR="00CF7A3C" w:rsidRPr="008924E0" w:rsidRDefault="00CF7A3C" w:rsidP="000B085B">
            <w:pPr>
              <w:jc w:val="center"/>
              <w:rPr>
                <w:lang w:val="bs-Latn-BA"/>
              </w:rPr>
            </w:pPr>
            <w:r w:rsidRPr="008924E0">
              <w:rPr>
                <w:lang w:val="bs-Latn-BA"/>
              </w:rPr>
              <w:t>1971.-1980.</w:t>
            </w:r>
          </w:p>
        </w:tc>
        <w:tc>
          <w:tcPr>
            <w:tcW w:w="1373" w:type="dxa"/>
            <w:vAlign w:val="center"/>
          </w:tcPr>
          <w:p w14:paraId="277B0F69"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11.066.180</w:t>
            </w:r>
          </w:p>
        </w:tc>
        <w:tc>
          <w:tcPr>
            <w:tcW w:w="1027" w:type="dxa"/>
            <w:vAlign w:val="center"/>
          </w:tcPr>
          <w:p w14:paraId="370AF3A1"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797.354</w:t>
            </w:r>
          </w:p>
        </w:tc>
        <w:tc>
          <w:tcPr>
            <w:tcW w:w="1027" w:type="dxa"/>
            <w:vAlign w:val="center"/>
          </w:tcPr>
          <w:p w14:paraId="3A314214"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1.526.897</w:t>
            </w:r>
          </w:p>
        </w:tc>
        <w:tc>
          <w:tcPr>
            <w:tcW w:w="1027" w:type="dxa"/>
            <w:vAlign w:val="center"/>
          </w:tcPr>
          <w:p w14:paraId="0EC0C3E6"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615.256</w:t>
            </w:r>
          </w:p>
        </w:tc>
        <w:tc>
          <w:tcPr>
            <w:tcW w:w="1128" w:type="dxa"/>
            <w:vAlign w:val="center"/>
          </w:tcPr>
          <w:p w14:paraId="1427FEBD"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5.633.214</w:t>
            </w:r>
          </w:p>
        </w:tc>
        <w:tc>
          <w:tcPr>
            <w:tcW w:w="875" w:type="dxa"/>
            <w:vAlign w:val="center"/>
          </w:tcPr>
          <w:p w14:paraId="5D644444"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309.482</w:t>
            </w:r>
          </w:p>
        </w:tc>
        <w:tc>
          <w:tcPr>
            <w:tcW w:w="1128" w:type="dxa"/>
            <w:vAlign w:val="center"/>
          </w:tcPr>
          <w:p w14:paraId="6A9BD9F7"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19.948.383</w:t>
            </w:r>
          </w:p>
        </w:tc>
      </w:tr>
      <w:tr w:rsidR="00CB76CD" w:rsidRPr="008924E0" w14:paraId="49042764" w14:textId="77777777" w:rsidTr="00695AE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0F2A2AFF" w14:textId="77777777" w:rsidR="00CF7A3C" w:rsidRPr="008924E0" w:rsidRDefault="00CF7A3C" w:rsidP="000B085B">
            <w:pPr>
              <w:jc w:val="center"/>
              <w:rPr>
                <w:lang w:val="bs-Latn-BA"/>
              </w:rPr>
            </w:pPr>
            <w:r w:rsidRPr="008924E0">
              <w:rPr>
                <w:lang w:val="bs-Latn-BA"/>
              </w:rPr>
              <w:t>1981.-1991.</w:t>
            </w:r>
          </w:p>
        </w:tc>
        <w:tc>
          <w:tcPr>
            <w:tcW w:w="1373" w:type="dxa"/>
            <w:vAlign w:val="center"/>
          </w:tcPr>
          <w:p w14:paraId="5FC0369A"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18.123.381</w:t>
            </w:r>
          </w:p>
        </w:tc>
        <w:tc>
          <w:tcPr>
            <w:tcW w:w="1027" w:type="dxa"/>
            <w:vAlign w:val="center"/>
          </w:tcPr>
          <w:p w14:paraId="6BFB9419"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545.244</w:t>
            </w:r>
          </w:p>
        </w:tc>
        <w:tc>
          <w:tcPr>
            <w:tcW w:w="1027" w:type="dxa"/>
            <w:vAlign w:val="center"/>
          </w:tcPr>
          <w:p w14:paraId="2D6D8156"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464.946</w:t>
            </w:r>
          </w:p>
        </w:tc>
        <w:tc>
          <w:tcPr>
            <w:tcW w:w="1027" w:type="dxa"/>
            <w:vAlign w:val="center"/>
          </w:tcPr>
          <w:p w14:paraId="5D079CA1"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38.965</w:t>
            </w:r>
          </w:p>
        </w:tc>
        <w:tc>
          <w:tcPr>
            <w:tcW w:w="1128" w:type="dxa"/>
            <w:vAlign w:val="center"/>
          </w:tcPr>
          <w:p w14:paraId="0810A4E8"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1.224.893</w:t>
            </w:r>
          </w:p>
        </w:tc>
        <w:tc>
          <w:tcPr>
            <w:tcW w:w="875" w:type="dxa"/>
            <w:vAlign w:val="center"/>
          </w:tcPr>
          <w:p w14:paraId="019318A6"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38.170</w:t>
            </w:r>
          </w:p>
        </w:tc>
        <w:tc>
          <w:tcPr>
            <w:tcW w:w="1128" w:type="dxa"/>
            <w:vAlign w:val="center"/>
          </w:tcPr>
          <w:p w14:paraId="03254CE9"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20.435.600</w:t>
            </w:r>
          </w:p>
        </w:tc>
      </w:tr>
      <w:tr w:rsidR="00CB76CD" w:rsidRPr="008924E0" w14:paraId="4E0FB025" w14:textId="77777777" w:rsidTr="00695A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3F67F4C4" w14:textId="77777777" w:rsidR="00CF7A3C" w:rsidRPr="008924E0" w:rsidRDefault="00CF7A3C" w:rsidP="000B085B">
            <w:pPr>
              <w:jc w:val="center"/>
              <w:rPr>
                <w:lang w:val="bs-Latn-BA"/>
              </w:rPr>
            </w:pPr>
            <w:r w:rsidRPr="008924E0">
              <w:rPr>
                <w:lang w:val="bs-Latn-BA"/>
              </w:rPr>
              <w:t>1992.-2013.</w:t>
            </w:r>
          </w:p>
        </w:tc>
        <w:tc>
          <w:tcPr>
            <w:tcW w:w="1373" w:type="dxa"/>
            <w:vAlign w:val="center"/>
          </w:tcPr>
          <w:p w14:paraId="1225CEBC"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20.695.793</w:t>
            </w:r>
          </w:p>
        </w:tc>
        <w:tc>
          <w:tcPr>
            <w:tcW w:w="1027" w:type="dxa"/>
            <w:vAlign w:val="center"/>
          </w:tcPr>
          <w:p w14:paraId="4F78B95E"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701.614</w:t>
            </w:r>
          </w:p>
        </w:tc>
        <w:tc>
          <w:tcPr>
            <w:tcW w:w="1027" w:type="dxa"/>
            <w:vAlign w:val="center"/>
          </w:tcPr>
          <w:p w14:paraId="656C3864"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1.172.450</w:t>
            </w:r>
          </w:p>
        </w:tc>
        <w:tc>
          <w:tcPr>
            <w:tcW w:w="1027" w:type="dxa"/>
            <w:vAlign w:val="center"/>
          </w:tcPr>
          <w:p w14:paraId="03BC4E17"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86.977</w:t>
            </w:r>
          </w:p>
        </w:tc>
        <w:tc>
          <w:tcPr>
            <w:tcW w:w="1128" w:type="dxa"/>
            <w:vAlign w:val="center"/>
          </w:tcPr>
          <w:p w14:paraId="6A0C8233"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629.388</w:t>
            </w:r>
          </w:p>
        </w:tc>
        <w:tc>
          <w:tcPr>
            <w:tcW w:w="875" w:type="dxa"/>
            <w:vAlign w:val="center"/>
          </w:tcPr>
          <w:p w14:paraId="7CEBC10E"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30.188</w:t>
            </w:r>
          </w:p>
        </w:tc>
        <w:tc>
          <w:tcPr>
            <w:tcW w:w="1128" w:type="dxa"/>
            <w:vAlign w:val="center"/>
          </w:tcPr>
          <w:p w14:paraId="7B5A30D1"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23.316.410</w:t>
            </w:r>
          </w:p>
        </w:tc>
      </w:tr>
      <w:tr w:rsidR="00CB76CD" w:rsidRPr="008924E0" w14:paraId="6DD83AB0" w14:textId="77777777" w:rsidTr="00695AEF">
        <w:trPr>
          <w:cnfStyle w:val="000000010000" w:firstRow="0" w:lastRow="0" w:firstColumn="0" w:lastColumn="0" w:oddVBand="0" w:evenVBand="0" w:oddHBand="0" w:evenHBand="1"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4AE55CC6" w14:textId="77777777" w:rsidR="00CF7A3C" w:rsidRPr="008924E0" w:rsidRDefault="00CF7A3C" w:rsidP="000B085B">
            <w:pPr>
              <w:ind w:firstLine="201"/>
              <w:jc w:val="center"/>
              <w:rPr>
                <w:lang w:val="bs-Latn-BA"/>
              </w:rPr>
            </w:pPr>
            <w:r w:rsidRPr="008924E0">
              <w:rPr>
                <w:lang w:val="bs-Latn-BA"/>
              </w:rPr>
              <w:t>Ukupno</w:t>
            </w:r>
          </w:p>
        </w:tc>
        <w:tc>
          <w:tcPr>
            <w:tcW w:w="1373" w:type="dxa"/>
            <w:vAlign w:val="center"/>
          </w:tcPr>
          <w:p w14:paraId="5C24EFE5"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55.170.542</w:t>
            </w:r>
          </w:p>
        </w:tc>
        <w:tc>
          <w:tcPr>
            <w:tcW w:w="1027" w:type="dxa"/>
            <w:vAlign w:val="center"/>
          </w:tcPr>
          <w:p w14:paraId="1014077A"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2.727.165</w:t>
            </w:r>
          </w:p>
        </w:tc>
        <w:tc>
          <w:tcPr>
            <w:tcW w:w="1027" w:type="dxa"/>
            <w:vAlign w:val="center"/>
          </w:tcPr>
          <w:p w14:paraId="6B6F7A48"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5.294.042</w:t>
            </w:r>
          </w:p>
        </w:tc>
        <w:tc>
          <w:tcPr>
            <w:tcW w:w="1027" w:type="dxa"/>
            <w:vAlign w:val="center"/>
          </w:tcPr>
          <w:p w14:paraId="2EB30761"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1.871.240</w:t>
            </w:r>
          </w:p>
        </w:tc>
        <w:tc>
          <w:tcPr>
            <w:tcW w:w="1128" w:type="dxa"/>
            <w:vAlign w:val="center"/>
          </w:tcPr>
          <w:p w14:paraId="252EEB62"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10.075.305</w:t>
            </w:r>
          </w:p>
        </w:tc>
        <w:tc>
          <w:tcPr>
            <w:tcW w:w="875" w:type="dxa"/>
            <w:vAlign w:val="center"/>
          </w:tcPr>
          <w:p w14:paraId="1408CB99"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744.259</w:t>
            </w:r>
          </w:p>
        </w:tc>
        <w:tc>
          <w:tcPr>
            <w:tcW w:w="1128" w:type="dxa"/>
            <w:vAlign w:val="center"/>
          </w:tcPr>
          <w:p w14:paraId="30775A84"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18"/>
                <w:szCs w:val="18"/>
                <w:lang w:val="bs-Latn-BA"/>
              </w:rPr>
            </w:pPr>
            <w:r w:rsidRPr="008924E0">
              <w:rPr>
                <w:rFonts w:asciiTheme="minorHAnsi" w:hAnsiTheme="minorHAnsi" w:cstheme="minorHAnsi"/>
                <w:sz w:val="18"/>
                <w:szCs w:val="18"/>
                <w:lang w:val="bs-Latn-BA"/>
              </w:rPr>
              <w:t>75.882.552</w:t>
            </w:r>
          </w:p>
        </w:tc>
      </w:tr>
      <w:tr w:rsidR="00CB76CD" w:rsidRPr="008924E0" w14:paraId="0B83D148" w14:textId="77777777" w:rsidTr="00695AEF">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11" w:type="dxa"/>
          </w:tcPr>
          <w:p w14:paraId="1B506FBF" w14:textId="77777777" w:rsidR="00CF7A3C" w:rsidRPr="008924E0" w:rsidRDefault="00CF7A3C" w:rsidP="000B085B">
            <w:pPr>
              <w:ind w:firstLine="402"/>
              <w:jc w:val="center"/>
              <w:rPr>
                <w:rFonts w:asciiTheme="minorHAnsi" w:hAnsiTheme="minorHAnsi" w:cstheme="minorHAnsi"/>
                <w:lang w:val="bs-Latn-BA"/>
              </w:rPr>
            </w:pPr>
            <w:r w:rsidRPr="008924E0">
              <w:rPr>
                <w:rFonts w:asciiTheme="minorHAnsi" w:hAnsiTheme="minorHAnsi" w:cstheme="minorHAnsi"/>
                <w:lang w:val="bs-Latn-BA"/>
              </w:rPr>
              <w:t>%</w:t>
            </w:r>
          </w:p>
        </w:tc>
        <w:tc>
          <w:tcPr>
            <w:tcW w:w="1373" w:type="dxa"/>
            <w:vAlign w:val="center"/>
          </w:tcPr>
          <w:p w14:paraId="77DBA4F6"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72,71%</w:t>
            </w:r>
          </w:p>
        </w:tc>
        <w:tc>
          <w:tcPr>
            <w:tcW w:w="1027" w:type="dxa"/>
            <w:vAlign w:val="center"/>
          </w:tcPr>
          <w:p w14:paraId="40546282"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3,59%</w:t>
            </w:r>
          </w:p>
        </w:tc>
        <w:tc>
          <w:tcPr>
            <w:tcW w:w="1027" w:type="dxa"/>
            <w:vAlign w:val="center"/>
          </w:tcPr>
          <w:p w14:paraId="0053F9DC"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6,98%</w:t>
            </w:r>
          </w:p>
        </w:tc>
        <w:tc>
          <w:tcPr>
            <w:tcW w:w="1027" w:type="dxa"/>
            <w:vAlign w:val="center"/>
          </w:tcPr>
          <w:p w14:paraId="30A51E3A"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2,47%</w:t>
            </w:r>
          </w:p>
        </w:tc>
        <w:tc>
          <w:tcPr>
            <w:tcW w:w="1128" w:type="dxa"/>
            <w:vAlign w:val="center"/>
          </w:tcPr>
          <w:p w14:paraId="49855E7A"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13,28%</w:t>
            </w:r>
          </w:p>
        </w:tc>
        <w:tc>
          <w:tcPr>
            <w:tcW w:w="875" w:type="dxa"/>
            <w:vAlign w:val="center"/>
          </w:tcPr>
          <w:p w14:paraId="1C865A85"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0,98%</w:t>
            </w:r>
          </w:p>
        </w:tc>
        <w:tc>
          <w:tcPr>
            <w:tcW w:w="1128" w:type="dxa"/>
            <w:vAlign w:val="center"/>
          </w:tcPr>
          <w:p w14:paraId="694B5EE1"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100%</w:t>
            </w:r>
          </w:p>
        </w:tc>
      </w:tr>
    </w:tbl>
    <w:p w14:paraId="71F19FD4" w14:textId="77777777" w:rsidR="00FB0871" w:rsidRDefault="00FB0871" w:rsidP="00CF7A3C">
      <w:pPr>
        <w:pStyle w:val="Heading5"/>
        <w:rPr>
          <w:lang w:val="bs-Latn-BA"/>
        </w:rPr>
      </w:pPr>
    </w:p>
    <w:p w14:paraId="3A8BD493" w14:textId="6E0FDF2C" w:rsidR="00CF7A3C" w:rsidRPr="008924E0" w:rsidRDefault="00CF7A3C" w:rsidP="00CF7A3C">
      <w:pPr>
        <w:pStyle w:val="Heading5"/>
        <w:rPr>
          <w:lang w:val="bs-Latn-BA"/>
        </w:rPr>
      </w:pPr>
      <w:r w:rsidRPr="008924E0">
        <w:rPr>
          <w:lang w:val="bs-Latn-BA"/>
        </w:rPr>
        <w:t>Nestambene zgrade</w:t>
      </w:r>
    </w:p>
    <w:p w14:paraId="2166E70B" w14:textId="77777777" w:rsidR="00CF7A3C" w:rsidRPr="008924E0" w:rsidRDefault="00CF7A3C" w:rsidP="00CF7A3C">
      <w:pPr>
        <w:tabs>
          <w:tab w:val="left" w:pos="4962"/>
        </w:tabs>
        <w:rPr>
          <w:color w:val="000000"/>
          <w:lang w:val="bs-Latn-BA"/>
        </w:rPr>
      </w:pPr>
      <w:r w:rsidRPr="008924E0">
        <w:rPr>
          <w:color w:val="000000"/>
          <w:lang w:val="bs-Latn-BA"/>
        </w:rPr>
        <w:t>Ukupna površina nestambenih zgrada u FBiH</w:t>
      </w:r>
      <w:r w:rsidRPr="008924E0">
        <w:rPr>
          <w:vertAlign w:val="superscript"/>
          <w:lang w:val="bs-Latn-BA"/>
        </w:rPr>
        <w:footnoteReference w:id="109"/>
      </w:r>
      <w:r w:rsidRPr="008924E0">
        <w:rPr>
          <w:color w:val="000000"/>
          <w:lang w:val="bs-Latn-BA"/>
        </w:rPr>
        <w:t xml:space="preserve"> iznosi 12.730.000 m</w:t>
      </w:r>
      <w:r w:rsidRPr="008924E0">
        <w:rPr>
          <w:color w:val="000000"/>
          <w:vertAlign w:val="superscript"/>
          <w:lang w:val="bs-Latn-BA"/>
        </w:rPr>
        <w:t>2</w:t>
      </w:r>
      <w:r w:rsidRPr="008924E0">
        <w:rPr>
          <w:color w:val="000000"/>
          <w:lang w:val="bs-Latn-BA"/>
        </w:rPr>
        <w:t>, od toga je površina javnih zgrada 5.161.278 m</w:t>
      </w:r>
      <w:r w:rsidRPr="008924E0">
        <w:rPr>
          <w:color w:val="000000"/>
          <w:vertAlign w:val="superscript"/>
          <w:lang w:val="bs-Latn-BA"/>
        </w:rPr>
        <w:t>2</w:t>
      </w:r>
      <w:r w:rsidRPr="008924E0">
        <w:rPr>
          <w:color w:val="000000"/>
          <w:lang w:val="bs-Latn-BA"/>
        </w:rPr>
        <w:t xml:space="preserve"> i površina komercijalnih zgrada </w:t>
      </w:r>
      <w:r w:rsidRPr="008924E0">
        <w:rPr>
          <w:lang w:val="bs-Latn-BA"/>
        </w:rPr>
        <w:t xml:space="preserve">7.568.713 </w:t>
      </w:r>
      <w:r w:rsidRPr="008924E0">
        <w:rPr>
          <w:color w:val="000000"/>
          <w:lang w:val="bs-Latn-BA"/>
        </w:rPr>
        <w:t>m</w:t>
      </w:r>
      <w:r w:rsidRPr="008924E0">
        <w:rPr>
          <w:color w:val="000000"/>
          <w:vertAlign w:val="superscript"/>
          <w:lang w:val="bs-Latn-BA"/>
        </w:rPr>
        <w:t>2</w:t>
      </w:r>
      <w:r w:rsidRPr="008924E0">
        <w:rPr>
          <w:color w:val="000000"/>
          <w:lang w:val="bs-Latn-BA"/>
        </w:rPr>
        <w:t>. U ovoj studiji su korišteni podaci o površinama javnih zgrada prema Tipologiji javnih zgrada BiH.</w:t>
      </w:r>
    </w:p>
    <w:p w14:paraId="03BA4A18" w14:textId="450C1DE5" w:rsidR="00CF7A3C" w:rsidRPr="008924E0" w:rsidRDefault="00CF7A3C" w:rsidP="00CF7A3C">
      <w:pPr>
        <w:tabs>
          <w:tab w:val="left" w:pos="4962"/>
        </w:tabs>
        <w:rPr>
          <w:lang w:val="bs-Latn-BA"/>
        </w:rPr>
      </w:pPr>
      <w:r w:rsidRPr="008924E0">
        <w:rPr>
          <w:lang w:val="bs-Latn-BA"/>
        </w:rPr>
        <w:t xml:space="preserve">Sistematizacija nestambenih javnih zgrada prema periodima građenja u Tipologiji javnih zgrada u BiH je </w:t>
      </w:r>
      <w:r w:rsidR="00AB786E">
        <w:rPr>
          <w:lang w:val="bs-Latn-BA"/>
        </w:rPr>
        <w:t>definirana</w:t>
      </w:r>
      <w:r w:rsidRPr="008924E0">
        <w:rPr>
          <w:lang w:val="bs-Latn-BA"/>
        </w:rPr>
        <w:t xml:space="preserve"> prema sljedećim karakterističnim periodima: </w:t>
      </w:r>
    </w:p>
    <w:p w14:paraId="1CB93DEF" w14:textId="77777777" w:rsidR="00CF7A3C" w:rsidRPr="008924E0" w:rsidRDefault="00CF7A3C" w:rsidP="00CF7A3C">
      <w:pPr>
        <w:numPr>
          <w:ilvl w:val="0"/>
          <w:numId w:val="14"/>
        </w:numPr>
        <w:spacing w:before="160" w:after="0" w:line="240" w:lineRule="auto"/>
        <w:rPr>
          <w:color w:val="000000"/>
          <w:lang w:val="bs-Latn-BA"/>
        </w:rPr>
      </w:pPr>
      <w:r w:rsidRPr="008924E0">
        <w:rPr>
          <w:color w:val="000000"/>
          <w:lang w:val="bs-Latn-BA"/>
        </w:rPr>
        <w:t>do 1945. godine</w:t>
      </w:r>
    </w:p>
    <w:p w14:paraId="0989AAAE" w14:textId="77777777" w:rsidR="00CF7A3C" w:rsidRPr="008924E0" w:rsidRDefault="00CF7A3C" w:rsidP="00CF7A3C">
      <w:pPr>
        <w:numPr>
          <w:ilvl w:val="0"/>
          <w:numId w:val="14"/>
        </w:numPr>
        <w:spacing w:after="0" w:line="240" w:lineRule="auto"/>
        <w:rPr>
          <w:color w:val="000000"/>
          <w:lang w:val="bs-Latn-BA"/>
        </w:rPr>
      </w:pPr>
      <w:r w:rsidRPr="008924E0">
        <w:rPr>
          <w:color w:val="000000"/>
          <w:lang w:val="bs-Latn-BA"/>
        </w:rPr>
        <w:t>1946.-1965.</w:t>
      </w:r>
    </w:p>
    <w:p w14:paraId="0165992D" w14:textId="77777777" w:rsidR="00CF7A3C" w:rsidRPr="008924E0" w:rsidRDefault="00CF7A3C" w:rsidP="00CF7A3C">
      <w:pPr>
        <w:numPr>
          <w:ilvl w:val="0"/>
          <w:numId w:val="14"/>
        </w:numPr>
        <w:spacing w:after="0" w:line="240" w:lineRule="auto"/>
        <w:rPr>
          <w:color w:val="000000"/>
          <w:lang w:val="bs-Latn-BA"/>
        </w:rPr>
      </w:pPr>
      <w:r w:rsidRPr="008924E0">
        <w:rPr>
          <w:color w:val="000000"/>
          <w:lang w:val="bs-Latn-BA"/>
        </w:rPr>
        <w:t>1966.-1973.</w:t>
      </w:r>
    </w:p>
    <w:p w14:paraId="31B1FD29" w14:textId="77777777" w:rsidR="00CF7A3C" w:rsidRPr="008924E0" w:rsidRDefault="00CF7A3C" w:rsidP="00CF7A3C">
      <w:pPr>
        <w:numPr>
          <w:ilvl w:val="0"/>
          <w:numId w:val="14"/>
        </w:numPr>
        <w:spacing w:after="0" w:line="240" w:lineRule="auto"/>
        <w:rPr>
          <w:color w:val="000000"/>
          <w:lang w:val="bs-Latn-BA"/>
        </w:rPr>
      </w:pPr>
      <w:r w:rsidRPr="008924E0">
        <w:rPr>
          <w:color w:val="000000"/>
          <w:lang w:val="bs-Latn-BA"/>
        </w:rPr>
        <w:t>1974.-1987.</w:t>
      </w:r>
    </w:p>
    <w:p w14:paraId="1449CF03" w14:textId="77777777" w:rsidR="00CF7A3C" w:rsidRPr="008924E0" w:rsidRDefault="00CF7A3C" w:rsidP="00CF7A3C">
      <w:pPr>
        <w:numPr>
          <w:ilvl w:val="0"/>
          <w:numId w:val="14"/>
        </w:numPr>
        <w:spacing w:after="0" w:line="240" w:lineRule="auto"/>
        <w:rPr>
          <w:color w:val="000000"/>
          <w:lang w:val="bs-Latn-BA"/>
        </w:rPr>
      </w:pPr>
      <w:r w:rsidRPr="008924E0">
        <w:rPr>
          <w:color w:val="000000"/>
          <w:lang w:val="bs-Latn-BA"/>
        </w:rPr>
        <w:t>1988.-2009.</w:t>
      </w:r>
    </w:p>
    <w:p w14:paraId="6E975F25" w14:textId="77777777" w:rsidR="00CF7A3C" w:rsidRPr="008924E0" w:rsidRDefault="00CF7A3C" w:rsidP="00CF7A3C">
      <w:pPr>
        <w:numPr>
          <w:ilvl w:val="0"/>
          <w:numId w:val="14"/>
        </w:numPr>
        <w:spacing w:after="0" w:line="240" w:lineRule="auto"/>
        <w:rPr>
          <w:color w:val="000000"/>
          <w:lang w:val="bs-Latn-BA"/>
        </w:rPr>
      </w:pPr>
      <w:r w:rsidRPr="008924E0">
        <w:rPr>
          <w:color w:val="000000"/>
          <w:lang w:val="bs-Latn-BA"/>
        </w:rPr>
        <w:t>od 2010. godine.</w:t>
      </w:r>
    </w:p>
    <w:p w14:paraId="402A07B7" w14:textId="77777777" w:rsidR="00CF7A3C" w:rsidRPr="008924E0" w:rsidRDefault="00CF7A3C" w:rsidP="00CF7A3C">
      <w:pPr>
        <w:spacing w:after="0" w:line="240" w:lineRule="auto"/>
        <w:rPr>
          <w:color w:val="000000"/>
          <w:lang w:val="bs-Latn-BA"/>
        </w:rPr>
      </w:pPr>
    </w:p>
    <w:p w14:paraId="2776BDB1" w14:textId="77777777" w:rsidR="00CF7A3C" w:rsidRPr="008924E0" w:rsidRDefault="00CF7A3C" w:rsidP="00BB40F0">
      <w:pPr>
        <w:pStyle w:val="Heading4"/>
        <w:numPr>
          <w:ilvl w:val="3"/>
          <w:numId w:val="54"/>
        </w:numPr>
        <w:ind w:left="1980" w:hanging="900"/>
        <w:rPr>
          <w:lang w:val="bs-Latn-BA"/>
        </w:rPr>
      </w:pPr>
      <w:bookmarkStart w:id="195" w:name="_Toc134011817"/>
      <w:r w:rsidRPr="008924E0">
        <w:rPr>
          <w:lang w:val="bs-Latn-BA"/>
        </w:rPr>
        <w:lastRenderedPageBreak/>
        <w:t>Projekcija kretanja fonda zgrada do 2050. godine</w:t>
      </w:r>
      <w:bookmarkEnd w:id="195"/>
    </w:p>
    <w:p w14:paraId="1157EA59" w14:textId="77777777" w:rsidR="00CF7A3C" w:rsidRPr="008924E0" w:rsidRDefault="00CF7A3C" w:rsidP="00CF7A3C">
      <w:pPr>
        <w:pStyle w:val="Heading5"/>
        <w:rPr>
          <w:lang w:val="bs-Latn-BA"/>
        </w:rPr>
      </w:pPr>
      <w:r w:rsidRPr="008924E0">
        <w:rPr>
          <w:lang w:val="bs-Latn-BA"/>
        </w:rPr>
        <w:t>Stambene zgrade</w:t>
      </w:r>
    </w:p>
    <w:p w14:paraId="74C610E6" w14:textId="41AC597A" w:rsidR="00CF7A3C" w:rsidRPr="008924E0" w:rsidRDefault="00CF7A3C" w:rsidP="00CF7A3C">
      <w:pPr>
        <w:rPr>
          <w:lang w:val="bs-Latn-BA"/>
        </w:rPr>
      </w:pPr>
      <w:r w:rsidRPr="008924E0">
        <w:rPr>
          <w:lang w:val="bs-Latn-BA"/>
        </w:rPr>
        <w:t xml:space="preserve">Podaci o broju i površinama zgrada iz Popisa stanovništva BiH se odnose na period do 2014. godine. Bazna godina za analizu je 2020. godina te je </w:t>
      </w:r>
      <w:r w:rsidR="00646378">
        <w:rPr>
          <w:lang w:val="bs-Latn-BA"/>
        </w:rPr>
        <w:t xml:space="preserve">bilo </w:t>
      </w:r>
      <w:r w:rsidRPr="008924E0">
        <w:rPr>
          <w:lang w:val="bs-Latn-BA"/>
        </w:rPr>
        <w:t>potrebno izvršiti procjenu porasta broja zgrada i karakterističnih površina stambenog fonda za period 2014.-2020. godina. Za te potrebe je izvršeno modeliranje porasta korištenjem regresionih modela predviđanja, na bazi historijskih podataka.</w:t>
      </w:r>
    </w:p>
    <w:p w14:paraId="6D834D13" w14:textId="0850894E" w:rsidR="00CF7A3C" w:rsidRPr="008924E0" w:rsidRDefault="00CF7A3C" w:rsidP="00CF7A3C">
      <w:pPr>
        <w:rPr>
          <w:color w:val="000000"/>
          <w:lang w:val="bs-Latn-BA"/>
        </w:rPr>
      </w:pPr>
      <w:r w:rsidRPr="008924E0">
        <w:rPr>
          <w:lang w:val="bs-Latn-BA"/>
        </w:rPr>
        <w:t>Prvi korišteni model je linearni model, prema kojem je izvršena procjena rasta broj</w:t>
      </w:r>
      <w:r w:rsidR="00E723A8">
        <w:rPr>
          <w:lang w:val="bs-Latn-BA"/>
        </w:rPr>
        <w:t>a</w:t>
      </w:r>
      <w:r w:rsidRPr="008924E0">
        <w:rPr>
          <w:lang w:val="bs-Latn-BA"/>
        </w:rPr>
        <w:t xml:space="preserve"> zgrada za periode od po 10 godin</w:t>
      </w:r>
      <w:r w:rsidR="00E723A8">
        <w:rPr>
          <w:lang w:val="bs-Latn-BA"/>
        </w:rPr>
        <w:t>a</w:t>
      </w:r>
      <w:r w:rsidRPr="008924E0">
        <w:rPr>
          <w:lang w:val="bs-Latn-BA"/>
        </w:rPr>
        <w:t xml:space="preserve"> uobzirujući periode izgradnje od 1946. godine. Prema ovoj analizi porast broja zgrada u periodu 2014.-2020. godina iznosi </w:t>
      </w:r>
      <w:r w:rsidRPr="008924E0">
        <w:rPr>
          <w:color w:val="000000"/>
          <w:lang w:val="bs-Latn-BA"/>
        </w:rPr>
        <w:t xml:space="preserve">64.102 i ukupan broj zgrada u 2020. godini iznosi 688.864. </w:t>
      </w:r>
    </w:p>
    <w:p w14:paraId="6130C61D" w14:textId="14B02811" w:rsidR="00CF7A3C" w:rsidRPr="008924E0" w:rsidRDefault="00CF7A3C" w:rsidP="00CF7A3C">
      <w:pPr>
        <w:rPr>
          <w:color w:val="000000"/>
          <w:lang w:val="bs-Latn-BA"/>
        </w:rPr>
      </w:pPr>
      <w:r w:rsidRPr="008924E0">
        <w:rPr>
          <w:lang w:val="bs-Latn-BA"/>
        </w:rPr>
        <w:t>Drugi korišteni model je linearni model, prema kojem je izvršena procjena rasta broj</w:t>
      </w:r>
      <w:r w:rsidR="00E723A8">
        <w:rPr>
          <w:lang w:val="bs-Latn-BA"/>
        </w:rPr>
        <w:t>a</w:t>
      </w:r>
      <w:r w:rsidRPr="008924E0">
        <w:rPr>
          <w:lang w:val="bs-Latn-BA"/>
        </w:rPr>
        <w:t xml:space="preserve"> zgrada za periode od po 10 godina, uobzirujući periode izgradnje od 1981. godine. Prema ovoj analizi porast broja zgrada u periodu 2014.-2020. godina iznosi </w:t>
      </w:r>
      <w:r w:rsidRPr="008924E0">
        <w:rPr>
          <w:color w:val="000000"/>
          <w:lang w:val="bs-Latn-BA"/>
        </w:rPr>
        <w:t>86.828 zgrade i ukupan broj zgrada u 2020. godini iznosi 711.590.</w:t>
      </w:r>
    </w:p>
    <w:p w14:paraId="272D3C40" w14:textId="77777777" w:rsidR="00CF7A3C" w:rsidRPr="008924E0" w:rsidRDefault="00CF7A3C" w:rsidP="00CF7A3C">
      <w:pPr>
        <w:rPr>
          <w:color w:val="000000"/>
          <w:lang w:val="bs-Latn-BA"/>
        </w:rPr>
      </w:pPr>
      <w:r w:rsidRPr="008924E0">
        <w:rPr>
          <w:color w:val="000000"/>
          <w:lang w:val="bs-Latn-BA"/>
        </w:rPr>
        <w:t>Treći pristup je računanje porasta broja zgrada korištenjem podataka iz softvera LEAP</w:t>
      </w:r>
      <w:r w:rsidRPr="008924E0">
        <w:rPr>
          <w:vertAlign w:val="superscript"/>
          <w:lang w:val="bs-Latn-BA"/>
        </w:rPr>
        <w:footnoteReference w:id="110"/>
      </w:r>
      <w:r w:rsidRPr="008924E0">
        <w:rPr>
          <w:color w:val="000000"/>
          <w:lang w:val="bs-Latn-BA"/>
        </w:rPr>
        <w:t xml:space="preserve">, gdje je </w:t>
      </w:r>
      <w:r w:rsidRPr="008924E0">
        <w:rPr>
          <w:lang w:val="bs-Latn-BA"/>
        </w:rPr>
        <w:t xml:space="preserve">data dugoročna procjena porasta korisne površine stambenih zgrada za period od 2014. do 2050. godine. Prema podacima iz dokumenta, za period 2014.-2020., porast korisne grijane površine iznosi </w:t>
      </w:r>
      <w:r w:rsidRPr="008924E0">
        <w:rPr>
          <w:color w:val="000000"/>
          <w:lang w:val="bs-Latn-BA"/>
        </w:rPr>
        <w:t xml:space="preserve">1.498.080 </w:t>
      </w:r>
      <w:r w:rsidRPr="008924E0">
        <w:rPr>
          <w:lang w:val="bs-Latn-BA"/>
        </w:rPr>
        <w:t>m</w:t>
      </w:r>
      <w:r w:rsidRPr="008924E0">
        <w:rPr>
          <w:vertAlign w:val="superscript"/>
          <w:lang w:val="bs-Latn-BA"/>
        </w:rPr>
        <w:t>2</w:t>
      </w:r>
      <w:r w:rsidRPr="008924E0">
        <w:rPr>
          <w:lang w:val="bs-Latn-BA"/>
        </w:rPr>
        <w:t>. Korištenjem podataka o udjelu tipova zgrada u ukupnom fondu zgrada te prosječnoj korisnoj grijanoj površini pojedinih tipova zgrada izračunat je porast broja zgrada koji odgovara porastu površine date u navedenom programu. Prema ovoj analizi porast broja zgrada u periodu 2014.-2020. godina iznosi</w:t>
      </w:r>
      <w:r w:rsidRPr="008924E0">
        <w:rPr>
          <w:color w:val="000000"/>
          <w:lang w:val="bs-Latn-BA"/>
        </w:rPr>
        <w:t xml:space="preserve"> 19.755 zgrade i ukupan broj zgrada u 2020. godini iznosi 644.517.</w:t>
      </w:r>
    </w:p>
    <w:p w14:paraId="0D6D2471" w14:textId="0176ACF9" w:rsidR="00CF7A3C" w:rsidRPr="008924E0" w:rsidRDefault="00CF7A3C" w:rsidP="00CF7A3C">
      <w:pPr>
        <w:rPr>
          <w:lang w:val="bs-Latn-BA"/>
        </w:rPr>
      </w:pPr>
      <w:r w:rsidRPr="008924E0">
        <w:rPr>
          <w:lang w:val="bs-Latn-BA"/>
        </w:rPr>
        <w:t>Stvarni broj zgrada može varirati u zavisnosti od udjela individualnih stambenih zgrada i zgrada kolektivnog stanovanja, koji imaju različite površine. Tačan broj novoizgrađenih zgrada i bruto</w:t>
      </w:r>
      <w:r w:rsidR="00646378">
        <w:rPr>
          <w:lang w:val="bs-Latn-BA"/>
        </w:rPr>
        <w:t xml:space="preserve"> površina</w:t>
      </w:r>
      <w:r w:rsidRPr="008924E0">
        <w:rPr>
          <w:lang w:val="bs-Latn-BA"/>
        </w:rPr>
        <w:t>, tipove zgrada i korisne grijane površine prema godinama izgradnje je potrebno precizno evidentirati radi što preciznijeg kratkoročnog i dugoročnog energetskog planiranja.</w:t>
      </w:r>
    </w:p>
    <w:p w14:paraId="2F1BB794" w14:textId="502471CD" w:rsidR="00CF7A3C" w:rsidRPr="008924E0" w:rsidRDefault="00CF7A3C" w:rsidP="00CF7A3C">
      <w:pPr>
        <w:rPr>
          <w:lang w:val="bs-Latn-BA"/>
        </w:rPr>
      </w:pPr>
      <w:r w:rsidRPr="008924E0">
        <w:rPr>
          <w:lang w:val="bs-Latn-BA"/>
        </w:rPr>
        <w:t xml:space="preserve">Koristeći modelirane brojeve zgrada u FBiH u 2020. godini, te koristeći podatke o udjelu zgrada u ukupnom stambenom fondu i prosječnoj korisnoj površini zgrada, izračunata je korisna grijana površina za dva linearna modela i prikazana na Slici </w:t>
      </w:r>
      <w:r w:rsidR="00695AEF">
        <w:rPr>
          <w:lang w:val="bs-Latn-BA"/>
        </w:rPr>
        <w:t>11.</w:t>
      </w:r>
      <w:r w:rsidRPr="008924E0">
        <w:rPr>
          <w:lang w:val="bs-Latn-BA"/>
        </w:rPr>
        <w:t>1.</w:t>
      </w:r>
      <w:r w:rsidR="00E04EF4">
        <w:rPr>
          <w:lang w:val="bs-Latn-BA"/>
        </w:rPr>
        <w:t>2</w:t>
      </w:r>
      <w:r w:rsidRPr="008924E0">
        <w:rPr>
          <w:lang w:val="bs-Latn-BA"/>
        </w:rPr>
        <w:t xml:space="preserve">. zajedno sa podacima o procjeni porasta korisne površine prema LEAP modelu.  Prema izračunatim podacima, porast korisne grijane površine za period od kraja 2013. godine do kraja 2020. godine iznosi </w:t>
      </w:r>
      <w:r w:rsidRPr="008924E0">
        <w:rPr>
          <w:color w:val="000000"/>
          <w:lang w:val="bs-Latn-BA"/>
        </w:rPr>
        <w:t xml:space="preserve">1.498.080 </w:t>
      </w:r>
      <w:r w:rsidRPr="008924E0">
        <w:rPr>
          <w:lang w:val="bs-Latn-BA"/>
        </w:rPr>
        <w:t>m</w:t>
      </w:r>
      <w:r w:rsidRPr="008924E0">
        <w:rPr>
          <w:vertAlign w:val="superscript"/>
          <w:lang w:val="bs-Latn-BA"/>
        </w:rPr>
        <w:t>2</w:t>
      </w:r>
      <w:r w:rsidRPr="008924E0">
        <w:rPr>
          <w:lang w:val="bs-Latn-BA"/>
        </w:rPr>
        <w:t xml:space="preserve"> za LEAP model, 4.697.139 m</w:t>
      </w:r>
      <w:r w:rsidRPr="008924E0">
        <w:rPr>
          <w:vertAlign w:val="superscript"/>
          <w:lang w:val="bs-Latn-BA"/>
        </w:rPr>
        <w:t>2</w:t>
      </w:r>
      <w:r w:rsidRPr="008924E0">
        <w:rPr>
          <w:lang w:val="bs-Latn-BA"/>
        </w:rPr>
        <w:t xml:space="preserve"> za linearni model 1 i </w:t>
      </w:r>
      <w:r w:rsidRPr="008924E0">
        <w:rPr>
          <w:color w:val="000000"/>
          <w:lang w:val="bs-Latn-BA"/>
        </w:rPr>
        <w:t xml:space="preserve">6.362.405 </w:t>
      </w:r>
      <w:r w:rsidRPr="008924E0">
        <w:rPr>
          <w:lang w:val="bs-Latn-BA"/>
        </w:rPr>
        <w:t>m</w:t>
      </w:r>
      <w:r w:rsidRPr="008924E0">
        <w:rPr>
          <w:vertAlign w:val="superscript"/>
          <w:lang w:val="bs-Latn-BA"/>
        </w:rPr>
        <w:t>2</w:t>
      </w:r>
      <w:r w:rsidRPr="008924E0">
        <w:rPr>
          <w:lang w:val="bs-Latn-BA"/>
        </w:rPr>
        <w:t xml:space="preserve"> za linearni model 2.</w:t>
      </w:r>
    </w:p>
    <w:p w14:paraId="5D09950A" w14:textId="77777777" w:rsidR="00695AEF" w:rsidRDefault="00CF7A3C" w:rsidP="00695AEF">
      <w:pPr>
        <w:keepNext/>
      </w:pPr>
      <w:r w:rsidRPr="008924E0">
        <w:rPr>
          <w:noProof/>
          <w:lang w:val="bs-Latn-BA"/>
        </w:rPr>
        <w:lastRenderedPageBreak/>
        <w:drawing>
          <wp:inline distT="0" distB="0" distL="0" distR="0" wp14:anchorId="5031FAB2" wp14:editId="286B60E6">
            <wp:extent cx="5473065" cy="2339975"/>
            <wp:effectExtent l="0" t="0" r="0" b="3175"/>
            <wp:docPr id="1" name="Chart 1">
              <a:extLst xmlns:a="http://schemas.openxmlformats.org/drawingml/2006/main">
                <a:ext uri="{FF2B5EF4-FFF2-40B4-BE49-F238E27FC236}">
                  <a16:creationId xmlns:a16="http://schemas.microsoft.com/office/drawing/2014/main" id="{C5A056CD-0343-44D2-8DEC-7D1890A60D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55E68E7" w14:textId="4DA52E81" w:rsidR="00CF7A3C" w:rsidRPr="008924E0" w:rsidRDefault="00695AEF" w:rsidP="00695AEF">
      <w:pPr>
        <w:pStyle w:val="Caption"/>
        <w:jc w:val="center"/>
      </w:pPr>
      <w:bookmarkStart w:id="196" w:name="_Toc133499375"/>
      <w:r>
        <w:t>Slika 11.1.</w:t>
      </w:r>
      <w:r w:rsidR="00000000">
        <w:fldChar w:fldCharType="begin"/>
      </w:r>
      <w:r w:rsidR="00000000">
        <w:instrText xml:space="preserve"> SEQ Slika_11.1. \* ARABIC </w:instrText>
      </w:r>
      <w:r w:rsidR="00000000">
        <w:fldChar w:fldCharType="separate"/>
      </w:r>
      <w:r w:rsidR="00F85003">
        <w:rPr>
          <w:noProof/>
        </w:rPr>
        <w:t>2</w:t>
      </w:r>
      <w:r w:rsidR="00000000">
        <w:rPr>
          <w:noProof/>
        </w:rPr>
        <w:fldChar w:fldCharType="end"/>
      </w:r>
      <w:r>
        <w:t xml:space="preserve"> </w:t>
      </w:r>
      <w:r w:rsidRPr="00331355">
        <w:t>Korisna grijana površina stambenog fonda u FBiH za period do 2021</w:t>
      </w:r>
      <w:r>
        <w:t>.</w:t>
      </w:r>
      <w:bookmarkEnd w:id="196"/>
    </w:p>
    <w:p w14:paraId="5BC2A713" w14:textId="49A980AB" w:rsidR="00CF7A3C" w:rsidRPr="008924E0" w:rsidRDefault="00CF7A3C" w:rsidP="00CF7A3C">
      <w:pPr>
        <w:rPr>
          <w:lang w:val="bs-Latn-BA"/>
        </w:rPr>
      </w:pPr>
      <w:r w:rsidRPr="008924E0">
        <w:rPr>
          <w:lang w:val="bs-Latn-BA"/>
        </w:rPr>
        <w:t xml:space="preserve">Koristeći navedene modele predviđanja može se napraviti procjena rasta broja zgrada i površine zgrada za period do 2050. godine. Na Slici </w:t>
      </w:r>
      <w:r w:rsidR="00695AEF">
        <w:rPr>
          <w:lang w:val="bs-Latn-BA"/>
        </w:rPr>
        <w:t>11.</w:t>
      </w:r>
      <w:r w:rsidRPr="008924E0">
        <w:rPr>
          <w:lang w:val="bs-Latn-BA"/>
        </w:rPr>
        <w:t>1.</w:t>
      </w:r>
      <w:r w:rsidR="002D228C">
        <w:rPr>
          <w:lang w:val="bs-Latn-BA"/>
        </w:rPr>
        <w:t>3</w:t>
      </w:r>
      <w:r w:rsidRPr="008924E0">
        <w:rPr>
          <w:lang w:val="bs-Latn-BA"/>
        </w:rPr>
        <w:t xml:space="preserve">. je prikazana procjena porasta broja zgrada sa korištenim linearnim i logističkim modelima predviđanja. Za što tačniju procjenu neophodno je da se obezbjede tačni historijski podaci o novoizgrađenim zgradama, razvrstani po godinama ili periodima izgradnje. </w:t>
      </w:r>
    </w:p>
    <w:p w14:paraId="30FCFC75" w14:textId="77777777" w:rsidR="00695AEF" w:rsidRDefault="00CF7A3C" w:rsidP="00695AEF">
      <w:pPr>
        <w:keepNext/>
      </w:pPr>
      <w:r w:rsidRPr="008924E0">
        <w:rPr>
          <w:noProof/>
          <w:lang w:val="bs-Latn-BA"/>
        </w:rPr>
        <w:drawing>
          <wp:inline distT="0" distB="0" distL="0" distR="0" wp14:anchorId="3A71100D" wp14:editId="1E819AEA">
            <wp:extent cx="5400000" cy="2160000"/>
            <wp:effectExtent l="0" t="0" r="0" b="0"/>
            <wp:docPr id="2" name="Chart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55906B14" w14:textId="6A294E13" w:rsidR="00CF7A3C" w:rsidRPr="008924E0" w:rsidRDefault="00695AEF" w:rsidP="00695AEF">
      <w:pPr>
        <w:pStyle w:val="Caption"/>
        <w:jc w:val="center"/>
      </w:pPr>
      <w:bookmarkStart w:id="197" w:name="_Toc133499376"/>
      <w:r>
        <w:t>Slika 11.1.</w:t>
      </w:r>
      <w:r w:rsidR="00000000">
        <w:fldChar w:fldCharType="begin"/>
      </w:r>
      <w:r w:rsidR="00000000">
        <w:instrText xml:space="preserve"> SEQ Slika_11.1. \* ARABIC </w:instrText>
      </w:r>
      <w:r w:rsidR="00000000">
        <w:fldChar w:fldCharType="separate"/>
      </w:r>
      <w:r w:rsidR="00F85003">
        <w:rPr>
          <w:noProof/>
        </w:rPr>
        <w:t>3</w:t>
      </w:r>
      <w:r w:rsidR="00000000">
        <w:rPr>
          <w:noProof/>
        </w:rPr>
        <w:fldChar w:fldCharType="end"/>
      </w:r>
      <w:r>
        <w:t xml:space="preserve"> </w:t>
      </w:r>
      <w:r w:rsidRPr="008924E0">
        <w:rPr>
          <w:color w:val="000000"/>
        </w:rPr>
        <w:t>Modeli za predviđanje rasta broja zgrada u FBiH do 2050. godine</w:t>
      </w:r>
      <w:bookmarkEnd w:id="197"/>
    </w:p>
    <w:p w14:paraId="6D1B0D97" w14:textId="77777777" w:rsidR="00CF7A3C" w:rsidRPr="008924E0" w:rsidRDefault="00CF7A3C" w:rsidP="00CF7A3C">
      <w:pPr>
        <w:rPr>
          <w:lang w:val="bs-Latn-BA"/>
        </w:rPr>
      </w:pPr>
      <w:r w:rsidRPr="008924E0">
        <w:rPr>
          <w:lang w:val="bs-Latn-BA"/>
        </w:rPr>
        <w:t xml:space="preserve">Koristeći podatke o broju zgrada, moguće je napraviti procjenu porasta korisne grijane površine zgrada i bruto površine stambenog fonda FBiH do 2050. godine. </w:t>
      </w:r>
    </w:p>
    <w:p w14:paraId="41E54467" w14:textId="77777777" w:rsidR="00CF7A3C" w:rsidRPr="008924E0" w:rsidRDefault="00CF7A3C" w:rsidP="00CF7A3C">
      <w:pPr>
        <w:pStyle w:val="Heading5"/>
        <w:rPr>
          <w:lang w:val="bs-Latn-BA"/>
        </w:rPr>
      </w:pPr>
      <w:r w:rsidRPr="008924E0">
        <w:rPr>
          <w:lang w:val="bs-Latn-BA"/>
        </w:rPr>
        <w:t>Procjena rasta broja stambenih zgrada u Kantonima FBiH</w:t>
      </w:r>
    </w:p>
    <w:p w14:paraId="137E08A6" w14:textId="2AF1FEA0" w:rsidR="00CF7A3C" w:rsidRDefault="00CF7A3C" w:rsidP="00CF7A3C">
      <w:pPr>
        <w:rPr>
          <w:lang w:val="bs-Latn-BA"/>
        </w:rPr>
      </w:pPr>
      <w:r w:rsidRPr="008924E0">
        <w:rPr>
          <w:lang w:val="bs-Latn-BA"/>
        </w:rPr>
        <w:t xml:space="preserve">Za procjenu broja zgrada po Kantonima korišteni su podaci o ukupnom broju zgrada individualnog stanovanja i zgrada kolektivnog stanovanja za period do 2014. godine, predstavljenih u prethodnom poglavlju i podaci o novoizgrađenim zgradama prema linearnom modelu rasta 2. Prema podacima o procentualnim udjelima zgrada po kantonima u ukupnom fondu zgrada, izračunat je ukupan broj zgrada po kantonima i predstavljen u Tabeli </w:t>
      </w:r>
      <w:r w:rsidR="00695AEF">
        <w:rPr>
          <w:lang w:val="bs-Latn-BA"/>
        </w:rPr>
        <w:t>11.</w:t>
      </w:r>
      <w:r w:rsidRPr="008924E0">
        <w:rPr>
          <w:lang w:val="bs-Latn-BA"/>
        </w:rPr>
        <w:t xml:space="preserve">1.4. </w:t>
      </w:r>
    </w:p>
    <w:p w14:paraId="077DA48E" w14:textId="77777777" w:rsidR="00D80825" w:rsidRDefault="00D80825" w:rsidP="00CF7A3C">
      <w:pPr>
        <w:rPr>
          <w:lang w:val="bs-Latn-BA"/>
        </w:rPr>
      </w:pPr>
    </w:p>
    <w:p w14:paraId="1C762E14" w14:textId="51468E5C" w:rsidR="00695AEF" w:rsidRDefault="00695AEF" w:rsidP="00695AEF">
      <w:pPr>
        <w:pStyle w:val="Caption"/>
        <w:keepNext/>
      </w:pPr>
      <w:bookmarkStart w:id="198" w:name="_Toc133499623"/>
      <w:r>
        <w:lastRenderedPageBreak/>
        <w:t>Tabela 11.1.</w:t>
      </w:r>
      <w:r w:rsidR="00000000">
        <w:fldChar w:fldCharType="begin"/>
      </w:r>
      <w:r w:rsidR="00000000">
        <w:instrText xml:space="preserve"> SEQ Tabela_11.1. \* ARABIC </w:instrText>
      </w:r>
      <w:r w:rsidR="00000000">
        <w:fldChar w:fldCharType="separate"/>
      </w:r>
      <w:r w:rsidR="002D62B3">
        <w:rPr>
          <w:noProof/>
        </w:rPr>
        <w:t>4</w:t>
      </w:r>
      <w:r w:rsidR="00000000">
        <w:rPr>
          <w:noProof/>
        </w:rPr>
        <w:fldChar w:fldCharType="end"/>
      </w:r>
      <w:r>
        <w:t xml:space="preserve"> </w:t>
      </w:r>
      <w:r w:rsidRPr="008924E0">
        <w:rPr>
          <w:color w:val="000000"/>
        </w:rPr>
        <w:t>Procjena broja zgrada po Kantonima prema modelu linearnog rasta 2 za period do 2021. godine</w:t>
      </w:r>
      <w:bookmarkEnd w:id="198"/>
    </w:p>
    <w:tbl>
      <w:tblPr>
        <w:tblStyle w:val="24"/>
        <w:tblW w:w="8931"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2977"/>
        <w:gridCol w:w="2977"/>
        <w:gridCol w:w="2977"/>
      </w:tblGrid>
      <w:tr w:rsidR="00CF7A3C" w:rsidRPr="008924E0" w14:paraId="508F9CF6" w14:textId="77777777" w:rsidTr="00695AEF">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5FC6FF13" w14:textId="77777777" w:rsidR="00CF7A3C" w:rsidRPr="008924E0" w:rsidRDefault="00CF7A3C" w:rsidP="000B085B">
            <w:pPr>
              <w:rPr>
                <w:lang w:val="bs-Latn-BA"/>
              </w:rPr>
            </w:pPr>
            <w:r w:rsidRPr="008924E0">
              <w:rPr>
                <w:lang w:val="bs-Latn-BA"/>
              </w:rPr>
              <w:t>Kanton</w:t>
            </w:r>
          </w:p>
        </w:tc>
        <w:tc>
          <w:tcPr>
            <w:tcW w:w="2977" w:type="dxa"/>
          </w:tcPr>
          <w:p w14:paraId="70345CB5"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Broj zgrada individualnog stanovanja</w:t>
            </w:r>
          </w:p>
        </w:tc>
        <w:tc>
          <w:tcPr>
            <w:tcW w:w="2977" w:type="dxa"/>
          </w:tcPr>
          <w:p w14:paraId="23D57FAC"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Broj zgrada kolektivnog stanovanja</w:t>
            </w:r>
          </w:p>
        </w:tc>
      </w:tr>
      <w:tr w:rsidR="00CF7A3C" w:rsidRPr="008924E0" w14:paraId="577A6D88" w14:textId="77777777" w:rsidTr="00695AE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30855B0A" w14:textId="77777777" w:rsidR="00CF7A3C" w:rsidRPr="008924E0" w:rsidRDefault="00CF7A3C" w:rsidP="000B085B">
            <w:pPr>
              <w:rPr>
                <w:lang w:val="bs-Latn-BA"/>
              </w:rPr>
            </w:pPr>
            <w:r w:rsidRPr="008924E0">
              <w:rPr>
                <w:lang w:val="bs-Latn-BA"/>
              </w:rPr>
              <w:t>Unsko-sanski kanton</w:t>
            </w:r>
          </w:p>
        </w:tc>
        <w:tc>
          <w:tcPr>
            <w:tcW w:w="2977" w:type="dxa"/>
            <w:vAlign w:val="center"/>
          </w:tcPr>
          <w:p w14:paraId="07026807"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96.959</w:t>
            </w:r>
          </w:p>
        </w:tc>
        <w:tc>
          <w:tcPr>
            <w:tcW w:w="2977" w:type="dxa"/>
            <w:vAlign w:val="center"/>
          </w:tcPr>
          <w:p w14:paraId="025D7C69"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905</w:t>
            </w:r>
          </w:p>
        </w:tc>
      </w:tr>
      <w:tr w:rsidR="00CF7A3C" w:rsidRPr="008924E0" w14:paraId="5EC30791" w14:textId="77777777" w:rsidTr="00695AEF">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0EC8ECC1" w14:textId="77777777" w:rsidR="00CF7A3C" w:rsidRPr="008924E0" w:rsidRDefault="00CF7A3C" w:rsidP="000B085B">
            <w:pPr>
              <w:rPr>
                <w:lang w:val="bs-Latn-BA"/>
              </w:rPr>
            </w:pPr>
            <w:r w:rsidRPr="008924E0">
              <w:rPr>
                <w:lang w:val="bs-Latn-BA"/>
              </w:rPr>
              <w:t>Posavski kanton</w:t>
            </w:r>
          </w:p>
        </w:tc>
        <w:tc>
          <w:tcPr>
            <w:tcW w:w="2977" w:type="dxa"/>
            <w:vAlign w:val="center"/>
          </w:tcPr>
          <w:p w14:paraId="4D2F5346"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18.318</w:t>
            </w:r>
          </w:p>
        </w:tc>
        <w:tc>
          <w:tcPr>
            <w:tcW w:w="2977" w:type="dxa"/>
            <w:vAlign w:val="center"/>
          </w:tcPr>
          <w:p w14:paraId="2B9A6FE2"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96</w:t>
            </w:r>
          </w:p>
        </w:tc>
      </w:tr>
      <w:tr w:rsidR="00CF7A3C" w:rsidRPr="008924E0" w14:paraId="3B5158D9" w14:textId="77777777" w:rsidTr="00695AE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7B06370A" w14:textId="77777777" w:rsidR="00CF7A3C" w:rsidRPr="008924E0" w:rsidRDefault="00CF7A3C" w:rsidP="000B085B">
            <w:pPr>
              <w:rPr>
                <w:lang w:val="bs-Latn-BA"/>
              </w:rPr>
            </w:pPr>
            <w:r w:rsidRPr="008924E0">
              <w:rPr>
                <w:lang w:val="bs-Latn-BA"/>
              </w:rPr>
              <w:t>Tuzlanski kanton</w:t>
            </w:r>
          </w:p>
        </w:tc>
        <w:tc>
          <w:tcPr>
            <w:tcW w:w="2977" w:type="dxa"/>
            <w:vAlign w:val="center"/>
          </w:tcPr>
          <w:p w14:paraId="387A740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160.263</w:t>
            </w:r>
          </w:p>
        </w:tc>
        <w:tc>
          <w:tcPr>
            <w:tcW w:w="2977" w:type="dxa"/>
            <w:vAlign w:val="center"/>
          </w:tcPr>
          <w:p w14:paraId="4CC1A12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2.273</w:t>
            </w:r>
          </w:p>
        </w:tc>
      </w:tr>
      <w:tr w:rsidR="00CF7A3C" w:rsidRPr="008924E0" w14:paraId="4C64992A" w14:textId="77777777" w:rsidTr="00695AEF">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3ACA4F54" w14:textId="77777777" w:rsidR="00CF7A3C" w:rsidRPr="008924E0" w:rsidRDefault="00CF7A3C" w:rsidP="000B085B">
            <w:pPr>
              <w:rPr>
                <w:lang w:val="bs-Latn-BA"/>
              </w:rPr>
            </w:pPr>
            <w:r w:rsidRPr="008924E0">
              <w:rPr>
                <w:lang w:val="bs-Latn-BA"/>
              </w:rPr>
              <w:t>Zeničko-dobojski kanton</w:t>
            </w:r>
          </w:p>
        </w:tc>
        <w:tc>
          <w:tcPr>
            <w:tcW w:w="2977" w:type="dxa"/>
            <w:vAlign w:val="center"/>
          </w:tcPr>
          <w:p w14:paraId="7E5222D4"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115.787</w:t>
            </w:r>
          </w:p>
        </w:tc>
        <w:tc>
          <w:tcPr>
            <w:tcW w:w="2977" w:type="dxa"/>
            <w:vAlign w:val="center"/>
          </w:tcPr>
          <w:p w14:paraId="300F0CA3"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2.353</w:t>
            </w:r>
          </w:p>
        </w:tc>
      </w:tr>
      <w:tr w:rsidR="00CF7A3C" w:rsidRPr="008924E0" w14:paraId="49E9026B" w14:textId="77777777" w:rsidTr="00695AE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4A54B2D4" w14:textId="77777777" w:rsidR="00CF7A3C" w:rsidRPr="008924E0" w:rsidRDefault="00CF7A3C" w:rsidP="000B085B">
            <w:pPr>
              <w:rPr>
                <w:lang w:val="bs-Latn-BA"/>
              </w:rPr>
            </w:pPr>
            <w:r w:rsidRPr="008924E0">
              <w:rPr>
                <w:lang w:val="bs-Latn-BA"/>
              </w:rPr>
              <w:t>Bosansko-podrinjski kanton</w:t>
            </w:r>
          </w:p>
        </w:tc>
        <w:tc>
          <w:tcPr>
            <w:tcW w:w="2977" w:type="dxa"/>
            <w:vAlign w:val="center"/>
          </w:tcPr>
          <w:p w14:paraId="2E5D4F4D"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9.598</w:t>
            </w:r>
          </w:p>
        </w:tc>
        <w:tc>
          <w:tcPr>
            <w:tcW w:w="2977" w:type="dxa"/>
            <w:vAlign w:val="center"/>
          </w:tcPr>
          <w:p w14:paraId="4CB8001C"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263</w:t>
            </w:r>
          </w:p>
        </w:tc>
      </w:tr>
      <w:tr w:rsidR="00CF7A3C" w:rsidRPr="008924E0" w14:paraId="34E0A2EB" w14:textId="77777777" w:rsidTr="00695AEF">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0B0EB152" w14:textId="77777777" w:rsidR="00CF7A3C" w:rsidRPr="008924E0" w:rsidRDefault="00CF7A3C" w:rsidP="000B085B">
            <w:pPr>
              <w:rPr>
                <w:lang w:val="bs-Latn-BA"/>
              </w:rPr>
            </w:pPr>
            <w:r w:rsidRPr="008924E0">
              <w:rPr>
                <w:lang w:val="bs-Latn-BA"/>
              </w:rPr>
              <w:t>Srednjobosanski kanton</w:t>
            </w:r>
          </w:p>
        </w:tc>
        <w:tc>
          <w:tcPr>
            <w:tcW w:w="2977" w:type="dxa"/>
            <w:vAlign w:val="center"/>
          </w:tcPr>
          <w:p w14:paraId="4DB54039"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86.188</w:t>
            </w:r>
          </w:p>
        </w:tc>
        <w:tc>
          <w:tcPr>
            <w:tcW w:w="2977" w:type="dxa"/>
            <w:vAlign w:val="center"/>
          </w:tcPr>
          <w:p w14:paraId="3D6DB5B5"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1.391</w:t>
            </w:r>
          </w:p>
        </w:tc>
      </w:tr>
      <w:tr w:rsidR="00CF7A3C" w:rsidRPr="008924E0" w14:paraId="6755F430" w14:textId="77777777" w:rsidTr="00695AE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28D6D3C2" w14:textId="77777777" w:rsidR="00CF7A3C" w:rsidRPr="008924E0" w:rsidRDefault="00CF7A3C" w:rsidP="000B085B">
            <w:pPr>
              <w:rPr>
                <w:lang w:val="bs-Latn-BA"/>
              </w:rPr>
            </w:pPr>
            <w:r w:rsidRPr="008924E0">
              <w:rPr>
                <w:lang w:val="bs-Latn-BA"/>
              </w:rPr>
              <w:t>Hercegovačko-neretvanski kanton</w:t>
            </w:r>
          </w:p>
        </w:tc>
        <w:tc>
          <w:tcPr>
            <w:tcW w:w="2977" w:type="dxa"/>
            <w:vAlign w:val="center"/>
          </w:tcPr>
          <w:p w14:paraId="548690C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65.114</w:t>
            </w:r>
          </w:p>
        </w:tc>
        <w:tc>
          <w:tcPr>
            <w:tcW w:w="2977" w:type="dxa"/>
            <w:vAlign w:val="center"/>
          </w:tcPr>
          <w:p w14:paraId="496CA07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2.846</w:t>
            </w:r>
          </w:p>
        </w:tc>
      </w:tr>
      <w:tr w:rsidR="00CF7A3C" w:rsidRPr="008924E0" w14:paraId="00FCB5E9" w14:textId="77777777" w:rsidTr="00695AEF">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6785BD49" w14:textId="77777777" w:rsidR="00CF7A3C" w:rsidRPr="008924E0" w:rsidRDefault="00CF7A3C" w:rsidP="000B085B">
            <w:pPr>
              <w:rPr>
                <w:lang w:val="bs-Latn-BA"/>
              </w:rPr>
            </w:pPr>
            <w:r w:rsidRPr="008924E0">
              <w:rPr>
                <w:lang w:val="bs-Latn-BA"/>
              </w:rPr>
              <w:t>Zapadnohercegovački kanton</w:t>
            </w:r>
          </w:p>
        </w:tc>
        <w:tc>
          <w:tcPr>
            <w:tcW w:w="2977" w:type="dxa"/>
            <w:vAlign w:val="center"/>
          </w:tcPr>
          <w:p w14:paraId="10BB9049"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28.805</w:t>
            </w:r>
          </w:p>
        </w:tc>
        <w:tc>
          <w:tcPr>
            <w:tcW w:w="2977" w:type="dxa"/>
            <w:vAlign w:val="center"/>
          </w:tcPr>
          <w:p w14:paraId="069AF02E"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293</w:t>
            </w:r>
          </w:p>
        </w:tc>
      </w:tr>
      <w:tr w:rsidR="00CF7A3C" w:rsidRPr="008924E0" w14:paraId="71AF53E1" w14:textId="77777777" w:rsidTr="00695AE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79DB4AA9" w14:textId="77777777" w:rsidR="00CF7A3C" w:rsidRPr="008924E0" w:rsidRDefault="00CF7A3C" w:rsidP="000B085B">
            <w:pPr>
              <w:rPr>
                <w:lang w:val="bs-Latn-BA"/>
              </w:rPr>
            </w:pPr>
            <w:r w:rsidRPr="008924E0">
              <w:rPr>
                <w:lang w:val="bs-Latn-BA"/>
              </w:rPr>
              <w:t>Kanton Sarajevo</w:t>
            </w:r>
          </w:p>
        </w:tc>
        <w:tc>
          <w:tcPr>
            <w:tcW w:w="2977" w:type="dxa"/>
            <w:vAlign w:val="center"/>
          </w:tcPr>
          <w:p w14:paraId="6CCC3D3D"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85.489</w:t>
            </w:r>
          </w:p>
        </w:tc>
        <w:tc>
          <w:tcPr>
            <w:tcW w:w="2977" w:type="dxa"/>
            <w:vAlign w:val="center"/>
          </w:tcPr>
          <w:p w14:paraId="72563EAC"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7.390</w:t>
            </w:r>
          </w:p>
        </w:tc>
      </w:tr>
      <w:tr w:rsidR="00CF7A3C" w:rsidRPr="008924E0" w14:paraId="543317C6" w14:textId="77777777" w:rsidTr="00695AEF">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6E31C144" w14:textId="77777777" w:rsidR="00CF7A3C" w:rsidRPr="008924E0" w:rsidRDefault="00CF7A3C" w:rsidP="000B085B">
            <w:pPr>
              <w:rPr>
                <w:lang w:val="bs-Latn-BA"/>
              </w:rPr>
            </w:pPr>
            <w:r w:rsidRPr="008924E0">
              <w:rPr>
                <w:lang w:val="bs-Latn-BA"/>
              </w:rPr>
              <w:t>Kanton 10</w:t>
            </w:r>
          </w:p>
        </w:tc>
        <w:tc>
          <w:tcPr>
            <w:tcW w:w="2977" w:type="dxa"/>
            <w:vAlign w:val="center"/>
          </w:tcPr>
          <w:p w14:paraId="05D04884"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26.785</w:t>
            </w:r>
          </w:p>
        </w:tc>
        <w:tc>
          <w:tcPr>
            <w:tcW w:w="2977" w:type="dxa"/>
            <w:vAlign w:val="center"/>
          </w:tcPr>
          <w:p w14:paraId="227A9857"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474</w:t>
            </w:r>
          </w:p>
        </w:tc>
      </w:tr>
      <w:tr w:rsidR="00CF7A3C" w:rsidRPr="008924E0" w14:paraId="008F5BB1" w14:textId="77777777" w:rsidTr="00695AEF">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977" w:type="dxa"/>
          </w:tcPr>
          <w:p w14:paraId="4723DC6C" w14:textId="77777777" w:rsidR="00CF7A3C" w:rsidRPr="008924E0" w:rsidRDefault="00CF7A3C" w:rsidP="000B085B">
            <w:pPr>
              <w:rPr>
                <w:lang w:val="bs-Latn-BA"/>
              </w:rPr>
            </w:pPr>
            <w:r w:rsidRPr="008924E0">
              <w:rPr>
                <w:lang w:val="bs-Latn-BA"/>
              </w:rPr>
              <w:t>Ukupno</w:t>
            </w:r>
          </w:p>
        </w:tc>
        <w:tc>
          <w:tcPr>
            <w:tcW w:w="2977" w:type="dxa"/>
            <w:vAlign w:val="center"/>
          </w:tcPr>
          <w:p w14:paraId="45CBFEBD"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693.306</w:t>
            </w:r>
          </w:p>
        </w:tc>
        <w:tc>
          <w:tcPr>
            <w:tcW w:w="2977" w:type="dxa"/>
            <w:vAlign w:val="center"/>
          </w:tcPr>
          <w:p w14:paraId="3DF87AE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18.284</w:t>
            </w:r>
          </w:p>
        </w:tc>
      </w:tr>
    </w:tbl>
    <w:p w14:paraId="16BD4722" w14:textId="77777777" w:rsidR="00CF7A3C" w:rsidRPr="008924E0" w:rsidRDefault="00CF7A3C" w:rsidP="00CF7A3C">
      <w:pPr>
        <w:rPr>
          <w:lang w:val="bs-Latn-BA"/>
        </w:rPr>
      </w:pPr>
    </w:p>
    <w:p w14:paraId="765E8ECF" w14:textId="0DBC96D6" w:rsidR="00CF7A3C" w:rsidRPr="008924E0" w:rsidRDefault="00CF7A3C" w:rsidP="00CF7A3C">
      <w:pPr>
        <w:rPr>
          <w:lang w:val="bs-Latn-BA"/>
        </w:rPr>
      </w:pPr>
      <w:r w:rsidRPr="008924E0">
        <w:rPr>
          <w:lang w:val="bs-Latn-BA"/>
        </w:rPr>
        <w:t xml:space="preserve">Predstavljena analiza je </w:t>
      </w:r>
      <w:r w:rsidR="005F5F5B">
        <w:rPr>
          <w:lang w:val="bs-Latn-BA"/>
        </w:rPr>
        <w:t>približno utvrđena</w:t>
      </w:r>
      <w:r w:rsidRPr="008924E0">
        <w:rPr>
          <w:lang w:val="bs-Latn-BA"/>
        </w:rPr>
        <w:t>, te je neophodno izvršiti tačnu evidenciju broja novoizgrađenih zgrada po godinama izgradnje, mjestu izgradnje, bruto i korisnoj površini zgrade. Korektna evidencija će omogućiti tačnu kratkoročnu ili dugoročnu procjenu rasta stambenog fonda.</w:t>
      </w:r>
    </w:p>
    <w:p w14:paraId="24998E07" w14:textId="77777777" w:rsidR="00CF7A3C" w:rsidRPr="008924E0" w:rsidRDefault="00CF7A3C" w:rsidP="00CF7A3C">
      <w:pPr>
        <w:pStyle w:val="Heading5"/>
        <w:rPr>
          <w:lang w:val="bs-Latn-BA"/>
        </w:rPr>
      </w:pPr>
      <w:r w:rsidRPr="008924E0">
        <w:rPr>
          <w:lang w:val="bs-Latn-BA"/>
        </w:rPr>
        <w:t>Nestambene zgrade</w:t>
      </w:r>
    </w:p>
    <w:p w14:paraId="31EA774A" w14:textId="3A7C76EE" w:rsidR="00CF7A3C" w:rsidRPr="008924E0" w:rsidRDefault="00CF7A3C" w:rsidP="00CF7A3C">
      <w:pPr>
        <w:rPr>
          <w:lang w:val="bs-Latn-BA"/>
        </w:rPr>
      </w:pPr>
      <w:r w:rsidRPr="008924E0">
        <w:rPr>
          <w:lang w:val="bs-Latn-BA"/>
        </w:rPr>
        <w:t xml:space="preserve">Tipologija javnih zgrada je obuhvatila zgrade izgrađene u periodu do 2017. godine. Podaci o broju javnih zgrada iz Tipologije javnih zgrada su dopunjeni podacima o novoizgrađenim javnim zgradama u periodu 2017.-2020., kako je prikazano na Slici </w:t>
      </w:r>
      <w:r w:rsidR="00347EBB">
        <w:rPr>
          <w:lang w:val="bs-Latn-BA"/>
        </w:rPr>
        <w:t>11.</w:t>
      </w:r>
      <w:r w:rsidRPr="008924E0">
        <w:rPr>
          <w:lang w:val="bs-Latn-BA"/>
        </w:rPr>
        <w:t>1.</w:t>
      </w:r>
      <w:r w:rsidR="002D228C">
        <w:rPr>
          <w:lang w:val="bs-Latn-BA"/>
        </w:rPr>
        <w:t>4</w:t>
      </w:r>
      <w:r w:rsidRPr="008924E0">
        <w:rPr>
          <w:lang w:val="bs-Latn-BA"/>
        </w:rPr>
        <w:t xml:space="preserve">. </w:t>
      </w:r>
    </w:p>
    <w:p w14:paraId="0AEF1612" w14:textId="0CB734E8" w:rsidR="00CF7A3C" w:rsidRPr="008924E0" w:rsidRDefault="00CF7A3C" w:rsidP="00CF7A3C">
      <w:pPr>
        <w:rPr>
          <w:color w:val="000000"/>
          <w:lang w:val="bs-Latn-BA"/>
        </w:rPr>
      </w:pPr>
      <w:r w:rsidRPr="008924E0">
        <w:rPr>
          <w:lang w:val="bs-Latn-BA"/>
        </w:rPr>
        <w:t>Prvi korišteni model je linearni model, prema kojem je izvršena procjena rasta broj</w:t>
      </w:r>
      <w:r w:rsidR="00E723A8">
        <w:rPr>
          <w:lang w:val="bs-Latn-BA"/>
        </w:rPr>
        <w:t>a</w:t>
      </w:r>
      <w:r w:rsidRPr="008924E0">
        <w:rPr>
          <w:lang w:val="bs-Latn-BA"/>
        </w:rPr>
        <w:t xml:space="preserve"> zgrada za periode izgradnje nakon 1987. godine. Prema ovoj analizi porast broja javnih zgrada u periodu 2017.-2020. godina iznosi </w:t>
      </w:r>
      <w:r w:rsidRPr="008924E0">
        <w:rPr>
          <w:color w:val="000000"/>
          <w:lang w:val="bs-Latn-BA"/>
        </w:rPr>
        <w:t xml:space="preserve">189 i ukupan broj zgrada u 2020. godini iznosi 4.608. </w:t>
      </w:r>
    </w:p>
    <w:p w14:paraId="112E6F42" w14:textId="6B757083" w:rsidR="00CF7A3C" w:rsidRPr="008924E0" w:rsidRDefault="00CF7A3C" w:rsidP="00CF7A3C">
      <w:pPr>
        <w:rPr>
          <w:color w:val="000000"/>
          <w:lang w:val="bs-Latn-BA"/>
        </w:rPr>
      </w:pPr>
      <w:r w:rsidRPr="008924E0">
        <w:rPr>
          <w:lang w:val="bs-Latn-BA"/>
        </w:rPr>
        <w:t>Drugi korišteni model je logistički model, prema kojem je izvršena procjena rasta broj</w:t>
      </w:r>
      <w:r w:rsidR="00E723A8">
        <w:rPr>
          <w:lang w:val="bs-Latn-BA"/>
        </w:rPr>
        <w:t>a</w:t>
      </w:r>
      <w:r w:rsidRPr="008924E0">
        <w:rPr>
          <w:lang w:val="bs-Latn-BA"/>
        </w:rPr>
        <w:t xml:space="preserve"> zgrada za periode izgradnje nakon 1987. godine. Prema ovoj analizi porast broja javnih zgrada u periodu 2017.-2020. godina iznosi </w:t>
      </w:r>
      <w:r w:rsidRPr="008924E0">
        <w:rPr>
          <w:color w:val="000000"/>
          <w:lang w:val="bs-Latn-BA"/>
        </w:rPr>
        <w:t>140 i ukupan broj zgrada u 2020. godini iznosi 4.559.</w:t>
      </w:r>
    </w:p>
    <w:p w14:paraId="3D6EEBBA" w14:textId="77777777" w:rsidR="00CF7A3C" w:rsidRPr="008924E0" w:rsidRDefault="00CF7A3C" w:rsidP="00CF7A3C">
      <w:pPr>
        <w:rPr>
          <w:color w:val="000000"/>
          <w:lang w:val="bs-Latn-BA"/>
        </w:rPr>
      </w:pPr>
      <w:r w:rsidRPr="008924E0">
        <w:rPr>
          <w:color w:val="000000"/>
          <w:lang w:val="bs-Latn-BA"/>
        </w:rPr>
        <w:t>Treći pristup je računanje porasta broja zgrada korištenjem podataka iz LEAP</w:t>
      </w:r>
      <w:r w:rsidRPr="008924E0">
        <w:rPr>
          <w:vertAlign w:val="superscript"/>
          <w:lang w:val="bs-Latn-BA"/>
        </w:rPr>
        <w:footnoteReference w:id="111"/>
      </w:r>
      <w:r w:rsidRPr="008924E0">
        <w:rPr>
          <w:color w:val="000000"/>
          <w:lang w:val="bs-Latn-BA"/>
        </w:rPr>
        <w:t xml:space="preserve">, gdje je </w:t>
      </w:r>
      <w:r w:rsidRPr="008924E0">
        <w:rPr>
          <w:lang w:val="bs-Latn-BA"/>
        </w:rPr>
        <w:t xml:space="preserve">data dugoročna procjena porasta korisne površine javnih zgrada za period od 2014. do 2050. godine. Prema podacima iz LEAP-a, za period 2017.-2020., porast korisne grijane površine iznosi </w:t>
      </w:r>
      <w:r w:rsidRPr="008924E0">
        <w:rPr>
          <w:color w:val="000000"/>
          <w:lang w:val="bs-Latn-BA"/>
        </w:rPr>
        <w:t>396.81</w:t>
      </w:r>
      <w:r w:rsidRPr="008924E0">
        <w:rPr>
          <w:lang w:val="bs-Latn-BA"/>
        </w:rPr>
        <w:t>7</w:t>
      </w:r>
      <w:r w:rsidRPr="008924E0">
        <w:rPr>
          <w:color w:val="000000"/>
          <w:lang w:val="bs-Latn-BA"/>
        </w:rPr>
        <w:t xml:space="preserve"> </w:t>
      </w:r>
      <w:r w:rsidRPr="008924E0">
        <w:rPr>
          <w:lang w:val="bs-Latn-BA"/>
        </w:rPr>
        <w:t>m</w:t>
      </w:r>
      <w:r w:rsidRPr="008924E0">
        <w:rPr>
          <w:vertAlign w:val="superscript"/>
          <w:lang w:val="bs-Latn-BA"/>
        </w:rPr>
        <w:t>2</w:t>
      </w:r>
      <w:r w:rsidRPr="008924E0">
        <w:rPr>
          <w:lang w:val="bs-Latn-BA"/>
        </w:rPr>
        <w:t>. Korištenjem podataka o udjelu zgrada različite namjene u ukupnom fondu javnih zgrada te prosječnoj korisnoj grijanoj površini pojedinih tipova zgrada izračunat je porast broja javnih zgrada koji odgovara porastu površine date u LEAP. Prema ovoj analizi porast broja zgrada u periodu 2017.-2020. godina iznosi</w:t>
      </w:r>
      <w:r w:rsidRPr="008924E0">
        <w:rPr>
          <w:color w:val="000000"/>
          <w:lang w:val="bs-Latn-BA"/>
        </w:rPr>
        <w:t xml:space="preserve"> 330 zgrade i ukupan broj zgrada u 2020. godini iznosi 4.749.</w:t>
      </w:r>
    </w:p>
    <w:p w14:paraId="6356139D" w14:textId="2C55D17E" w:rsidR="00CF7A3C" w:rsidRPr="008924E0" w:rsidRDefault="00CF7A3C" w:rsidP="00CF7A3C">
      <w:pPr>
        <w:rPr>
          <w:lang w:val="bs-Latn-BA"/>
        </w:rPr>
      </w:pPr>
      <w:r w:rsidRPr="008924E0">
        <w:rPr>
          <w:lang w:val="bs-Latn-BA"/>
        </w:rPr>
        <w:t>Tačan broj novoizgrađenih zgrada i bruto i korisne grijane površine prema godinama izgradnje je potrebno precizno evidentirati radi što preciznijeg kratkoročnog i dugoročnog energ</w:t>
      </w:r>
      <w:r w:rsidR="0091757B">
        <w:rPr>
          <w:lang w:val="bs-Latn-BA"/>
        </w:rPr>
        <w:t>ij</w:t>
      </w:r>
      <w:r w:rsidRPr="008924E0">
        <w:rPr>
          <w:lang w:val="bs-Latn-BA"/>
        </w:rPr>
        <w:t>skog planiranja.</w:t>
      </w:r>
    </w:p>
    <w:p w14:paraId="32A88075" w14:textId="77777777" w:rsidR="00695AEF" w:rsidRDefault="00CF7A3C" w:rsidP="00695AEF">
      <w:pPr>
        <w:keepNext/>
      </w:pPr>
      <w:r w:rsidRPr="008924E0">
        <w:rPr>
          <w:noProof/>
          <w:lang w:val="bs-Latn-BA"/>
        </w:rPr>
        <w:lastRenderedPageBreak/>
        <w:drawing>
          <wp:inline distT="0" distB="0" distL="0" distR="0" wp14:anchorId="6D20D4D4" wp14:editId="1F91B058">
            <wp:extent cx="5732145" cy="2092325"/>
            <wp:effectExtent l="0" t="0" r="1905" b="3175"/>
            <wp:docPr id="3" name="Chart 3">
              <a:extLst xmlns:a="http://schemas.openxmlformats.org/drawingml/2006/main">
                <a:ext uri="{FF2B5EF4-FFF2-40B4-BE49-F238E27FC236}">
                  <a16:creationId xmlns:a16="http://schemas.microsoft.com/office/drawing/2014/main" id="{B401CFFA-4749-4B86-9669-6BCECA74B4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0554D981" w14:textId="4A9D7C78" w:rsidR="00695AEF" w:rsidRDefault="00695AEF" w:rsidP="00695AEF">
      <w:pPr>
        <w:pStyle w:val="Caption"/>
        <w:jc w:val="center"/>
      </w:pPr>
      <w:bookmarkStart w:id="199" w:name="_Toc133499377"/>
      <w:r>
        <w:t>Slika 11.1.</w:t>
      </w:r>
      <w:r w:rsidR="00000000">
        <w:fldChar w:fldCharType="begin"/>
      </w:r>
      <w:r w:rsidR="00000000">
        <w:instrText xml:space="preserve"> SEQ Slika_11.1. \* ARABIC </w:instrText>
      </w:r>
      <w:r w:rsidR="00000000">
        <w:fldChar w:fldCharType="separate"/>
      </w:r>
      <w:r w:rsidR="00F85003">
        <w:rPr>
          <w:noProof/>
        </w:rPr>
        <w:t>4</w:t>
      </w:r>
      <w:r w:rsidR="00000000">
        <w:rPr>
          <w:noProof/>
        </w:rPr>
        <w:fldChar w:fldCharType="end"/>
      </w:r>
      <w:r>
        <w:t xml:space="preserve"> </w:t>
      </w:r>
      <w:r w:rsidRPr="008924E0">
        <w:rPr>
          <w:color w:val="000000"/>
        </w:rPr>
        <w:t>Broj javnih zgrada u FBiH za period do 2021. godine</w:t>
      </w:r>
      <w:bookmarkEnd w:id="199"/>
    </w:p>
    <w:p w14:paraId="4164B0C0" w14:textId="6DE6A009" w:rsidR="00CF7A3C" w:rsidRPr="008924E0" w:rsidRDefault="00CF7A3C" w:rsidP="00695AEF">
      <w:pPr>
        <w:keepNext/>
        <w:rPr>
          <w:lang w:val="bs-Latn-BA"/>
        </w:rPr>
      </w:pPr>
      <w:r w:rsidRPr="008924E0">
        <w:rPr>
          <w:noProof/>
          <w:sz w:val="20"/>
          <w:szCs w:val="20"/>
          <w:lang w:val="bs-Latn-BA"/>
        </w:rPr>
        <w:t xml:space="preserve"> </w:t>
      </w:r>
      <w:r w:rsidRPr="008924E0">
        <w:rPr>
          <w:lang w:val="bs-Latn-BA"/>
        </w:rPr>
        <w:t xml:space="preserve">Za predviđanje rasta broja zgrada i korisne površine zgrada korištena su dva modela predviđanja: linearni i logistički model. Prema podacima datim na Slici </w:t>
      </w:r>
      <w:r w:rsidR="00347EBB">
        <w:rPr>
          <w:lang w:val="bs-Latn-BA"/>
        </w:rPr>
        <w:t>11.</w:t>
      </w:r>
      <w:r w:rsidRPr="008924E0">
        <w:rPr>
          <w:lang w:val="bs-Latn-BA"/>
        </w:rPr>
        <w:t>1.</w:t>
      </w:r>
      <w:r w:rsidR="002D228C">
        <w:rPr>
          <w:lang w:val="bs-Latn-BA"/>
        </w:rPr>
        <w:t>5</w:t>
      </w:r>
      <w:r w:rsidRPr="008924E0">
        <w:rPr>
          <w:lang w:val="bs-Latn-BA"/>
        </w:rPr>
        <w:t xml:space="preserve">. je vidljivo da se odgovarajućim modelima predviđanja može predvidjeti porast broja javnih zgrada, ali je potrebno da se obezbjede tačni historijski podaci o novoizgrađenim zgradama, razvrstani po godinama ili periodima izgradnje. </w:t>
      </w:r>
    </w:p>
    <w:p w14:paraId="71F46C31" w14:textId="77777777" w:rsidR="005326F6" w:rsidRDefault="00CF7A3C" w:rsidP="005326F6">
      <w:pPr>
        <w:keepNext/>
      </w:pPr>
      <w:r w:rsidRPr="008924E0">
        <w:rPr>
          <w:noProof/>
          <w:lang w:val="bs-Latn-BA"/>
        </w:rPr>
        <w:drawing>
          <wp:inline distT="0" distB="0" distL="0" distR="0" wp14:anchorId="3326E607" wp14:editId="76536E03">
            <wp:extent cx="5732145" cy="2224405"/>
            <wp:effectExtent l="0" t="0" r="1905" b="4445"/>
            <wp:docPr id="4" name="Chart 4">
              <a:extLst xmlns:a="http://schemas.openxmlformats.org/drawingml/2006/main">
                <a:ext uri="{FF2B5EF4-FFF2-40B4-BE49-F238E27FC236}">
                  <a16:creationId xmlns:a16="http://schemas.microsoft.com/office/drawing/2014/main" id="{00A1F20B-8960-467E-A269-C928DE196D6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4EDD83AD" w14:textId="136952E3" w:rsidR="00CF7A3C" w:rsidRPr="008924E0" w:rsidRDefault="005326F6" w:rsidP="005326F6">
      <w:pPr>
        <w:pStyle w:val="Caption"/>
        <w:jc w:val="center"/>
      </w:pPr>
      <w:bookmarkStart w:id="200" w:name="_Toc133499378"/>
      <w:r>
        <w:t>Slika 11.1.</w:t>
      </w:r>
      <w:r w:rsidR="00000000">
        <w:fldChar w:fldCharType="begin"/>
      </w:r>
      <w:r w:rsidR="00000000">
        <w:instrText xml:space="preserve"> SEQ Slika_11.1. \* ARABIC </w:instrText>
      </w:r>
      <w:r w:rsidR="00000000">
        <w:fldChar w:fldCharType="separate"/>
      </w:r>
      <w:r w:rsidR="00F85003">
        <w:rPr>
          <w:noProof/>
        </w:rPr>
        <w:t>5</w:t>
      </w:r>
      <w:r w:rsidR="00000000">
        <w:rPr>
          <w:noProof/>
        </w:rPr>
        <w:fldChar w:fldCharType="end"/>
      </w:r>
      <w:r>
        <w:t xml:space="preserve"> </w:t>
      </w:r>
      <w:r w:rsidRPr="008924E0">
        <w:rPr>
          <w:color w:val="000000"/>
        </w:rPr>
        <w:t>Porast broja javnih zgrada u FBiH za period do 2050. godine</w:t>
      </w:r>
      <w:bookmarkEnd w:id="200"/>
    </w:p>
    <w:p w14:paraId="6BBA00D1" w14:textId="4FB6134F" w:rsidR="00CF7A3C" w:rsidRPr="008924E0" w:rsidRDefault="00CF7A3C" w:rsidP="00CF7A3C">
      <w:pPr>
        <w:pBdr>
          <w:top w:val="nil"/>
          <w:left w:val="nil"/>
          <w:bottom w:val="nil"/>
          <w:right w:val="nil"/>
          <w:between w:val="nil"/>
        </w:pBdr>
        <w:spacing w:after="200" w:line="240" w:lineRule="auto"/>
        <w:rPr>
          <w:iCs/>
          <w:color w:val="000000"/>
          <w:lang w:val="bs-Latn-BA"/>
        </w:rPr>
      </w:pPr>
      <w:r w:rsidRPr="008924E0">
        <w:rPr>
          <w:iCs/>
          <w:color w:val="000000"/>
          <w:lang w:val="bs-Latn-BA"/>
        </w:rPr>
        <w:t xml:space="preserve">Podatke o nekomercijalnim zgradama u trenutku </w:t>
      </w:r>
      <w:r w:rsidR="00646378">
        <w:rPr>
          <w:iCs/>
          <w:color w:val="000000"/>
          <w:lang w:val="bs-Latn-BA"/>
        </w:rPr>
        <w:t>pripreme</w:t>
      </w:r>
      <w:r w:rsidR="00646378" w:rsidRPr="008924E0">
        <w:rPr>
          <w:iCs/>
          <w:color w:val="000000"/>
          <w:lang w:val="bs-Latn-BA"/>
        </w:rPr>
        <w:t xml:space="preserve"> </w:t>
      </w:r>
      <w:r w:rsidRPr="008924E0">
        <w:rPr>
          <w:iCs/>
          <w:color w:val="000000"/>
          <w:lang w:val="bs-Latn-BA"/>
        </w:rPr>
        <w:t xml:space="preserve">strateške platforme (juli-oktobar 2022.) nije bilo moguće prikupiti jer nijedna institucija ne vodi evidenciju o njima. Procjenu broja i površine fonda komercijalnih zgrada moguće je izvršiti na osnovu podatka  iz poreskih prijava tj. korisne površine. Od objekata, ovdje se kao kategorije javljaju: </w:t>
      </w:r>
    </w:p>
    <w:p w14:paraId="59BE314F" w14:textId="77777777" w:rsidR="00CF7A3C" w:rsidRPr="008924E0" w:rsidRDefault="00CF7A3C" w:rsidP="00CF7A3C">
      <w:pPr>
        <w:pStyle w:val="ListParagraph"/>
        <w:numPr>
          <w:ilvl w:val="1"/>
          <w:numId w:val="2"/>
        </w:numPr>
        <w:pBdr>
          <w:top w:val="nil"/>
          <w:left w:val="nil"/>
          <w:bottom w:val="nil"/>
          <w:right w:val="nil"/>
          <w:between w:val="nil"/>
        </w:pBdr>
        <w:spacing w:after="0"/>
        <w:jc w:val="left"/>
        <w:rPr>
          <w:iCs/>
          <w:color w:val="000000"/>
        </w:rPr>
      </w:pPr>
      <w:r w:rsidRPr="008924E0">
        <w:rPr>
          <w:iCs/>
          <w:color w:val="000000"/>
        </w:rPr>
        <w:t>kuća, zgrada ili stan</w:t>
      </w:r>
    </w:p>
    <w:p w14:paraId="70768661" w14:textId="77777777" w:rsidR="00CF7A3C" w:rsidRPr="008924E0" w:rsidRDefault="00CF7A3C" w:rsidP="00CF7A3C">
      <w:pPr>
        <w:pStyle w:val="ListParagraph"/>
        <w:numPr>
          <w:ilvl w:val="1"/>
          <w:numId w:val="2"/>
        </w:numPr>
        <w:pBdr>
          <w:top w:val="nil"/>
          <w:left w:val="nil"/>
          <w:bottom w:val="nil"/>
          <w:right w:val="nil"/>
          <w:between w:val="nil"/>
        </w:pBdr>
        <w:spacing w:after="0"/>
        <w:jc w:val="left"/>
        <w:rPr>
          <w:iCs/>
          <w:color w:val="000000"/>
        </w:rPr>
      </w:pPr>
      <w:r w:rsidRPr="008924E0">
        <w:rPr>
          <w:iCs/>
          <w:color w:val="000000"/>
        </w:rPr>
        <w:t>poslovna prostorija</w:t>
      </w:r>
    </w:p>
    <w:p w14:paraId="0E0E198C" w14:textId="77777777" w:rsidR="00CF7A3C" w:rsidRPr="008924E0" w:rsidRDefault="00CF7A3C" w:rsidP="00CF7A3C">
      <w:pPr>
        <w:pStyle w:val="ListParagraph"/>
        <w:numPr>
          <w:ilvl w:val="1"/>
          <w:numId w:val="2"/>
        </w:numPr>
        <w:pBdr>
          <w:top w:val="nil"/>
          <w:left w:val="nil"/>
          <w:bottom w:val="nil"/>
          <w:right w:val="nil"/>
          <w:between w:val="nil"/>
        </w:pBdr>
        <w:spacing w:after="0"/>
        <w:jc w:val="left"/>
        <w:rPr>
          <w:iCs/>
          <w:color w:val="000000"/>
        </w:rPr>
      </w:pPr>
      <w:r w:rsidRPr="008924E0">
        <w:rPr>
          <w:iCs/>
          <w:color w:val="000000"/>
        </w:rPr>
        <w:t>zgrada ili stan za odmor i rekreaciju</w:t>
      </w:r>
    </w:p>
    <w:p w14:paraId="4DF6CF53" w14:textId="77777777" w:rsidR="00CF7A3C" w:rsidRPr="008924E0" w:rsidRDefault="00CF7A3C" w:rsidP="00CF7A3C">
      <w:pPr>
        <w:pStyle w:val="ListParagraph"/>
        <w:numPr>
          <w:ilvl w:val="1"/>
          <w:numId w:val="2"/>
        </w:numPr>
        <w:pBdr>
          <w:top w:val="nil"/>
          <w:left w:val="nil"/>
          <w:bottom w:val="nil"/>
          <w:right w:val="nil"/>
          <w:between w:val="nil"/>
        </w:pBdr>
        <w:spacing w:after="0"/>
        <w:jc w:val="left"/>
        <w:rPr>
          <w:iCs/>
          <w:color w:val="000000"/>
        </w:rPr>
      </w:pPr>
      <w:r w:rsidRPr="008924E0">
        <w:rPr>
          <w:iCs/>
          <w:color w:val="000000"/>
        </w:rPr>
        <w:t>garaža koja se izdaje.</w:t>
      </w:r>
    </w:p>
    <w:p w14:paraId="107C773A" w14:textId="77777777" w:rsidR="00CF7A3C" w:rsidRPr="008924E0" w:rsidRDefault="00CF7A3C" w:rsidP="00CF7A3C">
      <w:pPr>
        <w:pBdr>
          <w:top w:val="nil"/>
          <w:left w:val="nil"/>
          <w:bottom w:val="nil"/>
          <w:right w:val="nil"/>
          <w:between w:val="nil"/>
        </w:pBdr>
        <w:spacing w:after="200" w:line="240" w:lineRule="auto"/>
        <w:rPr>
          <w:iCs/>
          <w:color w:val="000000"/>
          <w:lang w:val="bs-Latn-BA"/>
        </w:rPr>
      </w:pPr>
      <w:r w:rsidRPr="008924E0">
        <w:rPr>
          <w:iCs/>
          <w:color w:val="000000"/>
          <w:lang w:val="bs-Latn-BA"/>
        </w:rPr>
        <w:t xml:space="preserve">Međutim, Porezna uprava Federacije BiH, kao nadležna ustanova za prikupljanje ovih podataka, nije dostavila navedene podatke kako bi se oni analizirali i uvrstili u ovaj dokument. </w:t>
      </w:r>
    </w:p>
    <w:p w14:paraId="11F697E8" w14:textId="77777777" w:rsidR="00CF7A3C" w:rsidRPr="008924E0" w:rsidRDefault="00CF7A3C" w:rsidP="00581C1C">
      <w:pPr>
        <w:pStyle w:val="Heading4"/>
        <w:numPr>
          <w:ilvl w:val="3"/>
          <w:numId w:val="54"/>
        </w:numPr>
        <w:rPr>
          <w:lang w:val="bs-Latn-BA"/>
        </w:rPr>
      </w:pPr>
      <w:bookmarkStart w:id="201" w:name="_Toc134011818"/>
      <w:r w:rsidRPr="008924E0">
        <w:rPr>
          <w:lang w:val="bs-Latn-BA"/>
        </w:rPr>
        <w:t>Pregled fonda zgrada prema klimatskim regijama</w:t>
      </w:r>
      <w:bookmarkEnd w:id="201"/>
    </w:p>
    <w:p w14:paraId="3C2E5CB9" w14:textId="170F9644" w:rsidR="00CF7A3C" w:rsidRPr="008924E0" w:rsidRDefault="00CF7A3C" w:rsidP="00CF7A3C">
      <w:pPr>
        <w:tabs>
          <w:tab w:val="left" w:pos="4962"/>
        </w:tabs>
        <w:rPr>
          <w:lang w:val="bs-Latn-BA"/>
        </w:rPr>
      </w:pPr>
      <w:r w:rsidRPr="008924E0">
        <w:rPr>
          <w:lang w:val="bs-Latn-BA"/>
        </w:rPr>
        <w:t>Prema Uredbi o provođenju energijskih audita i izdavanju energijskog certifikata</w:t>
      </w:r>
      <w:r w:rsidR="00646378">
        <w:rPr>
          <w:lang w:val="bs-Latn-BA"/>
        </w:rPr>
        <w:t xml:space="preserve">   </w:t>
      </w:r>
      <w:r w:rsidRPr="008924E0">
        <w:rPr>
          <w:lang w:val="bs-Latn-BA"/>
        </w:rPr>
        <w:t xml:space="preserve"> („Službene novine FBiH</w:t>
      </w:r>
      <w:r w:rsidRPr="008924E0">
        <w:rPr>
          <w:color w:val="333333"/>
          <w:lang w:val="bs-Latn-BA"/>
        </w:rPr>
        <w:t>“</w:t>
      </w:r>
      <w:r w:rsidRPr="008924E0">
        <w:rPr>
          <w:lang w:val="bs-Latn-BA"/>
        </w:rPr>
        <w:t xml:space="preserve">, broj 87/18) područje FBiH je podijeljeno na dvije klimatske regije sjever i jug. Klimatskoj regiji sjever pripadaju kantoni: Unsko-sanski, Posavski, Tuzlanski, Zeničko-dobojski, Srednjobosanski, </w:t>
      </w:r>
      <w:r w:rsidRPr="008924E0">
        <w:rPr>
          <w:lang w:val="bs-Latn-BA"/>
        </w:rPr>
        <w:lastRenderedPageBreak/>
        <w:t>Bosansko-podrinjski, Kanton 10 i Sarajevski kanton. Klimatskoj regiji jug pripadaju: Zapadnohercegovački i Hercegovačko-neretvanski kanton.</w:t>
      </w:r>
    </w:p>
    <w:p w14:paraId="59A7FCF2" w14:textId="77777777" w:rsidR="00CF7A3C" w:rsidRPr="008924E0" w:rsidRDefault="00CF7A3C" w:rsidP="00CF7A3C">
      <w:pPr>
        <w:pStyle w:val="Heading5"/>
        <w:rPr>
          <w:lang w:val="bs-Latn-BA"/>
        </w:rPr>
      </w:pPr>
      <w:r w:rsidRPr="008924E0">
        <w:rPr>
          <w:lang w:val="bs-Latn-BA"/>
        </w:rPr>
        <w:t>Stambene zgrade</w:t>
      </w:r>
    </w:p>
    <w:p w14:paraId="1C9FC4A8" w14:textId="7C369F3D" w:rsidR="00CF7A3C" w:rsidRPr="008924E0" w:rsidRDefault="00CF7A3C" w:rsidP="00CF7A3C">
      <w:pPr>
        <w:tabs>
          <w:tab w:val="left" w:pos="4962"/>
        </w:tabs>
        <w:rPr>
          <w:lang w:val="bs-Latn-BA"/>
        </w:rPr>
      </w:pPr>
      <w:r w:rsidRPr="008924E0">
        <w:rPr>
          <w:lang w:val="bs-Latn-BA"/>
        </w:rPr>
        <w:t xml:space="preserve">Prema podacima iz Popisa stanovništva i koristeći linearni model predviđanja broja novoizgrađenih zgrada za period izgradnje 2014.-2020., izračunat je broj zgrada individualnih i zgrada kolektivnog stanovanja razvrstan prema klimatskim regijama, kako je prikazano na Slici </w:t>
      </w:r>
      <w:r w:rsidR="005326F6">
        <w:rPr>
          <w:lang w:val="bs-Latn-BA"/>
        </w:rPr>
        <w:t>11.</w:t>
      </w:r>
      <w:r w:rsidRPr="008924E0">
        <w:rPr>
          <w:lang w:val="bs-Latn-BA"/>
        </w:rPr>
        <w:t>1.</w:t>
      </w:r>
      <w:r w:rsidR="002D228C">
        <w:rPr>
          <w:lang w:val="bs-Latn-BA"/>
        </w:rPr>
        <w:t>6</w:t>
      </w:r>
      <w:r w:rsidRPr="008924E0">
        <w:rPr>
          <w:lang w:val="bs-Latn-BA"/>
        </w:rPr>
        <w:t xml:space="preserve">. </w:t>
      </w:r>
    </w:p>
    <w:p w14:paraId="5E515F97" w14:textId="77777777" w:rsidR="005326F6" w:rsidRDefault="00CF7A3C" w:rsidP="005326F6">
      <w:pPr>
        <w:keepNext/>
        <w:pBdr>
          <w:top w:val="nil"/>
          <w:left w:val="nil"/>
          <w:bottom w:val="nil"/>
          <w:right w:val="nil"/>
          <w:between w:val="nil"/>
        </w:pBdr>
        <w:spacing w:after="200" w:line="240" w:lineRule="auto"/>
        <w:jc w:val="center"/>
      </w:pPr>
      <w:r w:rsidRPr="008924E0">
        <w:rPr>
          <w:noProof/>
          <w:lang w:val="bs-Latn-BA"/>
        </w:rPr>
        <w:drawing>
          <wp:inline distT="0" distB="0" distL="0" distR="0" wp14:anchorId="79B05043" wp14:editId="7C041F2F">
            <wp:extent cx="5470525" cy="23400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848145C" w14:textId="6A8F3822" w:rsidR="00CF7A3C" w:rsidRPr="008924E0" w:rsidRDefault="005326F6" w:rsidP="005326F6">
      <w:pPr>
        <w:pStyle w:val="Caption"/>
        <w:jc w:val="center"/>
      </w:pPr>
      <w:bookmarkStart w:id="202" w:name="_Toc133499379"/>
      <w:r>
        <w:t>Slika 11.1.</w:t>
      </w:r>
      <w:r w:rsidR="00000000">
        <w:fldChar w:fldCharType="begin"/>
      </w:r>
      <w:r w:rsidR="00000000">
        <w:instrText xml:space="preserve"> SEQ Slika_11.1. \* ARABIC </w:instrText>
      </w:r>
      <w:r w:rsidR="00000000">
        <w:fldChar w:fldCharType="separate"/>
      </w:r>
      <w:r w:rsidR="00F85003">
        <w:rPr>
          <w:noProof/>
        </w:rPr>
        <w:t>6</w:t>
      </w:r>
      <w:r w:rsidR="00000000">
        <w:rPr>
          <w:noProof/>
        </w:rPr>
        <w:fldChar w:fldCharType="end"/>
      </w:r>
      <w:r>
        <w:t xml:space="preserve"> </w:t>
      </w:r>
      <w:r w:rsidRPr="008924E0">
        <w:rPr>
          <w:color w:val="000000"/>
        </w:rPr>
        <w:t>Broj stambenih zgrada individualnog i kolektivnog stanovanja prema klimatskoj regiji (period do 2021. godine)</w:t>
      </w:r>
      <w:bookmarkEnd w:id="202"/>
    </w:p>
    <w:p w14:paraId="3801CD2A" w14:textId="4C047D01" w:rsidR="00CF7A3C" w:rsidRPr="008924E0" w:rsidRDefault="00CF7A3C" w:rsidP="00CF7A3C">
      <w:pPr>
        <w:tabs>
          <w:tab w:val="left" w:pos="4962"/>
        </w:tabs>
        <w:rPr>
          <w:lang w:val="bs-Latn-BA"/>
        </w:rPr>
      </w:pPr>
      <w:r w:rsidRPr="008924E0">
        <w:rPr>
          <w:lang w:val="bs-Latn-BA"/>
        </w:rPr>
        <w:t xml:space="preserve">Kako se vidi na Slici </w:t>
      </w:r>
      <w:r w:rsidR="00646378">
        <w:rPr>
          <w:lang w:val="bs-Latn-BA"/>
        </w:rPr>
        <w:t>11.</w:t>
      </w:r>
      <w:r w:rsidRPr="008924E0">
        <w:rPr>
          <w:lang w:val="bs-Latn-BA"/>
        </w:rPr>
        <w:t>1.</w:t>
      </w:r>
      <w:r w:rsidR="002D228C">
        <w:rPr>
          <w:lang w:val="bs-Latn-BA"/>
        </w:rPr>
        <w:t>6</w:t>
      </w:r>
      <w:r w:rsidRPr="008924E0">
        <w:rPr>
          <w:lang w:val="bs-Latn-BA"/>
        </w:rPr>
        <w:t xml:space="preserve">, broj stambenih zgrada koji se nalaze u klimatskoj regiji Sjever FBiH je dominantan sa 86,4% zgrada u ukupnom fondu zgrada u FBiH. Prema ovoj činjenici se proračun energijskih potreba zgrada iz Tipologije stambenih zgrada bazirao na klimatskim podacima iz klimatske regije sjever. Iako je broj zgrada lociranih u klimatskoj regiji jug značajno manji od broja zgrada lociranih u klimatskoj regiji sjever, zbog razlika u klimatskim podacima dvije regije, neophodna je detaljna analiza energijskih potreba ovih zgrada. Zbog razlika u klimatskim </w:t>
      </w:r>
      <w:r w:rsidR="00540A41">
        <w:rPr>
          <w:lang w:val="bs-Latn-BA"/>
        </w:rPr>
        <w:t>uvjet</w:t>
      </w:r>
      <w:r w:rsidRPr="008924E0">
        <w:rPr>
          <w:lang w:val="bs-Latn-BA"/>
        </w:rPr>
        <w:t>ima razlikuju se i potrebe za energijom, što utiče i na potencijal za uštedu energije za zgrade locirane u različitim klimatskim regijama. Također, za dugoročnu strategiju je potrebno uzeti u obzir i očekivano povećanje potreba za hlađenjem</w:t>
      </w:r>
      <w:r w:rsidRPr="008924E0">
        <w:rPr>
          <w:vertAlign w:val="superscript"/>
          <w:lang w:val="bs-Latn-BA"/>
        </w:rPr>
        <w:footnoteReference w:id="112"/>
      </w:r>
      <w:r w:rsidRPr="008924E0">
        <w:rPr>
          <w:lang w:val="bs-Latn-BA"/>
        </w:rPr>
        <w:t xml:space="preserve">, što je od velikog značaja za zgrade locirane u klimatskoj regiji Jug. </w:t>
      </w:r>
    </w:p>
    <w:p w14:paraId="382891BC" w14:textId="77777777" w:rsidR="00CF7A3C" w:rsidRPr="008924E0" w:rsidRDefault="00CF7A3C" w:rsidP="00CF7A3C">
      <w:pPr>
        <w:pStyle w:val="Heading5"/>
        <w:rPr>
          <w:color w:val="FF0000"/>
          <w:lang w:val="bs-Latn-BA"/>
        </w:rPr>
      </w:pPr>
      <w:r w:rsidRPr="008924E0">
        <w:rPr>
          <w:lang w:val="bs-Latn-BA"/>
        </w:rPr>
        <w:t>Nestambene zgrade</w:t>
      </w:r>
    </w:p>
    <w:p w14:paraId="076BAC19" w14:textId="0F6B6CB6" w:rsidR="00CF7A3C" w:rsidRPr="008924E0" w:rsidRDefault="00CF7A3C" w:rsidP="00CF7A3C">
      <w:pPr>
        <w:tabs>
          <w:tab w:val="left" w:pos="4962"/>
        </w:tabs>
        <w:rPr>
          <w:lang w:val="bs-Latn-BA"/>
        </w:rPr>
      </w:pPr>
      <w:r w:rsidRPr="008924E0">
        <w:rPr>
          <w:lang w:val="bs-Latn-BA"/>
        </w:rPr>
        <w:t xml:space="preserve">Prema podacima iz 2016. godine, od ukupnog broja javnih zgrada kojeg je činilo 4.419 zgrada u FBiH, 3.634 zgrade je izgrađeno u klimatskoj regiji sjever, što čini  82,22 %, dok je 785 zgrada izgrađeno u klimatskoj regiji jug.  Koristeći linearni model predviđanja broja novoizgrađenih zgrada za period izgradnje 2017.-2020. i procenta zgrada po klimatskim regijama, izračunat je ukupan broj zgrada prema namjeni i klimatskim regijama za period do 2021. godine, kako je prikazano na Slici </w:t>
      </w:r>
      <w:r w:rsidR="005326F6">
        <w:rPr>
          <w:lang w:val="bs-Latn-BA"/>
        </w:rPr>
        <w:t>11.</w:t>
      </w:r>
      <w:r w:rsidRPr="008924E0">
        <w:rPr>
          <w:lang w:val="bs-Latn-BA"/>
        </w:rPr>
        <w:t>1.</w:t>
      </w:r>
      <w:r w:rsidR="002D228C">
        <w:rPr>
          <w:lang w:val="bs-Latn-BA"/>
        </w:rPr>
        <w:t>7</w:t>
      </w:r>
      <w:r w:rsidRPr="008924E0">
        <w:rPr>
          <w:lang w:val="bs-Latn-BA"/>
        </w:rPr>
        <w:t>.</w:t>
      </w:r>
    </w:p>
    <w:p w14:paraId="550A3EFE" w14:textId="77777777" w:rsidR="005326F6" w:rsidRDefault="00CF7A3C" w:rsidP="005326F6">
      <w:pPr>
        <w:keepNext/>
        <w:tabs>
          <w:tab w:val="left" w:pos="4962"/>
        </w:tabs>
      </w:pPr>
      <w:r w:rsidRPr="008924E0">
        <w:rPr>
          <w:noProof/>
          <w:lang w:val="bs-Latn-BA"/>
        </w:rPr>
        <w:lastRenderedPageBreak/>
        <w:drawing>
          <wp:inline distT="0" distB="0" distL="0" distR="0" wp14:anchorId="452D503A" wp14:editId="766B882D">
            <wp:extent cx="5732145" cy="23399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8B5E38B" w14:textId="759EDCF2" w:rsidR="00CF7A3C" w:rsidRPr="008924E0" w:rsidRDefault="005326F6" w:rsidP="005326F6">
      <w:pPr>
        <w:pStyle w:val="Caption"/>
        <w:jc w:val="center"/>
      </w:pPr>
      <w:bookmarkStart w:id="203" w:name="_Toc133499380"/>
      <w:r>
        <w:t>Slika 11.1.</w:t>
      </w:r>
      <w:r w:rsidR="00000000">
        <w:fldChar w:fldCharType="begin"/>
      </w:r>
      <w:r w:rsidR="00000000">
        <w:instrText xml:space="preserve"> SEQ Slika_11.1. \* ARABIC </w:instrText>
      </w:r>
      <w:r w:rsidR="00000000">
        <w:fldChar w:fldCharType="separate"/>
      </w:r>
      <w:r w:rsidR="00F85003">
        <w:rPr>
          <w:noProof/>
        </w:rPr>
        <w:t>7</w:t>
      </w:r>
      <w:r w:rsidR="00000000">
        <w:rPr>
          <w:noProof/>
        </w:rPr>
        <w:fldChar w:fldCharType="end"/>
      </w:r>
      <w:r>
        <w:t xml:space="preserve"> </w:t>
      </w:r>
      <w:r w:rsidRPr="008924E0">
        <w:rPr>
          <w:color w:val="000000"/>
        </w:rPr>
        <w:t>Broj javnih zgrada prema namjeni i klimatskoj regiji (period do 2021. godine</w:t>
      </w:r>
      <w:bookmarkEnd w:id="203"/>
    </w:p>
    <w:p w14:paraId="330EA03A" w14:textId="77777777" w:rsidR="00CF7A3C" w:rsidRPr="008924E0" w:rsidRDefault="00CF7A3C" w:rsidP="00581C1C">
      <w:pPr>
        <w:pStyle w:val="Heading4"/>
        <w:numPr>
          <w:ilvl w:val="3"/>
          <w:numId w:val="54"/>
        </w:numPr>
        <w:rPr>
          <w:lang w:val="bs-Latn-BA"/>
        </w:rPr>
      </w:pPr>
      <w:bookmarkStart w:id="204" w:name="_Toc134011819"/>
      <w:r w:rsidRPr="008924E0">
        <w:rPr>
          <w:lang w:val="bs-Latn-BA"/>
        </w:rPr>
        <w:t>Pregled fonda zgrada prema području (urbano/ruralno)</w:t>
      </w:r>
      <w:bookmarkEnd w:id="204"/>
    </w:p>
    <w:p w14:paraId="53258E96" w14:textId="2A2F002C" w:rsidR="00CF7A3C" w:rsidRPr="008924E0" w:rsidRDefault="00CF7A3C" w:rsidP="00CF7A3C">
      <w:pPr>
        <w:rPr>
          <w:lang w:val="bs-Latn-BA"/>
        </w:rPr>
      </w:pPr>
      <w:r w:rsidRPr="008924E0">
        <w:rPr>
          <w:lang w:val="bs-Latn-BA"/>
        </w:rPr>
        <w:t xml:space="preserve">Prema podacima iz Popisa stanovništva, urbano stanovništvo čini 43,3 % a ruralno 56,73 % stanovništva u Federaciji BiH. Koristeći ove omjere, izračunata je raspodjela broja individualnih stambenih zgrada (SH i TH) i zgrada kolektivnog stanovanja, u urbanim i ruralnim naseljima, kako je prikazano na Slici </w:t>
      </w:r>
      <w:r w:rsidR="005326F6">
        <w:rPr>
          <w:lang w:val="bs-Latn-BA"/>
        </w:rPr>
        <w:t>11.</w:t>
      </w:r>
      <w:r w:rsidRPr="008924E0">
        <w:rPr>
          <w:lang w:val="bs-Latn-BA"/>
        </w:rPr>
        <w:t>1.</w:t>
      </w:r>
      <w:r w:rsidR="002D228C">
        <w:rPr>
          <w:lang w:val="bs-Latn-BA"/>
        </w:rPr>
        <w:t>8</w:t>
      </w:r>
      <w:r w:rsidRPr="008924E0">
        <w:rPr>
          <w:lang w:val="bs-Latn-BA"/>
        </w:rPr>
        <w:t xml:space="preserve">. Vidi se da je broj individualnih stambenih zgrada izgrađenih u ruralnim područjima, dominantan u ukupnom fondu stambenih zgrada. </w:t>
      </w:r>
    </w:p>
    <w:p w14:paraId="62DBEF33" w14:textId="77777777" w:rsidR="00CF7A3C" w:rsidRPr="008924E0" w:rsidRDefault="00CF7A3C" w:rsidP="00CF7A3C">
      <w:pPr>
        <w:rPr>
          <w:lang w:val="bs-Latn-BA"/>
        </w:rPr>
      </w:pPr>
      <w:r w:rsidRPr="008924E0">
        <w:rPr>
          <w:lang w:val="bs-Latn-BA"/>
        </w:rPr>
        <w:t xml:space="preserve">Kada se analizira fond javnih zgrada, jednaka metodologija se može primijeniti na zgrade namijenjene obrazovanju i zdravstvenoj zaštiti. Prema toj analizi, u ruralnim naseljima je izgrađeno 895 objekata za obrazovanje i 280 zgrada namijenjenih zdravstvenoj zaštiti. U urbanim naseljima je izgrađeno 656 zgrada namijenjenih obrazovanju i 214 zgrada namijenjenih zdravstvenoj zaštiti. </w:t>
      </w:r>
    </w:p>
    <w:p w14:paraId="23EEDDA1" w14:textId="77777777" w:rsidR="005326F6" w:rsidRDefault="00CF7A3C" w:rsidP="005326F6">
      <w:pPr>
        <w:keepNext/>
      </w:pPr>
      <w:r w:rsidRPr="008924E0">
        <w:rPr>
          <w:noProof/>
          <w:lang w:val="bs-Latn-BA"/>
        </w:rPr>
        <w:drawing>
          <wp:inline distT="0" distB="0" distL="0" distR="0" wp14:anchorId="16540EA7" wp14:editId="31C2CA27">
            <wp:extent cx="5470525" cy="23399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2A746825" w14:textId="356B6F70" w:rsidR="00CF7A3C" w:rsidRPr="008924E0" w:rsidRDefault="005326F6" w:rsidP="005326F6">
      <w:pPr>
        <w:pStyle w:val="Caption"/>
        <w:jc w:val="center"/>
      </w:pPr>
      <w:bookmarkStart w:id="205" w:name="_Toc133499381"/>
      <w:r>
        <w:t>Slika 11.1.</w:t>
      </w:r>
      <w:r w:rsidR="00000000">
        <w:fldChar w:fldCharType="begin"/>
      </w:r>
      <w:r w:rsidR="00000000">
        <w:instrText xml:space="preserve"> SEQ Slika_11.1. \* ARABIC </w:instrText>
      </w:r>
      <w:r w:rsidR="00000000">
        <w:fldChar w:fldCharType="separate"/>
      </w:r>
      <w:r w:rsidR="00F85003">
        <w:rPr>
          <w:noProof/>
        </w:rPr>
        <w:t>8</w:t>
      </w:r>
      <w:r w:rsidR="00000000">
        <w:rPr>
          <w:noProof/>
        </w:rPr>
        <w:fldChar w:fldCharType="end"/>
      </w:r>
      <w:r>
        <w:t xml:space="preserve"> </w:t>
      </w:r>
      <w:r w:rsidRPr="008924E0">
        <w:rPr>
          <w:color w:val="000000"/>
        </w:rPr>
        <w:t>Raspodjela broja stambenih zgrada na urbana i ruralna naselja</w:t>
      </w:r>
      <w:bookmarkEnd w:id="205"/>
    </w:p>
    <w:p w14:paraId="09FA9472" w14:textId="77777777" w:rsidR="00CF7A3C" w:rsidRPr="008924E0" w:rsidRDefault="00CF7A3C" w:rsidP="00BB40F0">
      <w:pPr>
        <w:pStyle w:val="Heading4"/>
        <w:numPr>
          <w:ilvl w:val="3"/>
          <w:numId w:val="54"/>
        </w:numPr>
        <w:ind w:left="1890" w:hanging="810"/>
        <w:rPr>
          <w:lang w:val="bs-Latn-BA"/>
        </w:rPr>
      </w:pPr>
      <w:bookmarkStart w:id="206" w:name="_Toc134011820"/>
      <w:r w:rsidRPr="008924E0">
        <w:rPr>
          <w:lang w:val="bs-Latn-BA"/>
        </w:rPr>
        <w:t>Energijske karakteristike zgrada</w:t>
      </w:r>
      <w:bookmarkEnd w:id="206"/>
    </w:p>
    <w:p w14:paraId="6D1D8013" w14:textId="77777777" w:rsidR="00CF7A3C" w:rsidRPr="008924E0" w:rsidRDefault="00CF7A3C" w:rsidP="00CF7A3C">
      <w:pPr>
        <w:pStyle w:val="Heading5"/>
        <w:rPr>
          <w:lang w:val="bs-Latn-BA"/>
        </w:rPr>
      </w:pPr>
      <w:r w:rsidRPr="008924E0">
        <w:rPr>
          <w:lang w:val="bs-Latn-BA"/>
        </w:rPr>
        <w:t>Energijski razredi zgrada</w:t>
      </w:r>
    </w:p>
    <w:p w14:paraId="1FC74E9E" w14:textId="77777777" w:rsidR="00CF7A3C" w:rsidRPr="008924E0" w:rsidRDefault="00CF7A3C" w:rsidP="00CF7A3C">
      <w:pPr>
        <w:pStyle w:val="Heading5"/>
        <w:rPr>
          <w:b w:val="0"/>
          <w:i/>
          <w:lang w:val="bs-Latn-BA"/>
        </w:rPr>
      </w:pPr>
      <w:r w:rsidRPr="008924E0">
        <w:rPr>
          <w:b w:val="0"/>
          <w:i/>
          <w:lang w:val="bs-Latn-BA"/>
        </w:rPr>
        <w:t>Stambene</w:t>
      </w:r>
      <w:r w:rsidRPr="008924E0">
        <w:rPr>
          <w:b w:val="0"/>
          <w:lang w:val="bs-Latn-BA"/>
        </w:rPr>
        <w:t xml:space="preserve"> </w:t>
      </w:r>
      <w:r w:rsidRPr="008924E0">
        <w:rPr>
          <w:b w:val="0"/>
          <w:i/>
          <w:lang w:val="bs-Latn-BA"/>
        </w:rPr>
        <w:t>zgrade</w:t>
      </w:r>
    </w:p>
    <w:p w14:paraId="3C1FC4A9" w14:textId="5F3EFEE7" w:rsidR="00CF7A3C" w:rsidRPr="008924E0" w:rsidRDefault="00CF7A3C" w:rsidP="00CF7A3C">
      <w:pPr>
        <w:rPr>
          <w:lang w:val="bs-Latn-BA"/>
        </w:rPr>
      </w:pPr>
      <w:r w:rsidRPr="008924E0">
        <w:rPr>
          <w:lang w:val="bs-Latn-BA"/>
        </w:rPr>
        <w:t xml:space="preserve">Potrošnja stambenih i javnih zgrada je izračunata i </w:t>
      </w:r>
      <w:r w:rsidR="005326F6" w:rsidRPr="008924E0">
        <w:rPr>
          <w:lang w:val="bs-Latn-BA"/>
        </w:rPr>
        <w:t>uspoređena</w:t>
      </w:r>
      <w:r w:rsidRPr="008924E0">
        <w:rPr>
          <w:lang w:val="bs-Latn-BA"/>
        </w:rPr>
        <w:t xml:space="preserve"> sa podacima iz EUROSTAT-a za 2019. godinu, u kojem su dati godišnji podaci o finalnoj potrošnji sektora izraženoj u toni ekvivalenta nafte </w:t>
      </w:r>
      <w:r w:rsidRPr="008924E0">
        <w:rPr>
          <w:lang w:val="bs-Latn-BA"/>
        </w:rPr>
        <w:lastRenderedPageBreak/>
        <w:t xml:space="preserve">(toe) na nivou države (Tabela </w:t>
      </w:r>
      <w:r w:rsidR="005326F6">
        <w:rPr>
          <w:lang w:val="bs-Latn-BA"/>
        </w:rPr>
        <w:t>11.</w:t>
      </w:r>
      <w:r w:rsidRPr="008924E0">
        <w:rPr>
          <w:lang w:val="bs-Latn-BA"/>
        </w:rPr>
        <w:t xml:space="preserve">1.5.). Odstupanja ukupne potrošnje finalne energije od podataka EUROSTAT-a iznose 1,2 %. U Tabeli su označene kategorije zgrada koje su najveći apsolutni potrošači finalne energije za grijanje. Kategorija SH iz perioda izgradnje 1971.-1980. predstavlja kategoriju sa najvećom apsolutnom potrošnjom finalne energije za grijanje. Naredna je kategorija SH 1992.-2013. koja obuhvata značajno duži period izgradnje i veći broj zgrada, te kategorija SH 1981.-1991. Od zgrada kolektivnog stanovanja izdvaja se kategorija AB2 sa periodima izgradnje 1971.-1980. i 1961.-1970. te MH, također u ovim periodima izgradnje. </w:t>
      </w:r>
    </w:p>
    <w:p w14:paraId="2C07FD74" w14:textId="185A3C83" w:rsidR="005326F6" w:rsidRDefault="005326F6" w:rsidP="005326F6">
      <w:pPr>
        <w:pStyle w:val="Caption"/>
        <w:keepNext/>
      </w:pPr>
      <w:bookmarkStart w:id="207" w:name="_Toc133499624"/>
      <w:r>
        <w:t>Tabela 11.1.</w:t>
      </w:r>
      <w:r w:rsidR="00000000">
        <w:fldChar w:fldCharType="begin"/>
      </w:r>
      <w:r w:rsidR="00000000">
        <w:instrText xml:space="preserve"> SEQ Tabela_11.1. \* ARABIC </w:instrText>
      </w:r>
      <w:r w:rsidR="00000000">
        <w:fldChar w:fldCharType="separate"/>
      </w:r>
      <w:r w:rsidR="002D62B3">
        <w:rPr>
          <w:noProof/>
        </w:rPr>
        <w:t>5</w:t>
      </w:r>
      <w:r w:rsidR="00000000">
        <w:rPr>
          <w:noProof/>
        </w:rPr>
        <w:fldChar w:fldCharType="end"/>
      </w:r>
      <w:r>
        <w:t xml:space="preserve"> </w:t>
      </w:r>
      <w:r w:rsidRPr="008924E0">
        <w:rPr>
          <w:color w:val="000000"/>
        </w:rPr>
        <w:t>Finalna potrošnja energija za grijanje stambenih zgrada u FBiH, MWh/god.</w:t>
      </w:r>
      <w:bookmarkEnd w:id="207"/>
    </w:p>
    <w:tbl>
      <w:tblPr>
        <w:tblStyle w:val="23"/>
        <w:tblW w:w="7660" w:type="dxa"/>
        <w:tblInd w:w="677" w:type="dxa"/>
        <w:tblLayout w:type="fixed"/>
        <w:tblLook w:val="0400" w:firstRow="0" w:lastRow="0" w:firstColumn="0" w:lastColumn="0" w:noHBand="0" w:noVBand="1"/>
      </w:tblPr>
      <w:tblGrid>
        <w:gridCol w:w="1395"/>
        <w:gridCol w:w="1136"/>
        <w:gridCol w:w="1181"/>
        <w:gridCol w:w="973"/>
        <w:gridCol w:w="973"/>
        <w:gridCol w:w="1127"/>
        <w:gridCol w:w="875"/>
      </w:tblGrid>
      <w:tr w:rsidR="00FB0871" w:rsidRPr="008924E0" w14:paraId="48CC008A" w14:textId="77777777" w:rsidTr="0028605F">
        <w:trPr>
          <w:trHeight w:val="552"/>
        </w:trPr>
        <w:tc>
          <w:tcPr>
            <w:tcW w:w="1395" w:type="dxa"/>
            <w:vMerge w:val="restart"/>
            <w:tcBorders>
              <w:top w:val="single" w:sz="12" w:space="0" w:color="FFFFFF"/>
              <w:left w:val="single" w:sz="12" w:space="0" w:color="FFFFFF"/>
              <w:bottom w:val="single" w:sz="12" w:space="0" w:color="FFFFFF"/>
              <w:right w:val="single" w:sz="12" w:space="0" w:color="FFFFFF"/>
            </w:tcBorders>
            <w:shd w:val="clear" w:color="auto" w:fill="006432"/>
            <w:vAlign w:val="center"/>
          </w:tcPr>
          <w:p w14:paraId="087A9EA2"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Period izgradnje </w:t>
            </w:r>
          </w:p>
        </w:tc>
        <w:tc>
          <w:tcPr>
            <w:tcW w:w="2317" w:type="dxa"/>
            <w:gridSpan w:val="2"/>
            <w:tcBorders>
              <w:top w:val="single" w:sz="12" w:space="0" w:color="FFFFFF"/>
              <w:left w:val="nil"/>
              <w:bottom w:val="single" w:sz="12" w:space="0" w:color="FFFFFF"/>
              <w:right w:val="single" w:sz="12" w:space="0" w:color="FFFFFF"/>
            </w:tcBorders>
            <w:shd w:val="clear" w:color="auto" w:fill="006432"/>
            <w:vAlign w:val="center"/>
          </w:tcPr>
          <w:p w14:paraId="63247348"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Individualno stanovanje</w:t>
            </w:r>
          </w:p>
        </w:tc>
        <w:tc>
          <w:tcPr>
            <w:tcW w:w="3948" w:type="dxa"/>
            <w:gridSpan w:val="4"/>
            <w:tcBorders>
              <w:top w:val="single" w:sz="12" w:space="0" w:color="FFFFFF"/>
              <w:left w:val="nil"/>
              <w:bottom w:val="single" w:sz="12" w:space="0" w:color="FFFFFF"/>
              <w:right w:val="single" w:sz="12" w:space="0" w:color="FFFFFF"/>
            </w:tcBorders>
            <w:shd w:val="clear" w:color="auto" w:fill="006432"/>
            <w:vAlign w:val="center"/>
          </w:tcPr>
          <w:p w14:paraId="08678779"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Kolektivno stanovanje</w:t>
            </w:r>
          </w:p>
        </w:tc>
      </w:tr>
      <w:tr w:rsidR="00FB0871" w:rsidRPr="008924E0" w14:paraId="0350F835" w14:textId="77777777" w:rsidTr="0028605F">
        <w:trPr>
          <w:trHeight w:val="312"/>
        </w:trPr>
        <w:tc>
          <w:tcPr>
            <w:tcW w:w="1395" w:type="dxa"/>
            <w:vMerge/>
            <w:tcBorders>
              <w:top w:val="single" w:sz="12" w:space="0" w:color="FFFFFF"/>
              <w:left w:val="single" w:sz="12" w:space="0" w:color="FFFFFF"/>
              <w:bottom w:val="single" w:sz="12" w:space="0" w:color="FFFFFF"/>
              <w:right w:val="single" w:sz="12" w:space="0" w:color="FFFFFF"/>
            </w:tcBorders>
            <w:shd w:val="clear" w:color="auto" w:fill="006432"/>
            <w:vAlign w:val="center"/>
          </w:tcPr>
          <w:p w14:paraId="553D97A2" w14:textId="77777777" w:rsidR="00FB0871" w:rsidRPr="008924E0" w:rsidRDefault="00FB0871" w:rsidP="000B085B">
            <w:pPr>
              <w:widowControl w:val="0"/>
              <w:pBdr>
                <w:top w:val="nil"/>
                <w:left w:val="nil"/>
                <w:bottom w:val="nil"/>
                <w:right w:val="nil"/>
                <w:between w:val="nil"/>
              </w:pBdr>
              <w:spacing w:after="0" w:line="276" w:lineRule="auto"/>
              <w:jc w:val="left"/>
              <w:rPr>
                <w:b/>
                <w:color w:val="FFFFFF"/>
                <w:sz w:val="20"/>
                <w:szCs w:val="20"/>
                <w:lang w:val="bs-Latn-BA"/>
              </w:rPr>
            </w:pPr>
          </w:p>
        </w:tc>
        <w:tc>
          <w:tcPr>
            <w:tcW w:w="1136" w:type="dxa"/>
            <w:tcBorders>
              <w:top w:val="nil"/>
              <w:left w:val="nil"/>
              <w:bottom w:val="single" w:sz="12" w:space="0" w:color="FFFFFF"/>
              <w:right w:val="single" w:sz="12" w:space="0" w:color="FFFFFF"/>
            </w:tcBorders>
            <w:shd w:val="clear" w:color="auto" w:fill="006432"/>
            <w:vAlign w:val="center"/>
          </w:tcPr>
          <w:p w14:paraId="36EEF21A"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SH</w:t>
            </w:r>
          </w:p>
        </w:tc>
        <w:tc>
          <w:tcPr>
            <w:tcW w:w="1181" w:type="dxa"/>
            <w:tcBorders>
              <w:top w:val="nil"/>
              <w:left w:val="nil"/>
              <w:bottom w:val="single" w:sz="12" w:space="0" w:color="FFFFFF"/>
              <w:right w:val="single" w:sz="12" w:space="0" w:color="FFFFFF"/>
            </w:tcBorders>
            <w:shd w:val="clear" w:color="auto" w:fill="006432"/>
            <w:vAlign w:val="center"/>
          </w:tcPr>
          <w:p w14:paraId="07CA9788"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TH</w:t>
            </w:r>
          </w:p>
        </w:tc>
        <w:tc>
          <w:tcPr>
            <w:tcW w:w="973" w:type="dxa"/>
            <w:tcBorders>
              <w:top w:val="nil"/>
              <w:left w:val="nil"/>
              <w:bottom w:val="single" w:sz="12" w:space="0" w:color="FFFFFF"/>
              <w:right w:val="single" w:sz="12" w:space="0" w:color="FFFFFF"/>
            </w:tcBorders>
            <w:shd w:val="clear" w:color="auto" w:fill="006432"/>
            <w:vAlign w:val="center"/>
          </w:tcPr>
          <w:p w14:paraId="0223E5D8"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MH</w:t>
            </w:r>
          </w:p>
        </w:tc>
        <w:tc>
          <w:tcPr>
            <w:tcW w:w="973" w:type="dxa"/>
            <w:tcBorders>
              <w:top w:val="nil"/>
              <w:left w:val="nil"/>
              <w:bottom w:val="single" w:sz="12" w:space="0" w:color="FFFFFF"/>
              <w:right w:val="single" w:sz="12" w:space="0" w:color="FFFFFF"/>
            </w:tcBorders>
            <w:shd w:val="clear" w:color="auto" w:fill="006432"/>
            <w:vAlign w:val="center"/>
          </w:tcPr>
          <w:p w14:paraId="3635541B"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AB1</w:t>
            </w:r>
          </w:p>
        </w:tc>
        <w:tc>
          <w:tcPr>
            <w:tcW w:w="1127" w:type="dxa"/>
            <w:tcBorders>
              <w:top w:val="nil"/>
              <w:left w:val="nil"/>
              <w:bottom w:val="single" w:sz="12" w:space="0" w:color="FFFFFF"/>
              <w:right w:val="single" w:sz="12" w:space="0" w:color="FFFFFF"/>
            </w:tcBorders>
            <w:shd w:val="clear" w:color="auto" w:fill="006432"/>
            <w:vAlign w:val="center"/>
          </w:tcPr>
          <w:p w14:paraId="36E851F9"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AB2</w:t>
            </w:r>
          </w:p>
        </w:tc>
        <w:tc>
          <w:tcPr>
            <w:tcW w:w="875" w:type="dxa"/>
            <w:tcBorders>
              <w:top w:val="nil"/>
              <w:left w:val="nil"/>
              <w:bottom w:val="single" w:sz="12" w:space="0" w:color="FFFFFF"/>
              <w:right w:val="single" w:sz="12" w:space="0" w:color="FFFFFF"/>
            </w:tcBorders>
            <w:shd w:val="clear" w:color="auto" w:fill="006432"/>
            <w:vAlign w:val="center"/>
          </w:tcPr>
          <w:p w14:paraId="099D96DA" w14:textId="77777777" w:rsidR="00FB0871" w:rsidRPr="008924E0" w:rsidRDefault="00FB0871" w:rsidP="000B085B">
            <w:pPr>
              <w:spacing w:after="0" w:line="240" w:lineRule="auto"/>
              <w:jc w:val="center"/>
              <w:rPr>
                <w:b/>
                <w:color w:val="FFFFFF"/>
                <w:sz w:val="20"/>
                <w:szCs w:val="20"/>
                <w:lang w:val="bs-Latn-BA"/>
              </w:rPr>
            </w:pPr>
            <w:r w:rsidRPr="008924E0">
              <w:rPr>
                <w:b/>
                <w:color w:val="FFFFFF"/>
                <w:sz w:val="20"/>
                <w:szCs w:val="20"/>
                <w:lang w:val="bs-Latn-BA"/>
              </w:rPr>
              <w:t>H</w:t>
            </w:r>
          </w:p>
        </w:tc>
      </w:tr>
      <w:tr w:rsidR="00FB0871" w:rsidRPr="008924E0" w14:paraId="42862321" w14:textId="77777777" w:rsidTr="0028605F">
        <w:trPr>
          <w:trHeight w:val="312"/>
        </w:trPr>
        <w:tc>
          <w:tcPr>
            <w:tcW w:w="1395" w:type="dxa"/>
            <w:tcBorders>
              <w:top w:val="nil"/>
              <w:left w:val="nil"/>
              <w:bottom w:val="single" w:sz="12" w:space="0" w:color="FFFFFF"/>
              <w:right w:val="single" w:sz="12" w:space="0" w:color="FFFFFF"/>
            </w:tcBorders>
            <w:shd w:val="clear" w:color="auto" w:fill="E9E9E9"/>
            <w:vAlign w:val="center"/>
          </w:tcPr>
          <w:p w14:paraId="544EAEF1"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do 1945.</w:t>
            </w:r>
          </w:p>
        </w:tc>
        <w:tc>
          <w:tcPr>
            <w:tcW w:w="1136" w:type="dxa"/>
            <w:tcBorders>
              <w:top w:val="nil"/>
              <w:left w:val="nil"/>
              <w:bottom w:val="single" w:sz="12" w:space="0" w:color="FFFFFF"/>
              <w:right w:val="single" w:sz="12" w:space="0" w:color="FFFFFF"/>
            </w:tcBorders>
            <w:shd w:val="clear" w:color="auto" w:fill="FFE884"/>
            <w:vAlign w:val="center"/>
          </w:tcPr>
          <w:p w14:paraId="699A3B67"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117.100</w:t>
            </w:r>
          </w:p>
        </w:tc>
        <w:tc>
          <w:tcPr>
            <w:tcW w:w="1181" w:type="dxa"/>
            <w:tcBorders>
              <w:top w:val="nil"/>
              <w:left w:val="nil"/>
              <w:bottom w:val="single" w:sz="12" w:space="0" w:color="FFFFFF"/>
              <w:right w:val="single" w:sz="12" w:space="0" w:color="FFFFFF"/>
            </w:tcBorders>
            <w:shd w:val="clear" w:color="auto" w:fill="69BF7B"/>
            <w:vAlign w:val="center"/>
          </w:tcPr>
          <w:p w14:paraId="5CE5C5D1"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1.590</w:t>
            </w:r>
          </w:p>
        </w:tc>
        <w:tc>
          <w:tcPr>
            <w:tcW w:w="973" w:type="dxa"/>
            <w:tcBorders>
              <w:top w:val="nil"/>
              <w:left w:val="nil"/>
              <w:bottom w:val="single" w:sz="12" w:space="0" w:color="FFFFFF"/>
              <w:right w:val="single" w:sz="12" w:space="0" w:color="FFFFFF"/>
            </w:tcBorders>
            <w:shd w:val="clear" w:color="auto" w:fill="BCD780"/>
            <w:vAlign w:val="center"/>
          </w:tcPr>
          <w:p w14:paraId="75E2D63D"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20.583</w:t>
            </w:r>
          </w:p>
        </w:tc>
        <w:tc>
          <w:tcPr>
            <w:tcW w:w="973" w:type="dxa"/>
            <w:tcBorders>
              <w:top w:val="nil"/>
              <w:left w:val="nil"/>
              <w:bottom w:val="single" w:sz="12" w:space="0" w:color="FFFFFF"/>
              <w:right w:val="single" w:sz="12" w:space="0" w:color="FFFFFF"/>
            </w:tcBorders>
            <w:shd w:val="clear" w:color="auto" w:fill="BAD780"/>
            <w:vAlign w:val="center"/>
          </w:tcPr>
          <w:p w14:paraId="1A41D0E8"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20.143</w:t>
            </w:r>
          </w:p>
        </w:tc>
        <w:tc>
          <w:tcPr>
            <w:tcW w:w="1127" w:type="dxa"/>
            <w:tcBorders>
              <w:top w:val="nil"/>
              <w:left w:val="nil"/>
              <w:bottom w:val="single" w:sz="12" w:space="0" w:color="FFFFFF"/>
              <w:right w:val="single" w:sz="12" w:space="0" w:color="FFFFFF"/>
            </w:tcBorders>
            <w:shd w:val="clear" w:color="auto" w:fill="63BE7B"/>
            <w:vAlign w:val="center"/>
          </w:tcPr>
          <w:p w14:paraId="69F819BD"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0</w:t>
            </w:r>
          </w:p>
        </w:tc>
        <w:tc>
          <w:tcPr>
            <w:tcW w:w="875" w:type="dxa"/>
            <w:tcBorders>
              <w:top w:val="nil"/>
              <w:left w:val="nil"/>
              <w:bottom w:val="single" w:sz="12" w:space="0" w:color="FFFFFF"/>
              <w:right w:val="single" w:sz="12" w:space="0" w:color="FFFFFF"/>
            </w:tcBorders>
            <w:shd w:val="clear" w:color="auto" w:fill="63BE7B"/>
            <w:vAlign w:val="center"/>
          </w:tcPr>
          <w:p w14:paraId="6E00501C"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69552E27" w14:textId="77777777" w:rsidTr="0028605F">
        <w:trPr>
          <w:trHeight w:val="312"/>
        </w:trPr>
        <w:tc>
          <w:tcPr>
            <w:tcW w:w="1395" w:type="dxa"/>
            <w:tcBorders>
              <w:top w:val="nil"/>
              <w:left w:val="nil"/>
              <w:bottom w:val="single" w:sz="12" w:space="0" w:color="FFFFFF"/>
              <w:right w:val="single" w:sz="12" w:space="0" w:color="FFFFFF"/>
            </w:tcBorders>
            <w:shd w:val="clear" w:color="auto" w:fill="E9E9E9"/>
            <w:vAlign w:val="center"/>
          </w:tcPr>
          <w:p w14:paraId="2EFE7A83"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1946.-1960.</w:t>
            </w:r>
          </w:p>
        </w:tc>
        <w:tc>
          <w:tcPr>
            <w:tcW w:w="1136" w:type="dxa"/>
            <w:tcBorders>
              <w:top w:val="nil"/>
              <w:left w:val="nil"/>
              <w:bottom w:val="single" w:sz="12" w:space="0" w:color="FFFFFF"/>
              <w:right w:val="single" w:sz="12" w:space="0" w:color="FFFFFF"/>
            </w:tcBorders>
            <w:shd w:val="clear" w:color="auto" w:fill="FFDD82"/>
            <w:vAlign w:val="center"/>
          </w:tcPr>
          <w:p w14:paraId="73AEBF0A"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334.027</w:t>
            </w:r>
          </w:p>
        </w:tc>
        <w:tc>
          <w:tcPr>
            <w:tcW w:w="1181" w:type="dxa"/>
            <w:tcBorders>
              <w:top w:val="nil"/>
              <w:left w:val="nil"/>
              <w:bottom w:val="single" w:sz="12" w:space="0" w:color="FFFFFF"/>
              <w:right w:val="single" w:sz="12" w:space="0" w:color="FFFFFF"/>
            </w:tcBorders>
            <w:shd w:val="clear" w:color="auto" w:fill="BBD780"/>
            <w:vAlign w:val="center"/>
          </w:tcPr>
          <w:p w14:paraId="11E3DF77"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20.365</w:t>
            </w:r>
          </w:p>
        </w:tc>
        <w:tc>
          <w:tcPr>
            <w:tcW w:w="973" w:type="dxa"/>
            <w:tcBorders>
              <w:top w:val="nil"/>
              <w:left w:val="nil"/>
              <w:bottom w:val="single" w:sz="12" w:space="0" w:color="FFFFFF"/>
              <w:right w:val="single" w:sz="12" w:space="0" w:color="FFFFFF"/>
            </w:tcBorders>
            <w:shd w:val="clear" w:color="auto" w:fill="FFE884"/>
            <w:vAlign w:val="center"/>
          </w:tcPr>
          <w:p w14:paraId="6E00A362"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100.654</w:t>
            </w:r>
          </w:p>
        </w:tc>
        <w:tc>
          <w:tcPr>
            <w:tcW w:w="973" w:type="dxa"/>
            <w:tcBorders>
              <w:top w:val="nil"/>
              <w:left w:val="nil"/>
              <w:bottom w:val="single" w:sz="12" w:space="0" w:color="FFFFFF"/>
              <w:right w:val="single" w:sz="12" w:space="0" w:color="FFFFFF"/>
            </w:tcBorders>
            <w:shd w:val="clear" w:color="auto" w:fill="D3DE81"/>
            <w:vAlign w:val="center"/>
          </w:tcPr>
          <w:p w14:paraId="2988C78F"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25.978</w:t>
            </w:r>
          </w:p>
        </w:tc>
        <w:tc>
          <w:tcPr>
            <w:tcW w:w="1127" w:type="dxa"/>
            <w:tcBorders>
              <w:top w:val="nil"/>
              <w:left w:val="nil"/>
              <w:bottom w:val="single" w:sz="12" w:space="0" w:color="FFFFFF"/>
              <w:right w:val="single" w:sz="12" w:space="0" w:color="FFFFFF"/>
            </w:tcBorders>
            <w:shd w:val="clear" w:color="auto" w:fill="FFEB84"/>
            <w:vAlign w:val="center"/>
          </w:tcPr>
          <w:p w14:paraId="7F5C9495"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36.889</w:t>
            </w:r>
          </w:p>
        </w:tc>
        <w:tc>
          <w:tcPr>
            <w:tcW w:w="875" w:type="dxa"/>
            <w:tcBorders>
              <w:top w:val="nil"/>
              <w:left w:val="nil"/>
              <w:bottom w:val="single" w:sz="12" w:space="0" w:color="FFFFFF"/>
              <w:right w:val="single" w:sz="12" w:space="0" w:color="FFFFFF"/>
            </w:tcBorders>
            <w:shd w:val="clear" w:color="auto" w:fill="63BE7B"/>
            <w:vAlign w:val="center"/>
          </w:tcPr>
          <w:p w14:paraId="1DBD1DF4"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6306FF2D" w14:textId="77777777" w:rsidTr="0028605F">
        <w:trPr>
          <w:trHeight w:val="300"/>
        </w:trPr>
        <w:tc>
          <w:tcPr>
            <w:tcW w:w="1395" w:type="dxa"/>
            <w:tcBorders>
              <w:top w:val="nil"/>
              <w:left w:val="nil"/>
              <w:bottom w:val="single" w:sz="12" w:space="0" w:color="FFFFFF"/>
              <w:right w:val="single" w:sz="12" w:space="0" w:color="FFFFFF"/>
            </w:tcBorders>
            <w:shd w:val="clear" w:color="auto" w:fill="E9E9E9"/>
            <w:vAlign w:val="center"/>
          </w:tcPr>
          <w:p w14:paraId="03D87067"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1961.-1970.</w:t>
            </w:r>
          </w:p>
        </w:tc>
        <w:tc>
          <w:tcPr>
            <w:tcW w:w="1136" w:type="dxa"/>
            <w:tcBorders>
              <w:top w:val="nil"/>
              <w:left w:val="nil"/>
              <w:bottom w:val="single" w:sz="12" w:space="0" w:color="FFFFFF"/>
              <w:right w:val="single" w:sz="12" w:space="0" w:color="FFFFFF"/>
            </w:tcBorders>
            <w:shd w:val="clear" w:color="auto" w:fill="FDB67A"/>
            <w:vAlign w:val="center"/>
          </w:tcPr>
          <w:p w14:paraId="215CD7EB"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1.156.741</w:t>
            </w:r>
          </w:p>
        </w:tc>
        <w:tc>
          <w:tcPr>
            <w:tcW w:w="1181" w:type="dxa"/>
            <w:tcBorders>
              <w:top w:val="nil"/>
              <w:left w:val="nil"/>
              <w:bottom w:val="single" w:sz="12" w:space="0" w:color="FFFFFF"/>
              <w:right w:val="single" w:sz="12" w:space="0" w:color="FFFFFF"/>
            </w:tcBorders>
            <w:shd w:val="clear" w:color="auto" w:fill="FFEA84"/>
            <w:vAlign w:val="center"/>
          </w:tcPr>
          <w:p w14:paraId="01D40434"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73.505</w:t>
            </w:r>
          </w:p>
        </w:tc>
        <w:tc>
          <w:tcPr>
            <w:tcW w:w="973" w:type="dxa"/>
            <w:tcBorders>
              <w:top w:val="nil"/>
              <w:left w:val="nil"/>
              <w:bottom w:val="single" w:sz="12" w:space="0" w:color="FFFFFF"/>
              <w:right w:val="single" w:sz="12" w:space="0" w:color="FFFFFF"/>
            </w:tcBorders>
            <w:shd w:val="clear" w:color="auto" w:fill="FFE483"/>
            <w:vAlign w:val="center"/>
          </w:tcPr>
          <w:p w14:paraId="3DB1EA59"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199.202</w:t>
            </w:r>
          </w:p>
        </w:tc>
        <w:tc>
          <w:tcPr>
            <w:tcW w:w="973" w:type="dxa"/>
            <w:tcBorders>
              <w:top w:val="nil"/>
              <w:left w:val="nil"/>
              <w:bottom w:val="single" w:sz="12" w:space="0" w:color="FFFFFF"/>
              <w:right w:val="single" w:sz="12" w:space="0" w:color="FFFFFF"/>
            </w:tcBorders>
            <w:shd w:val="clear" w:color="auto" w:fill="FFE984"/>
            <w:vAlign w:val="center"/>
          </w:tcPr>
          <w:p w14:paraId="6D783FA8"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88.372</w:t>
            </w:r>
          </w:p>
        </w:tc>
        <w:tc>
          <w:tcPr>
            <w:tcW w:w="1127" w:type="dxa"/>
            <w:tcBorders>
              <w:top w:val="nil"/>
              <w:left w:val="nil"/>
              <w:bottom w:val="single" w:sz="12" w:space="0" w:color="FFFFFF"/>
              <w:right w:val="single" w:sz="12" w:space="0" w:color="FFFFFF"/>
            </w:tcBorders>
            <w:shd w:val="clear" w:color="auto" w:fill="FFDF82"/>
            <w:vAlign w:val="center"/>
          </w:tcPr>
          <w:p w14:paraId="392F1362"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297.792</w:t>
            </w:r>
          </w:p>
        </w:tc>
        <w:tc>
          <w:tcPr>
            <w:tcW w:w="875" w:type="dxa"/>
            <w:tcBorders>
              <w:top w:val="nil"/>
              <w:left w:val="nil"/>
              <w:bottom w:val="single" w:sz="12" w:space="0" w:color="FFFFFF"/>
              <w:right w:val="single" w:sz="12" w:space="0" w:color="FFFFFF"/>
            </w:tcBorders>
            <w:shd w:val="clear" w:color="auto" w:fill="FFEB84"/>
            <w:vAlign w:val="center"/>
          </w:tcPr>
          <w:p w14:paraId="5E075A1C"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47.489</w:t>
            </w:r>
          </w:p>
        </w:tc>
      </w:tr>
      <w:tr w:rsidR="00FB0871" w:rsidRPr="008924E0" w14:paraId="47863E23" w14:textId="77777777" w:rsidTr="0028605F">
        <w:trPr>
          <w:trHeight w:val="300"/>
        </w:trPr>
        <w:tc>
          <w:tcPr>
            <w:tcW w:w="1395" w:type="dxa"/>
            <w:tcBorders>
              <w:top w:val="nil"/>
              <w:left w:val="nil"/>
              <w:bottom w:val="single" w:sz="12" w:space="0" w:color="FFFFFF"/>
              <w:right w:val="single" w:sz="12" w:space="0" w:color="FFFFFF"/>
            </w:tcBorders>
            <w:shd w:val="clear" w:color="auto" w:fill="E9E9E9"/>
            <w:vAlign w:val="center"/>
          </w:tcPr>
          <w:p w14:paraId="1E785963"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1971.-1980.</w:t>
            </w:r>
          </w:p>
        </w:tc>
        <w:tc>
          <w:tcPr>
            <w:tcW w:w="1136" w:type="dxa"/>
            <w:tcBorders>
              <w:top w:val="nil"/>
              <w:left w:val="nil"/>
              <w:bottom w:val="single" w:sz="12" w:space="0" w:color="FFFFFF"/>
              <w:right w:val="single" w:sz="12" w:space="0" w:color="FFFFFF"/>
            </w:tcBorders>
            <w:shd w:val="clear" w:color="auto" w:fill="F8696B"/>
            <w:vAlign w:val="center"/>
          </w:tcPr>
          <w:p w14:paraId="0A09DDFF"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2.758.563</w:t>
            </w:r>
          </w:p>
        </w:tc>
        <w:tc>
          <w:tcPr>
            <w:tcW w:w="1181" w:type="dxa"/>
            <w:tcBorders>
              <w:top w:val="nil"/>
              <w:left w:val="nil"/>
              <w:bottom w:val="single" w:sz="12" w:space="0" w:color="FFFFFF"/>
              <w:right w:val="single" w:sz="12" w:space="0" w:color="FFFFFF"/>
            </w:tcBorders>
            <w:shd w:val="clear" w:color="auto" w:fill="FFE884"/>
            <w:vAlign w:val="center"/>
          </w:tcPr>
          <w:p w14:paraId="37962780"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103.729</w:t>
            </w:r>
          </w:p>
        </w:tc>
        <w:tc>
          <w:tcPr>
            <w:tcW w:w="973" w:type="dxa"/>
            <w:tcBorders>
              <w:top w:val="nil"/>
              <w:left w:val="nil"/>
              <w:bottom w:val="single" w:sz="12" w:space="0" w:color="FFFFFF"/>
              <w:right w:val="single" w:sz="12" w:space="0" w:color="FFFFFF"/>
            </w:tcBorders>
            <w:shd w:val="clear" w:color="auto" w:fill="FFE583"/>
            <w:vAlign w:val="center"/>
          </w:tcPr>
          <w:p w14:paraId="16762541"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169.694</w:t>
            </w:r>
          </w:p>
        </w:tc>
        <w:tc>
          <w:tcPr>
            <w:tcW w:w="973" w:type="dxa"/>
            <w:tcBorders>
              <w:top w:val="nil"/>
              <w:left w:val="nil"/>
              <w:bottom w:val="single" w:sz="12" w:space="0" w:color="FFFFFF"/>
              <w:right w:val="single" w:sz="12" w:space="0" w:color="FFFFFF"/>
            </w:tcBorders>
            <w:shd w:val="clear" w:color="auto" w:fill="63BE7B"/>
            <w:vAlign w:val="center"/>
          </w:tcPr>
          <w:p w14:paraId="4D7FFA97"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0</w:t>
            </w:r>
          </w:p>
        </w:tc>
        <w:tc>
          <w:tcPr>
            <w:tcW w:w="1127" w:type="dxa"/>
            <w:tcBorders>
              <w:top w:val="nil"/>
              <w:left w:val="nil"/>
              <w:bottom w:val="single" w:sz="12" w:space="0" w:color="FFFFFF"/>
              <w:right w:val="single" w:sz="12" w:space="0" w:color="FFFFFF"/>
            </w:tcBorders>
            <w:shd w:val="clear" w:color="auto" w:fill="FED380"/>
            <w:vAlign w:val="center"/>
          </w:tcPr>
          <w:p w14:paraId="41BD53BD"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554.194</w:t>
            </w:r>
          </w:p>
        </w:tc>
        <w:tc>
          <w:tcPr>
            <w:tcW w:w="875" w:type="dxa"/>
            <w:tcBorders>
              <w:top w:val="nil"/>
              <w:left w:val="nil"/>
              <w:bottom w:val="single" w:sz="12" w:space="0" w:color="FFFFFF"/>
              <w:right w:val="single" w:sz="12" w:space="0" w:color="FFFFFF"/>
            </w:tcBorders>
            <w:shd w:val="clear" w:color="auto" w:fill="E2E282"/>
            <w:vAlign w:val="center"/>
          </w:tcPr>
          <w:p w14:paraId="17424E2F"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29.308</w:t>
            </w:r>
          </w:p>
        </w:tc>
      </w:tr>
      <w:tr w:rsidR="00FB0871" w:rsidRPr="008924E0" w14:paraId="70981752" w14:textId="77777777" w:rsidTr="0028605F">
        <w:trPr>
          <w:trHeight w:val="300"/>
        </w:trPr>
        <w:tc>
          <w:tcPr>
            <w:tcW w:w="1395" w:type="dxa"/>
            <w:tcBorders>
              <w:top w:val="nil"/>
              <w:left w:val="nil"/>
              <w:bottom w:val="single" w:sz="12" w:space="0" w:color="FFFFFF"/>
              <w:right w:val="single" w:sz="12" w:space="0" w:color="FFFFFF"/>
            </w:tcBorders>
            <w:shd w:val="clear" w:color="auto" w:fill="E9E9E9"/>
            <w:vAlign w:val="center"/>
          </w:tcPr>
          <w:p w14:paraId="040A9EB5"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1981.-1991.</w:t>
            </w:r>
          </w:p>
        </w:tc>
        <w:tc>
          <w:tcPr>
            <w:tcW w:w="1136" w:type="dxa"/>
            <w:tcBorders>
              <w:top w:val="nil"/>
              <w:left w:val="nil"/>
              <w:bottom w:val="single" w:sz="12" w:space="0" w:color="FFFFFF"/>
              <w:right w:val="single" w:sz="12" w:space="0" w:color="FFFFFF"/>
            </w:tcBorders>
            <w:shd w:val="clear" w:color="auto" w:fill="FBA076"/>
            <w:vAlign w:val="center"/>
          </w:tcPr>
          <w:p w14:paraId="26773F00"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1.609.510</w:t>
            </w:r>
          </w:p>
        </w:tc>
        <w:tc>
          <w:tcPr>
            <w:tcW w:w="1181" w:type="dxa"/>
            <w:tcBorders>
              <w:top w:val="nil"/>
              <w:left w:val="nil"/>
              <w:bottom w:val="single" w:sz="12" w:space="0" w:color="FFFFFF"/>
              <w:right w:val="single" w:sz="12" w:space="0" w:color="FFFFFF"/>
            </w:tcBorders>
            <w:shd w:val="clear" w:color="auto" w:fill="FFE984"/>
            <w:vAlign w:val="center"/>
          </w:tcPr>
          <w:p w14:paraId="47B8B426"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78.107</w:t>
            </w:r>
          </w:p>
        </w:tc>
        <w:tc>
          <w:tcPr>
            <w:tcW w:w="973" w:type="dxa"/>
            <w:tcBorders>
              <w:top w:val="nil"/>
              <w:left w:val="nil"/>
              <w:bottom w:val="single" w:sz="12" w:space="0" w:color="FFFFFF"/>
              <w:right w:val="single" w:sz="12" w:space="0" w:color="FFFFFF"/>
            </w:tcBorders>
            <w:shd w:val="clear" w:color="auto" w:fill="FFEA84"/>
            <w:vAlign w:val="center"/>
          </w:tcPr>
          <w:p w14:paraId="13E3E4C8"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66.673</w:t>
            </w:r>
          </w:p>
        </w:tc>
        <w:tc>
          <w:tcPr>
            <w:tcW w:w="973" w:type="dxa"/>
            <w:tcBorders>
              <w:top w:val="nil"/>
              <w:left w:val="nil"/>
              <w:bottom w:val="single" w:sz="12" w:space="0" w:color="FFFFFF"/>
              <w:right w:val="single" w:sz="12" w:space="0" w:color="FFFFFF"/>
            </w:tcBorders>
            <w:shd w:val="clear" w:color="auto" w:fill="6FC17B"/>
            <w:vAlign w:val="center"/>
          </w:tcPr>
          <w:p w14:paraId="28CC915E"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2.770</w:t>
            </w:r>
          </w:p>
        </w:tc>
        <w:tc>
          <w:tcPr>
            <w:tcW w:w="1127" w:type="dxa"/>
            <w:tcBorders>
              <w:top w:val="nil"/>
              <w:left w:val="nil"/>
              <w:bottom w:val="single" w:sz="12" w:space="0" w:color="FFFFFF"/>
              <w:right w:val="single" w:sz="12" w:space="0" w:color="FFFFFF"/>
            </w:tcBorders>
            <w:shd w:val="clear" w:color="auto" w:fill="FFE884"/>
            <w:vAlign w:val="center"/>
          </w:tcPr>
          <w:p w14:paraId="4AF18C47"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102.937</w:t>
            </w:r>
          </w:p>
        </w:tc>
        <w:tc>
          <w:tcPr>
            <w:tcW w:w="875" w:type="dxa"/>
            <w:tcBorders>
              <w:top w:val="nil"/>
              <w:left w:val="nil"/>
              <w:bottom w:val="single" w:sz="12" w:space="0" w:color="FFFFFF"/>
              <w:right w:val="single" w:sz="12" w:space="0" w:color="FFFFFF"/>
            </w:tcBorders>
            <w:shd w:val="clear" w:color="auto" w:fill="63BE7B"/>
            <w:vAlign w:val="center"/>
          </w:tcPr>
          <w:p w14:paraId="2F9F646C"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5AD56B73" w14:textId="77777777" w:rsidTr="0028605F">
        <w:trPr>
          <w:trHeight w:val="300"/>
        </w:trPr>
        <w:tc>
          <w:tcPr>
            <w:tcW w:w="1395" w:type="dxa"/>
            <w:tcBorders>
              <w:top w:val="nil"/>
              <w:left w:val="nil"/>
              <w:bottom w:val="single" w:sz="12" w:space="0" w:color="FFFFFF"/>
              <w:right w:val="single" w:sz="12" w:space="0" w:color="FFFFFF"/>
            </w:tcBorders>
            <w:shd w:val="clear" w:color="auto" w:fill="E9E9E9"/>
            <w:vAlign w:val="center"/>
          </w:tcPr>
          <w:p w14:paraId="15C3A8F7"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1992.-2013.</w:t>
            </w:r>
          </w:p>
        </w:tc>
        <w:tc>
          <w:tcPr>
            <w:tcW w:w="1136" w:type="dxa"/>
            <w:tcBorders>
              <w:top w:val="nil"/>
              <w:left w:val="nil"/>
              <w:bottom w:val="single" w:sz="12" w:space="0" w:color="FFFFFF"/>
              <w:right w:val="single" w:sz="12" w:space="0" w:color="FFFFFF"/>
            </w:tcBorders>
            <w:shd w:val="clear" w:color="auto" w:fill="FB9B75"/>
            <w:vAlign w:val="center"/>
          </w:tcPr>
          <w:p w14:paraId="0E35CF18"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1.725.587</w:t>
            </w:r>
          </w:p>
        </w:tc>
        <w:tc>
          <w:tcPr>
            <w:tcW w:w="1181" w:type="dxa"/>
            <w:tcBorders>
              <w:top w:val="nil"/>
              <w:left w:val="nil"/>
              <w:bottom w:val="single" w:sz="12" w:space="0" w:color="FFFFFF"/>
              <w:right w:val="single" w:sz="12" w:space="0" w:color="FFFFFF"/>
            </w:tcBorders>
            <w:shd w:val="clear" w:color="auto" w:fill="63BE7B"/>
            <w:vAlign w:val="center"/>
          </w:tcPr>
          <w:p w14:paraId="41568A82"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0</w:t>
            </w:r>
          </w:p>
        </w:tc>
        <w:tc>
          <w:tcPr>
            <w:tcW w:w="973" w:type="dxa"/>
            <w:tcBorders>
              <w:top w:val="nil"/>
              <w:left w:val="nil"/>
              <w:bottom w:val="single" w:sz="12" w:space="0" w:color="FFFFFF"/>
              <w:right w:val="single" w:sz="12" w:space="0" w:color="FFFFFF"/>
            </w:tcBorders>
            <w:shd w:val="clear" w:color="auto" w:fill="FFEA84"/>
            <w:vAlign w:val="center"/>
          </w:tcPr>
          <w:p w14:paraId="300C7F4F"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57.900</w:t>
            </w:r>
          </w:p>
        </w:tc>
        <w:tc>
          <w:tcPr>
            <w:tcW w:w="973" w:type="dxa"/>
            <w:tcBorders>
              <w:top w:val="nil"/>
              <w:left w:val="nil"/>
              <w:bottom w:val="single" w:sz="12" w:space="0" w:color="FFFFFF"/>
              <w:right w:val="single" w:sz="12" w:space="0" w:color="FFFFFF"/>
            </w:tcBorders>
            <w:shd w:val="clear" w:color="auto" w:fill="76C37C"/>
            <w:vAlign w:val="center"/>
          </w:tcPr>
          <w:p w14:paraId="6A7CCA9F"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4.484</w:t>
            </w:r>
          </w:p>
        </w:tc>
        <w:tc>
          <w:tcPr>
            <w:tcW w:w="1127" w:type="dxa"/>
            <w:tcBorders>
              <w:top w:val="nil"/>
              <w:left w:val="nil"/>
              <w:bottom w:val="single" w:sz="12" w:space="0" w:color="FFFFFF"/>
              <w:right w:val="single" w:sz="12" w:space="0" w:color="FFFFFF"/>
            </w:tcBorders>
            <w:shd w:val="clear" w:color="auto" w:fill="D4DE81"/>
            <w:vAlign w:val="center"/>
          </w:tcPr>
          <w:p w14:paraId="50761632"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26.151</w:t>
            </w:r>
          </w:p>
        </w:tc>
        <w:tc>
          <w:tcPr>
            <w:tcW w:w="875" w:type="dxa"/>
            <w:tcBorders>
              <w:top w:val="nil"/>
              <w:left w:val="nil"/>
              <w:bottom w:val="single" w:sz="12" w:space="0" w:color="FFFFFF"/>
              <w:right w:val="single" w:sz="12" w:space="0" w:color="FFFFFF"/>
            </w:tcBorders>
            <w:shd w:val="clear" w:color="auto" w:fill="63BE7B"/>
            <w:vAlign w:val="center"/>
          </w:tcPr>
          <w:p w14:paraId="5D3E4D3C"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0</w:t>
            </w:r>
          </w:p>
        </w:tc>
      </w:tr>
      <w:tr w:rsidR="00FB0871" w:rsidRPr="008924E0" w14:paraId="75EDDA5F" w14:textId="77777777" w:rsidTr="0028605F">
        <w:trPr>
          <w:trHeight w:val="300"/>
        </w:trPr>
        <w:tc>
          <w:tcPr>
            <w:tcW w:w="1395" w:type="dxa"/>
            <w:tcBorders>
              <w:top w:val="nil"/>
              <w:left w:val="nil"/>
              <w:bottom w:val="single" w:sz="12" w:space="0" w:color="FFFFFF"/>
              <w:right w:val="single" w:sz="12" w:space="0" w:color="FFFFFF"/>
            </w:tcBorders>
            <w:shd w:val="clear" w:color="auto" w:fill="E9E9E9"/>
            <w:vAlign w:val="center"/>
          </w:tcPr>
          <w:p w14:paraId="488809E5"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2014.-2020.*</w:t>
            </w:r>
          </w:p>
        </w:tc>
        <w:tc>
          <w:tcPr>
            <w:tcW w:w="1136" w:type="dxa"/>
            <w:tcBorders>
              <w:top w:val="nil"/>
              <w:left w:val="nil"/>
              <w:bottom w:val="single" w:sz="12" w:space="0" w:color="FFFFFF"/>
              <w:right w:val="single" w:sz="12" w:space="0" w:color="FFFFFF"/>
            </w:tcBorders>
            <w:shd w:val="clear" w:color="auto" w:fill="FED781"/>
            <w:vAlign w:val="center"/>
          </w:tcPr>
          <w:p w14:paraId="25F07E58"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457.560</w:t>
            </w:r>
          </w:p>
        </w:tc>
        <w:tc>
          <w:tcPr>
            <w:tcW w:w="1181" w:type="dxa"/>
            <w:tcBorders>
              <w:top w:val="nil"/>
              <w:left w:val="nil"/>
              <w:bottom w:val="single" w:sz="12" w:space="0" w:color="FFFFFF"/>
              <w:right w:val="single" w:sz="12" w:space="0" w:color="FFFFFF"/>
            </w:tcBorders>
            <w:shd w:val="clear" w:color="auto" w:fill="C5DA80"/>
            <w:vAlign w:val="center"/>
          </w:tcPr>
          <w:p w14:paraId="162BBBE1"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22.618</w:t>
            </w:r>
          </w:p>
        </w:tc>
        <w:tc>
          <w:tcPr>
            <w:tcW w:w="973" w:type="dxa"/>
            <w:tcBorders>
              <w:top w:val="nil"/>
              <w:left w:val="nil"/>
              <w:bottom w:val="single" w:sz="12" w:space="0" w:color="FFFFFF"/>
              <w:right w:val="single" w:sz="12" w:space="0" w:color="FFFFFF"/>
            </w:tcBorders>
            <w:shd w:val="clear" w:color="auto" w:fill="B2D47F"/>
            <w:vAlign w:val="center"/>
          </w:tcPr>
          <w:p w14:paraId="26D36C46"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18.348</w:t>
            </w:r>
          </w:p>
        </w:tc>
        <w:tc>
          <w:tcPr>
            <w:tcW w:w="973" w:type="dxa"/>
            <w:tcBorders>
              <w:top w:val="nil"/>
              <w:left w:val="nil"/>
              <w:bottom w:val="single" w:sz="12" w:space="0" w:color="FFFFFF"/>
              <w:right w:val="single" w:sz="12" w:space="0" w:color="FFFFFF"/>
            </w:tcBorders>
            <w:shd w:val="clear" w:color="auto" w:fill="7FC67C"/>
            <w:vAlign w:val="center"/>
          </w:tcPr>
          <w:p w14:paraId="17ED827D"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6.487</w:t>
            </w:r>
          </w:p>
        </w:tc>
        <w:tc>
          <w:tcPr>
            <w:tcW w:w="1127" w:type="dxa"/>
            <w:tcBorders>
              <w:top w:val="nil"/>
              <w:left w:val="nil"/>
              <w:bottom w:val="single" w:sz="12" w:space="0" w:color="FFFFFF"/>
              <w:right w:val="single" w:sz="12" w:space="0" w:color="FFFFFF"/>
            </w:tcBorders>
            <w:shd w:val="clear" w:color="auto" w:fill="FAE983"/>
            <w:vAlign w:val="center"/>
          </w:tcPr>
          <w:p w14:paraId="0DB3ACB6"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34.944</w:t>
            </w:r>
          </w:p>
        </w:tc>
        <w:tc>
          <w:tcPr>
            <w:tcW w:w="875" w:type="dxa"/>
            <w:tcBorders>
              <w:top w:val="nil"/>
              <w:left w:val="nil"/>
              <w:bottom w:val="single" w:sz="12" w:space="0" w:color="FFFFFF"/>
              <w:right w:val="single" w:sz="12" w:space="0" w:color="FFFFFF"/>
            </w:tcBorders>
            <w:shd w:val="clear" w:color="auto" w:fill="6EC17B"/>
            <w:vAlign w:val="center"/>
          </w:tcPr>
          <w:p w14:paraId="40F5778B" w14:textId="77777777" w:rsidR="00FB0871" w:rsidRPr="008924E0" w:rsidRDefault="00FB0871" w:rsidP="000B085B">
            <w:pPr>
              <w:spacing w:after="0" w:line="240" w:lineRule="auto"/>
              <w:jc w:val="right"/>
              <w:rPr>
                <w:color w:val="000000"/>
                <w:sz w:val="20"/>
                <w:szCs w:val="20"/>
                <w:lang w:val="bs-Latn-BA"/>
              </w:rPr>
            </w:pPr>
            <w:r w:rsidRPr="008924E0">
              <w:rPr>
                <w:color w:val="000000"/>
                <w:sz w:val="20"/>
                <w:szCs w:val="20"/>
                <w:lang w:val="bs-Latn-BA"/>
              </w:rPr>
              <w:t>2.550</w:t>
            </w:r>
          </w:p>
        </w:tc>
      </w:tr>
      <w:tr w:rsidR="00FB0871" w:rsidRPr="008924E0" w14:paraId="1BA5B67E" w14:textId="77777777" w:rsidTr="0028605F">
        <w:trPr>
          <w:trHeight w:val="300"/>
        </w:trPr>
        <w:tc>
          <w:tcPr>
            <w:tcW w:w="1395" w:type="dxa"/>
            <w:tcBorders>
              <w:top w:val="nil"/>
              <w:left w:val="nil"/>
              <w:bottom w:val="single" w:sz="12" w:space="0" w:color="FFFFFF"/>
              <w:right w:val="single" w:sz="12" w:space="0" w:color="FFFFFF"/>
            </w:tcBorders>
            <w:shd w:val="clear" w:color="auto" w:fill="E9E9E9"/>
            <w:vAlign w:val="center"/>
          </w:tcPr>
          <w:p w14:paraId="40DF6CD7" w14:textId="77777777" w:rsidR="00FB0871" w:rsidRPr="008924E0" w:rsidRDefault="00FB0871" w:rsidP="000B085B">
            <w:pPr>
              <w:spacing w:after="0" w:line="240" w:lineRule="auto"/>
              <w:jc w:val="center"/>
              <w:rPr>
                <w:b/>
                <w:color w:val="000000"/>
                <w:sz w:val="20"/>
                <w:szCs w:val="20"/>
                <w:lang w:val="bs-Latn-BA"/>
              </w:rPr>
            </w:pPr>
            <w:r w:rsidRPr="008924E0">
              <w:rPr>
                <w:b/>
                <w:color w:val="000000"/>
                <w:sz w:val="20"/>
                <w:szCs w:val="20"/>
                <w:lang w:val="bs-Latn-BA"/>
              </w:rPr>
              <w:t>Ukupno</w:t>
            </w:r>
          </w:p>
        </w:tc>
        <w:tc>
          <w:tcPr>
            <w:tcW w:w="1136" w:type="dxa"/>
            <w:tcBorders>
              <w:top w:val="nil"/>
              <w:left w:val="nil"/>
              <w:bottom w:val="single" w:sz="12" w:space="0" w:color="FFFFFF"/>
              <w:right w:val="single" w:sz="12" w:space="0" w:color="FFFFFF"/>
            </w:tcBorders>
            <w:shd w:val="clear" w:color="auto" w:fill="F8696B"/>
            <w:vAlign w:val="center"/>
          </w:tcPr>
          <w:p w14:paraId="565F5789" w14:textId="77777777" w:rsidR="00FB0871" w:rsidRPr="008924E0" w:rsidRDefault="00FB0871" w:rsidP="000B085B">
            <w:pPr>
              <w:spacing w:after="0" w:line="240" w:lineRule="auto"/>
              <w:jc w:val="right"/>
              <w:rPr>
                <w:b/>
                <w:color w:val="000000"/>
                <w:sz w:val="20"/>
                <w:szCs w:val="20"/>
                <w:lang w:val="bs-Latn-BA"/>
              </w:rPr>
            </w:pPr>
            <w:r w:rsidRPr="008924E0">
              <w:rPr>
                <w:b/>
                <w:color w:val="000000"/>
                <w:sz w:val="20"/>
                <w:szCs w:val="20"/>
                <w:lang w:val="bs-Latn-BA"/>
              </w:rPr>
              <w:t>8.159.087</w:t>
            </w:r>
          </w:p>
        </w:tc>
        <w:tc>
          <w:tcPr>
            <w:tcW w:w="1181" w:type="dxa"/>
            <w:tcBorders>
              <w:top w:val="nil"/>
              <w:left w:val="nil"/>
              <w:bottom w:val="single" w:sz="12" w:space="0" w:color="FFFFFF"/>
              <w:right w:val="single" w:sz="12" w:space="0" w:color="FFFFFF"/>
            </w:tcBorders>
            <w:shd w:val="clear" w:color="auto" w:fill="BBD780"/>
            <w:vAlign w:val="center"/>
          </w:tcPr>
          <w:p w14:paraId="22ADFE09" w14:textId="77777777" w:rsidR="00FB0871" w:rsidRPr="00927E0D" w:rsidRDefault="00FB0871" w:rsidP="000B085B">
            <w:pPr>
              <w:spacing w:after="0" w:line="240" w:lineRule="auto"/>
              <w:jc w:val="right"/>
              <w:rPr>
                <w:b/>
                <w:bCs/>
                <w:color w:val="000000"/>
                <w:sz w:val="20"/>
                <w:szCs w:val="20"/>
                <w:lang w:val="bs-Latn-BA"/>
              </w:rPr>
            </w:pPr>
            <w:r w:rsidRPr="00927E0D">
              <w:rPr>
                <w:b/>
                <w:bCs/>
                <w:color w:val="000000"/>
                <w:sz w:val="20"/>
                <w:szCs w:val="20"/>
                <w:lang w:val="bs-Latn-BA"/>
              </w:rPr>
              <w:t>299.914</w:t>
            </w:r>
          </w:p>
        </w:tc>
        <w:tc>
          <w:tcPr>
            <w:tcW w:w="973" w:type="dxa"/>
            <w:tcBorders>
              <w:top w:val="nil"/>
              <w:left w:val="nil"/>
              <w:bottom w:val="single" w:sz="12" w:space="0" w:color="FFFFFF"/>
              <w:right w:val="single" w:sz="12" w:space="0" w:color="FFFFFF"/>
            </w:tcBorders>
            <w:shd w:val="clear" w:color="auto" w:fill="FFE984"/>
            <w:vAlign w:val="center"/>
          </w:tcPr>
          <w:p w14:paraId="07F75BE4" w14:textId="77777777" w:rsidR="00FB0871" w:rsidRPr="00927E0D" w:rsidRDefault="00FB0871" w:rsidP="000B085B">
            <w:pPr>
              <w:spacing w:after="0" w:line="240" w:lineRule="auto"/>
              <w:jc w:val="right"/>
              <w:rPr>
                <w:b/>
                <w:bCs/>
                <w:color w:val="000000"/>
                <w:sz w:val="20"/>
                <w:szCs w:val="20"/>
                <w:lang w:val="bs-Latn-BA"/>
              </w:rPr>
            </w:pPr>
            <w:r w:rsidRPr="00927E0D">
              <w:rPr>
                <w:b/>
                <w:bCs/>
                <w:color w:val="000000"/>
                <w:sz w:val="20"/>
                <w:szCs w:val="20"/>
                <w:lang w:val="bs-Latn-BA"/>
              </w:rPr>
              <w:t>633.054</w:t>
            </w:r>
          </w:p>
        </w:tc>
        <w:tc>
          <w:tcPr>
            <w:tcW w:w="973" w:type="dxa"/>
            <w:tcBorders>
              <w:top w:val="nil"/>
              <w:left w:val="nil"/>
              <w:bottom w:val="single" w:sz="12" w:space="0" w:color="FFFFFF"/>
              <w:right w:val="single" w:sz="12" w:space="0" w:color="FFFFFF"/>
            </w:tcBorders>
            <w:shd w:val="clear" w:color="auto" w:fill="7EC67C"/>
            <w:vAlign w:val="center"/>
          </w:tcPr>
          <w:p w14:paraId="378CEB48" w14:textId="77777777" w:rsidR="00FB0871" w:rsidRPr="00927E0D" w:rsidRDefault="00FB0871" w:rsidP="000B085B">
            <w:pPr>
              <w:spacing w:after="0" w:line="240" w:lineRule="auto"/>
              <w:jc w:val="right"/>
              <w:rPr>
                <w:b/>
                <w:bCs/>
                <w:color w:val="000000"/>
                <w:sz w:val="20"/>
                <w:szCs w:val="20"/>
                <w:lang w:val="bs-Latn-BA"/>
              </w:rPr>
            </w:pPr>
            <w:r w:rsidRPr="00927E0D">
              <w:rPr>
                <w:b/>
                <w:bCs/>
                <w:color w:val="000000"/>
                <w:sz w:val="20"/>
                <w:szCs w:val="20"/>
                <w:lang w:val="bs-Latn-BA"/>
              </w:rPr>
              <w:t>148.234</w:t>
            </w:r>
          </w:p>
        </w:tc>
        <w:tc>
          <w:tcPr>
            <w:tcW w:w="1127" w:type="dxa"/>
            <w:tcBorders>
              <w:top w:val="nil"/>
              <w:left w:val="nil"/>
              <w:bottom w:val="single" w:sz="12" w:space="0" w:color="FFFFFF"/>
              <w:right w:val="single" w:sz="12" w:space="0" w:color="FFFFFF"/>
            </w:tcBorders>
            <w:shd w:val="clear" w:color="auto" w:fill="FFE283"/>
            <w:vAlign w:val="center"/>
          </w:tcPr>
          <w:p w14:paraId="342AFE80" w14:textId="77777777" w:rsidR="00FB0871" w:rsidRPr="00927E0D" w:rsidRDefault="00FB0871" w:rsidP="000B085B">
            <w:pPr>
              <w:spacing w:after="0" w:line="240" w:lineRule="auto"/>
              <w:jc w:val="right"/>
              <w:rPr>
                <w:b/>
                <w:bCs/>
                <w:color w:val="000000"/>
                <w:sz w:val="20"/>
                <w:szCs w:val="20"/>
                <w:lang w:val="bs-Latn-BA"/>
              </w:rPr>
            </w:pPr>
            <w:r w:rsidRPr="00927E0D">
              <w:rPr>
                <w:b/>
                <w:bCs/>
                <w:color w:val="000000"/>
                <w:sz w:val="20"/>
                <w:szCs w:val="20"/>
                <w:lang w:val="bs-Latn-BA"/>
              </w:rPr>
              <w:t>1.052.906</w:t>
            </w:r>
          </w:p>
        </w:tc>
        <w:tc>
          <w:tcPr>
            <w:tcW w:w="875" w:type="dxa"/>
            <w:tcBorders>
              <w:top w:val="nil"/>
              <w:left w:val="nil"/>
              <w:bottom w:val="single" w:sz="12" w:space="0" w:color="FFFFFF"/>
              <w:right w:val="single" w:sz="12" w:space="0" w:color="FFFFFF"/>
            </w:tcBorders>
            <w:shd w:val="clear" w:color="auto" w:fill="63BE7B"/>
            <w:vAlign w:val="center"/>
          </w:tcPr>
          <w:p w14:paraId="70724A11" w14:textId="77777777" w:rsidR="00FB0871" w:rsidRPr="00927E0D" w:rsidRDefault="00FB0871" w:rsidP="000B085B">
            <w:pPr>
              <w:spacing w:after="0" w:line="240" w:lineRule="auto"/>
              <w:jc w:val="right"/>
              <w:rPr>
                <w:b/>
                <w:bCs/>
                <w:color w:val="000000"/>
                <w:sz w:val="20"/>
                <w:szCs w:val="20"/>
                <w:lang w:val="bs-Latn-BA"/>
              </w:rPr>
            </w:pPr>
            <w:r w:rsidRPr="00927E0D">
              <w:rPr>
                <w:b/>
                <w:bCs/>
                <w:color w:val="000000"/>
                <w:sz w:val="20"/>
                <w:szCs w:val="20"/>
                <w:lang w:val="bs-Latn-BA"/>
              </w:rPr>
              <w:t>79.348</w:t>
            </w:r>
          </w:p>
        </w:tc>
      </w:tr>
    </w:tbl>
    <w:p w14:paraId="3F56BFB0" w14:textId="77777777" w:rsidR="00CF7A3C" w:rsidRPr="008924E0" w:rsidRDefault="00CF7A3C" w:rsidP="00CF7A3C">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7E049A73" w14:textId="435AC0DF" w:rsidR="00CF7A3C" w:rsidRPr="008924E0" w:rsidRDefault="00CF7A3C" w:rsidP="00CF7A3C">
      <w:pPr>
        <w:rPr>
          <w:lang w:val="bs-Latn-BA"/>
        </w:rPr>
      </w:pPr>
      <w:r w:rsidRPr="008924E0">
        <w:rPr>
          <w:lang w:val="bs-Latn-BA"/>
        </w:rPr>
        <w:t xml:space="preserve">Energijski razredi zgrada u FBiH nisu bazirani na finalnoj energiji za grijanje, ali je veoma korisno iskazati energijske karakteristike stambenog fonda preko specifične finalne energije za grijanje, kao što je dato u Tabeli </w:t>
      </w:r>
      <w:r w:rsidR="005326F6">
        <w:rPr>
          <w:lang w:val="bs-Latn-BA"/>
        </w:rPr>
        <w:t>11.</w:t>
      </w:r>
      <w:r w:rsidRPr="008924E0">
        <w:rPr>
          <w:lang w:val="bs-Latn-BA"/>
        </w:rPr>
        <w:t xml:space="preserve">1.6. Kako je vidljivo iz prikazanih podataka, najveću specifičnu finalnu potrošnju energije imaju kategorije SH izgrađene do 1981. godine, iako i ostale kategorije imaju veoma velike vrijednosti specifične finalne potrošnje energije. Ovo je rezultat niske energijske efikasnosti zgrada i niske efikasnosti termotehničkih sistema. </w:t>
      </w:r>
    </w:p>
    <w:p w14:paraId="1AFE05AF" w14:textId="67E2C3AD" w:rsidR="005326F6" w:rsidRDefault="005326F6" w:rsidP="005326F6">
      <w:pPr>
        <w:pStyle w:val="Caption"/>
        <w:keepNext/>
      </w:pPr>
      <w:bookmarkStart w:id="208" w:name="_Toc133499625"/>
      <w:r>
        <w:t>Tabela 11.1.</w:t>
      </w:r>
      <w:r w:rsidR="00000000">
        <w:fldChar w:fldCharType="begin"/>
      </w:r>
      <w:r w:rsidR="00000000">
        <w:instrText xml:space="preserve"> SEQ Tabela_11.1. \* ARABIC </w:instrText>
      </w:r>
      <w:r w:rsidR="00000000">
        <w:fldChar w:fldCharType="separate"/>
      </w:r>
      <w:r w:rsidR="002D62B3">
        <w:rPr>
          <w:noProof/>
        </w:rPr>
        <w:t>6</w:t>
      </w:r>
      <w:r w:rsidR="00000000">
        <w:rPr>
          <w:noProof/>
        </w:rPr>
        <w:fldChar w:fldCharType="end"/>
      </w:r>
      <w:r>
        <w:t xml:space="preserve"> </w:t>
      </w:r>
      <w:r w:rsidRPr="008924E0">
        <w:t>Specifična finalna energija za grijanje stambenih zgrada u FBiH, kWh/m</w:t>
      </w:r>
      <w:r w:rsidRPr="008924E0">
        <w:rPr>
          <w:vertAlign w:val="superscript"/>
        </w:rPr>
        <w:t>2</w:t>
      </w:r>
      <w:r w:rsidRPr="008924E0">
        <w:t>god</w:t>
      </w:r>
      <w:bookmarkEnd w:id="208"/>
    </w:p>
    <w:tbl>
      <w:tblPr>
        <w:tblStyle w:val="22"/>
        <w:tblW w:w="7878" w:type="dxa"/>
        <w:jc w:val="center"/>
        <w:tblLayout w:type="fixed"/>
        <w:tblLook w:val="0400" w:firstRow="0" w:lastRow="0" w:firstColumn="0" w:lastColumn="0" w:noHBand="0" w:noVBand="1"/>
      </w:tblPr>
      <w:tblGrid>
        <w:gridCol w:w="1723"/>
        <w:gridCol w:w="1100"/>
        <w:gridCol w:w="1215"/>
        <w:gridCol w:w="960"/>
        <w:gridCol w:w="960"/>
        <w:gridCol w:w="960"/>
        <w:gridCol w:w="960"/>
      </w:tblGrid>
      <w:tr w:rsidR="00CF7A3C" w:rsidRPr="008924E0" w14:paraId="3FEF7357" w14:textId="77777777" w:rsidTr="000B085B">
        <w:trPr>
          <w:trHeight w:val="432"/>
          <w:jc w:val="center"/>
        </w:trPr>
        <w:tc>
          <w:tcPr>
            <w:tcW w:w="1723" w:type="dxa"/>
            <w:vMerge w:val="restart"/>
            <w:tcBorders>
              <w:top w:val="single" w:sz="12" w:space="0" w:color="FFFFFF"/>
              <w:left w:val="single" w:sz="12" w:space="0" w:color="FFFFFF"/>
              <w:bottom w:val="single" w:sz="12" w:space="0" w:color="FFFFFF"/>
              <w:right w:val="single" w:sz="12" w:space="0" w:color="FFFFFF"/>
            </w:tcBorders>
            <w:shd w:val="clear" w:color="auto" w:fill="006432"/>
            <w:vAlign w:val="center"/>
          </w:tcPr>
          <w:p w14:paraId="3024BD96"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Period izgradnje </w:t>
            </w:r>
          </w:p>
        </w:tc>
        <w:tc>
          <w:tcPr>
            <w:tcW w:w="2315" w:type="dxa"/>
            <w:gridSpan w:val="2"/>
            <w:tcBorders>
              <w:top w:val="single" w:sz="12" w:space="0" w:color="FFFFFF"/>
              <w:left w:val="nil"/>
              <w:bottom w:val="single" w:sz="12" w:space="0" w:color="FFFFFF"/>
              <w:right w:val="single" w:sz="12" w:space="0" w:color="FFFFFF"/>
            </w:tcBorders>
            <w:shd w:val="clear" w:color="auto" w:fill="006432"/>
            <w:vAlign w:val="center"/>
          </w:tcPr>
          <w:p w14:paraId="0C89ED13"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Individualno stanovanje</w:t>
            </w:r>
          </w:p>
        </w:tc>
        <w:tc>
          <w:tcPr>
            <w:tcW w:w="3840" w:type="dxa"/>
            <w:gridSpan w:val="4"/>
            <w:tcBorders>
              <w:top w:val="single" w:sz="12" w:space="0" w:color="FFFFFF"/>
              <w:left w:val="nil"/>
              <w:bottom w:val="single" w:sz="12" w:space="0" w:color="FFFFFF"/>
              <w:right w:val="single" w:sz="12" w:space="0" w:color="FFFFFF"/>
            </w:tcBorders>
            <w:shd w:val="clear" w:color="auto" w:fill="006432"/>
            <w:vAlign w:val="center"/>
          </w:tcPr>
          <w:p w14:paraId="2258B39E"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Kolektivno stanovanje</w:t>
            </w:r>
          </w:p>
        </w:tc>
      </w:tr>
      <w:tr w:rsidR="00CF7A3C" w:rsidRPr="008924E0" w14:paraId="6FA56F70" w14:textId="77777777" w:rsidTr="000B085B">
        <w:trPr>
          <w:trHeight w:val="312"/>
          <w:jc w:val="center"/>
        </w:trPr>
        <w:tc>
          <w:tcPr>
            <w:tcW w:w="1723" w:type="dxa"/>
            <w:vMerge/>
            <w:tcBorders>
              <w:top w:val="single" w:sz="12" w:space="0" w:color="FFFFFF"/>
              <w:left w:val="single" w:sz="12" w:space="0" w:color="FFFFFF"/>
              <w:bottom w:val="single" w:sz="12" w:space="0" w:color="FFFFFF"/>
              <w:right w:val="single" w:sz="12" w:space="0" w:color="FFFFFF"/>
            </w:tcBorders>
            <w:shd w:val="clear" w:color="auto" w:fill="006432"/>
            <w:vAlign w:val="center"/>
          </w:tcPr>
          <w:p w14:paraId="60289A42" w14:textId="77777777" w:rsidR="00CF7A3C" w:rsidRPr="008924E0" w:rsidRDefault="00CF7A3C" w:rsidP="000B085B">
            <w:pPr>
              <w:widowControl w:val="0"/>
              <w:pBdr>
                <w:top w:val="nil"/>
                <w:left w:val="nil"/>
                <w:bottom w:val="nil"/>
                <w:right w:val="nil"/>
                <w:between w:val="nil"/>
              </w:pBdr>
              <w:spacing w:after="0" w:line="276" w:lineRule="auto"/>
              <w:jc w:val="left"/>
              <w:rPr>
                <w:b/>
                <w:color w:val="FFFFFF"/>
                <w:sz w:val="20"/>
                <w:szCs w:val="20"/>
                <w:lang w:val="bs-Latn-BA"/>
              </w:rPr>
            </w:pPr>
          </w:p>
        </w:tc>
        <w:tc>
          <w:tcPr>
            <w:tcW w:w="1100" w:type="dxa"/>
            <w:tcBorders>
              <w:top w:val="nil"/>
              <w:left w:val="nil"/>
              <w:bottom w:val="single" w:sz="12" w:space="0" w:color="FFFFFF"/>
              <w:right w:val="single" w:sz="12" w:space="0" w:color="FFFFFF"/>
            </w:tcBorders>
            <w:shd w:val="clear" w:color="auto" w:fill="006432"/>
            <w:vAlign w:val="center"/>
          </w:tcPr>
          <w:p w14:paraId="10B2C506"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SH</w:t>
            </w:r>
          </w:p>
        </w:tc>
        <w:tc>
          <w:tcPr>
            <w:tcW w:w="1215" w:type="dxa"/>
            <w:tcBorders>
              <w:top w:val="nil"/>
              <w:left w:val="nil"/>
              <w:bottom w:val="single" w:sz="12" w:space="0" w:color="FFFFFF"/>
              <w:right w:val="single" w:sz="12" w:space="0" w:color="FFFFFF"/>
            </w:tcBorders>
            <w:shd w:val="clear" w:color="auto" w:fill="006432"/>
            <w:vAlign w:val="center"/>
          </w:tcPr>
          <w:p w14:paraId="353D3200"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TH</w:t>
            </w:r>
          </w:p>
        </w:tc>
        <w:tc>
          <w:tcPr>
            <w:tcW w:w="960" w:type="dxa"/>
            <w:tcBorders>
              <w:top w:val="nil"/>
              <w:left w:val="nil"/>
              <w:bottom w:val="single" w:sz="12" w:space="0" w:color="FFFFFF"/>
              <w:right w:val="single" w:sz="12" w:space="0" w:color="FFFFFF"/>
            </w:tcBorders>
            <w:shd w:val="clear" w:color="auto" w:fill="006432"/>
            <w:vAlign w:val="center"/>
          </w:tcPr>
          <w:p w14:paraId="07B3F408"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MH</w:t>
            </w:r>
          </w:p>
        </w:tc>
        <w:tc>
          <w:tcPr>
            <w:tcW w:w="960" w:type="dxa"/>
            <w:tcBorders>
              <w:top w:val="nil"/>
              <w:left w:val="nil"/>
              <w:bottom w:val="single" w:sz="12" w:space="0" w:color="FFFFFF"/>
              <w:right w:val="single" w:sz="12" w:space="0" w:color="FFFFFF"/>
            </w:tcBorders>
            <w:shd w:val="clear" w:color="auto" w:fill="006432"/>
            <w:vAlign w:val="center"/>
          </w:tcPr>
          <w:p w14:paraId="1DA59C11"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AB1</w:t>
            </w:r>
          </w:p>
        </w:tc>
        <w:tc>
          <w:tcPr>
            <w:tcW w:w="960" w:type="dxa"/>
            <w:tcBorders>
              <w:top w:val="nil"/>
              <w:left w:val="nil"/>
              <w:bottom w:val="single" w:sz="12" w:space="0" w:color="FFFFFF"/>
              <w:right w:val="single" w:sz="12" w:space="0" w:color="FFFFFF"/>
            </w:tcBorders>
            <w:shd w:val="clear" w:color="auto" w:fill="006432"/>
            <w:vAlign w:val="center"/>
          </w:tcPr>
          <w:p w14:paraId="756104C0"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AB2</w:t>
            </w:r>
          </w:p>
        </w:tc>
        <w:tc>
          <w:tcPr>
            <w:tcW w:w="960" w:type="dxa"/>
            <w:tcBorders>
              <w:top w:val="nil"/>
              <w:left w:val="nil"/>
              <w:bottom w:val="single" w:sz="12" w:space="0" w:color="FFFFFF"/>
              <w:right w:val="single" w:sz="12" w:space="0" w:color="FFFFFF"/>
            </w:tcBorders>
            <w:shd w:val="clear" w:color="auto" w:fill="006432"/>
            <w:vAlign w:val="center"/>
          </w:tcPr>
          <w:p w14:paraId="26002C04" w14:textId="77777777" w:rsidR="00CF7A3C" w:rsidRPr="008924E0" w:rsidRDefault="00CF7A3C" w:rsidP="000B085B">
            <w:pPr>
              <w:spacing w:after="0" w:line="240" w:lineRule="auto"/>
              <w:jc w:val="center"/>
              <w:rPr>
                <w:b/>
                <w:color w:val="FFFFFF"/>
                <w:sz w:val="20"/>
                <w:szCs w:val="20"/>
                <w:lang w:val="bs-Latn-BA"/>
              </w:rPr>
            </w:pPr>
            <w:r w:rsidRPr="008924E0">
              <w:rPr>
                <w:b/>
                <w:color w:val="FFFFFF"/>
                <w:sz w:val="20"/>
                <w:szCs w:val="20"/>
                <w:lang w:val="bs-Latn-BA"/>
              </w:rPr>
              <w:t>H</w:t>
            </w:r>
          </w:p>
        </w:tc>
      </w:tr>
      <w:tr w:rsidR="00CF7A3C" w:rsidRPr="008924E0" w14:paraId="1B9B3895" w14:textId="77777777" w:rsidTr="000B085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38B121A9" w14:textId="77777777" w:rsidR="00CF7A3C" w:rsidRPr="008924E0" w:rsidRDefault="00CF7A3C" w:rsidP="000B085B">
            <w:pPr>
              <w:spacing w:after="0" w:line="240" w:lineRule="auto"/>
              <w:jc w:val="center"/>
              <w:rPr>
                <w:b/>
                <w:color w:val="000000"/>
                <w:sz w:val="20"/>
                <w:szCs w:val="20"/>
                <w:lang w:val="bs-Latn-BA"/>
              </w:rPr>
            </w:pPr>
            <w:r w:rsidRPr="008924E0">
              <w:rPr>
                <w:b/>
                <w:color w:val="000000"/>
                <w:sz w:val="20"/>
                <w:szCs w:val="20"/>
                <w:lang w:val="bs-Latn-BA"/>
              </w:rPr>
              <w:t>do 1945.</w:t>
            </w:r>
          </w:p>
        </w:tc>
        <w:tc>
          <w:tcPr>
            <w:tcW w:w="1100" w:type="dxa"/>
            <w:tcBorders>
              <w:top w:val="nil"/>
              <w:left w:val="nil"/>
              <w:bottom w:val="single" w:sz="12" w:space="0" w:color="FFFFFF"/>
              <w:right w:val="single" w:sz="12" w:space="0" w:color="FFFFFF"/>
            </w:tcBorders>
            <w:shd w:val="clear" w:color="auto" w:fill="F9706D"/>
          </w:tcPr>
          <w:p w14:paraId="7E65218A"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508</w:t>
            </w:r>
          </w:p>
        </w:tc>
        <w:tc>
          <w:tcPr>
            <w:tcW w:w="1215" w:type="dxa"/>
            <w:tcBorders>
              <w:top w:val="nil"/>
              <w:left w:val="nil"/>
              <w:bottom w:val="single" w:sz="12" w:space="0" w:color="FFFFFF"/>
              <w:right w:val="single" w:sz="12" w:space="0" w:color="FFFFFF"/>
            </w:tcBorders>
            <w:shd w:val="clear" w:color="auto" w:fill="FECF7F"/>
          </w:tcPr>
          <w:p w14:paraId="08C4A079"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206</w:t>
            </w:r>
          </w:p>
        </w:tc>
        <w:tc>
          <w:tcPr>
            <w:tcW w:w="960" w:type="dxa"/>
            <w:tcBorders>
              <w:top w:val="nil"/>
              <w:left w:val="nil"/>
              <w:bottom w:val="single" w:sz="12" w:space="0" w:color="FFFFFF"/>
              <w:right w:val="single" w:sz="12" w:space="0" w:color="FFFFFF"/>
            </w:tcBorders>
            <w:shd w:val="clear" w:color="auto" w:fill="FDBD7C"/>
          </w:tcPr>
          <w:p w14:paraId="7A4D06D0"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259</w:t>
            </w:r>
          </w:p>
        </w:tc>
        <w:tc>
          <w:tcPr>
            <w:tcW w:w="960" w:type="dxa"/>
            <w:tcBorders>
              <w:top w:val="nil"/>
              <w:left w:val="nil"/>
              <w:bottom w:val="single" w:sz="12" w:space="0" w:color="FFFFFF"/>
              <w:right w:val="single" w:sz="12" w:space="0" w:color="FFFFFF"/>
            </w:tcBorders>
            <w:shd w:val="clear" w:color="auto" w:fill="FFDB81"/>
          </w:tcPr>
          <w:p w14:paraId="780B56FD"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198</w:t>
            </w:r>
          </w:p>
        </w:tc>
        <w:tc>
          <w:tcPr>
            <w:tcW w:w="960" w:type="dxa"/>
            <w:tcBorders>
              <w:top w:val="nil"/>
              <w:left w:val="nil"/>
              <w:bottom w:val="single" w:sz="12" w:space="0" w:color="FFFFFF"/>
              <w:right w:val="single" w:sz="12" w:space="0" w:color="FFFFFF"/>
            </w:tcBorders>
            <w:shd w:val="clear" w:color="auto" w:fill="63BE7B"/>
          </w:tcPr>
          <w:p w14:paraId="66152ACF"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 xml:space="preserve"> </w:t>
            </w:r>
          </w:p>
        </w:tc>
        <w:tc>
          <w:tcPr>
            <w:tcW w:w="960" w:type="dxa"/>
            <w:tcBorders>
              <w:top w:val="nil"/>
              <w:left w:val="nil"/>
              <w:bottom w:val="single" w:sz="12" w:space="0" w:color="FFFFFF"/>
              <w:right w:val="single" w:sz="12" w:space="0" w:color="FFFFFF"/>
            </w:tcBorders>
            <w:shd w:val="clear" w:color="auto" w:fill="63BE7B"/>
          </w:tcPr>
          <w:p w14:paraId="55182DA0"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 xml:space="preserve"> </w:t>
            </w:r>
          </w:p>
        </w:tc>
      </w:tr>
      <w:tr w:rsidR="00CF7A3C" w:rsidRPr="008924E0" w14:paraId="03B0966E" w14:textId="77777777" w:rsidTr="000B085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2CD65D5C" w14:textId="77777777" w:rsidR="00CF7A3C" w:rsidRPr="008924E0" w:rsidRDefault="00CF7A3C" w:rsidP="000B085B">
            <w:pPr>
              <w:spacing w:after="0" w:line="240" w:lineRule="auto"/>
              <w:jc w:val="center"/>
              <w:rPr>
                <w:b/>
                <w:color w:val="000000"/>
                <w:sz w:val="20"/>
                <w:szCs w:val="20"/>
                <w:lang w:val="bs-Latn-BA"/>
              </w:rPr>
            </w:pPr>
            <w:r w:rsidRPr="008924E0">
              <w:rPr>
                <w:b/>
                <w:color w:val="000000"/>
                <w:sz w:val="20"/>
                <w:szCs w:val="20"/>
                <w:lang w:val="bs-Latn-BA"/>
              </w:rPr>
              <w:t>1946.-1960.</w:t>
            </w:r>
          </w:p>
        </w:tc>
        <w:tc>
          <w:tcPr>
            <w:tcW w:w="1100" w:type="dxa"/>
            <w:tcBorders>
              <w:top w:val="nil"/>
              <w:left w:val="nil"/>
              <w:bottom w:val="single" w:sz="12" w:space="0" w:color="FFFFFF"/>
              <w:right w:val="single" w:sz="12" w:space="0" w:color="FFFFFF"/>
            </w:tcBorders>
            <w:shd w:val="clear" w:color="auto" w:fill="F8696B"/>
          </w:tcPr>
          <w:p w14:paraId="36C852DC"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532</w:t>
            </w:r>
          </w:p>
        </w:tc>
        <w:tc>
          <w:tcPr>
            <w:tcW w:w="1215" w:type="dxa"/>
            <w:tcBorders>
              <w:top w:val="nil"/>
              <w:left w:val="nil"/>
              <w:bottom w:val="single" w:sz="12" w:space="0" w:color="FFFFFF"/>
              <w:right w:val="single" w:sz="12" w:space="0" w:color="FFFFFF"/>
            </w:tcBorders>
            <w:shd w:val="clear" w:color="auto" w:fill="FCB279"/>
          </w:tcPr>
          <w:p w14:paraId="3E1FA3DB"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361</w:t>
            </w:r>
          </w:p>
        </w:tc>
        <w:tc>
          <w:tcPr>
            <w:tcW w:w="960" w:type="dxa"/>
            <w:tcBorders>
              <w:top w:val="nil"/>
              <w:left w:val="nil"/>
              <w:bottom w:val="single" w:sz="12" w:space="0" w:color="FFFFFF"/>
              <w:right w:val="single" w:sz="12" w:space="0" w:color="FFFFFF"/>
            </w:tcBorders>
            <w:shd w:val="clear" w:color="auto" w:fill="FED07F"/>
          </w:tcPr>
          <w:p w14:paraId="5EDDCB8B"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243</w:t>
            </w:r>
          </w:p>
        </w:tc>
        <w:tc>
          <w:tcPr>
            <w:tcW w:w="960" w:type="dxa"/>
            <w:tcBorders>
              <w:top w:val="nil"/>
              <w:left w:val="nil"/>
              <w:bottom w:val="single" w:sz="12" w:space="0" w:color="FFFFFF"/>
              <w:right w:val="single" w:sz="12" w:space="0" w:color="FFFFFF"/>
            </w:tcBorders>
            <w:shd w:val="clear" w:color="auto" w:fill="FFDF82"/>
          </w:tcPr>
          <w:p w14:paraId="7DD67C2B"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178</w:t>
            </w:r>
          </w:p>
        </w:tc>
        <w:tc>
          <w:tcPr>
            <w:tcW w:w="960" w:type="dxa"/>
            <w:tcBorders>
              <w:top w:val="nil"/>
              <w:left w:val="nil"/>
              <w:bottom w:val="single" w:sz="12" w:space="0" w:color="FFFFFF"/>
              <w:right w:val="single" w:sz="12" w:space="0" w:color="FFFFFF"/>
            </w:tcBorders>
            <w:shd w:val="clear" w:color="auto" w:fill="FFE583"/>
          </w:tcPr>
          <w:p w14:paraId="2866744F"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199</w:t>
            </w:r>
          </w:p>
        </w:tc>
        <w:tc>
          <w:tcPr>
            <w:tcW w:w="960" w:type="dxa"/>
            <w:tcBorders>
              <w:top w:val="nil"/>
              <w:left w:val="nil"/>
              <w:bottom w:val="single" w:sz="12" w:space="0" w:color="FFFFFF"/>
              <w:right w:val="single" w:sz="12" w:space="0" w:color="FFFFFF"/>
            </w:tcBorders>
            <w:shd w:val="clear" w:color="auto" w:fill="63BE7B"/>
          </w:tcPr>
          <w:p w14:paraId="7D88C9BF"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 xml:space="preserve"> </w:t>
            </w:r>
          </w:p>
        </w:tc>
      </w:tr>
      <w:tr w:rsidR="00CF7A3C" w:rsidRPr="008924E0" w14:paraId="6CAB38D0" w14:textId="77777777" w:rsidTr="000B085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2887BF1F" w14:textId="77777777" w:rsidR="00CF7A3C" w:rsidRPr="008924E0" w:rsidRDefault="00CF7A3C" w:rsidP="000B085B">
            <w:pPr>
              <w:spacing w:after="0" w:line="240" w:lineRule="auto"/>
              <w:jc w:val="center"/>
              <w:rPr>
                <w:b/>
                <w:color w:val="000000"/>
                <w:sz w:val="20"/>
                <w:szCs w:val="20"/>
                <w:lang w:val="bs-Latn-BA"/>
              </w:rPr>
            </w:pPr>
            <w:r w:rsidRPr="008924E0">
              <w:rPr>
                <w:b/>
                <w:color w:val="000000"/>
                <w:sz w:val="20"/>
                <w:szCs w:val="20"/>
                <w:lang w:val="bs-Latn-BA"/>
              </w:rPr>
              <w:t>1961.-1970.</w:t>
            </w:r>
          </w:p>
        </w:tc>
        <w:tc>
          <w:tcPr>
            <w:tcW w:w="1100" w:type="dxa"/>
            <w:tcBorders>
              <w:top w:val="nil"/>
              <w:left w:val="nil"/>
              <w:bottom w:val="single" w:sz="12" w:space="0" w:color="FFFFFF"/>
              <w:right w:val="single" w:sz="12" w:space="0" w:color="FFFFFF"/>
            </w:tcBorders>
            <w:shd w:val="clear" w:color="auto" w:fill="F9726D"/>
          </w:tcPr>
          <w:p w14:paraId="7ABBD4D6"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522</w:t>
            </w:r>
          </w:p>
        </w:tc>
        <w:tc>
          <w:tcPr>
            <w:tcW w:w="1215" w:type="dxa"/>
            <w:tcBorders>
              <w:top w:val="nil"/>
              <w:left w:val="nil"/>
              <w:bottom w:val="single" w:sz="12" w:space="0" w:color="FFFFFF"/>
              <w:right w:val="single" w:sz="12" w:space="0" w:color="FFFFFF"/>
            </w:tcBorders>
            <w:shd w:val="clear" w:color="auto" w:fill="FED881"/>
          </w:tcPr>
          <w:p w14:paraId="12E10803"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221</w:t>
            </w:r>
          </w:p>
        </w:tc>
        <w:tc>
          <w:tcPr>
            <w:tcW w:w="960" w:type="dxa"/>
            <w:tcBorders>
              <w:top w:val="nil"/>
              <w:left w:val="nil"/>
              <w:bottom w:val="single" w:sz="12" w:space="0" w:color="FFFFFF"/>
              <w:right w:val="single" w:sz="12" w:space="0" w:color="FFFFFF"/>
            </w:tcBorders>
            <w:shd w:val="clear" w:color="auto" w:fill="FFDD82"/>
          </w:tcPr>
          <w:p w14:paraId="5DFD0EB7"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212</w:t>
            </w:r>
          </w:p>
        </w:tc>
        <w:tc>
          <w:tcPr>
            <w:tcW w:w="960" w:type="dxa"/>
            <w:tcBorders>
              <w:top w:val="nil"/>
              <w:left w:val="nil"/>
              <w:bottom w:val="single" w:sz="12" w:space="0" w:color="FFFFFF"/>
              <w:right w:val="single" w:sz="12" w:space="0" w:color="FFFFFF"/>
            </w:tcBorders>
            <w:shd w:val="clear" w:color="auto" w:fill="FFEB84"/>
          </w:tcPr>
          <w:p w14:paraId="502A6217"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172</w:t>
            </w:r>
          </w:p>
        </w:tc>
        <w:tc>
          <w:tcPr>
            <w:tcW w:w="960" w:type="dxa"/>
            <w:tcBorders>
              <w:top w:val="nil"/>
              <w:left w:val="nil"/>
              <w:bottom w:val="single" w:sz="12" w:space="0" w:color="FFFFFF"/>
              <w:right w:val="single" w:sz="12" w:space="0" w:color="FFFFFF"/>
            </w:tcBorders>
            <w:shd w:val="clear" w:color="auto" w:fill="FFEA84"/>
          </w:tcPr>
          <w:p w14:paraId="0501DD82"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191</w:t>
            </w:r>
          </w:p>
        </w:tc>
        <w:tc>
          <w:tcPr>
            <w:tcW w:w="960" w:type="dxa"/>
            <w:tcBorders>
              <w:top w:val="nil"/>
              <w:left w:val="nil"/>
              <w:bottom w:val="single" w:sz="12" w:space="0" w:color="FFFFFF"/>
              <w:right w:val="single" w:sz="12" w:space="0" w:color="FFFFFF"/>
            </w:tcBorders>
            <w:shd w:val="clear" w:color="auto" w:fill="FFE683"/>
          </w:tcPr>
          <w:p w14:paraId="339B6CD7"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218</w:t>
            </w:r>
          </w:p>
        </w:tc>
      </w:tr>
      <w:tr w:rsidR="00CF7A3C" w:rsidRPr="008924E0" w14:paraId="28BE198A" w14:textId="77777777" w:rsidTr="000B085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7FAF730D" w14:textId="77777777" w:rsidR="00CF7A3C" w:rsidRPr="008924E0" w:rsidRDefault="00CF7A3C" w:rsidP="000B085B">
            <w:pPr>
              <w:spacing w:after="0" w:line="240" w:lineRule="auto"/>
              <w:jc w:val="center"/>
              <w:rPr>
                <w:b/>
                <w:color w:val="000000"/>
                <w:sz w:val="20"/>
                <w:szCs w:val="20"/>
                <w:lang w:val="bs-Latn-BA"/>
              </w:rPr>
            </w:pPr>
            <w:r w:rsidRPr="008924E0">
              <w:rPr>
                <w:b/>
                <w:color w:val="000000"/>
                <w:sz w:val="20"/>
                <w:szCs w:val="20"/>
                <w:lang w:val="bs-Latn-BA"/>
              </w:rPr>
              <w:t>1971.-1980.</w:t>
            </w:r>
          </w:p>
        </w:tc>
        <w:tc>
          <w:tcPr>
            <w:tcW w:w="1100" w:type="dxa"/>
            <w:tcBorders>
              <w:top w:val="nil"/>
              <w:left w:val="nil"/>
              <w:bottom w:val="single" w:sz="12" w:space="0" w:color="FFFFFF"/>
              <w:right w:val="single" w:sz="12" w:space="0" w:color="FFFFFF"/>
            </w:tcBorders>
            <w:shd w:val="clear" w:color="auto" w:fill="FB9374"/>
          </w:tcPr>
          <w:p w14:paraId="08DDC4B8"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429</w:t>
            </w:r>
          </w:p>
        </w:tc>
        <w:tc>
          <w:tcPr>
            <w:tcW w:w="1215" w:type="dxa"/>
            <w:tcBorders>
              <w:top w:val="nil"/>
              <w:left w:val="nil"/>
              <w:bottom w:val="single" w:sz="12" w:space="0" w:color="FFFFFF"/>
              <w:right w:val="single" w:sz="12" w:space="0" w:color="FFFFFF"/>
            </w:tcBorders>
            <w:shd w:val="clear" w:color="auto" w:fill="FED981"/>
          </w:tcPr>
          <w:p w14:paraId="3ED07839"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224</w:t>
            </w:r>
          </w:p>
        </w:tc>
        <w:tc>
          <w:tcPr>
            <w:tcW w:w="960" w:type="dxa"/>
            <w:tcBorders>
              <w:top w:val="nil"/>
              <w:left w:val="nil"/>
              <w:bottom w:val="single" w:sz="12" w:space="0" w:color="FFFFFF"/>
              <w:right w:val="single" w:sz="12" w:space="0" w:color="FFFFFF"/>
            </w:tcBorders>
            <w:shd w:val="clear" w:color="auto" w:fill="FDEA83"/>
          </w:tcPr>
          <w:p w14:paraId="5EA0F115"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165</w:t>
            </w:r>
          </w:p>
        </w:tc>
        <w:tc>
          <w:tcPr>
            <w:tcW w:w="960" w:type="dxa"/>
            <w:tcBorders>
              <w:top w:val="nil"/>
              <w:left w:val="nil"/>
              <w:bottom w:val="single" w:sz="12" w:space="0" w:color="FFFFFF"/>
              <w:right w:val="single" w:sz="12" w:space="0" w:color="FFFFFF"/>
            </w:tcBorders>
            <w:shd w:val="clear" w:color="auto" w:fill="63BE7B"/>
          </w:tcPr>
          <w:p w14:paraId="5F4D8C51"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 xml:space="preserve"> </w:t>
            </w:r>
          </w:p>
        </w:tc>
        <w:tc>
          <w:tcPr>
            <w:tcW w:w="960" w:type="dxa"/>
            <w:tcBorders>
              <w:top w:val="nil"/>
              <w:left w:val="nil"/>
              <w:bottom w:val="single" w:sz="12" w:space="0" w:color="FFFFFF"/>
              <w:right w:val="single" w:sz="12" w:space="0" w:color="FFFFFF"/>
            </w:tcBorders>
            <w:shd w:val="clear" w:color="auto" w:fill="DCE182"/>
          </w:tcPr>
          <w:p w14:paraId="3D0CE986"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146</w:t>
            </w:r>
          </w:p>
        </w:tc>
        <w:tc>
          <w:tcPr>
            <w:tcW w:w="960" w:type="dxa"/>
            <w:tcBorders>
              <w:top w:val="nil"/>
              <w:left w:val="nil"/>
              <w:bottom w:val="single" w:sz="12" w:space="0" w:color="FFFFFF"/>
              <w:right w:val="single" w:sz="12" w:space="0" w:color="FFFFFF"/>
            </w:tcBorders>
            <w:shd w:val="clear" w:color="auto" w:fill="D6DF81"/>
          </w:tcPr>
          <w:p w14:paraId="33679B50"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141</w:t>
            </w:r>
          </w:p>
        </w:tc>
      </w:tr>
      <w:tr w:rsidR="00CF7A3C" w:rsidRPr="008924E0" w14:paraId="533AF114" w14:textId="77777777" w:rsidTr="000B085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1FE695EE" w14:textId="77777777" w:rsidR="00CF7A3C" w:rsidRPr="008924E0" w:rsidRDefault="00CF7A3C" w:rsidP="000B085B">
            <w:pPr>
              <w:spacing w:after="0" w:line="240" w:lineRule="auto"/>
              <w:jc w:val="center"/>
              <w:rPr>
                <w:b/>
                <w:color w:val="000000"/>
                <w:sz w:val="20"/>
                <w:szCs w:val="20"/>
                <w:lang w:val="bs-Latn-BA"/>
              </w:rPr>
            </w:pPr>
            <w:r w:rsidRPr="008924E0">
              <w:rPr>
                <w:b/>
                <w:color w:val="000000"/>
                <w:sz w:val="20"/>
                <w:szCs w:val="20"/>
                <w:lang w:val="bs-Latn-BA"/>
              </w:rPr>
              <w:t>1981.-1991.</w:t>
            </w:r>
          </w:p>
        </w:tc>
        <w:tc>
          <w:tcPr>
            <w:tcW w:w="1100" w:type="dxa"/>
            <w:tcBorders>
              <w:top w:val="nil"/>
              <w:left w:val="nil"/>
              <w:bottom w:val="single" w:sz="12" w:space="0" w:color="FFFFFF"/>
              <w:right w:val="single" w:sz="12" w:space="0" w:color="FFFFFF"/>
            </w:tcBorders>
            <w:shd w:val="clear" w:color="auto" w:fill="FFE784"/>
          </w:tcPr>
          <w:p w14:paraId="6C129A48"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153</w:t>
            </w:r>
          </w:p>
        </w:tc>
        <w:tc>
          <w:tcPr>
            <w:tcW w:w="1215" w:type="dxa"/>
            <w:tcBorders>
              <w:top w:val="nil"/>
              <w:left w:val="nil"/>
              <w:bottom w:val="single" w:sz="12" w:space="0" w:color="FFFFFF"/>
              <w:right w:val="single" w:sz="12" w:space="0" w:color="FFFFFF"/>
            </w:tcBorders>
            <w:shd w:val="clear" w:color="auto" w:fill="FED380"/>
          </w:tcPr>
          <w:p w14:paraId="20B5BFA8"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246</w:t>
            </w:r>
          </w:p>
        </w:tc>
        <w:tc>
          <w:tcPr>
            <w:tcW w:w="960" w:type="dxa"/>
            <w:tcBorders>
              <w:top w:val="nil"/>
              <w:left w:val="nil"/>
              <w:bottom w:val="single" w:sz="12" w:space="0" w:color="FFFFFF"/>
              <w:right w:val="single" w:sz="12" w:space="0" w:color="FFFFFF"/>
            </w:tcBorders>
            <w:shd w:val="clear" w:color="auto" w:fill="FFE784"/>
          </w:tcPr>
          <w:p w14:paraId="7786617A"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213</w:t>
            </w:r>
          </w:p>
        </w:tc>
        <w:tc>
          <w:tcPr>
            <w:tcW w:w="960" w:type="dxa"/>
            <w:tcBorders>
              <w:top w:val="nil"/>
              <w:left w:val="nil"/>
              <w:bottom w:val="single" w:sz="12" w:space="0" w:color="FFFFFF"/>
              <w:right w:val="single" w:sz="12" w:space="0" w:color="FFFFFF"/>
            </w:tcBorders>
            <w:shd w:val="clear" w:color="auto" w:fill="CADB80"/>
          </w:tcPr>
          <w:p w14:paraId="7956702A"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105</w:t>
            </w:r>
          </w:p>
        </w:tc>
        <w:tc>
          <w:tcPr>
            <w:tcW w:w="960" w:type="dxa"/>
            <w:tcBorders>
              <w:top w:val="nil"/>
              <w:left w:val="nil"/>
              <w:bottom w:val="single" w:sz="12" w:space="0" w:color="FFFFFF"/>
              <w:right w:val="single" w:sz="12" w:space="0" w:color="FFFFFF"/>
            </w:tcBorders>
            <w:shd w:val="clear" w:color="auto" w:fill="CFDD81"/>
          </w:tcPr>
          <w:p w14:paraId="0419FC5D"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125</w:t>
            </w:r>
          </w:p>
        </w:tc>
        <w:tc>
          <w:tcPr>
            <w:tcW w:w="960" w:type="dxa"/>
            <w:tcBorders>
              <w:top w:val="nil"/>
              <w:left w:val="nil"/>
              <w:bottom w:val="single" w:sz="12" w:space="0" w:color="FFFFFF"/>
              <w:right w:val="single" w:sz="12" w:space="0" w:color="FFFFFF"/>
            </w:tcBorders>
            <w:shd w:val="clear" w:color="auto" w:fill="63BE7B"/>
          </w:tcPr>
          <w:p w14:paraId="73F32E0F"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 xml:space="preserve"> </w:t>
            </w:r>
          </w:p>
        </w:tc>
      </w:tr>
      <w:tr w:rsidR="00CF7A3C" w:rsidRPr="008924E0" w14:paraId="741099FF" w14:textId="77777777" w:rsidTr="000B085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173F8162" w14:textId="77777777" w:rsidR="00CF7A3C" w:rsidRPr="008924E0" w:rsidRDefault="00CF7A3C" w:rsidP="000B085B">
            <w:pPr>
              <w:spacing w:after="0" w:line="240" w:lineRule="auto"/>
              <w:jc w:val="center"/>
              <w:rPr>
                <w:b/>
                <w:color w:val="000000"/>
                <w:sz w:val="20"/>
                <w:szCs w:val="20"/>
                <w:lang w:val="bs-Latn-BA"/>
              </w:rPr>
            </w:pPr>
            <w:r w:rsidRPr="008924E0">
              <w:rPr>
                <w:b/>
                <w:color w:val="000000"/>
                <w:sz w:val="20"/>
                <w:szCs w:val="20"/>
                <w:lang w:val="bs-Latn-BA"/>
              </w:rPr>
              <w:t>1992.-2013.</w:t>
            </w:r>
          </w:p>
        </w:tc>
        <w:tc>
          <w:tcPr>
            <w:tcW w:w="1100" w:type="dxa"/>
            <w:tcBorders>
              <w:top w:val="nil"/>
              <w:left w:val="nil"/>
              <w:bottom w:val="single" w:sz="12" w:space="0" w:color="FFFFFF"/>
              <w:right w:val="single" w:sz="12" w:space="0" w:color="FFFFFF"/>
            </w:tcBorders>
            <w:shd w:val="clear" w:color="auto" w:fill="FFEA84"/>
          </w:tcPr>
          <w:p w14:paraId="7A533C67"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143</w:t>
            </w:r>
          </w:p>
        </w:tc>
        <w:tc>
          <w:tcPr>
            <w:tcW w:w="1215" w:type="dxa"/>
            <w:tcBorders>
              <w:top w:val="nil"/>
              <w:left w:val="nil"/>
              <w:bottom w:val="single" w:sz="12" w:space="0" w:color="FFFFFF"/>
              <w:right w:val="single" w:sz="12" w:space="0" w:color="FFFFFF"/>
            </w:tcBorders>
            <w:shd w:val="clear" w:color="auto" w:fill="63BE7B"/>
          </w:tcPr>
          <w:p w14:paraId="66413746"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 xml:space="preserve"> </w:t>
            </w:r>
          </w:p>
        </w:tc>
        <w:tc>
          <w:tcPr>
            <w:tcW w:w="960" w:type="dxa"/>
            <w:tcBorders>
              <w:top w:val="nil"/>
              <w:left w:val="nil"/>
              <w:bottom w:val="single" w:sz="12" w:space="0" w:color="FFFFFF"/>
              <w:right w:val="single" w:sz="12" w:space="0" w:color="FFFFFF"/>
            </w:tcBorders>
            <w:shd w:val="clear" w:color="auto" w:fill="A1D07E"/>
          </w:tcPr>
          <w:p w14:paraId="6EF25C02"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73</w:t>
            </w:r>
          </w:p>
        </w:tc>
        <w:tc>
          <w:tcPr>
            <w:tcW w:w="960" w:type="dxa"/>
            <w:tcBorders>
              <w:top w:val="nil"/>
              <w:left w:val="nil"/>
              <w:bottom w:val="single" w:sz="12" w:space="0" w:color="FFFFFF"/>
              <w:right w:val="single" w:sz="12" w:space="0" w:color="FFFFFF"/>
            </w:tcBorders>
            <w:shd w:val="clear" w:color="auto" w:fill="A8D27F"/>
          </w:tcPr>
          <w:p w14:paraId="62C0A1ED"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77</w:t>
            </w:r>
          </w:p>
        </w:tc>
        <w:tc>
          <w:tcPr>
            <w:tcW w:w="960" w:type="dxa"/>
            <w:tcBorders>
              <w:top w:val="nil"/>
              <w:left w:val="nil"/>
              <w:bottom w:val="single" w:sz="12" w:space="0" w:color="FFFFFF"/>
              <w:right w:val="single" w:sz="12" w:space="0" w:color="FFFFFF"/>
            </w:tcBorders>
            <w:shd w:val="clear" w:color="auto" w:fill="95CC7D"/>
          </w:tcPr>
          <w:p w14:paraId="1310DBD7"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62</w:t>
            </w:r>
          </w:p>
        </w:tc>
        <w:tc>
          <w:tcPr>
            <w:tcW w:w="960" w:type="dxa"/>
            <w:tcBorders>
              <w:top w:val="nil"/>
              <w:left w:val="nil"/>
              <w:bottom w:val="single" w:sz="12" w:space="0" w:color="FFFFFF"/>
              <w:right w:val="single" w:sz="12" w:space="0" w:color="FFFFFF"/>
            </w:tcBorders>
            <w:shd w:val="clear" w:color="auto" w:fill="63BE7B"/>
          </w:tcPr>
          <w:p w14:paraId="08CE7950"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 xml:space="preserve"> </w:t>
            </w:r>
          </w:p>
        </w:tc>
      </w:tr>
      <w:tr w:rsidR="00CF7A3C" w:rsidRPr="008924E0" w14:paraId="13471380" w14:textId="77777777" w:rsidTr="000B085B">
        <w:trPr>
          <w:trHeight w:val="312"/>
          <w:jc w:val="center"/>
        </w:trPr>
        <w:tc>
          <w:tcPr>
            <w:tcW w:w="1723" w:type="dxa"/>
            <w:tcBorders>
              <w:top w:val="nil"/>
              <w:left w:val="nil"/>
              <w:bottom w:val="single" w:sz="12" w:space="0" w:color="FFFFFF"/>
              <w:right w:val="single" w:sz="12" w:space="0" w:color="FFFFFF"/>
            </w:tcBorders>
            <w:shd w:val="clear" w:color="auto" w:fill="E9E9E9"/>
            <w:vAlign w:val="center"/>
          </w:tcPr>
          <w:p w14:paraId="3BF0C4B9" w14:textId="77777777" w:rsidR="00CF7A3C" w:rsidRPr="008924E0" w:rsidRDefault="00CF7A3C" w:rsidP="000B085B">
            <w:pPr>
              <w:spacing w:after="0" w:line="240" w:lineRule="auto"/>
              <w:jc w:val="center"/>
              <w:rPr>
                <w:b/>
                <w:color w:val="000000"/>
                <w:sz w:val="20"/>
                <w:szCs w:val="20"/>
                <w:lang w:val="bs-Latn-BA"/>
              </w:rPr>
            </w:pPr>
            <w:r w:rsidRPr="008924E0">
              <w:rPr>
                <w:b/>
                <w:color w:val="000000"/>
                <w:sz w:val="20"/>
                <w:szCs w:val="20"/>
                <w:lang w:val="bs-Latn-BA"/>
              </w:rPr>
              <w:t>2014.-2020.*</w:t>
            </w:r>
          </w:p>
        </w:tc>
        <w:tc>
          <w:tcPr>
            <w:tcW w:w="1100" w:type="dxa"/>
            <w:tcBorders>
              <w:top w:val="nil"/>
              <w:left w:val="nil"/>
              <w:bottom w:val="single" w:sz="12" w:space="0" w:color="FFFFFF"/>
              <w:right w:val="single" w:sz="12" w:space="0" w:color="FFFFFF"/>
            </w:tcBorders>
            <w:shd w:val="clear" w:color="auto" w:fill="D6DF81"/>
          </w:tcPr>
          <w:p w14:paraId="1EB7B511"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103</w:t>
            </w:r>
          </w:p>
        </w:tc>
        <w:tc>
          <w:tcPr>
            <w:tcW w:w="1215" w:type="dxa"/>
            <w:tcBorders>
              <w:top w:val="nil"/>
              <w:left w:val="nil"/>
              <w:bottom w:val="single" w:sz="12" w:space="0" w:color="FFFFFF"/>
              <w:right w:val="single" w:sz="12" w:space="0" w:color="FFFFFF"/>
            </w:tcBorders>
            <w:shd w:val="clear" w:color="auto" w:fill="D6DF81"/>
          </w:tcPr>
          <w:p w14:paraId="08AA0813"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103</w:t>
            </w:r>
          </w:p>
        </w:tc>
        <w:tc>
          <w:tcPr>
            <w:tcW w:w="960" w:type="dxa"/>
            <w:tcBorders>
              <w:top w:val="nil"/>
              <w:left w:val="nil"/>
              <w:bottom w:val="single" w:sz="12" w:space="0" w:color="FFFFFF"/>
              <w:right w:val="single" w:sz="12" w:space="0" w:color="FFFFFF"/>
            </w:tcBorders>
            <w:shd w:val="clear" w:color="auto" w:fill="90CA7D"/>
          </w:tcPr>
          <w:p w14:paraId="7E046B88"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37</w:t>
            </w:r>
          </w:p>
        </w:tc>
        <w:tc>
          <w:tcPr>
            <w:tcW w:w="960" w:type="dxa"/>
            <w:tcBorders>
              <w:top w:val="nil"/>
              <w:left w:val="nil"/>
              <w:bottom w:val="single" w:sz="12" w:space="0" w:color="FFFFFF"/>
              <w:right w:val="single" w:sz="12" w:space="0" w:color="FFFFFF"/>
            </w:tcBorders>
            <w:shd w:val="clear" w:color="auto" w:fill="8ECA7D"/>
          </w:tcPr>
          <w:p w14:paraId="0A9E4E2D"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37</w:t>
            </w:r>
          </w:p>
        </w:tc>
        <w:tc>
          <w:tcPr>
            <w:tcW w:w="960" w:type="dxa"/>
            <w:tcBorders>
              <w:top w:val="nil"/>
              <w:left w:val="nil"/>
              <w:bottom w:val="single" w:sz="12" w:space="0" w:color="FFFFFF"/>
              <w:right w:val="single" w:sz="12" w:space="0" w:color="FFFFFF"/>
            </w:tcBorders>
            <w:shd w:val="clear" w:color="auto" w:fill="8ECA7D"/>
          </w:tcPr>
          <w:p w14:paraId="7629BAEF"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37</w:t>
            </w:r>
          </w:p>
        </w:tc>
        <w:tc>
          <w:tcPr>
            <w:tcW w:w="960" w:type="dxa"/>
            <w:tcBorders>
              <w:top w:val="nil"/>
              <w:left w:val="nil"/>
              <w:bottom w:val="single" w:sz="12" w:space="0" w:color="FFFFFF"/>
              <w:right w:val="single" w:sz="12" w:space="0" w:color="FFFFFF"/>
            </w:tcBorders>
            <w:shd w:val="clear" w:color="auto" w:fill="8ECA7D"/>
          </w:tcPr>
          <w:p w14:paraId="39F55192" w14:textId="77777777" w:rsidR="00CF7A3C" w:rsidRPr="008924E0" w:rsidRDefault="00CF7A3C" w:rsidP="000B085B">
            <w:pPr>
              <w:spacing w:after="0" w:line="240" w:lineRule="auto"/>
              <w:jc w:val="right"/>
              <w:rPr>
                <w:color w:val="000000"/>
                <w:sz w:val="20"/>
                <w:szCs w:val="20"/>
                <w:lang w:val="bs-Latn-BA"/>
              </w:rPr>
            </w:pPr>
            <w:r w:rsidRPr="008924E0">
              <w:rPr>
                <w:sz w:val="20"/>
                <w:szCs w:val="20"/>
                <w:lang w:val="bs-Latn-BA"/>
              </w:rPr>
              <w:t>37</w:t>
            </w:r>
          </w:p>
        </w:tc>
      </w:tr>
    </w:tbl>
    <w:p w14:paraId="28C3D797" w14:textId="77777777" w:rsidR="00CF7A3C" w:rsidRPr="008924E0" w:rsidRDefault="00CF7A3C" w:rsidP="00CF7A3C">
      <w:pPr>
        <w:ind w:left="720" w:hanging="360"/>
        <w:rPr>
          <w:lang w:val="bs-Latn-BA"/>
        </w:rPr>
      </w:pPr>
      <w:r w:rsidRPr="008924E0">
        <w:rPr>
          <w:sz w:val="16"/>
          <w:szCs w:val="16"/>
          <w:lang w:val="bs-Latn-BA"/>
        </w:rPr>
        <w:t xml:space="preserve">*Za analizu su korišteni podaci iz baze energijskih certifikata sa malim brojem uzoraka </w:t>
      </w:r>
    </w:p>
    <w:p w14:paraId="519664D9" w14:textId="049AFAAF" w:rsidR="005326F6" w:rsidRDefault="005326F6">
      <w:pPr>
        <w:rPr>
          <w:i/>
          <w:iCs/>
          <w:szCs w:val="18"/>
          <w:lang w:val="bs-Latn-BA"/>
        </w:rPr>
      </w:pPr>
      <w:bookmarkStart w:id="209" w:name="_Toc126578024"/>
    </w:p>
    <w:p w14:paraId="67FA339D" w14:textId="77777777" w:rsidR="005326F6" w:rsidRDefault="005326F6">
      <w:pPr>
        <w:rPr>
          <w:i/>
          <w:iCs/>
          <w:szCs w:val="18"/>
          <w:lang w:val="bs-Latn-BA"/>
        </w:rPr>
      </w:pPr>
      <w:r>
        <w:br w:type="page"/>
      </w:r>
    </w:p>
    <w:p w14:paraId="1FC0A895" w14:textId="28F5FB31" w:rsidR="005326F6" w:rsidRDefault="005326F6" w:rsidP="005326F6">
      <w:pPr>
        <w:pStyle w:val="Caption"/>
        <w:keepNext/>
      </w:pPr>
      <w:bookmarkStart w:id="210" w:name="_Toc133499626"/>
      <w:r>
        <w:lastRenderedPageBreak/>
        <w:t>Tabela 11.1.</w:t>
      </w:r>
      <w:r w:rsidR="00000000">
        <w:fldChar w:fldCharType="begin"/>
      </w:r>
      <w:r w:rsidR="00000000">
        <w:instrText xml:space="preserve"> SEQ Tabela_11.1. \* ARABIC </w:instrText>
      </w:r>
      <w:r w:rsidR="00000000">
        <w:fldChar w:fldCharType="separate"/>
      </w:r>
      <w:r w:rsidR="002D62B3">
        <w:rPr>
          <w:noProof/>
        </w:rPr>
        <w:t>7</w:t>
      </w:r>
      <w:r w:rsidR="00000000">
        <w:rPr>
          <w:noProof/>
        </w:rPr>
        <w:fldChar w:fldCharType="end"/>
      </w:r>
      <w:r>
        <w:t xml:space="preserve"> </w:t>
      </w:r>
      <w:r w:rsidRPr="008924E0">
        <w:rPr>
          <w:color w:val="000000"/>
        </w:rPr>
        <w:t>Specifična potrebna energije kategorija zgrada u stambenom sektoru/indikativni energijski razred, kWh/m</w:t>
      </w:r>
      <w:r w:rsidRPr="008924E0">
        <w:rPr>
          <w:color w:val="000000"/>
          <w:vertAlign w:val="superscript"/>
        </w:rPr>
        <w:t>2</w:t>
      </w:r>
      <w:r w:rsidRPr="008924E0">
        <w:rPr>
          <w:color w:val="000000"/>
        </w:rPr>
        <w:t>god.</w:t>
      </w:r>
      <w:bookmarkEnd w:id="210"/>
    </w:p>
    <w:tbl>
      <w:tblPr>
        <w:tblStyle w:val="21"/>
        <w:tblW w:w="7863" w:type="dxa"/>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ayout w:type="fixed"/>
        <w:tblLook w:val="0400" w:firstRow="0" w:lastRow="0" w:firstColumn="0" w:lastColumn="0" w:noHBand="0" w:noVBand="1"/>
      </w:tblPr>
      <w:tblGrid>
        <w:gridCol w:w="1708"/>
        <w:gridCol w:w="1100"/>
        <w:gridCol w:w="1215"/>
        <w:gridCol w:w="960"/>
        <w:gridCol w:w="960"/>
        <w:gridCol w:w="960"/>
        <w:gridCol w:w="960"/>
      </w:tblGrid>
      <w:tr w:rsidR="00CF7A3C" w:rsidRPr="008924E0" w14:paraId="1CF2E686" w14:textId="77777777" w:rsidTr="000B085B">
        <w:trPr>
          <w:trHeight w:val="432"/>
          <w:jc w:val="center"/>
        </w:trPr>
        <w:tc>
          <w:tcPr>
            <w:tcW w:w="1708" w:type="dxa"/>
            <w:vMerge w:val="restart"/>
            <w:tcBorders>
              <w:top w:val="single" w:sz="12" w:space="0" w:color="FFFFFF"/>
              <w:left w:val="single" w:sz="12" w:space="0" w:color="FFFFFF"/>
              <w:bottom w:val="single" w:sz="12" w:space="0" w:color="FFFFFF"/>
              <w:right w:val="single" w:sz="12" w:space="0" w:color="FFFFFF"/>
            </w:tcBorders>
            <w:shd w:val="clear" w:color="auto" w:fill="006432"/>
            <w:vAlign w:val="center"/>
          </w:tcPr>
          <w:bookmarkEnd w:id="209"/>
          <w:p w14:paraId="78329005"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Period izgradnje </w:t>
            </w:r>
          </w:p>
        </w:tc>
        <w:tc>
          <w:tcPr>
            <w:tcW w:w="2315" w:type="dxa"/>
            <w:gridSpan w:val="2"/>
            <w:tcBorders>
              <w:top w:val="single" w:sz="12" w:space="0" w:color="FFFFFF"/>
              <w:left w:val="nil"/>
              <w:bottom w:val="single" w:sz="12" w:space="0" w:color="FFFFFF"/>
              <w:right w:val="single" w:sz="12" w:space="0" w:color="FFFFFF"/>
            </w:tcBorders>
            <w:shd w:val="clear" w:color="auto" w:fill="006432"/>
            <w:vAlign w:val="center"/>
          </w:tcPr>
          <w:p w14:paraId="46CC05C1"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Individualno stanovanje</w:t>
            </w:r>
          </w:p>
        </w:tc>
        <w:tc>
          <w:tcPr>
            <w:tcW w:w="3840" w:type="dxa"/>
            <w:gridSpan w:val="4"/>
            <w:tcBorders>
              <w:top w:val="single" w:sz="12" w:space="0" w:color="FFFFFF"/>
              <w:left w:val="nil"/>
              <w:bottom w:val="single" w:sz="12" w:space="0" w:color="FFFFFF"/>
              <w:right w:val="single" w:sz="12" w:space="0" w:color="FFFFFF"/>
            </w:tcBorders>
            <w:shd w:val="clear" w:color="auto" w:fill="006432"/>
            <w:vAlign w:val="center"/>
          </w:tcPr>
          <w:p w14:paraId="1C05935C"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Kolektivno stanovanje</w:t>
            </w:r>
          </w:p>
        </w:tc>
      </w:tr>
      <w:tr w:rsidR="00CF7A3C" w:rsidRPr="008924E0" w14:paraId="03606A5F" w14:textId="77777777" w:rsidTr="000B085B">
        <w:trPr>
          <w:trHeight w:val="312"/>
          <w:jc w:val="center"/>
        </w:trPr>
        <w:tc>
          <w:tcPr>
            <w:tcW w:w="1708" w:type="dxa"/>
            <w:vMerge/>
            <w:tcBorders>
              <w:top w:val="single" w:sz="12" w:space="0" w:color="FFFFFF"/>
              <w:left w:val="single" w:sz="12" w:space="0" w:color="FFFFFF"/>
              <w:bottom w:val="single" w:sz="12" w:space="0" w:color="FFFFFF"/>
              <w:right w:val="single" w:sz="12" w:space="0" w:color="FFFFFF"/>
            </w:tcBorders>
            <w:shd w:val="clear" w:color="auto" w:fill="006432"/>
            <w:vAlign w:val="center"/>
          </w:tcPr>
          <w:p w14:paraId="2D825BB4" w14:textId="77777777" w:rsidR="00CF7A3C" w:rsidRPr="008924E0" w:rsidRDefault="00CF7A3C" w:rsidP="000B085B">
            <w:pPr>
              <w:widowControl w:val="0"/>
              <w:pBdr>
                <w:top w:val="nil"/>
                <w:left w:val="nil"/>
                <w:bottom w:val="nil"/>
                <w:right w:val="nil"/>
                <w:between w:val="nil"/>
              </w:pBdr>
              <w:spacing w:line="276" w:lineRule="auto"/>
              <w:rPr>
                <w:rFonts w:ascii="Calibri" w:eastAsia="Calibri" w:hAnsi="Calibri" w:cs="Calibri"/>
                <w:b/>
                <w:color w:val="FFFFFF"/>
                <w:lang w:val="bs-Latn-BA"/>
              </w:rPr>
            </w:pPr>
          </w:p>
        </w:tc>
        <w:tc>
          <w:tcPr>
            <w:tcW w:w="1100" w:type="dxa"/>
            <w:tcBorders>
              <w:top w:val="nil"/>
              <w:left w:val="nil"/>
              <w:bottom w:val="single" w:sz="12" w:space="0" w:color="FFFFFF"/>
              <w:right w:val="single" w:sz="12" w:space="0" w:color="FFFFFF"/>
            </w:tcBorders>
            <w:shd w:val="clear" w:color="auto" w:fill="006432"/>
            <w:vAlign w:val="center"/>
          </w:tcPr>
          <w:p w14:paraId="7D04C4A1"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SH</w:t>
            </w:r>
          </w:p>
        </w:tc>
        <w:tc>
          <w:tcPr>
            <w:tcW w:w="1215" w:type="dxa"/>
            <w:tcBorders>
              <w:top w:val="nil"/>
              <w:left w:val="nil"/>
              <w:bottom w:val="single" w:sz="12" w:space="0" w:color="FFFFFF"/>
              <w:right w:val="single" w:sz="12" w:space="0" w:color="FFFFFF"/>
            </w:tcBorders>
            <w:shd w:val="clear" w:color="auto" w:fill="006432"/>
            <w:vAlign w:val="center"/>
          </w:tcPr>
          <w:p w14:paraId="3AF85631"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TH</w:t>
            </w:r>
          </w:p>
        </w:tc>
        <w:tc>
          <w:tcPr>
            <w:tcW w:w="960" w:type="dxa"/>
            <w:tcBorders>
              <w:top w:val="nil"/>
              <w:left w:val="nil"/>
              <w:bottom w:val="single" w:sz="12" w:space="0" w:color="FFFFFF"/>
              <w:right w:val="single" w:sz="12" w:space="0" w:color="FFFFFF"/>
            </w:tcBorders>
            <w:shd w:val="clear" w:color="auto" w:fill="006432"/>
            <w:vAlign w:val="center"/>
          </w:tcPr>
          <w:p w14:paraId="640F5976"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MH</w:t>
            </w:r>
          </w:p>
        </w:tc>
        <w:tc>
          <w:tcPr>
            <w:tcW w:w="960" w:type="dxa"/>
            <w:tcBorders>
              <w:top w:val="nil"/>
              <w:left w:val="nil"/>
              <w:bottom w:val="single" w:sz="12" w:space="0" w:color="FFFFFF"/>
              <w:right w:val="single" w:sz="12" w:space="0" w:color="FFFFFF"/>
            </w:tcBorders>
            <w:shd w:val="clear" w:color="auto" w:fill="006432"/>
            <w:vAlign w:val="center"/>
          </w:tcPr>
          <w:p w14:paraId="3BE7DE88"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AB1</w:t>
            </w:r>
          </w:p>
        </w:tc>
        <w:tc>
          <w:tcPr>
            <w:tcW w:w="960" w:type="dxa"/>
            <w:tcBorders>
              <w:top w:val="nil"/>
              <w:left w:val="nil"/>
              <w:bottom w:val="single" w:sz="12" w:space="0" w:color="FFFFFF"/>
              <w:right w:val="single" w:sz="12" w:space="0" w:color="FFFFFF"/>
            </w:tcBorders>
            <w:shd w:val="clear" w:color="auto" w:fill="006432"/>
            <w:vAlign w:val="center"/>
          </w:tcPr>
          <w:p w14:paraId="4950D901"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AB2</w:t>
            </w:r>
          </w:p>
        </w:tc>
        <w:tc>
          <w:tcPr>
            <w:tcW w:w="960" w:type="dxa"/>
            <w:tcBorders>
              <w:top w:val="nil"/>
              <w:left w:val="nil"/>
              <w:bottom w:val="single" w:sz="12" w:space="0" w:color="FFFFFF"/>
              <w:right w:val="single" w:sz="12" w:space="0" w:color="FFFFFF"/>
            </w:tcBorders>
            <w:shd w:val="clear" w:color="auto" w:fill="006432"/>
            <w:vAlign w:val="center"/>
          </w:tcPr>
          <w:p w14:paraId="3DA1CDC9" w14:textId="77777777" w:rsidR="00CF7A3C" w:rsidRPr="008924E0" w:rsidRDefault="00CF7A3C" w:rsidP="000B085B">
            <w:pPr>
              <w:jc w:val="center"/>
              <w:rPr>
                <w:rFonts w:ascii="Calibri" w:eastAsia="Calibri" w:hAnsi="Calibri" w:cs="Calibri"/>
                <w:b/>
                <w:color w:val="FFFFFF"/>
                <w:lang w:val="bs-Latn-BA"/>
              </w:rPr>
            </w:pPr>
            <w:r w:rsidRPr="008924E0">
              <w:rPr>
                <w:rFonts w:ascii="Calibri" w:eastAsia="Calibri" w:hAnsi="Calibri" w:cs="Calibri"/>
                <w:b/>
                <w:color w:val="FFFFFF"/>
                <w:lang w:val="bs-Latn-BA"/>
              </w:rPr>
              <w:t>H</w:t>
            </w:r>
          </w:p>
        </w:tc>
      </w:tr>
      <w:tr w:rsidR="00CF7A3C" w:rsidRPr="008924E0" w14:paraId="22F63C01" w14:textId="77777777" w:rsidTr="000B085B">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24DD6387" w14:textId="77777777" w:rsidR="00CF7A3C" w:rsidRPr="008924E0" w:rsidRDefault="00CF7A3C" w:rsidP="000B085B">
            <w:pPr>
              <w:jc w:val="center"/>
              <w:rPr>
                <w:rFonts w:ascii="Calibri" w:eastAsia="Calibri" w:hAnsi="Calibri" w:cs="Calibri"/>
                <w:b/>
                <w:lang w:val="bs-Latn-BA"/>
              </w:rPr>
            </w:pPr>
            <w:r w:rsidRPr="008924E0">
              <w:rPr>
                <w:rFonts w:ascii="Calibri" w:eastAsia="Calibri" w:hAnsi="Calibri" w:cs="Calibri"/>
                <w:b/>
                <w:lang w:val="bs-Latn-BA"/>
              </w:rPr>
              <w:t>do 1945.</w:t>
            </w:r>
          </w:p>
        </w:tc>
        <w:tc>
          <w:tcPr>
            <w:tcW w:w="1100" w:type="dxa"/>
            <w:tcBorders>
              <w:top w:val="nil"/>
              <w:left w:val="nil"/>
              <w:bottom w:val="single" w:sz="12" w:space="0" w:color="FFFFFF"/>
              <w:right w:val="single" w:sz="12" w:space="0" w:color="FFFFFF"/>
            </w:tcBorders>
            <w:shd w:val="clear" w:color="auto" w:fill="F9706D"/>
            <w:vAlign w:val="bottom"/>
          </w:tcPr>
          <w:p w14:paraId="5C40018A"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303/G</w:t>
            </w:r>
          </w:p>
        </w:tc>
        <w:tc>
          <w:tcPr>
            <w:tcW w:w="1215" w:type="dxa"/>
            <w:tcBorders>
              <w:top w:val="nil"/>
              <w:left w:val="nil"/>
              <w:bottom w:val="single" w:sz="12" w:space="0" w:color="FFFFFF"/>
              <w:right w:val="single" w:sz="12" w:space="0" w:color="FFFFFF"/>
            </w:tcBorders>
            <w:shd w:val="clear" w:color="auto" w:fill="FECF7F"/>
            <w:vAlign w:val="bottom"/>
          </w:tcPr>
          <w:p w14:paraId="1E88009F"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123/C</w:t>
            </w:r>
          </w:p>
        </w:tc>
        <w:tc>
          <w:tcPr>
            <w:tcW w:w="960" w:type="dxa"/>
            <w:tcBorders>
              <w:top w:val="nil"/>
              <w:left w:val="nil"/>
              <w:bottom w:val="single" w:sz="12" w:space="0" w:color="FFFFFF"/>
              <w:right w:val="single" w:sz="12" w:space="0" w:color="FFFFFF"/>
            </w:tcBorders>
            <w:shd w:val="clear" w:color="auto" w:fill="FDBD7C"/>
            <w:vAlign w:val="bottom"/>
          </w:tcPr>
          <w:p w14:paraId="628CA668"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155/D</w:t>
            </w:r>
          </w:p>
        </w:tc>
        <w:tc>
          <w:tcPr>
            <w:tcW w:w="960" w:type="dxa"/>
            <w:tcBorders>
              <w:top w:val="nil"/>
              <w:left w:val="nil"/>
              <w:bottom w:val="single" w:sz="12" w:space="0" w:color="FFFFFF"/>
              <w:right w:val="single" w:sz="12" w:space="0" w:color="FFFFFF"/>
            </w:tcBorders>
            <w:shd w:val="clear" w:color="auto" w:fill="FFDB81"/>
            <w:vAlign w:val="bottom"/>
          </w:tcPr>
          <w:p w14:paraId="48D8CB08"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118/D</w:t>
            </w:r>
          </w:p>
        </w:tc>
        <w:tc>
          <w:tcPr>
            <w:tcW w:w="960" w:type="dxa"/>
            <w:tcBorders>
              <w:top w:val="nil"/>
              <w:left w:val="nil"/>
              <w:bottom w:val="single" w:sz="12" w:space="0" w:color="FFFFFF"/>
              <w:right w:val="single" w:sz="12" w:space="0" w:color="FFFFFF"/>
            </w:tcBorders>
            <w:shd w:val="clear" w:color="auto" w:fill="63BE7B"/>
            <w:vAlign w:val="bottom"/>
          </w:tcPr>
          <w:p w14:paraId="3FF1D749" w14:textId="77777777" w:rsidR="00CF7A3C" w:rsidRPr="008924E0" w:rsidRDefault="00CF7A3C" w:rsidP="000B085B">
            <w:pPr>
              <w:jc w:val="right"/>
              <w:rPr>
                <w:rFonts w:ascii="Calibri" w:eastAsia="Calibri" w:hAnsi="Calibri" w:cs="Calibri"/>
                <w:lang w:val="bs-Latn-BA"/>
              </w:rPr>
            </w:pPr>
          </w:p>
        </w:tc>
        <w:tc>
          <w:tcPr>
            <w:tcW w:w="960" w:type="dxa"/>
            <w:tcBorders>
              <w:top w:val="nil"/>
              <w:left w:val="nil"/>
              <w:bottom w:val="single" w:sz="12" w:space="0" w:color="FFFFFF"/>
              <w:right w:val="single" w:sz="12" w:space="0" w:color="FFFFFF"/>
            </w:tcBorders>
            <w:shd w:val="clear" w:color="auto" w:fill="63BE7B"/>
            <w:vAlign w:val="bottom"/>
          </w:tcPr>
          <w:p w14:paraId="3BDCDC25" w14:textId="77777777" w:rsidR="00CF7A3C" w:rsidRPr="008924E0" w:rsidRDefault="00CF7A3C" w:rsidP="000B085B">
            <w:pPr>
              <w:jc w:val="right"/>
              <w:rPr>
                <w:rFonts w:ascii="Calibri" w:eastAsia="Calibri" w:hAnsi="Calibri" w:cs="Calibri"/>
                <w:lang w:val="bs-Latn-BA"/>
              </w:rPr>
            </w:pPr>
          </w:p>
        </w:tc>
      </w:tr>
      <w:tr w:rsidR="00CF7A3C" w:rsidRPr="008924E0" w14:paraId="0F0E87E8" w14:textId="77777777" w:rsidTr="000B085B">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5B68AD8E" w14:textId="77777777" w:rsidR="00CF7A3C" w:rsidRPr="008924E0" w:rsidRDefault="00CF7A3C" w:rsidP="000B085B">
            <w:pPr>
              <w:jc w:val="center"/>
              <w:rPr>
                <w:rFonts w:ascii="Calibri" w:eastAsia="Calibri" w:hAnsi="Calibri" w:cs="Calibri"/>
                <w:b/>
                <w:lang w:val="bs-Latn-BA"/>
              </w:rPr>
            </w:pPr>
            <w:r w:rsidRPr="008924E0">
              <w:rPr>
                <w:rFonts w:ascii="Calibri" w:eastAsia="Calibri" w:hAnsi="Calibri" w:cs="Calibri"/>
                <w:b/>
                <w:lang w:val="bs-Latn-BA"/>
              </w:rPr>
              <w:t>1946.-1960.</w:t>
            </w:r>
          </w:p>
        </w:tc>
        <w:tc>
          <w:tcPr>
            <w:tcW w:w="1100" w:type="dxa"/>
            <w:tcBorders>
              <w:top w:val="nil"/>
              <w:left w:val="nil"/>
              <w:bottom w:val="single" w:sz="12" w:space="0" w:color="FFFFFF"/>
              <w:right w:val="single" w:sz="12" w:space="0" w:color="FFFFFF"/>
            </w:tcBorders>
            <w:shd w:val="clear" w:color="auto" w:fill="F8696B"/>
            <w:vAlign w:val="bottom"/>
          </w:tcPr>
          <w:p w14:paraId="59D70D75"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318/G</w:t>
            </w:r>
          </w:p>
        </w:tc>
        <w:tc>
          <w:tcPr>
            <w:tcW w:w="1215" w:type="dxa"/>
            <w:tcBorders>
              <w:top w:val="nil"/>
              <w:left w:val="nil"/>
              <w:bottom w:val="single" w:sz="12" w:space="0" w:color="FFFFFF"/>
              <w:right w:val="single" w:sz="12" w:space="0" w:color="FFFFFF"/>
            </w:tcBorders>
            <w:shd w:val="clear" w:color="auto" w:fill="FCB279"/>
            <w:vAlign w:val="bottom"/>
          </w:tcPr>
          <w:p w14:paraId="2A2C186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215/E</w:t>
            </w:r>
          </w:p>
        </w:tc>
        <w:tc>
          <w:tcPr>
            <w:tcW w:w="960" w:type="dxa"/>
            <w:tcBorders>
              <w:top w:val="nil"/>
              <w:left w:val="nil"/>
              <w:bottom w:val="single" w:sz="12" w:space="0" w:color="FFFFFF"/>
              <w:right w:val="single" w:sz="12" w:space="0" w:color="FFFFFF"/>
            </w:tcBorders>
            <w:shd w:val="clear" w:color="auto" w:fill="FED07F"/>
            <w:vAlign w:val="bottom"/>
          </w:tcPr>
          <w:p w14:paraId="78B1B5AE"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145/D</w:t>
            </w:r>
          </w:p>
        </w:tc>
        <w:tc>
          <w:tcPr>
            <w:tcW w:w="960" w:type="dxa"/>
            <w:tcBorders>
              <w:top w:val="nil"/>
              <w:left w:val="nil"/>
              <w:bottom w:val="single" w:sz="12" w:space="0" w:color="FFFFFF"/>
              <w:right w:val="single" w:sz="12" w:space="0" w:color="FFFFFF"/>
            </w:tcBorders>
            <w:shd w:val="clear" w:color="auto" w:fill="FFDF82"/>
            <w:vAlign w:val="bottom"/>
          </w:tcPr>
          <w:p w14:paraId="5493DB3B"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106/C</w:t>
            </w:r>
          </w:p>
        </w:tc>
        <w:tc>
          <w:tcPr>
            <w:tcW w:w="960" w:type="dxa"/>
            <w:tcBorders>
              <w:top w:val="nil"/>
              <w:left w:val="nil"/>
              <w:bottom w:val="single" w:sz="12" w:space="0" w:color="FFFFFF"/>
              <w:right w:val="single" w:sz="12" w:space="0" w:color="FFFFFF"/>
            </w:tcBorders>
            <w:shd w:val="clear" w:color="auto" w:fill="FFE583"/>
            <w:vAlign w:val="bottom"/>
          </w:tcPr>
          <w:p w14:paraId="474E4C90"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118/D</w:t>
            </w:r>
          </w:p>
        </w:tc>
        <w:tc>
          <w:tcPr>
            <w:tcW w:w="960" w:type="dxa"/>
            <w:tcBorders>
              <w:top w:val="nil"/>
              <w:left w:val="nil"/>
              <w:bottom w:val="single" w:sz="12" w:space="0" w:color="FFFFFF"/>
              <w:right w:val="single" w:sz="12" w:space="0" w:color="FFFFFF"/>
            </w:tcBorders>
            <w:shd w:val="clear" w:color="auto" w:fill="63BE7B"/>
            <w:vAlign w:val="bottom"/>
          </w:tcPr>
          <w:p w14:paraId="21DBF9E5" w14:textId="77777777" w:rsidR="00CF7A3C" w:rsidRPr="008924E0" w:rsidRDefault="00CF7A3C" w:rsidP="000B085B">
            <w:pPr>
              <w:jc w:val="right"/>
              <w:rPr>
                <w:rFonts w:ascii="Calibri" w:eastAsia="Calibri" w:hAnsi="Calibri" w:cs="Calibri"/>
                <w:lang w:val="bs-Latn-BA"/>
              </w:rPr>
            </w:pPr>
          </w:p>
        </w:tc>
      </w:tr>
      <w:tr w:rsidR="00CF7A3C" w:rsidRPr="008924E0" w14:paraId="33331E8E" w14:textId="77777777" w:rsidTr="000B085B">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3B808E39" w14:textId="77777777" w:rsidR="00CF7A3C" w:rsidRPr="008924E0" w:rsidRDefault="00CF7A3C" w:rsidP="000B085B">
            <w:pPr>
              <w:jc w:val="center"/>
              <w:rPr>
                <w:rFonts w:ascii="Calibri" w:eastAsia="Calibri" w:hAnsi="Calibri" w:cs="Calibri"/>
                <w:b/>
                <w:lang w:val="bs-Latn-BA"/>
              </w:rPr>
            </w:pPr>
            <w:r w:rsidRPr="008924E0">
              <w:rPr>
                <w:rFonts w:ascii="Calibri" w:eastAsia="Calibri" w:hAnsi="Calibri" w:cs="Calibri"/>
                <w:b/>
                <w:lang w:val="bs-Latn-BA"/>
              </w:rPr>
              <w:t>1961.-1970.</w:t>
            </w:r>
          </w:p>
        </w:tc>
        <w:tc>
          <w:tcPr>
            <w:tcW w:w="1100" w:type="dxa"/>
            <w:tcBorders>
              <w:top w:val="nil"/>
              <w:left w:val="nil"/>
              <w:bottom w:val="single" w:sz="12" w:space="0" w:color="FFFFFF"/>
              <w:right w:val="single" w:sz="12" w:space="0" w:color="FFFFFF"/>
            </w:tcBorders>
            <w:shd w:val="clear" w:color="auto" w:fill="F9726D"/>
            <w:vAlign w:val="bottom"/>
          </w:tcPr>
          <w:p w14:paraId="4DDCEA5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311/G</w:t>
            </w:r>
          </w:p>
        </w:tc>
        <w:tc>
          <w:tcPr>
            <w:tcW w:w="1215" w:type="dxa"/>
            <w:tcBorders>
              <w:top w:val="nil"/>
              <w:left w:val="nil"/>
              <w:bottom w:val="single" w:sz="12" w:space="0" w:color="FFFFFF"/>
              <w:right w:val="single" w:sz="12" w:space="0" w:color="FFFFFF"/>
            </w:tcBorders>
            <w:shd w:val="clear" w:color="auto" w:fill="FED881"/>
            <w:vAlign w:val="bottom"/>
          </w:tcPr>
          <w:p w14:paraId="2F17BA78"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132/C</w:t>
            </w:r>
          </w:p>
        </w:tc>
        <w:tc>
          <w:tcPr>
            <w:tcW w:w="960" w:type="dxa"/>
            <w:tcBorders>
              <w:top w:val="nil"/>
              <w:left w:val="nil"/>
              <w:bottom w:val="single" w:sz="12" w:space="0" w:color="FFFFFF"/>
              <w:right w:val="single" w:sz="12" w:space="0" w:color="FFFFFF"/>
            </w:tcBorders>
            <w:shd w:val="clear" w:color="auto" w:fill="FFDD82"/>
            <w:vAlign w:val="bottom"/>
          </w:tcPr>
          <w:p w14:paraId="3C59486A"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126/D</w:t>
            </w:r>
          </w:p>
        </w:tc>
        <w:tc>
          <w:tcPr>
            <w:tcW w:w="960" w:type="dxa"/>
            <w:tcBorders>
              <w:top w:val="nil"/>
              <w:left w:val="nil"/>
              <w:bottom w:val="single" w:sz="12" w:space="0" w:color="FFFFFF"/>
              <w:right w:val="single" w:sz="12" w:space="0" w:color="FFFFFF"/>
            </w:tcBorders>
            <w:shd w:val="clear" w:color="auto" w:fill="FFEB84"/>
            <w:vAlign w:val="bottom"/>
          </w:tcPr>
          <w:p w14:paraId="483BD48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103/C</w:t>
            </w:r>
          </w:p>
        </w:tc>
        <w:tc>
          <w:tcPr>
            <w:tcW w:w="960" w:type="dxa"/>
            <w:tcBorders>
              <w:top w:val="nil"/>
              <w:left w:val="nil"/>
              <w:bottom w:val="single" w:sz="12" w:space="0" w:color="FFFFFF"/>
              <w:right w:val="single" w:sz="12" w:space="0" w:color="FFFFFF"/>
            </w:tcBorders>
            <w:shd w:val="clear" w:color="auto" w:fill="FFEA84"/>
            <w:vAlign w:val="bottom"/>
          </w:tcPr>
          <w:p w14:paraId="3A55774B"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114/D</w:t>
            </w:r>
          </w:p>
        </w:tc>
        <w:tc>
          <w:tcPr>
            <w:tcW w:w="960" w:type="dxa"/>
            <w:tcBorders>
              <w:top w:val="nil"/>
              <w:left w:val="nil"/>
              <w:bottom w:val="single" w:sz="12" w:space="0" w:color="FFFFFF"/>
              <w:right w:val="single" w:sz="12" w:space="0" w:color="FFFFFF"/>
            </w:tcBorders>
            <w:shd w:val="clear" w:color="auto" w:fill="FFE683"/>
            <w:vAlign w:val="bottom"/>
          </w:tcPr>
          <w:p w14:paraId="7BCE44D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130/D</w:t>
            </w:r>
          </w:p>
        </w:tc>
      </w:tr>
      <w:tr w:rsidR="00CF7A3C" w:rsidRPr="008924E0" w14:paraId="26BB74FD" w14:textId="77777777" w:rsidTr="000B085B">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4B280793" w14:textId="77777777" w:rsidR="00CF7A3C" w:rsidRPr="008924E0" w:rsidRDefault="00CF7A3C" w:rsidP="000B085B">
            <w:pPr>
              <w:jc w:val="center"/>
              <w:rPr>
                <w:rFonts w:ascii="Calibri" w:eastAsia="Calibri" w:hAnsi="Calibri" w:cs="Calibri"/>
                <w:b/>
                <w:lang w:val="bs-Latn-BA"/>
              </w:rPr>
            </w:pPr>
            <w:r w:rsidRPr="008924E0">
              <w:rPr>
                <w:rFonts w:ascii="Calibri" w:eastAsia="Calibri" w:hAnsi="Calibri" w:cs="Calibri"/>
                <w:b/>
                <w:lang w:val="bs-Latn-BA"/>
              </w:rPr>
              <w:t>1971.-1980.</w:t>
            </w:r>
          </w:p>
        </w:tc>
        <w:tc>
          <w:tcPr>
            <w:tcW w:w="1100" w:type="dxa"/>
            <w:tcBorders>
              <w:top w:val="nil"/>
              <w:left w:val="nil"/>
              <w:bottom w:val="single" w:sz="12" w:space="0" w:color="FFFFFF"/>
              <w:right w:val="single" w:sz="12" w:space="0" w:color="FFFFFF"/>
            </w:tcBorders>
            <w:shd w:val="clear" w:color="auto" w:fill="FB9374"/>
            <w:vAlign w:val="bottom"/>
          </w:tcPr>
          <w:p w14:paraId="59B7720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256/E</w:t>
            </w:r>
          </w:p>
        </w:tc>
        <w:tc>
          <w:tcPr>
            <w:tcW w:w="1215" w:type="dxa"/>
            <w:tcBorders>
              <w:top w:val="nil"/>
              <w:left w:val="nil"/>
              <w:bottom w:val="single" w:sz="12" w:space="0" w:color="FFFFFF"/>
              <w:right w:val="single" w:sz="12" w:space="0" w:color="FFFFFF"/>
            </w:tcBorders>
            <w:shd w:val="clear" w:color="auto" w:fill="FED981"/>
            <w:vAlign w:val="bottom"/>
          </w:tcPr>
          <w:p w14:paraId="6D9DAE3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133/C</w:t>
            </w:r>
          </w:p>
        </w:tc>
        <w:tc>
          <w:tcPr>
            <w:tcW w:w="960" w:type="dxa"/>
            <w:tcBorders>
              <w:top w:val="nil"/>
              <w:left w:val="nil"/>
              <w:bottom w:val="single" w:sz="12" w:space="0" w:color="FFFFFF"/>
              <w:right w:val="single" w:sz="12" w:space="0" w:color="FFFFFF"/>
            </w:tcBorders>
            <w:shd w:val="clear" w:color="auto" w:fill="FDEA83"/>
            <w:vAlign w:val="bottom"/>
          </w:tcPr>
          <w:p w14:paraId="5532292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98/C</w:t>
            </w:r>
          </w:p>
        </w:tc>
        <w:tc>
          <w:tcPr>
            <w:tcW w:w="960" w:type="dxa"/>
            <w:tcBorders>
              <w:top w:val="nil"/>
              <w:left w:val="nil"/>
              <w:bottom w:val="single" w:sz="12" w:space="0" w:color="FFFFFF"/>
              <w:right w:val="single" w:sz="12" w:space="0" w:color="FFFFFF"/>
            </w:tcBorders>
            <w:shd w:val="clear" w:color="auto" w:fill="63BE7B"/>
            <w:vAlign w:val="bottom"/>
          </w:tcPr>
          <w:p w14:paraId="0060E894" w14:textId="77777777" w:rsidR="00CF7A3C" w:rsidRPr="008924E0" w:rsidRDefault="00CF7A3C" w:rsidP="000B085B">
            <w:pPr>
              <w:jc w:val="right"/>
              <w:rPr>
                <w:rFonts w:ascii="Calibri" w:eastAsia="Calibri" w:hAnsi="Calibri" w:cs="Calibri"/>
                <w:lang w:val="bs-Latn-BA"/>
              </w:rPr>
            </w:pPr>
          </w:p>
        </w:tc>
        <w:tc>
          <w:tcPr>
            <w:tcW w:w="960" w:type="dxa"/>
            <w:tcBorders>
              <w:top w:val="nil"/>
              <w:left w:val="nil"/>
              <w:bottom w:val="single" w:sz="12" w:space="0" w:color="FFFFFF"/>
              <w:right w:val="single" w:sz="12" w:space="0" w:color="FFFFFF"/>
            </w:tcBorders>
            <w:shd w:val="clear" w:color="auto" w:fill="DCE182"/>
            <w:vAlign w:val="bottom"/>
          </w:tcPr>
          <w:p w14:paraId="20C7267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87/C</w:t>
            </w:r>
          </w:p>
        </w:tc>
        <w:tc>
          <w:tcPr>
            <w:tcW w:w="960" w:type="dxa"/>
            <w:tcBorders>
              <w:top w:val="nil"/>
              <w:left w:val="nil"/>
              <w:bottom w:val="single" w:sz="12" w:space="0" w:color="FFFFFF"/>
              <w:right w:val="single" w:sz="12" w:space="0" w:color="FFFFFF"/>
            </w:tcBorders>
            <w:shd w:val="clear" w:color="auto" w:fill="D6DF81"/>
            <w:vAlign w:val="bottom"/>
          </w:tcPr>
          <w:p w14:paraId="131BA5F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84/C</w:t>
            </w:r>
          </w:p>
        </w:tc>
      </w:tr>
      <w:tr w:rsidR="00CF7A3C" w:rsidRPr="008924E0" w14:paraId="3AAA59AF" w14:textId="77777777" w:rsidTr="000B085B">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0083C97B" w14:textId="77777777" w:rsidR="00CF7A3C" w:rsidRPr="008924E0" w:rsidRDefault="00CF7A3C" w:rsidP="000B085B">
            <w:pPr>
              <w:jc w:val="center"/>
              <w:rPr>
                <w:rFonts w:ascii="Calibri" w:eastAsia="Calibri" w:hAnsi="Calibri" w:cs="Calibri"/>
                <w:b/>
                <w:lang w:val="bs-Latn-BA"/>
              </w:rPr>
            </w:pPr>
            <w:r w:rsidRPr="008924E0">
              <w:rPr>
                <w:rFonts w:ascii="Calibri" w:eastAsia="Calibri" w:hAnsi="Calibri" w:cs="Calibri"/>
                <w:b/>
                <w:lang w:val="bs-Latn-BA"/>
              </w:rPr>
              <w:t>1981.-1991.</w:t>
            </w:r>
          </w:p>
        </w:tc>
        <w:tc>
          <w:tcPr>
            <w:tcW w:w="1100" w:type="dxa"/>
            <w:tcBorders>
              <w:top w:val="nil"/>
              <w:left w:val="nil"/>
              <w:bottom w:val="single" w:sz="12" w:space="0" w:color="FFFFFF"/>
              <w:right w:val="single" w:sz="12" w:space="0" w:color="FFFFFF"/>
            </w:tcBorders>
            <w:shd w:val="clear" w:color="auto" w:fill="FFE784"/>
            <w:vAlign w:val="bottom"/>
          </w:tcPr>
          <w:p w14:paraId="5AD536AB"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91/C</w:t>
            </w:r>
          </w:p>
        </w:tc>
        <w:tc>
          <w:tcPr>
            <w:tcW w:w="1215" w:type="dxa"/>
            <w:tcBorders>
              <w:top w:val="nil"/>
              <w:left w:val="nil"/>
              <w:bottom w:val="single" w:sz="12" w:space="0" w:color="FFFFFF"/>
              <w:right w:val="single" w:sz="12" w:space="0" w:color="FFFFFF"/>
            </w:tcBorders>
            <w:shd w:val="clear" w:color="auto" w:fill="FED380"/>
            <w:vAlign w:val="bottom"/>
          </w:tcPr>
          <w:p w14:paraId="409F26C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147/D</w:t>
            </w:r>
          </w:p>
        </w:tc>
        <w:tc>
          <w:tcPr>
            <w:tcW w:w="960" w:type="dxa"/>
            <w:tcBorders>
              <w:top w:val="nil"/>
              <w:left w:val="nil"/>
              <w:bottom w:val="single" w:sz="12" w:space="0" w:color="FFFFFF"/>
              <w:right w:val="single" w:sz="12" w:space="0" w:color="FFFFFF"/>
            </w:tcBorders>
            <w:shd w:val="clear" w:color="auto" w:fill="FFE784"/>
            <w:vAlign w:val="bottom"/>
          </w:tcPr>
          <w:p w14:paraId="34A03BE6"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127/D</w:t>
            </w:r>
          </w:p>
        </w:tc>
        <w:tc>
          <w:tcPr>
            <w:tcW w:w="960" w:type="dxa"/>
            <w:tcBorders>
              <w:top w:val="nil"/>
              <w:left w:val="nil"/>
              <w:bottom w:val="single" w:sz="12" w:space="0" w:color="FFFFFF"/>
              <w:right w:val="single" w:sz="12" w:space="0" w:color="FFFFFF"/>
            </w:tcBorders>
            <w:shd w:val="clear" w:color="auto" w:fill="CADB80"/>
            <w:vAlign w:val="bottom"/>
          </w:tcPr>
          <w:p w14:paraId="0226AD97"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63/C</w:t>
            </w:r>
          </w:p>
        </w:tc>
        <w:tc>
          <w:tcPr>
            <w:tcW w:w="960" w:type="dxa"/>
            <w:tcBorders>
              <w:top w:val="nil"/>
              <w:left w:val="nil"/>
              <w:bottom w:val="single" w:sz="12" w:space="0" w:color="FFFFFF"/>
              <w:right w:val="single" w:sz="12" w:space="0" w:color="FFFFFF"/>
            </w:tcBorders>
            <w:shd w:val="clear" w:color="auto" w:fill="CFDD81"/>
            <w:vAlign w:val="bottom"/>
          </w:tcPr>
          <w:p w14:paraId="20DE34D4"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74/C</w:t>
            </w:r>
          </w:p>
        </w:tc>
        <w:tc>
          <w:tcPr>
            <w:tcW w:w="960" w:type="dxa"/>
            <w:tcBorders>
              <w:top w:val="nil"/>
              <w:left w:val="nil"/>
              <w:bottom w:val="single" w:sz="12" w:space="0" w:color="FFFFFF"/>
              <w:right w:val="single" w:sz="12" w:space="0" w:color="FFFFFF"/>
            </w:tcBorders>
            <w:shd w:val="clear" w:color="auto" w:fill="63BE7B"/>
            <w:vAlign w:val="bottom"/>
          </w:tcPr>
          <w:p w14:paraId="079D5AA0" w14:textId="77777777" w:rsidR="00CF7A3C" w:rsidRPr="008924E0" w:rsidRDefault="00CF7A3C" w:rsidP="000B085B">
            <w:pPr>
              <w:jc w:val="right"/>
              <w:rPr>
                <w:rFonts w:ascii="Calibri" w:eastAsia="Calibri" w:hAnsi="Calibri" w:cs="Calibri"/>
                <w:lang w:val="bs-Latn-BA"/>
              </w:rPr>
            </w:pPr>
          </w:p>
        </w:tc>
      </w:tr>
      <w:tr w:rsidR="00CF7A3C" w:rsidRPr="008924E0" w14:paraId="785AC19D" w14:textId="77777777" w:rsidTr="000B085B">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343F52D6" w14:textId="77777777" w:rsidR="00CF7A3C" w:rsidRPr="008924E0" w:rsidRDefault="00CF7A3C" w:rsidP="000B085B">
            <w:pPr>
              <w:jc w:val="center"/>
              <w:rPr>
                <w:rFonts w:ascii="Calibri" w:eastAsia="Calibri" w:hAnsi="Calibri" w:cs="Calibri"/>
                <w:b/>
                <w:lang w:val="bs-Latn-BA"/>
              </w:rPr>
            </w:pPr>
            <w:r w:rsidRPr="008924E0">
              <w:rPr>
                <w:rFonts w:ascii="Calibri" w:eastAsia="Calibri" w:hAnsi="Calibri" w:cs="Calibri"/>
                <w:b/>
                <w:lang w:val="bs-Latn-BA"/>
              </w:rPr>
              <w:t>1992.-2013.</w:t>
            </w:r>
          </w:p>
        </w:tc>
        <w:tc>
          <w:tcPr>
            <w:tcW w:w="1100" w:type="dxa"/>
            <w:tcBorders>
              <w:top w:val="nil"/>
              <w:left w:val="nil"/>
              <w:bottom w:val="single" w:sz="12" w:space="0" w:color="FFFFFF"/>
              <w:right w:val="single" w:sz="12" w:space="0" w:color="FFFFFF"/>
            </w:tcBorders>
            <w:shd w:val="clear" w:color="auto" w:fill="FFEA84"/>
            <w:vAlign w:val="bottom"/>
          </w:tcPr>
          <w:p w14:paraId="7C59A16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85/C</w:t>
            </w:r>
          </w:p>
        </w:tc>
        <w:tc>
          <w:tcPr>
            <w:tcW w:w="1215" w:type="dxa"/>
            <w:tcBorders>
              <w:top w:val="nil"/>
              <w:left w:val="nil"/>
              <w:bottom w:val="single" w:sz="12" w:space="0" w:color="FFFFFF"/>
              <w:right w:val="single" w:sz="12" w:space="0" w:color="FFFFFF"/>
            </w:tcBorders>
            <w:shd w:val="clear" w:color="auto" w:fill="63BE7B"/>
            <w:vAlign w:val="bottom"/>
          </w:tcPr>
          <w:p w14:paraId="1592A998" w14:textId="77777777" w:rsidR="00CF7A3C" w:rsidRPr="008924E0" w:rsidRDefault="00CF7A3C" w:rsidP="000B085B">
            <w:pPr>
              <w:jc w:val="right"/>
              <w:rPr>
                <w:rFonts w:ascii="Calibri" w:eastAsia="Calibri" w:hAnsi="Calibri" w:cs="Calibri"/>
                <w:lang w:val="bs-Latn-BA"/>
              </w:rPr>
            </w:pPr>
          </w:p>
        </w:tc>
        <w:tc>
          <w:tcPr>
            <w:tcW w:w="960" w:type="dxa"/>
            <w:tcBorders>
              <w:top w:val="nil"/>
              <w:left w:val="nil"/>
              <w:bottom w:val="single" w:sz="12" w:space="0" w:color="FFFFFF"/>
              <w:right w:val="single" w:sz="12" w:space="0" w:color="FFFFFF"/>
            </w:tcBorders>
            <w:shd w:val="clear" w:color="auto" w:fill="A1D07E"/>
            <w:vAlign w:val="bottom"/>
          </w:tcPr>
          <w:p w14:paraId="3680DB5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44/B</w:t>
            </w:r>
          </w:p>
        </w:tc>
        <w:tc>
          <w:tcPr>
            <w:tcW w:w="960" w:type="dxa"/>
            <w:tcBorders>
              <w:top w:val="nil"/>
              <w:left w:val="nil"/>
              <w:bottom w:val="single" w:sz="12" w:space="0" w:color="FFFFFF"/>
              <w:right w:val="single" w:sz="12" w:space="0" w:color="FFFFFF"/>
            </w:tcBorders>
            <w:shd w:val="clear" w:color="auto" w:fill="A8D27F"/>
            <w:vAlign w:val="bottom"/>
          </w:tcPr>
          <w:p w14:paraId="086BC8D7"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46/B</w:t>
            </w:r>
          </w:p>
        </w:tc>
        <w:tc>
          <w:tcPr>
            <w:tcW w:w="960" w:type="dxa"/>
            <w:tcBorders>
              <w:top w:val="nil"/>
              <w:left w:val="nil"/>
              <w:bottom w:val="single" w:sz="12" w:space="0" w:color="FFFFFF"/>
              <w:right w:val="single" w:sz="12" w:space="0" w:color="FFFFFF"/>
            </w:tcBorders>
            <w:shd w:val="clear" w:color="auto" w:fill="95CC7D"/>
            <w:vAlign w:val="bottom"/>
          </w:tcPr>
          <w:p w14:paraId="2A049BFA"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37/B</w:t>
            </w:r>
          </w:p>
        </w:tc>
        <w:tc>
          <w:tcPr>
            <w:tcW w:w="960" w:type="dxa"/>
            <w:tcBorders>
              <w:top w:val="nil"/>
              <w:left w:val="nil"/>
              <w:bottom w:val="single" w:sz="12" w:space="0" w:color="FFFFFF"/>
              <w:right w:val="single" w:sz="12" w:space="0" w:color="FFFFFF"/>
            </w:tcBorders>
            <w:shd w:val="clear" w:color="auto" w:fill="63BE7B"/>
            <w:vAlign w:val="bottom"/>
          </w:tcPr>
          <w:p w14:paraId="0DE07E52" w14:textId="77777777" w:rsidR="00CF7A3C" w:rsidRPr="008924E0" w:rsidRDefault="00CF7A3C" w:rsidP="000B085B">
            <w:pPr>
              <w:jc w:val="right"/>
              <w:rPr>
                <w:rFonts w:ascii="Calibri" w:eastAsia="Calibri" w:hAnsi="Calibri" w:cs="Calibri"/>
                <w:lang w:val="bs-Latn-BA"/>
              </w:rPr>
            </w:pPr>
          </w:p>
        </w:tc>
      </w:tr>
      <w:tr w:rsidR="00CF7A3C" w:rsidRPr="008924E0" w14:paraId="3DD582D7" w14:textId="77777777" w:rsidTr="000B085B">
        <w:trPr>
          <w:trHeight w:val="312"/>
          <w:jc w:val="center"/>
        </w:trPr>
        <w:tc>
          <w:tcPr>
            <w:tcW w:w="1708" w:type="dxa"/>
            <w:tcBorders>
              <w:top w:val="nil"/>
              <w:left w:val="nil"/>
              <w:bottom w:val="single" w:sz="12" w:space="0" w:color="FFFFFF"/>
              <w:right w:val="single" w:sz="12" w:space="0" w:color="FFFFFF"/>
            </w:tcBorders>
            <w:shd w:val="clear" w:color="auto" w:fill="E9E9E9"/>
            <w:vAlign w:val="center"/>
          </w:tcPr>
          <w:p w14:paraId="4CC29C38" w14:textId="77777777" w:rsidR="00CF7A3C" w:rsidRPr="008924E0" w:rsidRDefault="00CF7A3C" w:rsidP="000B085B">
            <w:pPr>
              <w:jc w:val="center"/>
              <w:rPr>
                <w:rFonts w:ascii="Calibri" w:eastAsia="Calibri" w:hAnsi="Calibri" w:cs="Calibri"/>
                <w:b/>
                <w:lang w:val="bs-Latn-BA"/>
              </w:rPr>
            </w:pPr>
            <w:r w:rsidRPr="008924E0">
              <w:rPr>
                <w:rFonts w:ascii="Calibri" w:eastAsia="Calibri" w:hAnsi="Calibri" w:cs="Calibri"/>
                <w:b/>
                <w:lang w:val="bs-Latn-BA"/>
              </w:rPr>
              <w:t>2014.-2020.*</w:t>
            </w:r>
          </w:p>
        </w:tc>
        <w:tc>
          <w:tcPr>
            <w:tcW w:w="1100" w:type="dxa"/>
            <w:tcBorders>
              <w:top w:val="nil"/>
              <w:left w:val="nil"/>
              <w:bottom w:val="single" w:sz="12" w:space="0" w:color="FFFFFF"/>
              <w:right w:val="single" w:sz="12" w:space="0" w:color="FFFFFF"/>
            </w:tcBorders>
            <w:shd w:val="clear" w:color="auto" w:fill="D6DF81"/>
            <w:vAlign w:val="bottom"/>
          </w:tcPr>
          <w:p w14:paraId="60EFF7AB"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73/C</w:t>
            </w:r>
          </w:p>
        </w:tc>
        <w:tc>
          <w:tcPr>
            <w:tcW w:w="1215" w:type="dxa"/>
            <w:tcBorders>
              <w:top w:val="nil"/>
              <w:left w:val="nil"/>
              <w:bottom w:val="single" w:sz="12" w:space="0" w:color="FFFFFF"/>
              <w:right w:val="single" w:sz="12" w:space="0" w:color="FFFFFF"/>
            </w:tcBorders>
            <w:shd w:val="clear" w:color="auto" w:fill="D6DF81"/>
            <w:vAlign w:val="bottom"/>
          </w:tcPr>
          <w:p w14:paraId="70FD4777"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73/C</w:t>
            </w:r>
          </w:p>
        </w:tc>
        <w:tc>
          <w:tcPr>
            <w:tcW w:w="960" w:type="dxa"/>
            <w:tcBorders>
              <w:top w:val="nil"/>
              <w:left w:val="nil"/>
              <w:bottom w:val="single" w:sz="12" w:space="0" w:color="FFFFFF"/>
              <w:right w:val="single" w:sz="12" w:space="0" w:color="FFFFFF"/>
            </w:tcBorders>
            <w:shd w:val="clear" w:color="auto" w:fill="90CA7D"/>
            <w:vAlign w:val="bottom"/>
          </w:tcPr>
          <w:p w14:paraId="3FAB931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30/B</w:t>
            </w:r>
          </w:p>
        </w:tc>
        <w:tc>
          <w:tcPr>
            <w:tcW w:w="960" w:type="dxa"/>
            <w:tcBorders>
              <w:top w:val="nil"/>
              <w:left w:val="nil"/>
              <w:bottom w:val="single" w:sz="12" w:space="0" w:color="FFFFFF"/>
              <w:right w:val="single" w:sz="12" w:space="0" w:color="FFFFFF"/>
            </w:tcBorders>
            <w:shd w:val="clear" w:color="auto" w:fill="8ECA7D"/>
            <w:vAlign w:val="bottom"/>
          </w:tcPr>
          <w:p w14:paraId="3436EB18"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30/B</w:t>
            </w:r>
          </w:p>
        </w:tc>
        <w:tc>
          <w:tcPr>
            <w:tcW w:w="960" w:type="dxa"/>
            <w:tcBorders>
              <w:top w:val="nil"/>
              <w:left w:val="nil"/>
              <w:bottom w:val="single" w:sz="12" w:space="0" w:color="FFFFFF"/>
              <w:right w:val="single" w:sz="12" w:space="0" w:color="FFFFFF"/>
            </w:tcBorders>
            <w:shd w:val="clear" w:color="auto" w:fill="8ECA7D"/>
            <w:vAlign w:val="bottom"/>
          </w:tcPr>
          <w:p w14:paraId="39E5B65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30/B</w:t>
            </w:r>
          </w:p>
        </w:tc>
        <w:tc>
          <w:tcPr>
            <w:tcW w:w="960" w:type="dxa"/>
            <w:tcBorders>
              <w:top w:val="nil"/>
              <w:left w:val="nil"/>
              <w:bottom w:val="single" w:sz="12" w:space="0" w:color="FFFFFF"/>
              <w:right w:val="single" w:sz="12" w:space="0" w:color="FFFFFF"/>
            </w:tcBorders>
            <w:shd w:val="clear" w:color="auto" w:fill="8ECA7D"/>
            <w:vAlign w:val="bottom"/>
          </w:tcPr>
          <w:p w14:paraId="3C91BB91"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30/B</w:t>
            </w:r>
          </w:p>
        </w:tc>
      </w:tr>
    </w:tbl>
    <w:p w14:paraId="430951CA" w14:textId="77777777" w:rsidR="00CF7A3C" w:rsidRPr="008924E0" w:rsidRDefault="00CF7A3C" w:rsidP="00CF7A3C">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57938A7F" w14:textId="46EA17EF" w:rsidR="00CF7A3C" w:rsidRPr="008924E0" w:rsidRDefault="00CF7A3C" w:rsidP="00CF7A3C">
      <w:pPr>
        <w:rPr>
          <w:lang w:val="bs-Latn-BA"/>
        </w:rPr>
      </w:pPr>
      <w:r w:rsidRPr="008924E0">
        <w:rPr>
          <w:lang w:val="bs-Latn-BA"/>
        </w:rPr>
        <w:t xml:space="preserve">Energijski razredi zgrada su u funkciji od klimatske regije, faktora oblika zgrade i namjene, te je za svaku zgradu posebno potrebno odrediti energijski razred. Prema kalibrisanim podacima o specifičnoj potrebnoj energiji za grijanje, datoj u Tabeli </w:t>
      </w:r>
      <w:r w:rsidR="005326F6">
        <w:rPr>
          <w:lang w:val="bs-Latn-BA"/>
        </w:rPr>
        <w:t>11.</w:t>
      </w:r>
      <w:r w:rsidRPr="008924E0">
        <w:rPr>
          <w:lang w:val="bs-Latn-BA"/>
        </w:rPr>
        <w:t xml:space="preserve">1.7. moguće je izraziti indikativne indikatore Na primjer, za </w:t>
      </w:r>
      <w:r w:rsidR="001A3735" w:rsidRPr="008924E0">
        <w:rPr>
          <w:lang w:val="bs-Latn-BA"/>
        </w:rPr>
        <w:t>individualnu</w:t>
      </w:r>
      <w:r w:rsidRPr="008924E0">
        <w:rPr>
          <w:lang w:val="bs-Latn-BA"/>
        </w:rPr>
        <w:t xml:space="preserve"> stambenu zgradu, faktora oblika 0,85, lociranu u klimatskoj regiji sjever, dopuštena specifična vrijednost potrebne energije za grijanje prema Pravilniku</w:t>
      </w:r>
      <w:r w:rsidRPr="008924E0">
        <w:rPr>
          <w:vertAlign w:val="superscript"/>
          <w:lang w:val="bs-Latn-BA"/>
        </w:rPr>
        <w:footnoteReference w:id="113"/>
      </w:r>
      <w:r w:rsidRPr="008924E0">
        <w:rPr>
          <w:lang w:val="bs-Latn-BA"/>
        </w:rPr>
        <w:t xml:space="preserve"> iznosi 66,8 kWh/m</w:t>
      </w:r>
      <w:r w:rsidRPr="008924E0">
        <w:rPr>
          <w:vertAlign w:val="superscript"/>
          <w:lang w:val="bs-Latn-BA"/>
        </w:rPr>
        <w:t>2</w:t>
      </w:r>
      <w:r w:rsidRPr="008924E0">
        <w:rPr>
          <w:lang w:val="bs-Latn-BA"/>
        </w:rPr>
        <w:t>god. Prema ovim podacima su prikazani indikativni energijski razredi tipičnih, statističkih predstavnika zgrada. Jednaka metodologije je iskorištena za zgrade kolektivnog stanovanja, za procijenjeni prosječni faktor oblika 0,55 i izračunatu dopuštenu specifičnu vrijednost potrebne energije za grijanje od 54,8 kWh/m</w:t>
      </w:r>
      <w:r w:rsidRPr="008924E0">
        <w:rPr>
          <w:vertAlign w:val="superscript"/>
          <w:lang w:val="bs-Latn-BA"/>
        </w:rPr>
        <w:t>2</w:t>
      </w:r>
      <w:r w:rsidRPr="008924E0">
        <w:rPr>
          <w:lang w:val="bs-Latn-BA"/>
        </w:rPr>
        <w:t xml:space="preserve">god., prikazani su indikativni energijski razredi. Kako je vidljivo iz rezultata, energijske karakteristike stambenog fonda u najvećoj mjeri ne zadovoljavaju dopuštene vrijednosti specifične potrebne energije za grijanje te se stambeni fond u FBiH može ocijeniti kao energijski neefikasan. </w:t>
      </w:r>
    </w:p>
    <w:p w14:paraId="52351B5A" w14:textId="77777777" w:rsidR="00CF7A3C" w:rsidRPr="008924E0" w:rsidRDefault="00CF7A3C" w:rsidP="00CF7A3C">
      <w:pPr>
        <w:pStyle w:val="Heading5"/>
        <w:rPr>
          <w:b w:val="0"/>
          <w:i/>
          <w:lang w:val="bs-Latn-BA"/>
        </w:rPr>
      </w:pPr>
      <w:r w:rsidRPr="008924E0">
        <w:rPr>
          <w:b w:val="0"/>
          <w:i/>
          <w:lang w:val="bs-Latn-BA"/>
        </w:rPr>
        <w:t>Nestambene</w:t>
      </w:r>
      <w:r w:rsidRPr="008924E0">
        <w:rPr>
          <w:b w:val="0"/>
          <w:lang w:val="bs-Latn-BA"/>
        </w:rPr>
        <w:t xml:space="preserve"> </w:t>
      </w:r>
      <w:r w:rsidRPr="008924E0">
        <w:rPr>
          <w:b w:val="0"/>
          <w:i/>
          <w:lang w:val="bs-Latn-BA"/>
        </w:rPr>
        <w:t>zgrade</w:t>
      </w:r>
    </w:p>
    <w:p w14:paraId="5A673724" w14:textId="321ACF41" w:rsidR="00CF7A3C" w:rsidRPr="008924E0" w:rsidRDefault="00CF7A3C" w:rsidP="00CF7A3C">
      <w:pPr>
        <w:rPr>
          <w:lang w:val="bs-Latn-BA"/>
        </w:rPr>
      </w:pPr>
      <w:r w:rsidRPr="008924E0">
        <w:rPr>
          <w:lang w:val="bs-Latn-BA"/>
        </w:rPr>
        <w:t>U Tabeli 1</w:t>
      </w:r>
      <w:r w:rsidR="005326F6">
        <w:rPr>
          <w:lang w:val="bs-Latn-BA"/>
        </w:rPr>
        <w:t>1.1</w:t>
      </w:r>
      <w:r w:rsidRPr="008924E0">
        <w:rPr>
          <w:lang w:val="bs-Latn-BA"/>
        </w:rPr>
        <w:t xml:space="preserve">.8. su prikazane vrijednosti finalne energije za grijanje javnih zgrada u FBiH, zbirno za regiju sjever i regiju jug. </w:t>
      </w:r>
      <w:r w:rsidR="00383272">
        <w:rPr>
          <w:lang w:val="bs-Latn-BA"/>
        </w:rPr>
        <w:t>Modelirana f</w:t>
      </w:r>
      <w:r w:rsidRPr="008924E0">
        <w:rPr>
          <w:lang w:val="bs-Latn-BA"/>
        </w:rPr>
        <w:t>inalna potrošnja energije pokazuj</w:t>
      </w:r>
      <w:r w:rsidR="00383272">
        <w:rPr>
          <w:lang w:val="bs-Latn-BA"/>
        </w:rPr>
        <w:t>e</w:t>
      </w:r>
      <w:r w:rsidRPr="008924E0">
        <w:rPr>
          <w:lang w:val="bs-Latn-BA"/>
        </w:rPr>
        <w:t xml:space="preserve"> odlično slaganje sa podacima </w:t>
      </w:r>
      <w:r w:rsidR="00383272" w:rsidRPr="008924E0">
        <w:rPr>
          <w:lang w:val="bs-Latn-BA"/>
        </w:rPr>
        <w:t>EUROSTAT-a za 2019. godinu</w:t>
      </w:r>
      <w:r w:rsidRPr="008924E0">
        <w:rPr>
          <w:lang w:val="bs-Latn-BA"/>
        </w:rPr>
        <w:t xml:space="preserve">. Zgrade namijenjene obrazovanju i administrativne zgrade izgrađene u periodima od 1974. do 1987. imaju najveće apsolutne potrošnje energije. Zgrade namijenjene obrazovanju i administrativne zgrade imaju nekoliko kategorija sa najvećom apsolutnom potrošnjom energije u kompletnom fondu javnih zgrada. Slijede zgrade namijenjene zdravstvu i zgrade za cjelodnevni boravak, izgrađene u period izgradnje od 1974. do 1987.  </w:t>
      </w:r>
    </w:p>
    <w:p w14:paraId="7793388E" w14:textId="39C49B28" w:rsidR="005326F6" w:rsidRDefault="005326F6" w:rsidP="005326F6">
      <w:pPr>
        <w:pStyle w:val="Caption"/>
        <w:keepNext/>
      </w:pPr>
      <w:bookmarkStart w:id="211" w:name="_Toc133499627"/>
      <w:r>
        <w:lastRenderedPageBreak/>
        <w:t>Tabela 11.1.</w:t>
      </w:r>
      <w:r w:rsidR="00000000">
        <w:fldChar w:fldCharType="begin"/>
      </w:r>
      <w:r w:rsidR="00000000">
        <w:instrText xml:space="preserve"> SEQ Tabela_11.1. \* ARABIC </w:instrText>
      </w:r>
      <w:r w:rsidR="00000000">
        <w:fldChar w:fldCharType="separate"/>
      </w:r>
      <w:r w:rsidR="002D62B3">
        <w:rPr>
          <w:noProof/>
        </w:rPr>
        <w:t>8</w:t>
      </w:r>
      <w:r w:rsidR="00000000">
        <w:rPr>
          <w:noProof/>
        </w:rPr>
        <w:fldChar w:fldCharType="end"/>
      </w:r>
      <w:r>
        <w:t xml:space="preserve"> </w:t>
      </w:r>
      <w:r w:rsidRPr="008924E0">
        <w:t xml:space="preserve">Finalna </w:t>
      </w:r>
      <w:r w:rsidRPr="008924E0">
        <w:rPr>
          <w:color w:val="000000"/>
        </w:rPr>
        <w:t>energija  za grijanje kategorija javnih zgrada u FBiH, MWh/god.</w:t>
      </w:r>
      <w:bookmarkEnd w:id="211"/>
    </w:p>
    <w:tbl>
      <w:tblPr>
        <w:tblStyle w:val="20"/>
        <w:tblW w:w="8657" w:type="dxa"/>
        <w:jc w:val="center"/>
        <w:tblBorders>
          <w:top w:val="nil"/>
          <w:left w:val="nil"/>
          <w:bottom w:val="nil"/>
          <w:right w:val="nil"/>
          <w:insideH w:val="nil"/>
          <w:insideV w:val="nil"/>
        </w:tblBorders>
        <w:tblLayout w:type="fixed"/>
        <w:tblLook w:val="0600" w:firstRow="0" w:lastRow="0" w:firstColumn="0" w:lastColumn="0" w:noHBand="1" w:noVBand="1"/>
      </w:tblPr>
      <w:tblGrid>
        <w:gridCol w:w="1503"/>
        <w:gridCol w:w="960"/>
        <w:gridCol w:w="1140"/>
        <w:gridCol w:w="945"/>
        <w:gridCol w:w="959"/>
        <w:gridCol w:w="795"/>
        <w:gridCol w:w="1290"/>
        <w:gridCol w:w="1065"/>
      </w:tblGrid>
      <w:tr w:rsidR="00CF7A3C" w:rsidRPr="008924E0" w14:paraId="7C53D95C" w14:textId="77777777" w:rsidTr="000B085B">
        <w:trPr>
          <w:trHeight w:val="193"/>
          <w:jc w:val="center"/>
        </w:trPr>
        <w:tc>
          <w:tcPr>
            <w:tcW w:w="1503" w:type="dxa"/>
            <w:tcBorders>
              <w:top w:val="single" w:sz="12" w:space="0" w:color="FFFFFF"/>
              <w:left w:val="single" w:sz="12" w:space="0" w:color="FFFFFF"/>
              <w:bottom w:val="single" w:sz="12" w:space="0" w:color="FFFFFF"/>
              <w:right w:val="single" w:sz="12" w:space="0" w:color="FFFFFF"/>
            </w:tcBorders>
            <w:shd w:val="clear" w:color="auto" w:fill="006432"/>
            <w:tcMar>
              <w:top w:w="100" w:type="dxa"/>
              <w:left w:w="100" w:type="dxa"/>
              <w:bottom w:w="100" w:type="dxa"/>
              <w:right w:w="100" w:type="dxa"/>
            </w:tcMar>
            <w:vAlign w:val="center"/>
          </w:tcPr>
          <w:p w14:paraId="60615EBF"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rFonts w:ascii="Calibri" w:eastAsia="Calibri" w:hAnsi="Calibri" w:cs="Calibri"/>
                <w:b/>
                <w:color w:val="FFFFFF"/>
                <w:sz w:val="18"/>
                <w:szCs w:val="18"/>
                <w:lang w:val="bs-Latn-BA"/>
              </w:rPr>
              <w:t>Period izgradnje</w:t>
            </w:r>
          </w:p>
        </w:tc>
        <w:tc>
          <w:tcPr>
            <w:tcW w:w="960"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127C9EEE"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b/>
                <w:color w:val="FFFFFF"/>
                <w:sz w:val="16"/>
                <w:szCs w:val="16"/>
                <w:lang w:val="bs-Latn-BA"/>
              </w:rPr>
              <w:t>Obdanište</w:t>
            </w:r>
          </w:p>
        </w:tc>
        <w:tc>
          <w:tcPr>
            <w:tcW w:w="1140"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51E9C642"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b/>
                <w:color w:val="FFFFFF"/>
                <w:sz w:val="16"/>
                <w:szCs w:val="16"/>
                <w:lang w:val="bs-Latn-BA"/>
              </w:rPr>
              <w:t>Obrazovanje</w:t>
            </w:r>
          </w:p>
        </w:tc>
        <w:tc>
          <w:tcPr>
            <w:tcW w:w="945"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1067BBDA"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b/>
                <w:color w:val="FFFFFF"/>
                <w:sz w:val="16"/>
                <w:szCs w:val="16"/>
                <w:lang w:val="bs-Latn-BA"/>
              </w:rPr>
              <w:t>Zdravstvo</w:t>
            </w:r>
          </w:p>
        </w:tc>
        <w:tc>
          <w:tcPr>
            <w:tcW w:w="959"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769E66EB"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b/>
                <w:color w:val="FFFFFF"/>
                <w:sz w:val="16"/>
                <w:szCs w:val="16"/>
                <w:lang w:val="bs-Latn-BA"/>
              </w:rPr>
              <w:t>Sport</w:t>
            </w:r>
          </w:p>
        </w:tc>
        <w:tc>
          <w:tcPr>
            <w:tcW w:w="795"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35DF4593"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b/>
                <w:color w:val="FFFFFF"/>
                <w:sz w:val="16"/>
                <w:szCs w:val="16"/>
                <w:lang w:val="bs-Latn-BA"/>
              </w:rPr>
              <w:t>Kultura</w:t>
            </w:r>
          </w:p>
        </w:tc>
        <w:tc>
          <w:tcPr>
            <w:tcW w:w="1290"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517CEA26"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b/>
                <w:color w:val="FFFFFF"/>
                <w:sz w:val="16"/>
                <w:szCs w:val="16"/>
                <w:lang w:val="bs-Latn-BA"/>
              </w:rPr>
              <w:t>Administrativni</w:t>
            </w:r>
          </w:p>
        </w:tc>
        <w:tc>
          <w:tcPr>
            <w:tcW w:w="1065" w:type="dxa"/>
            <w:tcBorders>
              <w:top w:val="single" w:sz="12" w:space="0" w:color="FFFFFF"/>
              <w:left w:val="nil"/>
              <w:bottom w:val="single" w:sz="12" w:space="0" w:color="FFFFFF"/>
              <w:right w:val="single" w:sz="12" w:space="0" w:color="FFFFFF"/>
            </w:tcBorders>
            <w:shd w:val="clear" w:color="auto" w:fill="006432"/>
            <w:tcMar>
              <w:top w:w="100" w:type="dxa"/>
              <w:left w:w="100" w:type="dxa"/>
              <w:bottom w:w="100" w:type="dxa"/>
              <w:right w:w="100" w:type="dxa"/>
            </w:tcMar>
            <w:vAlign w:val="center"/>
          </w:tcPr>
          <w:p w14:paraId="402F942A" w14:textId="77777777" w:rsidR="00CF7A3C" w:rsidRPr="008924E0" w:rsidRDefault="00CF7A3C" w:rsidP="000B085B">
            <w:pPr>
              <w:keepNext/>
              <w:jc w:val="center"/>
              <w:rPr>
                <w:rFonts w:ascii="Calibri" w:eastAsia="Calibri" w:hAnsi="Calibri" w:cs="Calibri"/>
                <w:b/>
                <w:color w:val="FFFFFF"/>
                <w:sz w:val="18"/>
                <w:szCs w:val="18"/>
                <w:lang w:val="bs-Latn-BA"/>
              </w:rPr>
            </w:pPr>
            <w:r w:rsidRPr="008924E0">
              <w:rPr>
                <w:b/>
                <w:color w:val="FFFFFF"/>
                <w:sz w:val="16"/>
                <w:szCs w:val="16"/>
                <w:lang w:val="bs-Latn-BA"/>
              </w:rPr>
              <w:t>Cjelodnevni bor.</w:t>
            </w:r>
          </w:p>
        </w:tc>
      </w:tr>
      <w:tr w:rsidR="00CF7A3C" w:rsidRPr="008924E0" w14:paraId="2149AC17" w14:textId="77777777" w:rsidTr="000B085B">
        <w:trPr>
          <w:trHeight w:val="25"/>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37C690EA" w14:textId="77777777" w:rsidR="00CF7A3C" w:rsidRPr="008924E0" w:rsidRDefault="00CF7A3C" w:rsidP="000B085B">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do 1945.</w:t>
            </w:r>
          </w:p>
        </w:tc>
        <w:tc>
          <w:tcPr>
            <w:tcW w:w="960"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57B22976"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0</w:t>
            </w:r>
          </w:p>
        </w:tc>
        <w:tc>
          <w:tcPr>
            <w:tcW w:w="1140" w:type="dxa"/>
            <w:tcBorders>
              <w:top w:val="nil"/>
              <w:left w:val="nil"/>
              <w:bottom w:val="single" w:sz="12" w:space="0" w:color="FFFFFF"/>
              <w:right w:val="single" w:sz="12" w:space="0" w:color="FFFFFF"/>
            </w:tcBorders>
            <w:shd w:val="clear" w:color="auto" w:fill="FFE082"/>
            <w:tcMar>
              <w:top w:w="100" w:type="dxa"/>
              <w:left w:w="100" w:type="dxa"/>
              <w:bottom w:w="100" w:type="dxa"/>
              <w:right w:w="100" w:type="dxa"/>
            </w:tcMar>
            <w:vAlign w:val="center"/>
          </w:tcPr>
          <w:p w14:paraId="68ED8681"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23.168</w:t>
            </w:r>
          </w:p>
        </w:tc>
        <w:tc>
          <w:tcPr>
            <w:tcW w:w="945" w:type="dxa"/>
            <w:tcBorders>
              <w:top w:val="nil"/>
              <w:left w:val="nil"/>
              <w:bottom w:val="single" w:sz="12" w:space="0" w:color="FFFFFF"/>
              <w:right w:val="single" w:sz="12" w:space="0" w:color="FFFFFF"/>
            </w:tcBorders>
            <w:shd w:val="clear" w:color="auto" w:fill="91CB7D"/>
            <w:tcMar>
              <w:top w:w="100" w:type="dxa"/>
              <w:left w:w="100" w:type="dxa"/>
              <w:bottom w:w="100" w:type="dxa"/>
              <w:right w:w="100" w:type="dxa"/>
            </w:tcMar>
            <w:vAlign w:val="center"/>
          </w:tcPr>
          <w:p w14:paraId="7B4DFF9E"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3.544</w:t>
            </w:r>
          </w:p>
        </w:tc>
        <w:tc>
          <w:tcPr>
            <w:tcW w:w="959"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7A543ACB"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0</w:t>
            </w:r>
          </w:p>
        </w:tc>
        <w:tc>
          <w:tcPr>
            <w:tcW w:w="795" w:type="dxa"/>
            <w:tcBorders>
              <w:top w:val="nil"/>
              <w:left w:val="nil"/>
              <w:bottom w:val="single" w:sz="12" w:space="0" w:color="FFFFFF"/>
              <w:right w:val="single" w:sz="12" w:space="0" w:color="FFFFFF"/>
            </w:tcBorders>
            <w:shd w:val="clear" w:color="auto" w:fill="D3DE81"/>
            <w:tcMar>
              <w:top w:w="100" w:type="dxa"/>
              <w:left w:w="100" w:type="dxa"/>
              <w:bottom w:w="100" w:type="dxa"/>
              <w:right w:w="100" w:type="dxa"/>
            </w:tcMar>
            <w:vAlign w:val="center"/>
          </w:tcPr>
          <w:p w14:paraId="0C607B41"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8.637</w:t>
            </w:r>
          </w:p>
        </w:tc>
        <w:tc>
          <w:tcPr>
            <w:tcW w:w="1290" w:type="dxa"/>
            <w:tcBorders>
              <w:top w:val="nil"/>
              <w:left w:val="nil"/>
              <w:bottom w:val="single" w:sz="12" w:space="0" w:color="FFFFFF"/>
              <w:right w:val="single" w:sz="12" w:space="0" w:color="FFFFFF"/>
            </w:tcBorders>
            <w:shd w:val="clear" w:color="auto" w:fill="FFDF82"/>
            <w:tcMar>
              <w:top w:w="100" w:type="dxa"/>
              <w:left w:w="100" w:type="dxa"/>
              <w:bottom w:w="100" w:type="dxa"/>
              <w:right w:w="100" w:type="dxa"/>
            </w:tcMar>
            <w:vAlign w:val="center"/>
          </w:tcPr>
          <w:p w14:paraId="6C6529AD"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24.781</w:t>
            </w:r>
          </w:p>
        </w:tc>
        <w:tc>
          <w:tcPr>
            <w:tcW w:w="106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7FFCD378"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0</w:t>
            </w:r>
          </w:p>
        </w:tc>
      </w:tr>
      <w:tr w:rsidR="00CF7A3C" w:rsidRPr="008924E0" w14:paraId="2253E309" w14:textId="77777777" w:rsidTr="000B085B">
        <w:trPr>
          <w:trHeight w:val="138"/>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225BADD2" w14:textId="77777777" w:rsidR="00CF7A3C" w:rsidRPr="008924E0" w:rsidRDefault="00CF7A3C" w:rsidP="000B085B">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1946.-1965.</w:t>
            </w:r>
          </w:p>
        </w:tc>
        <w:tc>
          <w:tcPr>
            <w:tcW w:w="960" w:type="dxa"/>
            <w:tcBorders>
              <w:top w:val="nil"/>
              <w:left w:val="nil"/>
              <w:bottom w:val="single" w:sz="12" w:space="0" w:color="FFFFFF"/>
              <w:right w:val="single" w:sz="12" w:space="0" w:color="FFFFFF"/>
            </w:tcBorders>
            <w:shd w:val="clear" w:color="auto" w:fill="72C27B"/>
            <w:tcMar>
              <w:top w:w="100" w:type="dxa"/>
              <w:left w:w="100" w:type="dxa"/>
              <w:bottom w:w="100" w:type="dxa"/>
              <w:right w:w="100" w:type="dxa"/>
            </w:tcMar>
            <w:vAlign w:val="center"/>
          </w:tcPr>
          <w:p w14:paraId="3228255C"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1.180</w:t>
            </w:r>
          </w:p>
        </w:tc>
        <w:tc>
          <w:tcPr>
            <w:tcW w:w="1140" w:type="dxa"/>
            <w:tcBorders>
              <w:top w:val="nil"/>
              <w:left w:val="nil"/>
              <w:bottom w:val="single" w:sz="12" w:space="0" w:color="FFFFFF"/>
              <w:right w:val="single" w:sz="12" w:space="0" w:color="FFFFFF"/>
            </w:tcBorders>
            <w:shd w:val="clear" w:color="auto" w:fill="FA8270"/>
            <w:tcMar>
              <w:top w:w="100" w:type="dxa"/>
              <w:left w:w="100" w:type="dxa"/>
              <w:bottom w:w="100" w:type="dxa"/>
              <w:right w:w="100" w:type="dxa"/>
            </w:tcMar>
            <w:vAlign w:val="center"/>
          </w:tcPr>
          <w:p w14:paraId="492E0C9E"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117.882</w:t>
            </w:r>
          </w:p>
        </w:tc>
        <w:tc>
          <w:tcPr>
            <w:tcW w:w="945" w:type="dxa"/>
            <w:tcBorders>
              <w:top w:val="nil"/>
              <w:left w:val="nil"/>
              <w:bottom w:val="single" w:sz="12" w:space="0" w:color="FFFFFF"/>
              <w:right w:val="single" w:sz="12" w:space="0" w:color="FFFFFF"/>
            </w:tcBorders>
            <w:shd w:val="clear" w:color="auto" w:fill="FFE483"/>
            <w:tcMar>
              <w:top w:w="100" w:type="dxa"/>
              <w:left w:w="100" w:type="dxa"/>
              <w:bottom w:w="100" w:type="dxa"/>
              <w:right w:w="100" w:type="dxa"/>
            </w:tcMar>
            <w:vAlign w:val="center"/>
          </w:tcPr>
          <w:p w14:paraId="06A6ED35"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19.516</w:t>
            </w:r>
          </w:p>
        </w:tc>
        <w:tc>
          <w:tcPr>
            <w:tcW w:w="959" w:type="dxa"/>
            <w:tcBorders>
              <w:top w:val="nil"/>
              <w:left w:val="nil"/>
              <w:bottom w:val="single" w:sz="12" w:space="0" w:color="FFFFFF"/>
              <w:right w:val="single" w:sz="12" w:space="0" w:color="FFFFFF"/>
            </w:tcBorders>
            <w:shd w:val="clear" w:color="auto" w:fill="FFE383"/>
            <w:tcMar>
              <w:top w:w="100" w:type="dxa"/>
              <w:left w:w="100" w:type="dxa"/>
              <w:bottom w:w="100" w:type="dxa"/>
              <w:right w:w="100" w:type="dxa"/>
            </w:tcMar>
            <w:vAlign w:val="center"/>
          </w:tcPr>
          <w:p w14:paraId="4CE6BBA2"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20.731</w:t>
            </w:r>
          </w:p>
        </w:tc>
        <w:tc>
          <w:tcPr>
            <w:tcW w:w="795" w:type="dxa"/>
            <w:tcBorders>
              <w:top w:val="nil"/>
              <w:left w:val="nil"/>
              <w:bottom w:val="single" w:sz="12" w:space="0" w:color="FFFFFF"/>
              <w:right w:val="single" w:sz="12" w:space="0" w:color="FFFFFF"/>
            </w:tcBorders>
            <w:shd w:val="clear" w:color="auto" w:fill="FFE383"/>
            <w:tcMar>
              <w:top w:w="100" w:type="dxa"/>
              <w:left w:w="100" w:type="dxa"/>
              <w:bottom w:w="100" w:type="dxa"/>
              <w:right w:w="100" w:type="dxa"/>
            </w:tcMar>
            <w:vAlign w:val="center"/>
          </w:tcPr>
          <w:p w14:paraId="4AB9043A"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20.825</w:t>
            </w:r>
          </w:p>
        </w:tc>
        <w:tc>
          <w:tcPr>
            <w:tcW w:w="1290" w:type="dxa"/>
            <w:tcBorders>
              <w:top w:val="nil"/>
              <w:left w:val="nil"/>
              <w:bottom w:val="single" w:sz="12" w:space="0" w:color="FFFFFF"/>
              <w:right w:val="single" w:sz="12" w:space="0" w:color="FFFFFF"/>
            </w:tcBorders>
            <w:shd w:val="clear" w:color="auto" w:fill="FCB37A"/>
            <w:tcMar>
              <w:top w:w="100" w:type="dxa"/>
              <w:left w:w="100" w:type="dxa"/>
              <w:bottom w:w="100" w:type="dxa"/>
              <w:right w:w="100" w:type="dxa"/>
            </w:tcMar>
            <w:vAlign w:val="center"/>
          </w:tcPr>
          <w:p w14:paraId="36E3FEC3"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68.826</w:t>
            </w:r>
          </w:p>
        </w:tc>
        <w:tc>
          <w:tcPr>
            <w:tcW w:w="1065" w:type="dxa"/>
            <w:tcBorders>
              <w:top w:val="nil"/>
              <w:left w:val="nil"/>
              <w:bottom w:val="single" w:sz="12" w:space="0" w:color="FFFFFF"/>
              <w:right w:val="single" w:sz="12" w:space="0" w:color="FFFFFF"/>
            </w:tcBorders>
            <w:shd w:val="clear" w:color="auto" w:fill="FFDF82"/>
            <w:tcMar>
              <w:top w:w="100" w:type="dxa"/>
              <w:left w:w="100" w:type="dxa"/>
              <w:bottom w:w="100" w:type="dxa"/>
              <w:right w:w="100" w:type="dxa"/>
            </w:tcMar>
            <w:vAlign w:val="center"/>
          </w:tcPr>
          <w:p w14:paraId="63B14293"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24.009</w:t>
            </w:r>
          </w:p>
        </w:tc>
      </w:tr>
      <w:tr w:rsidR="00CF7A3C" w:rsidRPr="008924E0" w14:paraId="7EA52AB4" w14:textId="77777777" w:rsidTr="000B085B">
        <w:trPr>
          <w:trHeight w:val="237"/>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07399DC0" w14:textId="77777777" w:rsidR="00CF7A3C" w:rsidRPr="008924E0" w:rsidRDefault="00CF7A3C" w:rsidP="000B085B">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1966.-1973.</w:t>
            </w:r>
          </w:p>
        </w:tc>
        <w:tc>
          <w:tcPr>
            <w:tcW w:w="960" w:type="dxa"/>
            <w:tcBorders>
              <w:top w:val="nil"/>
              <w:left w:val="nil"/>
              <w:bottom w:val="single" w:sz="12" w:space="0" w:color="FFFFFF"/>
              <w:right w:val="single" w:sz="12" w:space="0" w:color="FFFFFF"/>
            </w:tcBorders>
            <w:shd w:val="clear" w:color="auto" w:fill="9CCE7E"/>
            <w:tcMar>
              <w:top w:w="100" w:type="dxa"/>
              <w:left w:w="100" w:type="dxa"/>
              <w:bottom w:w="100" w:type="dxa"/>
              <w:right w:w="100" w:type="dxa"/>
            </w:tcMar>
            <w:vAlign w:val="center"/>
          </w:tcPr>
          <w:p w14:paraId="48657B2F"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4.370</w:t>
            </w:r>
          </w:p>
        </w:tc>
        <w:tc>
          <w:tcPr>
            <w:tcW w:w="1140" w:type="dxa"/>
            <w:tcBorders>
              <w:top w:val="nil"/>
              <w:left w:val="nil"/>
              <w:bottom w:val="single" w:sz="12" w:space="0" w:color="FFFFFF"/>
              <w:right w:val="single" w:sz="12" w:space="0" w:color="FFFFFF"/>
            </w:tcBorders>
            <w:shd w:val="clear" w:color="auto" w:fill="FB9F76"/>
            <w:tcMar>
              <w:top w:w="100" w:type="dxa"/>
              <w:left w:w="100" w:type="dxa"/>
              <w:bottom w:w="100" w:type="dxa"/>
              <w:right w:w="100" w:type="dxa"/>
            </w:tcMar>
            <w:vAlign w:val="center"/>
          </w:tcPr>
          <w:p w14:paraId="783388E5"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88.605</w:t>
            </w:r>
          </w:p>
        </w:tc>
        <w:tc>
          <w:tcPr>
            <w:tcW w:w="945" w:type="dxa"/>
            <w:tcBorders>
              <w:top w:val="nil"/>
              <w:left w:val="nil"/>
              <w:bottom w:val="single" w:sz="12" w:space="0" w:color="FFFFFF"/>
              <w:right w:val="single" w:sz="12" w:space="0" w:color="FFFFFF"/>
            </w:tcBorders>
            <w:shd w:val="clear" w:color="auto" w:fill="F8E983"/>
            <w:tcMar>
              <w:top w:w="100" w:type="dxa"/>
              <w:left w:w="100" w:type="dxa"/>
              <w:bottom w:w="100" w:type="dxa"/>
              <w:right w:w="100" w:type="dxa"/>
            </w:tcMar>
            <w:vAlign w:val="center"/>
          </w:tcPr>
          <w:p w14:paraId="6C17BCB0"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11.432</w:t>
            </w:r>
          </w:p>
        </w:tc>
        <w:tc>
          <w:tcPr>
            <w:tcW w:w="959" w:type="dxa"/>
            <w:tcBorders>
              <w:top w:val="nil"/>
              <w:left w:val="nil"/>
              <w:bottom w:val="single" w:sz="12" w:space="0" w:color="FFFFFF"/>
              <w:right w:val="single" w:sz="12" w:space="0" w:color="FFFFFF"/>
            </w:tcBorders>
            <w:shd w:val="clear" w:color="auto" w:fill="FFE884"/>
            <w:tcMar>
              <w:top w:w="100" w:type="dxa"/>
              <w:left w:w="100" w:type="dxa"/>
              <w:bottom w:w="100" w:type="dxa"/>
              <w:right w:w="100" w:type="dxa"/>
            </w:tcMar>
            <w:vAlign w:val="center"/>
          </w:tcPr>
          <w:p w14:paraId="65AEA3BF"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15.490</w:t>
            </w:r>
          </w:p>
        </w:tc>
        <w:tc>
          <w:tcPr>
            <w:tcW w:w="795" w:type="dxa"/>
            <w:tcBorders>
              <w:top w:val="nil"/>
              <w:left w:val="nil"/>
              <w:bottom w:val="single" w:sz="12" w:space="0" w:color="FFFFFF"/>
              <w:right w:val="single" w:sz="12" w:space="0" w:color="FFFFFF"/>
            </w:tcBorders>
            <w:shd w:val="clear" w:color="auto" w:fill="95CC7D"/>
            <w:tcMar>
              <w:top w:w="100" w:type="dxa"/>
              <w:left w:w="100" w:type="dxa"/>
              <w:bottom w:w="100" w:type="dxa"/>
              <w:right w:w="100" w:type="dxa"/>
            </w:tcMar>
            <w:vAlign w:val="center"/>
          </w:tcPr>
          <w:p w14:paraId="77CCC14E"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3.835</w:t>
            </w:r>
          </w:p>
        </w:tc>
        <w:tc>
          <w:tcPr>
            <w:tcW w:w="1290" w:type="dxa"/>
            <w:tcBorders>
              <w:top w:val="nil"/>
              <w:left w:val="nil"/>
              <w:bottom w:val="single" w:sz="12" w:space="0" w:color="FFFFFF"/>
              <w:right w:val="single" w:sz="12" w:space="0" w:color="FFFFFF"/>
            </w:tcBorders>
            <w:shd w:val="clear" w:color="auto" w:fill="FFDD82"/>
            <w:tcMar>
              <w:top w:w="100" w:type="dxa"/>
              <w:left w:w="100" w:type="dxa"/>
              <w:bottom w:w="100" w:type="dxa"/>
              <w:right w:w="100" w:type="dxa"/>
            </w:tcMar>
            <w:vAlign w:val="center"/>
          </w:tcPr>
          <w:p w14:paraId="0520D543"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26.154</w:t>
            </w:r>
          </w:p>
        </w:tc>
        <w:tc>
          <w:tcPr>
            <w:tcW w:w="1065" w:type="dxa"/>
            <w:tcBorders>
              <w:top w:val="nil"/>
              <w:left w:val="nil"/>
              <w:bottom w:val="single" w:sz="12" w:space="0" w:color="FFFFFF"/>
              <w:right w:val="single" w:sz="12" w:space="0" w:color="FFFFFF"/>
            </w:tcBorders>
            <w:shd w:val="clear" w:color="auto" w:fill="FFE683"/>
            <w:tcMar>
              <w:top w:w="100" w:type="dxa"/>
              <w:left w:w="100" w:type="dxa"/>
              <w:bottom w:w="100" w:type="dxa"/>
              <w:right w:w="100" w:type="dxa"/>
            </w:tcMar>
            <w:vAlign w:val="center"/>
          </w:tcPr>
          <w:p w14:paraId="57A20BA2"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17.207</w:t>
            </w:r>
          </w:p>
        </w:tc>
      </w:tr>
      <w:tr w:rsidR="00CF7A3C" w:rsidRPr="008924E0" w14:paraId="6A7766CC" w14:textId="77777777" w:rsidTr="000B085B">
        <w:trPr>
          <w:trHeight w:val="249"/>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216427F7" w14:textId="77777777" w:rsidR="00CF7A3C" w:rsidRPr="008924E0" w:rsidRDefault="00CF7A3C" w:rsidP="000B085B">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1974.-1987.</w:t>
            </w:r>
          </w:p>
        </w:tc>
        <w:tc>
          <w:tcPr>
            <w:tcW w:w="960" w:type="dxa"/>
            <w:tcBorders>
              <w:top w:val="nil"/>
              <w:left w:val="nil"/>
              <w:bottom w:val="single" w:sz="12" w:space="0" w:color="FFFFFF"/>
              <w:right w:val="single" w:sz="12" w:space="0" w:color="FFFFFF"/>
            </w:tcBorders>
            <w:shd w:val="clear" w:color="auto" w:fill="FFEB84"/>
            <w:tcMar>
              <w:top w:w="100" w:type="dxa"/>
              <w:left w:w="100" w:type="dxa"/>
              <w:bottom w:w="100" w:type="dxa"/>
              <w:right w:w="100" w:type="dxa"/>
            </w:tcMar>
            <w:vAlign w:val="center"/>
          </w:tcPr>
          <w:p w14:paraId="1A5DE9DA"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11.943</w:t>
            </w:r>
          </w:p>
        </w:tc>
        <w:tc>
          <w:tcPr>
            <w:tcW w:w="1140" w:type="dxa"/>
            <w:tcBorders>
              <w:top w:val="nil"/>
              <w:left w:val="nil"/>
              <w:bottom w:val="single" w:sz="12" w:space="0" w:color="FFFFFF"/>
              <w:right w:val="single" w:sz="12" w:space="0" w:color="FFFFFF"/>
            </w:tcBorders>
            <w:shd w:val="clear" w:color="auto" w:fill="F8696B"/>
            <w:tcMar>
              <w:top w:w="100" w:type="dxa"/>
              <w:left w:w="100" w:type="dxa"/>
              <w:bottom w:w="100" w:type="dxa"/>
              <w:right w:w="100" w:type="dxa"/>
            </w:tcMar>
            <w:vAlign w:val="center"/>
          </w:tcPr>
          <w:p w14:paraId="1FE10FBD"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141.897</w:t>
            </w:r>
          </w:p>
        </w:tc>
        <w:tc>
          <w:tcPr>
            <w:tcW w:w="945" w:type="dxa"/>
            <w:tcBorders>
              <w:top w:val="nil"/>
              <w:left w:val="nil"/>
              <w:bottom w:val="single" w:sz="12" w:space="0" w:color="FFFFFF"/>
              <w:right w:val="single" w:sz="12" w:space="0" w:color="FFFFFF"/>
            </w:tcBorders>
            <w:shd w:val="clear" w:color="auto" w:fill="FB9B75"/>
            <w:tcMar>
              <w:top w:w="100" w:type="dxa"/>
              <w:left w:w="100" w:type="dxa"/>
              <w:bottom w:w="100" w:type="dxa"/>
              <w:right w:w="100" w:type="dxa"/>
            </w:tcMar>
            <w:vAlign w:val="center"/>
          </w:tcPr>
          <w:p w14:paraId="18257A56"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92.172</w:t>
            </w:r>
          </w:p>
        </w:tc>
        <w:tc>
          <w:tcPr>
            <w:tcW w:w="959" w:type="dxa"/>
            <w:tcBorders>
              <w:top w:val="nil"/>
              <w:left w:val="nil"/>
              <w:bottom w:val="single" w:sz="12" w:space="0" w:color="FFFFFF"/>
              <w:right w:val="single" w:sz="12" w:space="0" w:color="FFFFFF"/>
            </w:tcBorders>
            <w:shd w:val="clear" w:color="auto" w:fill="FECE7F"/>
            <w:tcMar>
              <w:top w:w="100" w:type="dxa"/>
              <w:left w:w="100" w:type="dxa"/>
              <w:bottom w:w="100" w:type="dxa"/>
              <w:right w:w="100" w:type="dxa"/>
            </w:tcMar>
            <w:vAlign w:val="center"/>
          </w:tcPr>
          <w:p w14:paraId="70D30351"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41.742</w:t>
            </w:r>
          </w:p>
        </w:tc>
        <w:tc>
          <w:tcPr>
            <w:tcW w:w="795" w:type="dxa"/>
            <w:tcBorders>
              <w:top w:val="nil"/>
              <w:left w:val="nil"/>
              <w:bottom w:val="single" w:sz="12" w:space="0" w:color="FFFFFF"/>
              <w:right w:val="single" w:sz="12" w:space="0" w:color="FFFFFF"/>
            </w:tcBorders>
            <w:shd w:val="clear" w:color="auto" w:fill="FED781"/>
            <w:tcMar>
              <w:top w:w="100" w:type="dxa"/>
              <w:left w:w="100" w:type="dxa"/>
              <w:bottom w:w="100" w:type="dxa"/>
              <w:right w:w="100" w:type="dxa"/>
            </w:tcMar>
            <w:vAlign w:val="center"/>
          </w:tcPr>
          <w:p w14:paraId="6A331E9A"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32.477</w:t>
            </w:r>
          </w:p>
        </w:tc>
        <w:tc>
          <w:tcPr>
            <w:tcW w:w="1290" w:type="dxa"/>
            <w:tcBorders>
              <w:top w:val="nil"/>
              <w:left w:val="nil"/>
              <w:bottom w:val="single" w:sz="12" w:space="0" w:color="FFFFFF"/>
              <w:right w:val="single" w:sz="12" w:space="0" w:color="FFFFFF"/>
            </w:tcBorders>
            <w:shd w:val="clear" w:color="auto" w:fill="FB9B75"/>
            <w:tcMar>
              <w:top w:w="100" w:type="dxa"/>
              <w:left w:w="100" w:type="dxa"/>
              <w:bottom w:w="100" w:type="dxa"/>
              <w:right w:w="100" w:type="dxa"/>
            </w:tcMar>
            <w:vAlign w:val="center"/>
          </w:tcPr>
          <w:p w14:paraId="4629F49A"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92.527</w:t>
            </w:r>
          </w:p>
        </w:tc>
        <w:tc>
          <w:tcPr>
            <w:tcW w:w="1065" w:type="dxa"/>
            <w:tcBorders>
              <w:top w:val="nil"/>
              <w:left w:val="nil"/>
              <w:bottom w:val="single" w:sz="12" w:space="0" w:color="FFFFFF"/>
              <w:right w:val="single" w:sz="12" w:space="0" w:color="FFFFFF"/>
            </w:tcBorders>
            <w:shd w:val="clear" w:color="auto" w:fill="FCAB78"/>
            <w:tcMar>
              <w:top w:w="100" w:type="dxa"/>
              <w:left w:w="100" w:type="dxa"/>
              <w:bottom w:w="100" w:type="dxa"/>
              <w:right w:w="100" w:type="dxa"/>
            </w:tcMar>
            <w:vAlign w:val="center"/>
          </w:tcPr>
          <w:p w14:paraId="52999F0C"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76.425</w:t>
            </w:r>
          </w:p>
        </w:tc>
      </w:tr>
      <w:tr w:rsidR="00CF7A3C" w:rsidRPr="008924E0" w14:paraId="2E7CA7A5" w14:textId="77777777" w:rsidTr="000B085B">
        <w:trPr>
          <w:trHeight w:val="227"/>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01AF9F57" w14:textId="77777777" w:rsidR="00CF7A3C" w:rsidRPr="008924E0" w:rsidRDefault="00CF7A3C" w:rsidP="000B085B">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1988.-2009.</w:t>
            </w:r>
          </w:p>
        </w:tc>
        <w:tc>
          <w:tcPr>
            <w:tcW w:w="960" w:type="dxa"/>
            <w:tcBorders>
              <w:top w:val="nil"/>
              <w:left w:val="nil"/>
              <w:bottom w:val="single" w:sz="12" w:space="0" w:color="FFFFFF"/>
              <w:right w:val="single" w:sz="12" w:space="0" w:color="FFFFFF"/>
            </w:tcBorders>
            <w:shd w:val="clear" w:color="auto" w:fill="7BC57C"/>
            <w:tcMar>
              <w:top w:w="100" w:type="dxa"/>
              <w:left w:w="100" w:type="dxa"/>
              <w:bottom w:w="100" w:type="dxa"/>
              <w:right w:w="100" w:type="dxa"/>
            </w:tcMar>
            <w:vAlign w:val="center"/>
          </w:tcPr>
          <w:p w14:paraId="4980906A"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1.864</w:t>
            </w:r>
          </w:p>
        </w:tc>
        <w:tc>
          <w:tcPr>
            <w:tcW w:w="1140" w:type="dxa"/>
            <w:tcBorders>
              <w:top w:val="nil"/>
              <w:left w:val="nil"/>
              <w:bottom w:val="single" w:sz="12" w:space="0" w:color="FFFFFF"/>
              <w:right w:val="single" w:sz="12" w:space="0" w:color="FFFFFF"/>
            </w:tcBorders>
            <w:shd w:val="clear" w:color="auto" w:fill="FED380"/>
            <w:tcMar>
              <w:top w:w="100" w:type="dxa"/>
              <w:left w:w="100" w:type="dxa"/>
              <w:bottom w:w="100" w:type="dxa"/>
              <w:right w:w="100" w:type="dxa"/>
            </w:tcMar>
            <w:vAlign w:val="center"/>
          </w:tcPr>
          <w:p w14:paraId="64311B1C"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36.714</w:t>
            </w:r>
          </w:p>
        </w:tc>
        <w:tc>
          <w:tcPr>
            <w:tcW w:w="945" w:type="dxa"/>
            <w:tcBorders>
              <w:top w:val="nil"/>
              <w:left w:val="nil"/>
              <w:bottom w:val="single" w:sz="12" w:space="0" w:color="FFFFFF"/>
              <w:right w:val="single" w:sz="12" w:space="0" w:color="FFFFFF"/>
            </w:tcBorders>
            <w:shd w:val="clear" w:color="auto" w:fill="FFE684"/>
            <w:tcMar>
              <w:top w:w="100" w:type="dxa"/>
              <w:left w:w="100" w:type="dxa"/>
              <w:bottom w:w="100" w:type="dxa"/>
              <w:right w:w="100" w:type="dxa"/>
            </w:tcMar>
            <w:vAlign w:val="center"/>
          </w:tcPr>
          <w:p w14:paraId="4AE9E188"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17.053</w:t>
            </w:r>
          </w:p>
        </w:tc>
        <w:tc>
          <w:tcPr>
            <w:tcW w:w="959" w:type="dxa"/>
            <w:tcBorders>
              <w:top w:val="nil"/>
              <w:left w:val="nil"/>
              <w:bottom w:val="single" w:sz="12" w:space="0" w:color="FFFFFF"/>
              <w:right w:val="single" w:sz="12" w:space="0" w:color="FFFFFF"/>
            </w:tcBorders>
            <w:shd w:val="clear" w:color="auto" w:fill="FFE784"/>
            <w:tcMar>
              <w:top w:w="100" w:type="dxa"/>
              <w:left w:w="100" w:type="dxa"/>
              <w:bottom w:w="100" w:type="dxa"/>
              <w:right w:w="100" w:type="dxa"/>
            </w:tcMar>
            <w:vAlign w:val="center"/>
          </w:tcPr>
          <w:p w14:paraId="097DE884"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16.321</w:t>
            </w:r>
          </w:p>
        </w:tc>
        <w:tc>
          <w:tcPr>
            <w:tcW w:w="795" w:type="dxa"/>
            <w:tcBorders>
              <w:top w:val="nil"/>
              <w:left w:val="nil"/>
              <w:bottom w:val="single" w:sz="12" w:space="0" w:color="FFFFFF"/>
              <w:right w:val="single" w:sz="12" w:space="0" w:color="FFFFFF"/>
            </w:tcBorders>
            <w:shd w:val="clear" w:color="auto" w:fill="B9D780"/>
            <w:tcMar>
              <w:top w:w="100" w:type="dxa"/>
              <w:left w:w="100" w:type="dxa"/>
              <w:bottom w:w="100" w:type="dxa"/>
              <w:right w:w="100" w:type="dxa"/>
            </w:tcMar>
            <w:vAlign w:val="center"/>
          </w:tcPr>
          <w:p w14:paraId="3E4DB5B8"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6.637</w:t>
            </w:r>
          </w:p>
        </w:tc>
        <w:tc>
          <w:tcPr>
            <w:tcW w:w="1290" w:type="dxa"/>
            <w:tcBorders>
              <w:top w:val="nil"/>
              <w:left w:val="nil"/>
              <w:bottom w:val="single" w:sz="12" w:space="0" w:color="FFFFFF"/>
              <w:right w:val="single" w:sz="12" w:space="0" w:color="FFFFFF"/>
            </w:tcBorders>
            <w:shd w:val="clear" w:color="auto" w:fill="FECA7E"/>
            <w:tcMar>
              <w:top w:w="100" w:type="dxa"/>
              <w:left w:w="100" w:type="dxa"/>
              <w:bottom w:w="100" w:type="dxa"/>
              <w:right w:w="100" w:type="dxa"/>
            </w:tcMar>
            <w:vAlign w:val="center"/>
          </w:tcPr>
          <w:p w14:paraId="46411C4D"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45.576</w:t>
            </w:r>
          </w:p>
        </w:tc>
        <w:tc>
          <w:tcPr>
            <w:tcW w:w="1065" w:type="dxa"/>
            <w:tcBorders>
              <w:top w:val="nil"/>
              <w:left w:val="nil"/>
              <w:bottom w:val="single" w:sz="12" w:space="0" w:color="FFFFFF"/>
              <w:right w:val="single" w:sz="12" w:space="0" w:color="FFFFFF"/>
            </w:tcBorders>
            <w:shd w:val="clear" w:color="auto" w:fill="FED680"/>
            <w:tcMar>
              <w:top w:w="100" w:type="dxa"/>
              <w:left w:w="100" w:type="dxa"/>
              <w:bottom w:w="100" w:type="dxa"/>
              <w:right w:w="100" w:type="dxa"/>
            </w:tcMar>
            <w:vAlign w:val="center"/>
          </w:tcPr>
          <w:p w14:paraId="4AE78240"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33.373</w:t>
            </w:r>
          </w:p>
        </w:tc>
      </w:tr>
      <w:tr w:rsidR="00CF7A3C" w:rsidRPr="008924E0" w14:paraId="3C1FC54E" w14:textId="77777777" w:rsidTr="000B085B">
        <w:trPr>
          <w:trHeight w:val="50"/>
          <w:jc w:val="center"/>
        </w:trPr>
        <w:tc>
          <w:tcPr>
            <w:tcW w:w="1503" w:type="dxa"/>
            <w:tcBorders>
              <w:top w:val="nil"/>
              <w:left w:val="nil"/>
              <w:bottom w:val="single" w:sz="12" w:space="0" w:color="FFFFFF"/>
              <w:right w:val="single" w:sz="12" w:space="0" w:color="FFFFFF"/>
            </w:tcBorders>
            <w:shd w:val="clear" w:color="auto" w:fill="E9E9E9"/>
            <w:tcMar>
              <w:top w:w="100" w:type="dxa"/>
              <w:left w:w="100" w:type="dxa"/>
              <w:bottom w:w="100" w:type="dxa"/>
              <w:right w:w="100" w:type="dxa"/>
            </w:tcMar>
            <w:vAlign w:val="center"/>
          </w:tcPr>
          <w:p w14:paraId="7F3828F9" w14:textId="77777777" w:rsidR="00CF7A3C" w:rsidRPr="008924E0" w:rsidRDefault="00CF7A3C" w:rsidP="000B085B">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2010.-2016.</w:t>
            </w:r>
          </w:p>
        </w:tc>
        <w:tc>
          <w:tcPr>
            <w:tcW w:w="960" w:type="dxa"/>
            <w:tcBorders>
              <w:top w:val="nil"/>
              <w:left w:val="nil"/>
              <w:bottom w:val="single" w:sz="12" w:space="0" w:color="FFFFFF"/>
              <w:right w:val="single" w:sz="12" w:space="0" w:color="FFFFFF"/>
            </w:tcBorders>
            <w:shd w:val="clear" w:color="auto" w:fill="67BF7B"/>
            <w:tcMar>
              <w:top w:w="100" w:type="dxa"/>
              <w:left w:w="100" w:type="dxa"/>
              <w:bottom w:w="100" w:type="dxa"/>
              <w:right w:w="100" w:type="dxa"/>
            </w:tcMar>
            <w:vAlign w:val="center"/>
          </w:tcPr>
          <w:p w14:paraId="2888D5F7"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318</w:t>
            </w:r>
          </w:p>
        </w:tc>
        <w:tc>
          <w:tcPr>
            <w:tcW w:w="1140" w:type="dxa"/>
            <w:tcBorders>
              <w:top w:val="nil"/>
              <w:left w:val="nil"/>
              <w:bottom w:val="single" w:sz="12" w:space="0" w:color="FFFFFF"/>
              <w:right w:val="single" w:sz="12" w:space="0" w:color="FFFFFF"/>
            </w:tcBorders>
            <w:shd w:val="clear" w:color="auto" w:fill="98CD7E"/>
            <w:tcMar>
              <w:top w:w="100" w:type="dxa"/>
              <w:left w:w="100" w:type="dxa"/>
              <w:bottom w:w="100" w:type="dxa"/>
              <w:right w:w="100" w:type="dxa"/>
            </w:tcMar>
            <w:vAlign w:val="center"/>
          </w:tcPr>
          <w:p w14:paraId="248521CD"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4.099</w:t>
            </w:r>
          </w:p>
        </w:tc>
        <w:tc>
          <w:tcPr>
            <w:tcW w:w="94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226E6A60"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0</w:t>
            </w:r>
          </w:p>
        </w:tc>
        <w:tc>
          <w:tcPr>
            <w:tcW w:w="959" w:type="dxa"/>
            <w:tcBorders>
              <w:top w:val="nil"/>
              <w:left w:val="nil"/>
              <w:bottom w:val="single" w:sz="12" w:space="0" w:color="FFFFFF"/>
              <w:right w:val="single" w:sz="12" w:space="0" w:color="FFFFFF"/>
            </w:tcBorders>
            <w:shd w:val="clear" w:color="auto" w:fill="FFE683"/>
            <w:tcMar>
              <w:top w:w="100" w:type="dxa"/>
              <w:left w:w="100" w:type="dxa"/>
              <w:bottom w:w="100" w:type="dxa"/>
              <w:right w:w="100" w:type="dxa"/>
            </w:tcMar>
            <w:vAlign w:val="center"/>
          </w:tcPr>
          <w:p w14:paraId="00F3A17F"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17.729</w:t>
            </w:r>
          </w:p>
        </w:tc>
        <w:tc>
          <w:tcPr>
            <w:tcW w:w="79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1D873698"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0</w:t>
            </w:r>
          </w:p>
        </w:tc>
        <w:tc>
          <w:tcPr>
            <w:tcW w:w="1290" w:type="dxa"/>
            <w:tcBorders>
              <w:top w:val="nil"/>
              <w:left w:val="nil"/>
              <w:bottom w:val="single" w:sz="12" w:space="0" w:color="FFFFFF"/>
              <w:right w:val="single" w:sz="12" w:space="0" w:color="FFFFFF"/>
            </w:tcBorders>
            <w:shd w:val="clear" w:color="auto" w:fill="DCE182"/>
            <w:tcMar>
              <w:top w:w="100" w:type="dxa"/>
              <w:left w:w="100" w:type="dxa"/>
              <w:bottom w:w="100" w:type="dxa"/>
              <w:right w:w="100" w:type="dxa"/>
            </w:tcMar>
            <w:vAlign w:val="center"/>
          </w:tcPr>
          <w:p w14:paraId="67461433"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9.314</w:t>
            </w:r>
          </w:p>
        </w:tc>
        <w:tc>
          <w:tcPr>
            <w:tcW w:w="1065" w:type="dxa"/>
            <w:tcBorders>
              <w:top w:val="nil"/>
              <w:left w:val="nil"/>
              <w:bottom w:val="single" w:sz="12" w:space="0" w:color="FFFFFF"/>
              <w:right w:val="single" w:sz="12" w:space="0" w:color="FFFFFF"/>
            </w:tcBorders>
            <w:shd w:val="clear" w:color="auto" w:fill="63BE7B"/>
            <w:tcMar>
              <w:top w:w="100" w:type="dxa"/>
              <w:left w:w="100" w:type="dxa"/>
              <w:bottom w:w="100" w:type="dxa"/>
              <w:right w:w="100" w:type="dxa"/>
            </w:tcMar>
            <w:vAlign w:val="center"/>
          </w:tcPr>
          <w:p w14:paraId="0681C99A"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0</w:t>
            </w:r>
          </w:p>
        </w:tc>
      </w:tr>
      <w:tr w:rsidR="00CF7A3C" w:rsidRPr="008924E0" w14:paraId="456A7431" w14:textId="77777777" w:rsidTr="000B085B">
        <w:trPr>
          <w:trHeight w:val="25"/>
          <w:jc w:val="center"/>
        </w:trPr>
        <w:tc>
          <w:tcPr>
            <w:tcW w:w="1503" w:type="dxa"/>
            <w:tcBorders>
              <w:top w:val="nil"/>
              <w:left w:val="nil"/>
              <w:bottom w:val="nil"/>
              <w:right w:val="single" w:sz="12" w:space="0" w:color="FFFFFF"/>
            </w:tcBorders>
            <w:shd w:val="clear" w:color="auto" w:fill="E9E9E9"/>
            <w:tcMar>
              <w:top w:w="100" w:type="dxa"/>
              <w:left w:w="100" w:type="dxa"/>
              <w:bottom w:w="100" w:type="dxa"/>
              <w:right w:w="100" w:type="dxa"/>
            </w:tcMar>
            <w:vAlign w:val="center"/>
          </w:tcPr>
          <w:p w14:paraId="29E10932" w14:textId="77777777" w:rsidR="00CF7A3C" w:rsidRPr="008924E0" w:rsidRDefault="00CF7A3C" w:rsidP="000B085B">
            <w:pPr>
              <w:keepNext/>
              <w:jc w:val="right"/>
              <w:rPr>
                <w:rFonts w:asciiTheme="minorHAnsi" w:eastAsia="Calibri" w:hAnsiTheme="minorHAnsi" w:cstheme="minorHAnsi"/>
                <w:b/>
                <w:sz w:val="18"/>
                <w:szCs w:val="18"/>
                <w:lang w:val="bs-Latn-BA"/>
              </w:rPr>
            </w:pPr>
            <w:r w:rsidRPr="008924E0">
              <w:rPr>
                <w:rFonts w:asciiTheme="minorHAnsi" w:hAnsiTheme="minorHAnsi" w:cstheme="minorHAnsi"/>
                <w:b/>
                <w:lang w:val="bs-Latn-BA"/>
              </w:rPr>
              <w:t>2017.-2020.*</w:t>
            </w:r>
          </w:p>
        </w:tc>
        <w:tc>
          <w:tcPr>
            <w:tcW w:w="960" w:type="dxa"/>
            <w:tcBorders>
              <w:top w:val="nil"/>
              <w:left w:val="nil"/>
              <w:bottom w:val="single" w:sz="12" w:space="0" w:color="FFFFFF"/>
              <w:right w:val="single" w:sz="12" w:space="0" w:color="FFFFFF"/>
            </w:tcBorders>
            <w:shd w:val="clear" w:color="auto" w:fill="65BE7B"/>
            <w:tcMar>
              <w:top w:w="100" w:type="dxa"/>
              <w:left w:w="100" w:type="dxa"/>
              <w:bottom w:w="100" w:type="dxa"/>
              <w:right w:w="100" w:type="dxa"/>
            </w:tcMar>
            <w:vAlign w:val="center"/>
          </w:tcPr>
          <w:p w14:paraId="392A7E0F"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205</w:t>
            </w:r>
          </w:p>
        </w:tc>
        <w:tc>
          <w:tcPr>
            <w:tcW w:w="1140" w:type="dxa"/>
            <w:tcBorders>
              <w:top w:val="nil"/>
              <w:left w:val="nil"/>
              <w:bottom w:val="single" w:sz="12" w:space="0" w:color="FFFFFF"/>
              <w:right w:val="single" w:sz="12" w:space="0" w:color="FFFFFF"/>
            </w:tcBorders>
            <w:shd w:val="clear" w:color="auto" w:fill="7EC57C"/>
            <w:tcMar>
              <w:top w:w="100" w:type="dxa"/>
              <w:left w:w="100" w:type="dxa"/>
              <w:bottom w:w="100" w:type="dxa"/>
              <w:right w:w="100" w:type="dxa"/>
            </w:tcMar>
            <w:vAlign w:val="center"/>
          </w:tcPr>
          <w:p w14:paraId="2E32D673"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2.115</w:t>
            </w:r>
          </w:p>
        </w:tc>
        <w:tc>
          <w:tcPr>
            <w:tcW w:w="945" w:type="dxa"/>
            <w:tcBorders>
              <w:top w:val="nil"/>
              <w:left w:val="nil"/>
              <w:bottom w:val="single" w:sz="12" w:space="0" w:color="FFFFFF"/>
              <w:right w:val="single" w:sz="12" w:space="0" w:color="FFFFFF"/>
            </w:tcBorders>
            <w:shd w:val="clear" w:color="auto" w:fill="6DC07B"/>
            <w:tcMar>
              <w:top w:w="100" w:type="dxa"/>
              <w:left w:w="100" w:type="dxa"/>
              <w:bottom w:w="100" w:type="dxa"/>
              <w:right w:w="100" w:type="dxa"/>
            </w:tcMar>
            <w:vAlign w:val="center"/>
          </w:tcPr>
          <w:p w14:paraId="6F59BAD0"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778</w:t>
            </w:r>
          </w:p>
        </w:tc>
        <w:tc>
          <w:tcPr>
            <w:tcW w:w="959" w:type="dxa"/>
            <w:tcBorders>
              <w:top w:val="nil"/>
              <w:left w:val="nil"/>
              <w:bottom w:val="single" w:sz="12" w:space="0" w:color="FFFFFF"/>
              <w:right w:val="single" w:sz="12" w:space="0" w:color="FFFFFF"/>
            </w:tcBorders>
            <w:shd w:val="clear" w:color="auto" w:fill="68BF7B"/>
            <w:tcMar>
              <w:top w:w="100" w:type="dxa"/>
              <w:left w:w="100" w:type="dxa"/>
              <w:bottom w:w="100" w:type="dxa"/>
              <w:right w:w="100" w:type="dxa"/>
            </w:tcMar>
            <w:vAlign w:val="center"/>
          </w:tcPr>
          <w:p w14:paraId="6060B0E0"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389</w:t>
            </w:r>
          </w:p>
        </w:tc>
        <w:tc>
          <w:tcPr>
            <w:tcW w:w="795" w:type="dxa"/>
            <w:tcBorders>
              <w:top w:val="nil"/>
              <w:left w:val="nil"/>
              <w:bottom w:val="single" w:sz="12" w:space="0" w:color="FFFFFF"/>
              <w:right w:val="single" w:sz="12" w:space="0" w:color="FFFFFF"/>
            </w:tcBorders>
            <w:shd w:val="clear" w:color="auto" w:fill="69BF7B"/>
            <w:tcMar>
              <w:top w:w="100" w:type="dxa"/>
              <w:left w:w="100" w:type="dxa"/>
              <w:bottom w:w="100" w:type="dxa"/>
              <w:right w:w="100" w:type="dxa"/>
            </w:tcMar>
            <w:vAlign w:val="center"/>
          </w:tcPr>
          <w:p w14:paraId="786E7031"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486</w:t>
            </w:r>
          </w:p>
        </w:tc>
        <w:tc>
          <w:tcPr>
            <w:tcW w:w="1290" w:type="dxa"/>
            <w:tcBorders>
              <w:top w:val="nil"/>
              <w:left w:val="nil"/>
              <w:bottom w:val="single" w:sz="12" w:space="0" w:color="FFFFFF"/>
              <w:right w:val="single" w:sz="12" w:space="0" w:color="FFFFFF"/>
            </w:tcBorders>
            <w:shd w:val="clear" w:color="auto" w:fill="7DC57C"/>
            <w:tcMar>
              <w:top w:w="100" w:type="dxa"/>
              <w:left w:w="100" w:type="dxa"/>
              <w:bottom w:w="100" w:type="dxa"/>
              <w:right w:w="100" w:type="dxa"/>
            </w:tcMar>
            <w:vAlign w:val="center"/>
          </w:tcPr>
          <w:p w14:paraId="3FD2FA71"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2.067</w:t>
            </w:r>
          </w:p>
        </w:tc>
        <w:tc>
          <w:tcPr>
            <w:tcW w:w="1065" w:type="dxa"/>
            <w:tcBorders>
              <w:top w:val="nil"/>
              <w:left w:val="nil"/>
              <w:bottom w:val="single" w:sz="12" w:space="0" w:color="FFFFFF"/>
              <w:right w:val="single" w:sz="12" w:space="0" w:color="FFFFFF"/>
            </w:tcBorders>
            <w:shd w:val="clear" w:color="auto" w:fill="73C27B"/>
            <w:tcMar>
              <w:top w:w="100" w:type="dxa"/>
              <w:left w:w="100" w:type="dxa"/>
              <w:bottom w:w="100" w:type="dxa"/>
              <w:right w:w="100" w:type="dxa"/>
            </w:tcMar>
            <w:vAlign w:val="center"/>
          </w:tcPr>
          <w:p w14:paraId="1BDE9798" w14:textId="77777777" w:rsidR="00CF7A3C" w:rsidRPr="003D5603" w:rsidRDefault="00CF7A3C" w:rsidP="000B085B">
            <w:pPr>
              <w:keepNext/>
              <w:jc w:val="right"/>
              <w:rPr>
                <w:rFonts w:asciiTheme="minorHAnsi" w:eastAsia="Calibri" w:hAnsiTheme="minorHAnsi" w:cstheme="minorHAnsi"/>
                <w:lang w:val="bs-Latn-BA"/>
              </w:rPr>
            </w:pPr>
            <w:r w:rsidRPr="003D5603">
              <w:rPr>
                <w:rFonts w:asciiTheme="minorHAnsi" w:eastAsia="Calibri" w:hAnsiTheme="minorHAnsi" w:cstheme="minorHAnsi"/>
                <w:lang w:val="bs-Latn-BA"/>
              </w:rPr>
              <w:t>1.228</w:t>
            </w:r>
          </w:p>
        </w:tc>
      </w:tr>
      <w:tr w:rsidR="00CF7A3C" w:rsidRPr="008924E0" w14:paraId="5BC5A0D2" w14:textId="77777777" w:rsidTr="000B085B">
        <w:trPr>
          <w:trHeight w:val="161"/>
          <w:jc w:val="center"/>
        </w:trPr>
        <w:tc>
          <w:tcPr>
            <w:tcW w:w="1503" w:type="dxa"/>
            <w:tcBorders>
              <w:top w:val="nil"/>
              <w:left w:val="nil"/>
              <w:bottom w:val="nil"/>
              <w:right w:val="single" w:sz="12" w:space="0" w:color="FFFFFF"/>
            </w:tcBorders>
            <w:shd w:val="clear" w:color="auto" w:fill="E9E9E9"/>
            <w:tcMar>
              <w:top w:w="100" w:type="dxa"/>
              <w:left w:w="100" w:type="dxa"/>
              <w:bottom w:w="100" w:type="dxa"/>
              <w:right w:w="100" w:type="dxa"/>
            </w:tcMar>
            <w:vAlign w:val="center"/>
          </w:tcPr>
          <w:p w14:paraId="1FF84AB4" w14:textId="77777777" w:rsidR="00CF7A3C" w:rsidRPr="008924E0" w:rsidRDefault="00CF7A3C" w:rsidP="000B085B">
            <w:pPr>
              <w:keepNext/>
              <w:jc w:val="right"/>
              <w:rPr>
                <w:rFonts w:ascii="Calibri" w:eastAsia="Calibri" w:hAnsi="Calibri" w:cs="Calibri"/>
                <w:b/>
                <w:sz w:val="18"/>
                <w:szCs w:val="18"/>
                <w:lang w:val="bs-Latn-BA"/>
              </w:rPr>
            </w:pPr>
            <w:r w:rsidRPr="008924E0">
              <w:rPr>
                <w:rFonts w:ascii="Calibri" w:eastAsia="Calibri" w:hAnsi="Calibri" w:cs="Calibri"/>
                <w:b/>
                <w:sz w:val="18"/>
                <w:szCs w:val="18"/>
                <w:lang w:val="bs-Latn-BA"/>
              </w:rPr>
              <w:t>Ukupno</w:t>
            </w:r>
          </w:p>
        </w:tc>
        <w:tc>
          <w:tcPr>
            <w:tcW w:w="960" w:type="dxa"/>
            <w:tcBorders>
              <w:top w:val="nil"/>
              <w:left w:val="nil"/>
              <w:bottom w:val="nil"/>
              <w:right w:val="nil"/>
            </w:tcBorders>
            <w:shd w:val="clear" w:color="auto" w:fill="63BE7B"/>
            <w:tcMar>
              <w:top w:w="100" w:type="dxa"/>
              <w:left w:w="100" w:type="dxa"/>
              <w:bottom w:w="100" w:type="dxa"/>
              <w:right w:w="100" w:type="dxa"/>
            </w:tcMar>
            <w:vAlign w:val="center"/>
          </w:tcPr>
          <w:p w14:paraId="13569922" w14:textId="77777777" w:rsidR="00CF7A3C" w:rsidRPr="003D5603" w:rsidRDefault="00CF7A3C" w:rsidP="000B085B">
            <w:pPr>
              <w:keepNext/>
              <w:jc w:val="right"/>
              <w:rPr>
                <w:rFonts w:asciiTheme="minorHAnsi" w:eastAsia="Calibri" w:hAnsiTheme="minorHAnsi" w:cstheme="minorHAnsi"/>
                <w:b/>
                <w:lang w:val="bs-Latn-BA"/>
              </w:rPr>
            </w:pPr>
            <w:r w:rsidRPr="003D5603">
              <w:rPr>
                <w:rFonts w:asciiTheme="minorHAnsi" w:eastAsia="Calibri" w:hAnsiTheme="minorHAnsi" w:cstheme="minorHAnsi"/>
                <w:b/>
                <w:lang w:val="bs-Latn-BA"/>
              </w:rPr>
              <w:t>19.879</w:t>
            </w:r>
          </w:p>
        </w:tc>
        <w:tc>
          <w:tcPr>
            <w:tcW w:w="1140" w:type="dxa"/>
            <w:tcBorders>
              <w:top w:val="nil"/>
              <w:left w:val="nil"/>
              <w:bottom w:val="nil"/>
              <w:right w:val="nil"/>
            </w:tcBorders>
            <w:shd w:val="clear" w:color="auto" w:fill="F8696B"/>
            <w:tcMar>
              <w:top w:w="100" w:type="dxa"/>
              <w:left w:w="100" w:type="dxa"/>
              <w:bottom w:w="100" w:type="dxa"/>
              <w:right w:w="100" w:type="dxa"/>
            </w:tcMar>
            <w:vAlign w:val="center"/>
          </w:tcPr>
          <w:p w14:paraId="7C3D7A99" w14:textId="77777777" w:rsidR="00CF7A3C" w:rsidRPr="003D5603" w:rsidRDefault="00CF7A3C" w:rsidP="000B085B">
            <w:pPr>
              <w:keepNext/>
              <w:jc w:val="right"/>
              <w:rPr>
                <w:rFonts w:asciiTheme="minorHAnsi" w:eastAsia="Calibri" w:hAnsiTheme="minorHAnsi" w:cstheme="minorHAnsi"/>
                <w:b/>
                <w:lang w:val="bs-Latn-BA"/>
              </w:rPr>
            </w:pPr>
            <w:r w:rsidRPr="003D5603">
              <w:rPr>
                <w:rFonts w:asciiTheme="minorHAnsi" w:eastAsia="Calibri" w:hAnsiTheme="minorHAnsi" w:cstheme="minorHAnsi"/>
                <w:b/>
                <w:lang w:val="bs-Latn-BA"/>
              </w:rPr>
              <w:t>414.481</w:t>
            </w:r>
          </w:p>
        </w:tc>
        <w:tc>
          <w:tcPr>
            <w:tcW w:w="945" w:type="dxa"/>
            <w:tcBorders>
              <w:top w:val="nil"/>
              <w:left w:val="nil"/>
              <w:bottom w:val="nil"/>
              <w:right w:val="nil"/>
            </w:tcBorders>
            <w:shd w:val="clear" w:color="auto" w:fill="FFEB84"/>
            <w:tcMar>
              <w:top w:w="100" w:type="dxa"/>
              <w:left w:w="100" w:type="dxa"/>
              <w:bottom w:w="100" w:type="dxa"/>
              <w:right w:w="100" w:type="dxa"/>
            </w:tcMar>
            <w:vAlign w:val="center"/>
          </w:tcPr>
          <w:p w14:paraId="5D954A33" w14:textId="77777777" w:rsidR="00CF7A3C" w:rsidRPr="003D5603" w:rsidRDefault="00CF7A3C" w:rsidP="000B085B">
            <w:pPr>
              <w:keepNext/>
              <w:jc w:val="right"/>
              <w:rPr>
                <w:rFonts w:asciiTheme="minorHAnsi" w:eastAsia="Calibri" w:hAnsiTheme="minorHAnsi" w:cstheme="minorHAnsi"/>
                <w:b/>
                <w:lang w:val="bs-Latn-BA"/>
              </w:rPr>
            </w:pPr>
            <w:r w:rsidRPr="003D5603">
              <w:rPr>
                <w:rFonts w:asciiTheme="minorHAnsi" w:eastAsia="Calibri" w:hAnsiTheme="minorHAnsi" w:cstheme="minorHAnsi"/>
                <w:b/>
                <w:lang w:val="bs-Latn-BA"/>
              </w:rPr>
              <w:t>144.496</w:t>
            </w:r>
          </w:p>
        </w:tc>
        <w:tc>
          <w:tcPr>
            <w:tcW w:w="959" w:type="dxa"/>
            <w:tcBorders>
              <w:top w:val="nil"/>
              <w:left w:val="nil"/>
              <w:bottom w:val="nil"/>
              <w:right w:val="nil"/>
            </w:tcBorders>
            <w:shd w:val="clear" w:color="auto" w:fill="D6DF81"/>
            <w:tcMar>
              <w:top w:w="100" w:type="dxa"/>
              <w:left w:w="100" w:type="dxa"/>
              <w:bottom w:w="100" w:type="dxa"/>
              <w:right w:w="100" w:type="dxa"/>
            </w:tcMar>
            <w:vAlign w:val="center"/>
          </w:tcPr>
          <w:p w14:paraId="434C61DD" w14:textId="77777777" w:rsidR="00CF7A3C" w:rsidRPr="003D5603" w:rsidRDefault="00CF7A3C" w:rsidP="000B085B">
            <w:pPr>
              <w:keepNext/>
              <w:jc w:val="right"/>
              <w:rPr>
                <w:rFonts w:asciiTheme="minorHAnsi" w:eastAsia="Calibri" w:hAnsiTheme="minorHAnsi" w:cstheme="minorHAnsi"/>
                <w:b/>
                <w:lang w:val="bs-Latn-BA"/>
              </w:rPr>
            </w:pPr>
            <w:r w:rsidRPr="003D5603">
              <w:rPr>
                <w:rFonts w:asciiTheme="minorHAnsi" w:eastAsia="Calibri" w:hAnsiTheme="minorHAnsi" w:cstheme="minorHAnsi"/>
                <w:b/>
                <w:lang w:val="bs-Latn-BA"/>
              </w:rPr>
              <w:t>112.402</w:t>
            </w:r>
          </w:p>
        </w:tc>
        <w:tc>
          <w:tcPr>
            <w:tcW w:w="795" w:type="dxa"/>
            <w:tcBorders>
              <w:top w:val="nil"/>
              <w:left w:val="nil"/>
              <w:bottom w:val="nil"/>
              <w:right w:val="nil"/>
            </w:tcBorders>
            <w:shd w:val="clear" w:color="auto" w:fill="A5D17E"/>
            <w:tcMar>
              <w:top w:w="100" w:type="dxa"/>
              <w:left w:w="100" w:type="dxa"/>
              <w:bottom w:w="100" w:type="dxa"/>
              <w:right w:w="100" w:type="dxa"/>
            </w:tcMar>
            <w:vAlign w:val="center"/>
          </w:tcPr>
          <w:p w14:paraId="6453453B" w14:textId="77777777" w:rsidR="00CF7A3C" w:rsidRPr="003D5603" w:rsidRDefault="00CF7A3C" w:rsidP="000B085B">
            <w:pPr>
              <w:keepNext/>
              <w:jc w:val="right"/>
              <w:rPr>
                <w:rFonts w:asciiTheme="minorHAnsi" w:eastAsia="Calibri" w:hAnsiTheme="minorHAnsi" w:cstheme="minorHAnsi"/>
                <w:b/>
                <w:lang w:val="bs-Latn-BA"/>
              </w:rPr>
            </w:pPr>
            <w:r w:rsidRPr="003D5603">
              <w:rPr>
                <w:rFonts w:asciiTheme="minorHAnsi" w:eastAsia="Calibri" w:hAnsiTheme="minorHAnsi" w:cstheme="minorHAnsi"/>
                <w:b/>
                <w:lang w:val="bs-Latn-BA"/>
              </w:rPr>
              <w:t>72.897</w:t>
            </w:r>
          </w:p>
        </w:tc>
        <w:tc>
          <w:tcPr>
            <w:tcW w:w="1290" w:type="dxa"/>
            <w:tcBorders>
              <w:top w:val="nil"/>
              <w:left w:val="nil"/>
              <w:bottom w:val="nil"/>
              <w:right w:val="nil"/>
            </w:tcBorders>
            <w:shd w:val="clear" w:color="auto" w:fill="FCAF79"/>
            <w:tcMar>
              <w:top w:w="100" w:type="dxa"/>
              <w:left w:w="100" w:type="dxa"/>
              <w:bottom w:w="100" w:type="dxa"/>
              <w:right w:w="100" w:type="dxa"/>
            </w:tcMar>
            <w:vAlign w:val="center"/>
          </w:tcPr>
          <w:p w14:paraId="6993E27D" w14:textId="77777777" w:rsidR="00CF7A3C" w:rsidRPr="003D5603" w:rsidRDefault="00CF7A3C" w:rsidP="000B085B">
            <w:pPr>
              <w:keepNext/>
              <w:jc w:val="right"/>
              <w:rPr>
                <w:rFonts w:asciiTheme="minorHAnsi" w:eastAsia="Calibri" w:hAnsiTheme="minorHAnsi" w:cstheme="minorHAnsi"/>
                <w:b/>
                <w:lang w:val="bs-Latn-BA"/>
              </w:rPr>
            </w:pPr>
            <w:r w:rsidRPr="003D5603">
              <w:rPr>
                <w:rFonts w:asciiTheme="minorHAnsi" w:eastAsia="Calibri" w:hAnsiTheme="minorHAnsi" w:cstheme="minorHAnsi"/>
                <w:b/>
                <w:lang w:val="bs-Latn-BA"/>
              </w:rPr>
              <w:t>269.244</w:t>
            </w:r>
          </w:p>
        </w:tc>
        <w:tc>
          <w:tcPr>
            <w:tcW w:w="1065" w:type="dxa"/>
            <w:tcBorders>
              <w:top w:val="nil"/>
              <w:left w:val="nil"/>
              <w:bottom w:val="nil"/>
              <w:right w:val="nil"/>
            </w:tcBorders>
            <w:shd w:val="clear" w:color="auto" w:fill="FFE884"/>
            <w:tcMar>
              <w:top w:w="100" w:type="dxa"/>
              <w:left w:w="100" w:type="dxa"/>
              <w:bottom w:w="100" w:type="dxa"/>
              <w:right w:w="100" w:type="dxa"/>
            </w:tcMar>
            <w:vAlign w:val="center"/>
          </w:tcPr>
          <w:p w14:paraId="6964D17D" w14:textId="77777777" w:rsidR="00CF7A3C" w:rsidRPr="003D5603" w:rsidRDefault="00CF7A3C" w:rsidP="000B085B">
            <w:pPr>
              <w:keepNext/>
              <w:jc w:val="right"/>
              <w:rPr>
                <w:rFonts w:asciiTheme="minorHAnsi" w:eastAsia="Calibri" w:hAnsiTheme="minorHAnsi" w:cstheme="minorHAnsi"/>
                <w:b/>
                <w:lang w:val="bs-Latn-BA"/>
              </w:rPr>
            </w:pPr>
            <w:r w:rsidRPr="003D5603">
              <w:rPr>
                <w:rFonts w:asciiTheme="minorHAnsi" w:eastAsia="Calibri" w:hAnsiTheme="minorHAnsi" w:cstheme="minorHAnsi"/>
                <w:b/>
                <w:lang w:val="bs-Latn-BA"/>
              </w:rPr>
              <w:t>152.242</w:t>
            </w:r>
          </w:p>
        </w:tc>
      </w:tr>
    </w:tbl>
    <w:p w14:paraId="47B76E28" w14:textId="77777777" w:rsidR="00CF7A3C" w:rsidRPr="008924E0" w:rsidRDefault="00CF7A3C" w:rsidP="00CF7A3C">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6309D483" w14:textId="44423268" w:rsidR="00CF7A3C" w:rsidRPr="008924E0" w:rsidRDefault="00CF7A3C" w:rsidP="00CF7A3C">
      <w:pPr>
        <w:rPr>
          <w:lang w:val="bs-Latn-BA"/>
        </w:rPr>
      </w:pPr>
      <w:r w:rsidRPr="008924E0">
        <w:rPr>
          <w:lang w:val="bs-Latn-BA"/>
        </w:rPr>
        <w:t>Energijski razredi zgrada su u funkciji od klimatske regije, faktora oblika zgrade i namjene, te je za svaku zgradu posebno potrebno odrediti energijski razred. Za zgradu faktora oblika 0,45, lociranu u klimatskoj regiji Sjever, izračunata je dopuštena specifična vrijednost potrebne energije za grijanje prema Pravilniku</w:t>
      </w:r>
      <w:r w:rsidRPr="008924E0">
        <w:rPr>
          <w:vertAlign w:val="superscript"/>
          <w:lang w:val="bs-Latn-BA"/>
        </w:rPr>
        <w:footnoteReference w:id="114"/>
      </w:r>
      <w:r w:rsidRPr="008924E0">
        <w:rPr>
          <w:lang w:val="bs-Latn-BA"/>
        </w:rPr>
        <w:t xml:space="preserve"> i odgovarajućoj namjeni zgrade. Prema ovim podacima su prikazani indikativni energijski razredi (Tabela </w:t>
      </w:r>
      <w:r w:rsidR="005326F6">
        <w:rPr>
          <w:lang w:val="bs-Latn-BA"/>
        </w:rPr>
        <w:t>11.</w:t>
      </w:r>
      <w:r w:rsidRPr="008924E0">
        <w:rPr>
          <w:lang w:val="bs-Latn-BA"/>
        </w:rPr>
        <w:t xml:space="preserve">1.9). Kako je vidljivo iz rezultata, energijske karakteristike fonda javnih zgrada u najvećoj mjeri ne zadovoljavaju dopuštene vrijednosti specifične potrebne energije za grijanje te se fond javnih zgrada u FBiH može ocijeniti kao energijski neefikasan. </w:t>
      </w:r>
    </w:p>
    <w:p w14:paraId="6F9E860C" w14:textId="0D91F1EA" w:rsidR="005326F6" w:rsidRDefault="005326F6" w:rsidP="005326F6">
      <w:pPr>
        <w:pStyle w:val="Caption"/>
        <w:keepNext/>
      </w:pPr>
      <w:bookmarkStart w:id="212" w:name="_Toc133499628"/>
      <w:r>
        <w:t>Tabela 11.1.</w:t>
      </w:r>
      <w:r w:rsidR="00000000">
        <w:fldChar w:fldCharType="begin"/>
      </w:r>
      <w:r w:rsidR="00000000">
        <w:instrText xml:space="preserve"> SEQ Tabela_11.1. \* ARABIC </w:instrText>
      </w:r>
      <w:r w:rsidR="00000000">
        <w:fldChar w:fldCharType="separate"/>
      </w:r>
      <w:r w:rsidR="002D62B3">
        <w:rPr>
          <w:noProof/>
        </w:rPr>
        <w:t>9</w:t>
      </w:r>
      <w:r w:rsidR="00000000">
        <w:rPr>
          <w:noProof/>
        </w:rPr>
        <w:fldChar w:fldCharType="end"/>
      </w:r>
      <w:r>
        <w:t xml:space="preserve"> </w:t>
      </w:r>
      <w:r w:rsidRPr="008924E0">
        <w:rPr>
          <w:color w:val="000000"/>
        </w:rPr>
        <w:t>Specifična potrebna energije kategorija zgrada u javnom sektoru/indikativni energijski razred, kWh/m</w:t>
      </w:r>
      <w:r w:rsidRPr="008924E0">
        <w:rPr>
          <w:color w:val="000000"/>
          <w:vertAlign w:val="superscript"/>
        </w:rPr>
        <w:t>2</w:t>
      </w:r>
      <w:r w:rsidRPr="008924E0">
        <w:rPr>
          <w:color w:val="000000"/>
        </w:rPr>
        <w:t>god.</w:t>
      </w:r>
      <w:bookmarkEnd w:id="212"/>
    </w:p>
    <w:tbl>
      <w:tblPr>
        <w:tblStyle w:val="19"/>
        <w:tblW w:w="5000" w:type="pct"/>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ook w:val="0400" w:firstRow="0" w:lastRow="0" w:firstColumn="0" w:lastColumn="0" w:noHBand="0" w:noVBand="1"/>
      </w:tblPr>
      <w:tblGrid>
        <w:gridCol w:w="1521"/>
        <w:gridCol w:w="992"/>
        <w:gridCol w:w="1113"/>
        <w:gridCol w:w="989"/>
        <w:gridCol w:w="1025"/>
        <w:gridCol w:w="1025"/>
        <w:gridCol w:w="1309"/>
        <w:gridCol w:w="1053"/>
      </w:tblGrid>
      <w:tr w:rsidR="00CF7A3C" w:rsidRPr="008924E0" w14:paraId="4DD5AE4C" w14:textId="77777777" w:rsidTr="000B085B">
        <w:trPr>
          <w:trHeight w:val="420"/>
          <w:jc w:val="center"/>
        </w:trPr>
        <w:tc>
          <w:tcPr>
            <w:tcW w:w="842" w:type="pct"/>
            <w:tcBorders>
              <w:top w:val="nil"/>
              <w:left w:val="nil"/>
              <w:bottom w:val="nil"/>
              <w:right w:val="nil"/>
            </w:tcBorders>
            <w:shd w:val="clear" w:color="auto" w:fill="006432"/>
            <w:vAlign w:val="center"/>
          </w:tcPr>
          <w:p w14:paraId="7C52A37F" w14:textId="77777777" w:rsidR="00CF7A3C" w:rsidRPr="008924E0" w:rsidRDefault="00CF7A3C" w:rsidP="000B085B">
            <w:pPr>
              <w:rPr>
                <w:rFonts w:ascii="Calibri" w:eastAsia="Calibri" w:hAnsi="Calibri" w:cs="Calibri"/>
                <w:b/>
                <w:color w:val="FFFFFF"/>
                <w:lang w:val="bs-Latn-BA"/>
              </w:rPr>
            </w:pPr>
            <w:r w:rsidRPr="008924E0">
              <w:rPr>
                <w:rFonts w:ascii="Calibri" w:eastAsia="Calibri" w:hAnsi="Calibri" w:cs="Calibri"/>
                <w:b/>
                <w:color w:val="FFFFFF"/>
                <w:lang w:val="bs-Latn-BA"/>
              </w:rPr>
              <w:t xml:space="preserve"> Period izgradnje </w:t>
            </w:r>
          </w:p>
        </w:tc>
        <w:tc>
          <w:tcPr>
            <w:tcW w:w="549" w:type="pct"/>
            <w:tcBorders>
              <w:top w:val="nil"/>
              <w:left w:val="nil"/>
              <w:bottom w:val="nil"/>
              <w:right w:val="nil"/>
            </w:tcBorders>
            <w:shd w:val="clear" w:color="auto" w:fill="006432"/>
            <w:vAlign w:val="center"/>
          </w:tcPr>
          <w:p w14:paraId="09572C16" w14:textId="77777777" w:rsidR="00CF7A3C" w:rsidRPr="008924E0" w:rsidRDefault="00CF7A3C" w:rsidP="000B085B">
            <w:pPr>
              <w:rPr>
                <w:rFonts w:ascii="Calibri" w:eastAsia="Calibri" w:hAnsi="Calibri" w:cs="Calibri"/>
                <w:b/>
                <w:color w:val="FFFFFF"/>
                <w:sz w:val="16"/>
                <w:szCs w:val="16"/>
                <w:lang w:val="bs-Latn-BA"/>
              </w:rPr>
            </w:pPr>
            <w:r w:rsidRPr="008924E0">
              <w:rPr>
                <w:b/>
                <w:color w:val="FFFFFF"/>
                <w:sz w:val="16"/>
                <w:szCs w:val="16"/>
                <w:lang w:val="bs-Latn-BA"/>
              </w:rPr>
              <w:t>Obdanište</w:t>
            </w:r>
          </w:p>
        </w:tc>
        <w:tc>
          <w:tcPr>
            <w:tcW w:w="616" w:type="pct"/>
            <w:tcBorders>
              <w:top w:val="nil"/>
              <w:left w:val="nil"/>
              <w:bottom w:val="nil"/>
              <w:right w:val="nil"/>
            </w:tcBorders>
            <w:shd w:val="clear" w:color="auto" w:fill="006432"/>
            <w:vAlign w:val="center"/>
          </w:tcPr>
          <w:p w14:paraId="7042FFA9" w14:textId="77777777" w:rsidR="00CF7A3C" w:rsidRPr="008924E0" w:rsidRDefault="00CF7A3C" w:rsidP="000B085B">
            <w:pPr>
              <w:rPr>
                <w:rFonts w:ascii="Calibri" w:eastAsia="Calibri" w:hAnsi="Calibri" w:cs="Calibri"/>
                <w:b/>
                <w:color w:val="FFFFFF"/>
                <w:sz w:val="16"/>
                <w:szCs w:val="16"/>
                <w:lang w:val="bs-Latn-BA"/>
              </w:rPr>
            </w:pPr>
            <w:r w:rsidRPr="008924E0">
              <w:rPr>
                <w:b/>
                <w:color w:val="FFFFFF"/>
                <w:sz w:val="16"/>
                <w:szCs w:val="16"/>
                <w:lang w:val="bs-Latn-BA"/>
              </w:rPr>
              <w:t>Obrazov.</w:t>
            </w:r>
          </w:p>
        </w:tc>
        <w:tc>
          <w:tcPr>
            <w:tcW w:w="548" w:type="pct"/>
            <w:tcBorders>
              <w:top w:val="nil"/>
              <w:left w:val="nil"/>
              <w:bottom w:val="nil"/>
              <w:right w:val="nil"/>
            </w:tcBorders>
            <w:shd w:val="clear" w:color="auto" w:fill="006432"/>
            <w:vAlign w:val="center"/>
          </w:tcPr>
          <w:p w14:paraId="5556F506" w14:textId="77777777" w:rsidR="00CF7A3C" w:rsidRPr="008924E0" w:rsidRDefault="00CF7A3C" w:rsidP="000B085B">
            <w:pPr>
              <w:rPr>
                <w:rFonts w:ascii="Calibri" w:eastAsia="Calibri" w:hAnsi="Calibri" w:cs="Calibri"/>
                <w:b/>
                <w:color w:val="FFFFFF"/>
                <w:sz w:val="16"/>
                <w:szCs w:val="16"/>
                <w:lang w:val="bs-Latn-BA"/>
              </w:rPr>
            </w:pPr>
            <w:r w:rsidRPr="008924E0">
              <w:rPr>
                <w:b/>
                <w:color w:val="FFFFFF"/>
                <w:sz w:val="16"/>
                <w:szCs w:val="16"/>
                <w:lang w:val="bs-Latn-BA"/>
              </w:rPr>
              <w:t>Zdravstvo</w:t>
            </w:r>
          </w:p>
        </w:tc>
        <w:tc>
          <w:tcPr>
            <w:tcW w:w="568" w:type="pct"/>
            <w:tcBorders>
              <w:top w:val="nil"/>
              <w:left w:val="nil"/>
              <w:bottom w:val="nil"/>
              <w:right w:val="nil"/>
            </w:tcBorders>
            <w:shd w:val="clear" w:color="auto" w:fill="006432"/>
            <w:vAlign w:val="center"/>
          </w:tcPr>
          <w:p w14:paraId="0402C020" w14:textId="77777777" w:rsidR="00CF7A3C" w:rsidRPr="008924E0" w:rsidRDefault="00CF7A3C" w:rsidP="000B085B">
            <w:pPr>
              <w:rPr>
                <w:rFonts w:ascii="Calibri" w:eastAsia="Calibri" w:hAnsi="Calibri" w:cs="Calibri"/>
                <w:b/>
                <w:color w:val="FFFFFF"/>
                <w:sz w:val="16"/>
                <w:szCs w:val="16"/>
                <w:lang w:val="bs-Latn-BA"/>
              </w:rPr>
            </w:pPr>
            <w:r w:rsidRPr="008924E0">
              <w:rPr>
                <w:b/>
                <w:color w:val="FFFFFF"/>
                <w:sz w:val="16"/>
                <w:szCs w:val="16"/>
                <w:lang w:val="bs-Latn-BA"/>
              </w:rPr>
              <w:t>Sport</w:t>
            </w:r>
          </w:p>
        </w:tc>
        <w:tc>
          <w:tcPr>
            <w:tcW w:w="568" w:type="pct"/>
            <w:tcBorders>
              <w:top w:val="nil"/>
              <w:left w:val="nil"/>
              <w:bottom w:val="nil"/>
              <w:right w:val="nil"/>
            </w:tcBorders>
            <w:shd w:val="clear" w:color="auto" w:fill="006432"/>
            <w:vAlign w:val="center"/>
          </w:tcPr>
          <w:p w14:paraId="78913009" w14:textId="77777777" w:rsidR="00CF7A3C" w:rsidRPr="008924E0" w:rsidRDefault="00CF7A3C" w:rsidP="000B085B">
            <w:pPr>
              <w:rPr>
                <w:rFonts w:ascii="Calibri" w:eastAsia="Calibri" w:hAnsi="Calibri" w:cs="Calibri"/>
                <w:b/>
                <w:color w:val="FFFFFF"/>
                <w:sz w:val="16"/>
                <w:szCs w:val="16"/>
                <w:lang w:val="bs-Latn-BA"/>
              </w:rPr>
            </w:pPr>
            <w:r w:rsidRPr="008924E0">
              <w:rPr>
                <w:b/>
                <w:color w:val="FFFFFF"/>
                <w:sz w:val="16"/>
                <w:szCs w:val="16"/>
                <w:lang w:val="bs-Latn-BA"/>
              </w:rPr>
              <w:t>Kultura</w:t>
            </w:r>
          </w:p>
        </w:tc>
        <w:tc>
          <w:tcPr>
            <w:tcW w:w="725" w:type="pct"/>
            <w:tcBorders>
              <w:top w:val="nil"/>
              <w:left w:val="nil"/>
              <w:bottom w:val="nil"/>
              <w:right w:val="nil"/>
            </w:tcBorders>
            <w:shd w:val="clear" w:color="auto" w:fill="006432"/>
            <w:vAlign w:val="center"/>
          </w:tcPr>
          <w:p w14:paraId="74ECD41C" w14:textId="77777777" w:rsidR="00CF7A3C" w:rsidRPr="008924E0" w:rsidRDefault="00CF7A3C" w:rsidP="000B085B">
            <w:pPr>
              <w:rPr>
                <w:rFonts w:ascii="Calibri" w:eastAsia="Calibri" w:hAnsi="Calibri" w:cs="Calibri"/>
                <w:b/>
                <w:color w:val="FFFFFF"/>
                <w:sz w:val="16"/>
                <w:szCs w:val="16"/>
                <w:lang w:val="bs-Latn-BA"/>
              </w:rPr>
            </w:pPr>
            <w:r w:rsidRPr="008924E0">
              <w:rPr>
                <w:b/>
                <w:color w:val="FFFFFF"/>
                <w:sz w:val="16"/>
                <w:szCs w:val="16"/>
                <w:lang w:val="bs-Latn-BA"/>
              </w:rPr>
              <w:t>Administrat.</w:t>
            </w:r>
          </w:p>
        </w:tc>
        <w:tc>
          <w:tcPr>
            <w:tcW w:w="583" w:type="pct"/>
            <w:tcBorders>
              <w:top w:val="nil"/>
              <w:left w:val="nil"/>
              <w:bottom w:val="nil"/>
              <w:right w:val="nil"/>
            </w:tcBorders>
            <w:shd w:val="clear" w:color="auto" w:fill="006432"/>
            <w:vAlign w:val="center"/>
          </w:tcPr>
          <w:p w14:paraId="3C922657" w14:textId="77777777" w:rsidR="00CF7A3C" w:rsidRPr="008924E0" w:rsidRDefault="00CF7A3C" w:rsidP="000B085B">
            <w:pPr>
              <w:rPr>
                <w:rFonts w:ascii="Calibri" w:eastAsia="Calibri" w:hAnsi="Calibri" w:cs="Calibri"/>
                <w:b/>
                <w:color w:val="FFFFFF"/>
                <w:sz w:val="16"/>
                <w:szCs w:val="16"/>
                <w:lang w:val="bs-Latn-BA"/>
              </w:rPr>
            </w:pPr>
            <w:r w:rsidRPr="008924E0">
              <w:rPr>
                <w:b/>
                <w:color w:val="FFFFFF"/>
                <w:sz w:val="16"/>
                <w:szCs w:val="16"/>
                <w:lang w:val="bs-Latn-BA"/>
              </w:rPr>
              <w:t>Cjelodnevni bor.</w:t>
            </w:r>
          </w:p>
        </w:tc>
      </w:tr>
      <w:tr w:rsidR="00CF7A3C" w:rsidRPr="008924E0" w14:paraId="46281D5F" w14:textId="77777777" w:rsidTr="000B085B">
        <w:trPr>
          <w:trHeight w:val="432"/>
          <w:jc w:val="center"/>
        </w:trPr>
        <w:tc>
          <w:tcPr>
            <w:tcW w:w="842" w:type="pct"/>
            <w:tcBorders>
              <w:top w:val="single" w:sz="12" w:space="0" w:color="FFFFFF"/>
              <w:left w:val="nil"/>
              <w:bottom w:val="single" w:sz="12" w:space="0" w:color="FFFFFF"/>
              <w:right w:val="single" w:sz="12" w:space="0" w:color="FFFFFF"/>
            </w:tcBorders>
            <w:shd w:val="clear" w:color="auto" w:fill="E9E9E9"/>
            <w:vAlign w:val="center"/>
          </w:tcPr>
          <w:p w14:paraId="198C7985" w14:textId="77777777" w:rsidR="00CF7A3C" w:rsidRPr="008924E0" w:rsidRDefault="00CF7A3C" w:rsidP="000B085B">
            <w:pPr>
              <w:rPr>
                <w:rFonts w:ascii="Calibri" w:eastAsia="Calibri" w:hAnsi="Calibri" w:cs="Calibri"/>
                <w:b/>
                <w:lang w:val="bs-Latn-BA"/>
              </w:rPr>
            </w:pPr>
            <w:r w:rsidRPr="008924E0">
              <w:rPr>
                <w:rFonts w:ascii="Calibri" w:eastAsia="Calibri" w:hAnsi="Calibri" w:cs="Calibri"/>
                <w:b/>
                <w:lang w:val="bs-Latn-BA"/>
              </w:rPr>
              <w:t>do 1945.</w:t>
            </w:r>
          </w:p>
        </w:tc>
        <w:tc>
          <w:tcPr>
            <w:tcW w:w="549" w:type="pct"/>
            <w:tcBorders>
              <w:top w:val="single" w:sz="12" w:space="0" w:color="FFFFFF"/>
              <w:left w:val="nil"/>
              <w:bottom w:val="single" w:sz="12" w:space="0" w:color="FFFFFF"/>
              <w:right w:val="single" w:sz="12" w:space="0" w:color="FFFFFF"/>
            </w:tcBorders>
            <w:shd w:val="clear" w:color="auto" w:fill="63BE7B"/>
            <w:vAlign w:val="center"/>
          </w:tcPr>
          <w:p w14:paraId="3D1EA9F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 </w:t>
            </w:r>
          </w:p>
        </w:tc>
        <w:tc>
          <w:tcPr>
            <w:tcW w:w="616" w:type="pct"/>
            <w:tcBorders>
              <w:top w:val="single" w:sz="12" w:space="0" w:color="FFFFFF"/>
              <w:left w:val="nil"/>
              <w:bottom w:val="single" w:sz="12" w:space="0" w:color="FFFFFF"/>
              <w:right w:val="single" w:sz="12" w:space="0" w:color="FFFFFF"/>
            </w:tcBorders>
            <w:shd w:val="clear" w:color="auto" w:fill="FFE283"/>
            <w:vAlign w:val="center"/>
          </w:tcPr>
          <w:p w14:paraId="5C6B9A4F"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160/G</w:t>
            </w:r>
          </w:p>
        </w:tc>
        <w:tc>
          <w:tcPr>
            <w:tcW w:w="548" w:type="pct"/>
            <w:tcBorders>
              <w:top w:val="single" w:sz="12" w:space="0" w:color="FFFFFF"/>
              <w:left w:val="nil"/>
              <w:bottom w:val="single" w:sz="12" w:space="0" w:color="FFFFFF"/>
              <w:right w:val="single" w:sz="12" w:space="0" w:color="FFFFFF"/>
            </w:tcBorders>
            <w:shd w:val="clear" w:color="auto" w:fill="8BC97D"/>
            <w:vAlign w:val="center"/>
          </w:tcPr>
          <w:p w14:paraId="270BB546"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172/E</w:t>
            </w:r>
          </w:p>
        </w:tc>
        <w:tc>
          <w:tcPr>
            <w:tcW w:w="568" w:type="pct"/>
            <w:tcBorders>
              <w:top w:val="single" w:sz="12" w:space="0" w:color="FFFFFF"/>
              <w:left w:val="nil"/>
              <w:bottom w:val="single" w:sz="12" w:space="0" w:color="FFFFFF"/>
              <w:right w:val="single" w:sz="12" w:space="0" w:color="FFFFFF"/>
            </w:tcBorders>
            <w:shd w:val="clear" w:color="auto" w:fill="63BE7B"/>
            <w:vAlign w:val="center"/>
          </w:tcPr>
          <w:p w14:paraId="0735F97A"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 </w:t>
            </w:r>
          </w:p>
        </w:tc>
        <w:tc>
          <w:tcPr>
            <w:tcW w:w="568" w:type="pct"/>
            <w:tcBorders>
              <w:top w:val="single" w:sz="12" w:space="0" w:color="FFFFFF"/>
              <w:left w:val="nil"/>
              <w:bottom w:val="single" w:sz="12" w:space="0" w:color="FFFFFF"/>
              <w:right w:val="single" w:sz="12" w:space="0" w:color="FFFFFF"/>
            </w:tcBorders>
            <w:shd w:val="clear" w:color="auto" w:fill="DAE081"/>
            <w:vAlign w:val="center"/>
          </w:tcPr>
          <w:p w14:paraId="3CB075E4"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231/G</w:t>
            </w:r>
          </w:p>
        </w:tc>
        <w:tc>
          <w:tcPr>
            <w:tcW w:w="725" w:type="pct"/>
            <w:tcBorders>
              <w:top w:val="single" w:sz="12" w:space="0" w:color="FFFFFF"/>
              <w:left w:val="nil"/>
              <w:bottom w:val="single" w:sz="12" w:space="0" w:color="FFFFFF"/>
              <w:right w:val="single" w:sz="12" w:space="0" w:color="FFFFFF"/>
            </w:tcBorders>
            <w:shd w:val="clear" w:color="auto" w:fill="FFDB81"/>
            <w:vAlign w:val="center"/>
          </w:tcPr>
          <w:p w14:paraId="58A78AF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163/G</w:t>
            </w:r>
          </w:p>
        </w:tc>
        <w:tc>
          <w:tcPr>
            <w:tcW w:w="583" w:type="pct"/>
            <w:tcBorders>
              <w:top w:val="single" w:sz="12" w:space="0" w:color="FFFFFF"/>
              <w:left w:val="nil"/>
              <w:bottom w:val="single" w:sz="12" w:space="0" w:color="FFFFFF"/>
              <w:right w:val="nil"/>
            </w:tcBorders>
            <w:shd w:val="clear" w:color="auto" w:fill="63BE7B"/>
            <w:vAlign w:val="center"/>
          </w:tcPr>
          <w:p w14:paraId="2E8BD99D"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 </w:t>
            </w:r>
          </w:p>
        </w:tc>
      </w:tr>
      <w:tr w:rsidR="00CF7A3C" w:rsidRPr="008924E0" w14:paraId="1A9E538A" w14:textId="77777777" w:rsidTr="000B085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0BFBAE57" w14:textId="77777777" w:rsidR="00CF7A3C" w:rsidRPr="008924E0" w:rsidRDefault="00CF7A3C" w:rsidP="000B085B">
            <w:pPr>
              <w:rPr>
                <w:rFonts w:ascii="Calibri" w:eastAsia="Calibri" w:hAnsi="Calibri" w:cs="Calibri"/>
                <w:b/>
                <w:lang w:val="bs-Latn-BA"/>
              </w:rPr>
            </w:pPr>
            <w:r w:rsidRPr="008924E0">
              <w:rPr>
                <w:rFonts w:ascii="Calibri" w:eastAsia="Calibri" w:hAnsi="Calibri" w:cs="Calibri"/>
                <w:b/>
                <w:lang w:val="bs-Latn-BA"/>
              </w:rPr>
              <w:t>1946.-1965.</w:t>
            </w:r>
          </w:p>
        </w:tc>
        <w:tc>
          <w:tcPr>
            <w:tcW w:w="549" w:type="pct"/>
            <w:tcBorders>
              <w:top w:val="nil"/>
              <w:left w:val="nil"/>
              <w:bottom w:val="single" w:sz="12" w:space="0" w:color="FFFFFF"/>
              <w:right w:val="single" w:sz="12" w:space="0" w:color="FFFFFF"/>
            </w:tcBorders>
            <w:shd w:val="clear" w:color="auto" w:fill="73C27B"/>
            <w:vAlign w:val="center"/>
          </w:tcPr>
          <w:p w14:paraId="515BF780"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255/G</w:t>
            </w:r>
          </w:p>
        </w:tc>
        <w:tc>
          <w:tcPr>
            <w:tcW w:w="616" w:type="pct"/>
            <w:tcBorders>
              <w:top w:val="nil"/>
              <w:left w:val="nil"/>
              <w:bottom w:val="single" w:sz="12" w:space="0" w:color="FFFFFF"/>
              <w:right w:val="single" w:sz="12" w:space="0" w:color="FFFFFF"/>
            </w:tcBorders>
            <w:shd w:val="clear" w:color="auto" w:fill="FA8270"/>
            <w:vAlign w:val="center"/>
          </w:tcPr>
          <w:p w14:paraId="5032D6AB"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183/G</w:t>
            </w:r>
          </w:p>
        </w:tc>
        <w:tc>
          <w:tcPr>
            <w:tcW w:w="548" w:type="pct"/>
            <w:tcBorders>
              <w:top w:val="nil"/>
              <w:left w:val="nil"/>
              <w:bottom w:val="single" w:sz="12" w:space="0" w:color="FFFFFF"/>
              <w:right w:val="single" w:sz="12" w:space="0" w:color="FFFFFF"/>
            </w:tcBorders>
            <w:shd w:val="clear" w:color="auto" w:fill="FFE383"/>
            <w:vAlign w:val="center"/>
          </w:tcPr>
          <w:p w14:paraId="496250E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188/E</w:t>
            </w:r>
          </w:p>
        </w:tc>
        <w:tc>
          <w:tcPr>
            <w:tcW w:w="568" w:type="pct"/>
            <w:tcBorders>
              <w:top w:val="nil"/>
              <w:left w:val="nil"/>
              <w:bottom w:val="single" w:sz="12" w:space="0" w:color="FFFFFF"/>
              <w:right w:val="single" w:sz="12" w:space="0" w:color="FFFFFF"/>
            </w:tcBorders>
            <w:shd w:val="clear" w:color="auto" w:fill="FFE483"/>
            <w:vAlign w:val="center"/>
          </w:tcPr>
          <w:p w14:paraId="5BC6DEF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356/D</w:t>
            </w:r>
          </w:p>
        </w:tc>
        <w:tc>
          <w:tcPr>
            <w:tcW w:w="568" w:type="pct"/>
            <w:tcBorders>
              <w:top w:val="nil"/>
              <w:left w:val="nil"/>
              <w:bottom w:val="single" w:sz="12" w:space="0" w:color="FFFFFF"/>
              <w:right w:val="single" w:sz="12" w:space="0" w:color="FFFFFF"/>
            </w:tcBorders>
            <w:shd w:val="clear" w:color="auto" w:fill="FFE082"/>
            <w:vAlign w:val="center"/>
          </w:tcPr>
          <w:p w14:paraId="7764D89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251/G</w:t>
            </w:r>
          </w:p>
        </w:tc>
        <w:tc>
          <w:tcPr>
            <w:tcW w:w="725" w:type="pct"/>
            <w:tcBorders>
              <w:top w:val="nil"/>
              <w:left w:val="nil"/>
              <w:bottom w:val="single" w:sz="12" w:space="0" w:color="FFFFFF"/>
              <w:right w:val="single" w:sz="12" w:space="0" w:color="FFFFFF"/>
            </w:tcBorders>
            <w:shd w:val="clear" w:color="auto" w:fill="FCA477"/>
            <w:vAlign w:val="center"/>
          </w:tcPr>
          <w:p w14:paraId="72D6D6E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180/G</w:t>
            </w:r>
          </w:p>
        </w:tc>
        <w:tc>
          <w:tcPr>
            <w:tcW w:w="583" w:type="pct"/>
            <w:tcBorders>
              <w:top w:val="nil"/>
              <w:left w:val="nil"/>
              <w:bottom w:val="single" w:sz="12" w:space="0" w:color="FFFFFF"/>
              <w:right w:val="nil"/>
            </w:tcBorders>
            <w:shd w:val="clear" w:color="auto" w:fill="FFDC81"/>
            <w:vAlign w:val="center"/>
          </w:tcPr>
          <w:p w14:paraId="37001E7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176/G</w:t>
            </w:r>
          </w:p>
        </w:tc>
      </w:tr>
      <w:tr w:rsidR="00CF7A3C" w:rsidRPr="008924E0" w14:paraId="0F4E5689" w14:textId="77777777" w:rsidTr="000B085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46F79C77" w14:textId="77777777" w:rsidR="00CF7A3C" w:rsidRPr="008924E0" w:rsidRDefault="00CF7A3C" w:rsidP="000B085B">
            <w:pPr>
              <w:rPr>
                <w:rFonts w:ascii="Calibri" w:eastAsia="Calibri" w:hAnsi="Calibri" w:cs="Calibri"/>
                <w:b/>
                <w:lang w:val="bs-Latn-BA"/>
              </w:rPr>
            </w:pPr>
            <w:r w:rsidRPr="008924E0">
              <w:rPr>
                <w:rFonts w:ascii="Calibri" w:eastAsia="Calibri" w:hAnsi="Calibri" w:cs="Calibri"/>
                <w:b/>
                <w:lang w:val="bs-Latn-BA"/>
              </w:rPr>
              <w:t>1966.-1973.</w:t>
            </w:r>
          </w:p>
        </w:tc>
        <w:tc>
          <w:tcPr>
            <w:tcW w:w="549" w:type="pct"/>
            <w:tcBorders>
              <w:top w:val="nil"/>
              <w:left w:val="nil"/>
              <w:bottom w:val="single" w:sz="12" w:space="0" w:color="FFFFFF"/>
              <w:right w:val="single" w:sz="12" w:space="0" w:color="FFFFFF"/>
            </w:tcBorders>
            <w:shd w:val="clear" w:color="auto" w:fill="9FCF7E"/>
            <w:vAlign w:val="center"/>
          </w:tcPr>
          <w:p w14:paraId="243A5813"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219/G</w:t>
            </w:r>
          </w:p>
        </w:tc>
        <w:tc>
          <w:tcPr>
            <w:tcW w:w="616" w:type="pct"/>
            <w:tcBorders>
              <w:top w:val="nil"/>
              <w:left w:val="nil"/>
              <w:bottom w:val="single" w:sz="12" w:space="0" w:color="FFFFFF"/>
              <w:right w:val="single" w:sz="12" w:space="0" w:color="FFFFFF"/>
            </w:tcBorders>
            <w:shd w:val="clear" w:color="auto" w:fill="FBA076"/>
            <w:vAlign w:val="center"/>
          </w:tcPr>
          <w:p w14:paraId="6D51986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181/G</w:t>
            </w:r>
          </w:p>
        </w:tc>
        <w:tc>
          <w:tcPr>
            <w:tcW w:w="548" w:type="pct"/>
            <w:tcBorders>
              <w:top w:val="nil"/>
              <w:left w:val="nil"/>
              <w:bottom w:val="single" w:sz="12" w:space="0" w:color="FFFFFF"/>
              <w:right w:val="single" w:sz="12" w:space="0" w:color="FFFFFF"/>
            </w:tcBorders>
            <w:shd w:val="clear" w:color="auto" w:fill="F8E983"/>
            <w:vAlign w:val="center"/>
          </w:tcPr>
          <w:p w14:paraId="6E4FCC61"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183/E</w:t>
            </w:r>
          </w:p>
        </w:tc>
        <w:tc>
          <w:tcPr>
            <w:tcW w:w="568" w:type="pct"/>
            <w:tcBorders>
              <w:top w:val="nil"/>
              <w:left w:val="nil"/>
              <w:bottom w:val="single" w:sz="12" w:space="0" w:color="FFFFFF"/>
              <w:right w:val="single" w:sz="12" w:space="0" w:color="FFFFFF"/>
            </w:tcBorders>
            <w:shd w:val="clear" w:color="auto" w:fill="FFEA84"/>
            <w:vAlign w:val="center"/>
          </w:tcPr>
          <w:p w14:paraId="06608AEB"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318/D</w:t>
            </w:r>
          </w:p>
        </w:tc>
        <w:tc>
          <w:tcPr>
            <w:tcW w:w="568" w:type="pct"/>
            <w:tcBorders>
              <w:top w:val="nil"/>
              <w:left w:val="nil"/>
              <w:bottom w:val="single" w:sz="12" w:space="0" w:color="FFFFFF"/>
              <w:right w:val="single" w:sz="12" w:space="0" w:color="FFFFFF"/>
            </w:tcBorders>
            <w:shd w:val="clear" w:color="auto" w:fill="98CD7E"/>
            <w:vAlign w:val="center"/>
          </w:tcPr>
          <w:p w14:paraId="40BE1F94"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242/G</w:t>
            </w:r>
          </w:p>
        </w:tc>
        <w:tc>
          <w:tcPr>
            <w:tcW w:w="725" w:type="pct"/>
            <w:tcBorders>
              <w:top w:val="nil"/>
              <w:left w:val="nil"/>
              <w:bottom w:val="single" w:sz="12" w:space="0" w:color="FFFFFF"/>
              <w:right w:val="single" w:sz="12" w:space="0" w:color="FFFFFF"/>
            </w:tcBorders>
            <w:shd w:val="clear" w:color="auto" w:fill="FFDB81"/>
            <w:vAlign w:val="center"/>
          </w:tcPr>
          <w:p w14:paraId="58CE522C"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166/G</w:t>
            </w:r>
          </w:p>
        </w:tc>
        <w:tc>
          <w:tcPr>
            <w:tcW w:w="583" w:type="pct"/>
            <w:tcBorders>
              <w:top w:val="nil"/>
              <w:left w:val="nil"/>
              <w:bottom w:val="single" w:sz="12" w:space="0" w:color="FFFFFF"/>
              <w:right w:val="nil"/>
            </w:tcBorders>
            <w:shd w:val="clear" w:color="auto" w:fill="FFE884"/>
            <w:vAlign w:val="center"/>
          </w:tcPr>
          <w:p w14:paraId="7E3340EA"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160/G</w:t>
            </w:r>
          </w:p>
        </w:tc>
      </w:tr>
      <w:tr w:rsidR="00CF7A3C" w:rsidRPr="008924E0" w14:paraId="36158D65" w14:textId="77777777" w:rsidTr="000B085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4B5A6D42" w14:textId="77777777" w:rsidR="00CF7A3C" w:rsidRPr="008924E0" w:rsidRDefault="00CF7A3C" w:rsidP="000B085B">
            <w:pPr>
              <w:rPr>
                <w:rFonts w:ascii="Calibri" w:eastAsia="Calibri" w:hAnsi="Calibri" w:cs="Calibri"/>
                <w:b/>
                <w:lang w:val="bs-Latn-BA"/>
              </w:rPr>
            </w:pPr>
            <w:r w:rsidRPr="008924E0">
              <w:rPr>
                <w:rFonts w:ascii="Calibri" w:eastAsia="Calibri" w:hAnsi="Calibri" w:cs="Calibri"/>
                <w:b/>
                <w:lang w:val="bs-Latn-BA"/>
              </w:rPr>
              <w:t>1974.-1987.</w:t>
            </w:r>
          </w:p>
        </w:tc>
        <w:tc>
          <w:tcPr>
            <w:tcW w:w="549" w:type="pct"/>
            <w:tcBorders>
              <w:top w:val="nil"/>
              <w:left w:val="nil"/>
              <w:bottom w:val="single" w:sz="12" w:space="0" w:color="FFFFFF"/>
              <w:right w:val="single" w:sz="12" w:space="0" w:color="FFFFFF"/>
            </w:tcBorders>
            <w:shd w:val="clear" w:color="auto" w:fill="FFEB84"/>
            <w:vAlign w:val="center"/>
          </w:tcPr>
          <w:p w14:paraId="671E4C40"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249/G</w:t>
            </w:r>
          </w:p>
        </w:tc>
        <w:tc>
          <w:tcPr>
            <w:tcW w:w="616" w:type="pct"/>
            <w:tcBorders>
              <w:top w:val="nil"/>
              <w:left w:val="nil"/>
              <w:bottom w:val="single" w:sz="12" w:space="0" w:color="FFFFFF"/>
              <w:right w:val="single" w:sz="12" w:space="0" w:color="FFFFFF"/>
            </w:tcBorders>
            <w:shd w:val="clear" w:color="auto" w:fill="F8696B"/>
            <w:vAlign w:val="center"/>
          </w:tcPr>
          <w:p w14:paraId="106013D6"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180/G</w:t>
            </w:r>
          </w:p>
        </w:tc>
        <w:tc>
          <w:tcPr>
            <w:tcW w:w="548" w:type="pct"/>
            <w:tcBorders>
              <w:top w:val="nil"/>
              <w:left w:val="nil"/>
              <w:bottom w:val="single" w:sz="12" w:space="0" w:color="FFFFFF"/>
              <w:right w:val="single" w:sz="12" w:space="0" w:color="FFFFFF"/>
            </w:tcBorders>
            <w:shd w:val="clear" w:color="auto" w:fill="FB9C75"/>
            <w:vAlign w:val="center"/>
          </w:tcPr>
          <w:p w14:paraId="50E5B163"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195/F</w:t>
            </w:r>
          </w:p>
        </w:tc>
        <w:tc>
          <w:tcPr>
            <w:tcW w:w="568" w:type="pct"/>
            <w:tcBorders>
              <w:top w:val="nil"/>
              <w:left w:val="nil"/>
              <w:bottom w:val="single" w:sz="12" w:space="0" w:color="FFFFFF"/>
              <w:right w:val="single" w:sz="12" w:space="0" w:color="FFFFFF"/>
            </w:tcBorders>
            <w:shd w:val="clear" w:color="auto" w:fill="FECF7F"/>
            <w:vAlign w:val="center"/>
          </w:tcPr>
          <w:p w14:paraId="16D30918"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277/D</w:t>
            </w:r>
          </w:p>
        </w:tc>
        <w:tc>
          <w:tcPr>
            <w:tcW w:w="568" w:type="pct"/>
            <w:tcBorders>
              <w:top w:val="nil"/>
              <w:left w:val="nil"/>
              <w:bottom w:val="single" w:sz="12" w:space="0" w:color="FFFFFF"/>
              <w:right w:val="single" w:sz="12" w:space="0" w:color="FFFFFF"/>
            </w:tcBorders>
            <w:shd w:val="clear" w:color="auto" w:fill="FED17F"/>
            <w:vAlign w:val="center"/>
          </w:tcPr>
          <w:p w14:paraId="3910A74D"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246/G</w:t>
            </w:r>
          </w:p>
        </w:tc>
        <w:tc>
          <w:tcPr>
            <w:tcW w:w="725" w:type="pct"/>
            <w:tcBorders>
              <w:top w:val="nil"/>
              <w:left w:val="nil"/>
              <w:bottom w:val="single" w:sz="12" w:space="0" w:color="FFFFFF"/>
              <w:right w:val="single" w:sz="12" w:space="0" w:color="FFFFFF"/>
            </w:tcBorders>
            <w:shd w:val="clear" w:color="auto" w:fill="FA8D72"/>
            <w:vAlign w:val="center"/>
          </w:tcPr>
          <w:p w14:paraId="4EEEF6AF"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173/G</w:t>
            </w:r>
          </w:p>
        </w:tc>
        <w:tc>
          <w:tcPr>
            <w:tcW w:w="583" w:type="pct"/>
            <w:tcBorders>
              <w:top w:val="nil"/>
              <w:left w:val="nil"/>
              <w:bottom w:val="single" w:sz="12" w:space="0" w:color="FFFFFF"/>
              <w:right w:val="nil"/>
            </w:tcBorders>
            <w:shd w:val="clear" w:color="auto" w:fill="FB9B75"/>
            <w:vAlign w:val="center"/>
          </w:tcPr>
          <w:p w14:paraId="407A7CE1"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186/G</w:t>
            </w:r>
          </w:p>
        </w:tc>
      </w:tr>
      <w:tr w:rsidR="00CF7A3C" w:rsidRPr="008924E0" w14:paraId="0E3B3F48" w14:textId="77777777" w:rsidTr="000B085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73DE245E" w14:textId="77777777" w:rsidR="00CF7A3C" w:rsidRPr="008924E0" w:rsidRDefault="00CF7A3C" w:rsidP="000B085B">
            <w:pPr>
              <w:rPr>
                <w:rFonts w:ascii="Calibri" w:eastAsia="Calibri" w:hAnsi="Calibri" w:cs="Calibri"/>
                <w:b/>
                <w:lang w:val="bs-Latn-BA"/>
              </w:rPr>
            </w:pPr>
            <w:r w:rsidRPr="008924E0">
              <w:rPr>
                <w:rFonts w:ascii="Calibri" w:eastAsia="Calibri" w:hAnsi="Calibri" w:cs="Calibri"/>
                <w:b/>
                <w:lang w:val="bs-Latn-BA"/>
              </w:rPr>
              <w:t>1988.-2009.</w:t>
            </w:r>
          </w:p>
        </w:tc>
        <w:tc>
          <w:tcPr>
            <w:tcW w:w="549" w:type="pct"/>
            <w:tcBorders>
              <w:top w:val="nil"/>
              <w:left w:val="nil"/>
              <w:bottom w:val="single" w:sz="12" w:space="0" w:color="FFFFFF"/>
              <w:right w:val="single" w:sz="12" w:space="0" w:color="FFFFFF"/>
            </w:tcBorders>
            <w:shd w:val="clear" w:color="auto" w:fill="7CC57C"/>
            <w:vAlign w:val="center"/>
          </w:tcPr>
          <w:p w14:paraId="2C2631B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163/G</w:t>
            </w:r>
          </w:p>
        </w:tc>
        <w:tc>
          <w:tcPr>
            <w:tcW w:w="616" w:type="pct"/>
            <w:tcBorders>
              <w:top w:val="nil"/>
              <w:left w:val="nil"/>
              <w:bottom w:val="single" w:sz="12" w:space="0" w:color="FFFFFF"/>
              <w:right w:val="single" w:sz="12" w:space="0" w:color="FFFFFF"/>
            </w:tcBorders>
            <w:shd w:val="clear" w:color="auto" w:fill="FED480"/>
            <w:vAlign w:val="center"/>
          </w:tcPr>
          <w:p w14:paraId="504D43C4"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134/F</w:t>
            </w:r>
          </w:p>
        </w:tc>
        <w:tc>
          <w:tcPr>
            <w:tcW w:w="548" w:type="pct"/>
            <w:tcBorders>
              <w:top w:val="nil"/>
              <w:left w:val="nil"/>
              <w:bottom w:val="single" w:sz="12" w:space="0" w:color="FFFFFF"/>
              <w:right w:val="single" w:sz="12" w:space="0" w:color="FFFFFF"/>
            </w:tcBorders>
            <w:shd w:val="clear" w:color="auto" w:fill="FFE683"/>
            <w:vAlign w:val="center"/>
          </w:tcPr>
          <w:p w14:paraId="3F2DA8B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165/E</w:t>
            </w:r>
          </w:p>
        </w:tc>
        <w:tc>
          <w:tcPr>
            <w:tcW w:w="568" w:type="pct"/>
            <w:tcBorders>
              <w:top w:val="nil"/>
              <w:left w:val="nil"/>
              <w:bottom w:val="single" w:sz="12" w:space="0" w:color="FFFFFF"/>
              <w:right w:val="single" w:sz="12" w:space="0" w:color="FFFFFF"/>
            </w:tcBorders>
            <w:shd w:val="clear" w:color="auto" w:fill="FFE684"/>
            <w:vAlign w:val="center"/>
          </w:tcPr>
          <w:p w14:paraId="55AD7D1E"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258/C</w:t>
            </w:r>
          </w:p>
        </w:tc>
        <w:tc>
          <w:tcPr>
            <w:tcW w:w="568" w:type="pct"/>
            <w:tcBorders>
              <w:top w:val="nil"/>
              <w:left w:val="nil"/>
              <w:bottom w:val="single" w:sz="12" w:space="0" w:color="FFFFFF"/>
              <w:right w:val="single" w:sz="12" w:space="0" w:color="FFFFFF"/>
            </w:tcBorders>
            <w:shd w:val="clear" w:color="auto" w:fill="AED37F"/>
            <w:vAlign w:val="center"/>
          </w:tcPr>
          <w:p w14:paraId="7BA5DA8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145/E</w:t>
            </w:r>
          </w:p>
        </w:tc>
        <w:tc>
          <w:tcPr>
            <w:tcW w:w="725" w:type="pct"/>
            <w:tcBorders>
              <w:top w:val="nil"/>
              <w:left w:val="nil"/>
              <w:bottom w:val="single" w:sz="12" w:space="0" w:color="FFFFFF"/>
              <w:right w:val="single" w:sz="12" w:space="0" w:color="FFFFFF"/>
            </w:tcBorders>
            <w:shd w:val="clear" w:color="auto" w:fill="FDC47D"/>
            <w:vAlign w:val="center"/>
          </w:tcPr>
          <w:p w14:paraId="24BDB687"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125/D</w:t>
            </w:r>
          </w:p>
        </w:tc>
        <w:tc>
          <w:tcPr>
            <w:tcW w:w="583" w:type="pct"/>
            <w:tcBorders>
              <w:top w:val="nil"/>
              <w:left w:val="nil"/>
              <w:bottom w:val="single" w:sz="12" w:space="0" w:color="FFFFFF"/>
              <w:right w:val="nil"/>
            </w:tcBorders>
            <w:shd w:val="clear" w:color="auto" w:fill="FED380"/>
            <w:vAlign w:val="center"/>
          </w:tcPr>
          <w:p w14:paraId="1D101D28"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126/G</w:t>
            </w:r>
          </w:p>
        </w:tc>
      </w:tr>
      <w:tr w:rsidR="00CF7A3C" w:rsidRPr="008924E0" w14:paraId="0499DBC1" w14:textId="77777777" w:rsidTr="000B085B">
        <w:trPr>
          <w:trHeight w:val="312"/>
          <w:jc w:val="center"/>
        </w:trPr>
        <w:tc>
          <w:tcPr>
            <w:tcW w:w="842" w:type="pct"/>
            <w:tcBorders>
              <w:top w:val="nil"/>
              <w:left w:val="nil"/>
              <w:bottom w:val="single" w:sz="12" w:space="0" w:color="FFFFFF"/>
              <w:right w:val="single" w:sz="12" w:space="0" w:color="FFFFFF"/>
            </w:tcBorders>
            <w:shd w:val="clear" w:color="auto" w:fill="E9E9E9"/>
            <w:vAlign w:val="center"/>
          </w:tcPr>
          <w:p w14:paraId="11F76608" w14:textId="77777777" w:rsidR="00CF7A3C" w:rsidRPr="008924E0" w:rsidRDefault="00CF7A3C" w:rsidP="000B085B">
            <w:pPr>
              <w:rPr>
                <w:rFonts w:ascii="Calibri" w:eastAsia="Calibri" w:hAnsi="Calibri" w:cs="Calibri"/>
                <w:b/>
                <w:lang w:val="bs-Latn-BA"/>
              </w:rPr>
            </w:pPr>
            <w:r w:rsidRPr="008924E0">
              <w:rPr>
                <w:rFonts w:ascii="Calibri" w:eastAsia="Calibri" w:hAnsi="Calibri" w:cs="Calibri"/>
                <w:b/>
                <w:lang w:val="bs-Latn-BA"/>
              </w:rPr>
              <w:t>2010.-2016.</w:t>
            </w:r>
          </w:p>
        </w:tc>
        <w:tc>
          <w:tcPr>
            <w:tcW w:w="549" w:type="pct"/>
            <w:tcBorders>
              <w:top w:val="nil"/>
              <w:left w:val="nil"/>
              <w:bottom w:val="single" w:sz="12" w:space="0" w:color="FFFFFF"/>
              <w:right w:val="single" w:sz="12" w:space="0" w:color="FFFFFF"/>
            </w:tcBorders>
            <w:shd w:val="clear" w:color="auto" w:fill="7CC57C"/>
            <w:vAlign w:val="center"/>
          </w:tcPr>
          <w:p w14:paraId="5B11EF36"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143/G</w:t>
            </w:r>
          </w:p>
        </w:tc>
        <w:tc>
          <w:tcPr>
            <w:tcW w:w="616" w:type="pct"/>
            <w:tcBorders>
              <w:top w:val="nil"/>
              <w:left w:val="nil"/>
              <w:bottom w:val="single" w:sz="12" w:space="0" w:color="FFFFFF"/>
              <w:right w:val="single" w:sz="12" w:space="0" w:color="FFFFFF"/>
            </w:tcBorders>
            <w:shd w:val="clear" w:color="auto" w:fill="91CB7D"/>
            <w:vAlign w:val="center"/>
          </w:tcPr>
          <w:p w14:paraId="5A12CE3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93/D</w:t>
            </w:r>
          </w:p>
        </w:tc>
        <w:tc>
          <w:tcPr>
            <w:tcW w:w="548" w:type="pct"/>
            <w:tcBorders>
              <w:top w:val="nil"/>
              <w:left w:val="nil"/>
              <w:bottom w:val="single" w:sz="12" w:space="0" w:color="FFFFFF"/>
              <w:right w:val="single" w:sz="12" w:space="0" w:color="FFFFFF"/>
            </w:tcBorders>
            <w:shd w:val="clear" w:color="auto" w:fill="63BE7B"/>
            <w:vAlign w:val="center"/>
          </w:tcPr>
          <w:p w14:paraId="1E7D3D5E" w14:textId="77777777" w:rsidR="00CF7A3C" w:rsidRPr="008924E0" w:rsidRDefault="00CF7A3C" w:rsidP="000B085B">
            <w:pPr>
              <w:jc w:val="right"/>
              <w:rPr>
                <w:rFonts w:ascii="Calibri" w:eastAsia="Calibri" w:hAnsi="Calibri" w:cs="Calibri"/>
                <w:lang w:val="bs-Latn-BA"/>
              </w:rPr>
            </w:pPr>
          </w:p>
        </w:tc>
        <w:tc>
          <w:tcPr>
            <w:tcW w:w="568" w:type="pct"/>
            <w:tcBorders>
              <w:top w:val="nil"/>
              <w:left w:val="nil"/>
              <w:bottom w:val="single" w:sz="12" w:space="0" w:color="FFFFFF"/>
              <w:right w:val="single" w:sz="12" w:space="0" w:color="FFFFFF"/>
            </w:tcBorders>
            <w:shd w:val="clear" w:color="auto" w:fill="FFE383"/>
            <w:vAlign w:val="center"/>
          </w:tcPr>
          <w:p w14:paraId="45A7F386"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268/D</w:t>
            </w:r>
          </w:p>
        </w:tc>
        <w:tc>
          <w:tcPr>
            <w:tcW w:w="568" w:type="pct"/>
            <w:tcBorders>
              <w:top w:val="nil"/>
              <w:left w:val="nil"/>
              <w:bottom w:val="single" w:sz="12" w:space="0" w:color="FFFFFF"/>
              <w:right w:val="single" w:sz="12" w:space="0" w:color="FFFFFF"/>
            </w:tcBorders>
            <w:shd w:val="clear" w:color="auto" w:fill="63BE7B"/>
            <w:vAlign w:val="center"/>
          </w:tcPr>
          <w:p w14:paraId="5736343E"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 </w:t>
            </w:r>
          </w:p>
        </w:tc>
        <w:tc>
          <w:tcPr>
            <w:tcW w:w="725" w:type="pct"/>
            <w:tcBorders>
              <w:top w:val="nil"/>
              <w:left w:val="nil"/>
              <w:bottom w:val="single" w:sz="12" w:space="0" w:color="FFFFFF"/>
              <w:right w:val="single" w:sz="12" w:space="0" w:color="FFFFFF"/>
            </w:tcBorders>
            <w:shd w:val="clear" w:color="auto" w:fill="E4E382"/>
            <w:vAlign w:val="center"/>
          </w:tcPr>
          <w:p w14:paraId="557F2330"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114/D</w:t>
            </w:r>
          </w:p>
        </w:tc>
        <w:tc>
          <w:tcPr>
            <w:tcW w:w="583" w:type="pct"/>
            <w:tcBorders>
              <w:top w:val="nil"/>
              <w:left w:val="nil"/>
              <w:bottom w:val="single" w:sz="12" w:space="0" w:color="FFFFFF"/>
              <w:right w:val="nil"/>
            </w:tcBorders>
            <w:shd w:val="clear" w:color="auto" w:fill="63BE7B"/>
            <w:vAlign w:val="center"/>
          </w:tcPr>
          <w:p w14:paraId="0975BB2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 </w:t>
            </w:r>
          </w:p>
        </w:tc>
      </w:tr>
      <w:tr w:rsidR="00CF7A3C" w:rsidRPr="008924E0" w14:paraId="14735761" w14:textId="77777777" w:rsidTr="000B085B">
        <w:trPr>
          <w:trHeight w:val="312"/>
          <w:jc w:val="center"/>
        </w:trPr>
        <w:tc>
          <w:tcPr>
            <w:tcW w:w="842" w:type="pct"/>
            <w:tcBorders>
              <w:top w:val="nil"/>
              <w:left w:val="nil"/>
              <w:bottom w:val="nil"/>
              <w:right w:val="single" w:sz="12" w:space="0" w:color="FFFFFF"/>
            </w:tcBorders>
            <w:shd w:val="clear" w:color="auto" w:fill="E9E9E9"/>
            <w:vAlign w:val="center"/>
          </w:tcPr>
          <w:p w14:paraId="1D903602" w14:textId="77777777" w:rsidR="00CF7A3C" w:rsidRPr="008924E0" w:rsidRDefault="00CF7A3C" w:rsidP="000B085B">
            <w:pPr>
              <w:rPr>
                <w:rFonts w:ascii="Calibri" w:eastAsia="Calibri" w:hAnsi="Calibri" w:cs="Calibri"/>
                <w:b/>
                <w:lang w:val="bs-Latn-BA"/>
              </w:rPr>
            </w:pPr>
            <w:r w:rsidRPr="008924E0">
              <w:rPr>
                <w:rFonts w:ascii="Calibri" w:eastAsia="Calibri" w:hAnsi="Calibri" w:cs="Calibri"/>
                <w:b/>
                <w:lang w:val="bs-Latn-BA"/>
              </w:rPr>
              <w:t>2017.-2020.*</w:t>
            </w:r>
          </w:p>
        </w:tc>
        <w:tc>
          <w:tcPr>
            <w:tcW w:w="549" w:type="pct"/>
            <w:tcBorders>
              <w:top w:val="nil"/>
              <w:left w:val="nil"/>
              <w:bottom w:val="single" w:sz="12" w:space="0" w:color="FFFFFF"/>
              <w:right w:val="single" w:sz="12" w:space="0" w:color="FFFFFF"/>
            </w:tcBorders>
            <w:shd w:val="clear" w:color="auto" w:fill="7CC57C"/>
            <w:vAlign w:val="center"/>
          </w:tcPr>
          <w:p w14:paraId="4074BBB9"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44/C</w:t>
            </w:r>
          </w:p>
        </w:tc>
        <w:tc>
          <w:tcPr>
            <w:tcW w:w="616" w:type="pct"/>
            <w:tcBorders>
              <w:top w:val="nil"/>
              <w:left w:val="nil"/>
              <w:bottom w:val="nil"/>
              <w:right w:val="single" w:sz="12" w:space="0" w:color="FFFFFF"/>
            </w:tcBorders>
            <w:shd w:val="clear" w:color="auto" w:fill="96CC7D"/>
            <w:vAlign w:val="center"/>
          </w:tcPr>
          <w:p w14:paraId="59528F9B"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46/C</w:t>
            </w:r>
          </w:p>
        </w:tc>
        <w:tc>
          <w:tcPr>
            <w:tcW w:w="548" w:type="pct"/>
            <w:tcBorders>
              <w:top w:val="nil"/>
              <w:left w:val="nil"/>
              <w:bottom w:val="nil"/>
              <w:right w:val="single" w:sz="12" w:space="0" w:color="FFFFFF"/>
            </w:tcBorders>
            <w:shd w:val="clear" w:color="auto" w:fill="74C37C"/>
            <w:vAlign w:val="center"/>
          </w:tcPr>
          <w:p w14:paraId="4F5C209F"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46/B</w:t>
            </w:r>
          </w:p>
        </w:tc>
        <w:tc>
          <w:tcPr>
            <w:tcW w:w="568" w:type="pct"/>
            <w:tcBorders>
              <w:top w:val="nil"/>
              <w:left w:val="nil"/>
              <w:bottom w:val="nil"/>
              <w:right w:val="single" w:sz="12" w:space="0" w:color="FFFFFF"/>
            </w:tcBorders>
            <w:shd w:val="clear" w:color="auto" w:fill="6BC07B"/>
            <w:vAlign w:val="center"/>
          </w:tcPr>
          <w:p w14:paraId="1C5C6282"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46/B</w:t>
            </w:r>
          </w:p>
        </w:tc>
        <w:tc>
          <w:tcPr>
            <w:tcW w:w="568" w:type="pct"/>
            <w:tcBorders>
              <w:top w:val="nil"/>
              <w:left w:val="nil"/>
              <w:bottom w:val="nil"/>
              <w:right w:val="single" w:sz="12" w:space="0" w:color="FFFFFF"/>
            </w:tcBorders>
            <w:shd w:val="clear" w:color="auto" w:fill="6CC07B"/>
            <w:vAlign w:val="center"/>
          </w:tcPr>
          <w:p w14:paraId="1F3BDA8A"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44/C</w:t>
            </w:r>
          </w:p>
        </w:tc>
        <w:tc>
          <w:tcPr>
            <w:tcW w:w="725" w:type="pct"/>
            <w:tcBorders>
              <w:top w:val="nil"/>
              <w:left w:val="nil"/>
              <w:bottom w:val="nil"/>
              <w:right w:val="single" w:sz="12" w:space="0" w:color="FFFFFF"/>
            </w:tcBorders>
            <w:shd w:val="clear" w:color="auto" w:fill="8DCA7D"/>
            <w:vAlign w:val="center"/>
          </w:tcPr>
          <w:p w14:paraId="563B9448"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46/C</w:t>
            </w:r>
          </w:p>
        </w:tc>
        <w:tc>
          <w:tcPr>
            <w:tcW w:w="583" w:type="pct"/>
            <w:tcBorders>
              <w:top w:val="nil"/>
              <w:left w:val="nil"/>
              <w:bottom w:val="nil"/>
              <w:right w:val="nil"/>
            </w:tcBorders>
            <w:shd w:val="clear" w:color="auto" w:fill="7EC57C"/>
            <w:vAlign w:val="center"/>
          </w:tcPr>
          <w:p w14:paraId="46B4782E" w14:textId="77777777" w:rsidR="00CF7A3C" w:rsidRPr="008924E0" w:rsidRDefault="00CF7A3C" w:rsidP="000B085B">
            <w:pPr>
              <w:jc w:val="right"/>
              <w:rPr>
                <w:rFonts w:ascii="Calibri" w:eastAsia="Calibri" w:hAnsi="Calibri" w:cs="Calibri"/>
                <w:lang w:val="bs-Latn-BA"/>
              </w:rPr>
            </w:pPr>
            <w:r w:rsidRPr="008924E0">
              <w:rPr>
                <w:rFonts w:ascii="Calibri" w:eastAsia="Calibri" w:hAnsi="Calibri" w:cs="Calibri"/>
                <w:lang w:val="bs-Latn-BA"/>
              </w:rPr>
              <w:t>48/C</w:t>
            </w:r>
          </w:p>
        </w:tc>
      </w:tr>
    </w:tbl>
    <w:p w14:paraId="27EBCF79" w14:textId="77777777" w:rsidR="00CF7A3C" w:rsidRPr="008924E0" w:rsidRDefault="00CF7A3C" w:rsidP="00CF7A3C">
      <w:pPr>
        <w:ind w:left="720" w:hanging="360"/>
        <w:rPr>
          <w:sz w:val="16"/>
          <w:szCs w:val="16"/>
          <w:lang w:val="bs-Latn-BA"/>
        </w:rPr>
      </w:pPr>
      <w:r w:rsidRPr="008924E0">
        <w:rPr>
          <w:sz w:val="16"/>
          <w:szCs w:val="16"/>
          <w:lang w:val="bs-Latn-BA"/>
        </w:rPr>
        <w:t xml:space="preserve">*Za analizu su korišteni podaci iz baze energijskih certifikata sa malim brojem uzoraka </w:t>
      </w:r>
    </w:p>
    <w:p w14:paraId="1C832761" w14:textId="77777777" w:rsidR="00CF7A3C" w:rsidRPr="008924E0" w:rsidRDefault="00CF7A3C" w:rsidP="00CF7A3C">
      <w:pPr>
        <w:pStyle w:val="Heading5"/>
        <w:rPr>
          <w:lang w:val="bs-Latn-BA"/>
        </w:rPr>
      </w:pPr>
      <w:r w:rsidRPr="008924E0">
        <w:rPr>
          <w:lang w:val="bs-Latn-BA"/>
        </w:rPr>
        <w:lastRenderedPageBreak/>
        <w:t>Koeficijenti prolaska topline građevinskih dijelova i elemenata</w:t>
      </w:r>
    </w:p>
    <w:p w14:paraId="6E8A8695" w14:textId="77777777" w:rsidR="00CF7A3C" w:rsidRPr="008924E0" w:rsidRDefault="00CF7A3C" w:rsidP="00CF7A3C">
      <w:pPr>
        <w:pStyle w:val="Heading5"/>
        <w:rPr>
          <w:b w:val="0"/>
          <w:i/>
          <w:lang w:val="bs-Latn-BA"/>
        </w:rPr>
      </w:pPr>
      <w:r w:rsidRPr="008924E0">
        <w:rPr>
          <w:b w:val="0"/>
          <w:i/>
          <w:lang w:val="bs-Latn-BA"/>
        </w:rPr>
        <w:t>Stambene</w:t>
      </w:r>
      <w:r w:rsidRPr="008924E0">
        <w:rPr>
          <w:b w:val="0"/>
          <w:lang w:val="bs-Latn-BA"/>
        </w:rPr>
        <w:t xml:space="preserve"> </w:t>
      </w:r>
      <w:r w:rsidRPr="008924E0">
        <w:rPr>
          <w:b w:val="0"/>
          <w:i/>
          <w:lang w:val="bs-Latn-BA"/>
        </w:rPr>
        <w:t>zgrade</w:t>
      </w:r>
    </w:p>
    <w:p w14:paraId="5359F3DF" w14:textId="2140C0F5" w:rsidR="00CF7A3C" w:rsidRPr="008924E0" w:rsidRDefault="00CF7A3C" w:rsidP="00CF7A3C">
      <w:pPr>
        <w:rPr>
          <w:lang w:val="bs-Latn-BA"/>
        </w:rPr>
      </w:pPr>
      <w:r w:rsidRPr="008924E0">
        <w:rPr>
          <w:lang w:val="bs-Latn-BA"/>
        </w:rPr>
        <w:t xml:space="preserve">Koeficijenti prolaza toplote karakterističnih elemenata ovojnice i to: vanjskih zidova, fasadnih otvora i krovova/stropova prema negrijanom tavanu za sve stambene zgrade prema periodu izgradnje su predstavljeni na Slikama </w:t>
      </w:r>
      <w:r w:rsidR="005326F6">
        <w:rPr>
          <w:lang w:val="bs-Latn-BA"/>
        </w:rPr>
        <w:t>11.</w:t>
      </w:r>
      <w:r w:rsidRPr="008924E0">
        <w:rPr>
          <w:lang w:val="bs-Latn-BA"/>
        </w:rPr>
        <w:t>1.</w:t>
      </w:r>
      <w:r w:rsidR="005326F6">
        <w:rPr>
          <w:lang w:val="bs-Latn-BA"/>
        </w:rPr>
        <w:t>9</w:t>
      </w:r>
      <w:r w:rsidRPr="008924E0">
        <w:rPr>
          <w:lang w:val="bs-Latn-BA"/>
        </w:rPr>
        <w:t xml:space="preserve">, </w:t>
      </w:r>
      <w:r w:rsidR="005326F6">
        <w:rPr>
          <w:lang w:val="bs-Latn-BA"/>
        </w:rPr>
        <w:t>11.</w:t>
      </w:r>
      <w:r w:rsidRPr="008924E0">
        <w:rPr>
          <w:lang w:val="bs-Latn-BA"/>
        </w:rPr>
        <w:t>1.</w:t>
      </w:r>
      <w:r w:rsidR="005326F6">
        <w:rPr>
          <w:lang w:val="bs-Latn-BA"/>
        </w:rPr>
        <w:t>10</w:t>
      </w:r>
      <w:r w:rsidR="002D228C" w:rsidRPr="008924E0">
        <w:rPr>
          <w:lang w:val="bs-Latn-BA"/>
        </w:rPr>
        <w:t xml:space="preserve"> </w:t>
      </w:r>
      <w:r w:rsidRPr="008924E0">
        <w:rPr>
          <w:lang w:val="bs-Latn-BA"/>
        </w:rPr>
        <w:t>i 1</w:t>
      </w:r>
      <w:r w:rsidR="005326F6">
        <w:rPr>
          <w:lang w:val="bs-Latn-BA"/>
        </w:rPr>
        <w:t>1.1</w:t>
      </w:r>
      <w:r w:rsidRPr="008924E0">
        <w:rPr>
          <w:lang w:val="bs-Latn-BA"/>
        </w:rPr>
        <w:t>.</w:t>
      </w:r>
      <w:r w:rsidR="002D228C" w:rsidRPr="008924E0">
        <w:rPr>
          <w:lang w:val="bs-Latn-BA"/>
        </w:rPr>
        <w:t>1</w:t>
      </w:r>
      <w:r w:rsidR="005326F6">
        <w:rPr>
          <w:lang w:val="bs-Latn-BA"/>
        </w:rPr>
        <w:t>1</w:t>
      </w:r>
      <w:r w:rsidRPr="008924E0">
        <w:rPr>
          <w:lang w:val="bs-Latn-BA"/>
        </w:rPr>
        <w:t xml:space="preserve">. </w:t>
      </w:r>
    </w:p>
    <w:p w14:paraId="379BFB9B" w14:textId="1E8BADDA" w:rsidR="008B3942" w:rsidRDefault="00CF7A3C" w:rsidP="00CF7A3C">
      <w:pPr>
        <w:rPr>
          <w:lang w:val="bs-Latn-BA"/>
        </w:rPr>
      </w:pPr>
      <w:r w:rsidRPr="008924E0">
        <w:rPr>
          <w:lang w:val="bs-Latn-BA"/>
        </w:rPr>
        <w:t xml:space="preserve">Vrijednosti koeficijenata prolaza toplote za zgrade izgrađene u periodu do 2014. godine su preuzete iz Tipologije stambenih zgrada u BiH, a za zgrade izgrađene u periodu 2014.-2021. iz Baze energijskih certifikata. Za zgrade izgrađene u periodu do 2014. prikazane su vrijednosti razdvojene prema tipovima zgrada, dok je za zgrade iz Baze energijskih certifikata izračunata usrednjena vrijednosti koeficijenta prolaza toplote karakterističnih konstrukcija za sve zgrade. Sve zgrade za koje su dati podaci o vrijednostima koeficijenta prolaza toplote u Bazi energijskih certifikata su locirane u klimatskoj regiji Sjever. Kako se vidi na Slici </w:t>
      </w:r>
      <w:r w:rsidR="00646378">
        <w:rPr>
          <w:lang w:val="bs-Latn-BA"/>
        </w:rPr>
        <w:t>11.</w:t>
      </w:r>
      <w:r w:rsidRPr="008924E0">
        <w:rPr>
          <w:lang w:val="bs-Latn-BA"/>
        </w:rPr>
        <w:t>1.</w:t>
      </w:r>
      <w:r w:rsidR="002D228C">
        <w:rPr>
          <w:lang w:val="bs-Latn-BA"/>
        </w:rPr>
        <w:t>9</w:t>
      </w:r>
      <w:r w:rsidRPr="008924E0">
        <w:rPr>
          <w:lang w:val="bs-Latn-BA"/>
        </w:rPr>
        <w:t xml:space="preserve">. prosječna vrijednost koeficijenta prolaza toplote vanjskih zidova prelazi granične vrijednosti </w:t>
      </w:r>
      <w:r w:rsidR="00AB786E">
        <w:rPr>
          <w:lang w:val="bs-Latn-BA"/>
        </w:rPr>
        <w:t>definirane</w:t>
      </w:r>
      <w:r w:rsidRPr="008924E0">
        <w:rPr>
          <w:lang w:val="bs-Latn-BA"/>
        </w:rPr>
        <w:t xml:space="preserve"> Pravilnikom o minimalnim zahtjevima za energijskim karakteristikama zgrada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lang w:val="bs-Latn-BA"/>
        </w:rPr>
        <w:t>81/19), a koji iznosi 0,35 W/m</w:t>
      </w:r>
      <w:r w:rsidRPr="008924E0">
        <w:rPr>
          <w:vertAlign w:val="superscript"/>
          <w:lang w:val="bs-Latn-BA"/>
        </w:rPr>
        <w:t>2</w:t>
      </w:r>
      <w:r w:rsidRPr="008924E0">
        <w:rPr>
          <w:lang w:val="bs-Latn-BA"/>
        </w:rPr>
        <w:t xml:space="preserve">K za zgrade locirane u klimatskoj regiji Sjever. Dio zgrada ima dobre energijske karakteristike ali ima i zgrada za koje koeficijenti prolaza toplote elemenata ovojnice ne zadovoljavaju </w:t>
      </w:r>
      <w:r w:rsidR="00540A41">
        <w:rPr>
          <w:lang w:val="bs-Latn-BA"/>
        </w:rPr>
        <w:t>uvjet</w:t>
      </w:r>
      <w:r w:rsidRPr="008924E0">
        <w:rPr>
          <w:lang w:val="bs-Latn-BA"/>
        </w:rPr>
        <w:t xml:space="preserve">e  postavljene Pravilnikom. Ovo je rezultat činjenice da poštovanje </w:t>
      </w:r>
      <w:r w:rsidR="00540A41">
        <w:rPr>
          <w:lang w:val="bs-Latn-BA"/>
        </w:rPr>
        <w:t>uvjet</w:t>
      </w:r>
      <w:r w:rsidRPr="008924E0">
        <w:rPr>
          <w:lang w:val="bs-Latn-BA"/>
        </w:rPr>
        <w:t xml:space="preserve">a propisanih Pravilnikom o minimalnim zahtjevima za energijskim karakteristikama zgrada nije bilo </w:t>
      </w:r>
      <w:r w:rsidR="00F03625">
        <w:rPr>
          <w:lang w:val="bs-Latn-BA"/>
        </w:rPr>
        <w:t>obvez</w:t>
      </w:r>
      <w:r w:rsidRPr="008924E0">
        <w:rPr>
          <w:lang w:val="bs-Latn-BA"/>
        </w:rPr>
        <w:t xml:space="preserve">no u svim Kantonima u FBiH do 2019. godine. Zbog toga, i neke novoizgrađene zgrade imaju nepovoljne energijske karakteristike elemenata ovojnice i povećane gubitke toplote i potrošnju energije za grijanje. </w:t>
      </w:r>
    </w:p>
    <w:p w14:paraId="58DF0609" w14:textId="77777777" w:rsidR="005326F6" w:rsidRDefault="008B3942" w:rsidP="005326F6">
      <w:pPr>
        <w:keepNext/>
      </w:pPr>
      <w:r w:rsidRPr="008924E0">
        <w:rPr>
          <w:noProof/>
          <w:sz w:val="18"/>
          <w:szCs w:val="18"/>
          <w:lang w:val="bs-Latn-BA"/>
        </w:rPr>
        <w:drawing>
          <wp:inline distT="0" distB="0" distL="0" distR="0" wp14:anchorId="69882A7E" wp14:editId="27D3222E">
            <wp:extent cx="5476876" cy="2700000"/>
            <wp:effectExtent l="0" t="0" r="0" b="5715"/>
            <wp:docPr id="8" name="Chart 8">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14:paraId="7FF7233F" w14:textId="5E595A7E" w:rsidR="005326F6" w:rsidRDefault="005326F6" w:rsidP="005326F6">
      <w:pPr>
        <w:pBdr>
          <w:top w:val="nil"/>
          <w:left w:val="nil"/>
          <w:bottom w:val="nil"/>
          <w:right w:val="nil"/>
          <w:between w:val="nil"/>
        </w:pBdr>
        <w:spacing w:after="200" w:line="240" w:lineRule="auto"/>
        <w:jc w:val="center"/>
        <w:rPr>
          <w:i/>
          <w:iCs/>
          <w:szCs w:val="18"/>
          <w:lang w:val="bs-Latn-BA"/>
        </w:rPr>
      </w:pPr>
      <w:bookmarkStart w:id="213" w:name="_Toc133499382"/>
      <w:proofErr w:type="spellStart"/>
      <w:r w:rsidRPr="00F85003">
        <w:rPr>
          <w:i/>
          <w:iCs/>
        </w:rPr>
        <w:t>Slika</w:t>
      </w:r>
      <w:proofErr w:type="spellEnd"/>
      <w:r w:rsidRPr="00F85003">
        <w:rPr>
          <w:i/>
          <w:iCs/>
        </w:rPr>
        <w:t xml:space="preserve"> 11.1.</w:t>
      </w:r>
      <w:r w:rsidRPr="00F85003">
        <w:rPr>
          <w:i/>
          <w:iCs/>
        </w:rPr>
        <w:fldChar w:fldCharType="begin"/>
      </w:r>
      <w:r w:rsidRPr="00F85003">
        <w:rPr>
          <w:i/>
          <w:iCs/>
        </w:rPr>
        <w:instrText xml:space="preserve"> SEQ Slika_11.1. \* ARABIC </w:instrText>
      </w:r>
      <w:r w:rsidRPr="00F85003">
        <w:rPr>
          <w:i/>
          <w:iCs/>
        </w:rPr>
        <w:fldChar w:fldCharType="separate"/>
      </w:r>
      <w:r w:rsidR="00F85003" w:rsidRPr="00F85003">
        <w:rPr>
          <w:i/>
          <w:iCs/>
          <w:noProof/>
        </w:rPr>
        <w:t>9</w:t>
      </w:r>
      <w:r w:rsidRPr="00F85003">
        <w:rPr>
          <w:i/>
          <w:iCs/>
        </w:rPr>
        <w:fldChar w:fldCharType="end"/>
      </w:r>
      <w:r>
        <w:t xml:space="preserve"> </w:t>
      </w:r>
      <w:r w:rsidRPr="00331355">
        <w:rPr>
          <w:i/>
          <w:iCs/>
          <w:szCs w:val="18"/>
          <w:lang w:val="bs-Latn-BA"/>
        </w:rPr>
        <w:t>Koeficijent prolaza toplote vanjskih zidova stambenih zgrada u FBiH</w:t>
      </w:r>
      <w:bookmarkEnd w:id="213"/>
    </w:p>
    <w:p w14:paraId="7EF76514" w14:textId="471019A1" w:rsidR="005326F6" w:rsidRDefault="005326F6" w:rsidP="005326F6">
      <w:pPr>
        <w:pStyle w:val="Caption"/>
        <w:jc w:val="both"/>
      </w:pPr>
    </w:p>
    <w:p w14:paraId="3CED81A9" w14:textId="68C7ED14" w:rsidR="00CF7A3C" w:rsidRPr="008924E0" w:rsidRDefault="00CF7A3C" w:rsidP="00CF7A3C">
      <w:pPr>
        <w:rPr>
          <w:lang w:val="bs-Latn-BA"/>
        </w:rPr>
      </w:pPr>
      <w:r w:rsidRPr="008924E0">
        <w:rPr>
          <w:lang w:val="bs-Latn-BA"/>
        </w:rPr>
        <w:t xml:space="preserve"> </w:t>
      </w:r>
    </w:p>
    <w:p w14:paraId="7E940D74" w14:textId="0C2CA4C8" w:rsidR="00CF7A3C" w:rsidRDefault="00CF7A3C" w:rsidP="00CF7A3C">
      <w:pPr>
        <w:pBdr>
          <w:top w:val="nil"/>
          <w:left w:val="nil"/>
          <w:bottom w:val="nil"/>
          <w:right w:val="nil"/>
          <w:between w:val="nil"/>
        </w:pBdr>
        <w:spacing w:after="200" w:line="240" w:lineRule="auto"/>
        <w:jc w:val="center"/>
        <w:rPr>
          <w:i/>
          <w:iCs/>
          <w:szCs w:val="18"/>
          <w:lang w:val="bs-Latn-BA"/>
        </w:rPr>
      </w:pPr>
      <w:bookmarkStart w:id="214" w:name="_Toc126577975"/>
      <w:r w:rsidRPr="008924E0">
        <w:rPr>
          <w:i/>
          <w:iCs/>
          <w:lang w:val="bs-Latn-BA"/>
        </w:rPr>
        <w:t xml:space="preserve"> </w:t>
      </w:r>
      <w:bookmarkEnd w:id="214"/>
    </w:p>
    <w:p w14:paraId="57648CCB" w14:textId="77777777" w:rsidR="00F85003" w:rsidRDefault="008B3942" w:rsidP="00F85003">
      <w:pPr>
        <w:keepNext/>
        <w:pBdr>
          <w:top w:val="nil"/>
          <w:left w:val="nil"/>
          <w:bottom w:val="nil"/>
          <w:right w:val="nil"/>
          <w:between w:val="nil"/>
        </w:pBdr>
        <w:spacing w:after="200" w:line="240" w:lineRule="auto"/>
        <w:jc w:val="center"/>
      </w:pPr>
      <w:r w:rsidRPr="008924E0">
        <w:rPr>
          <w:noProof/>
        </w:rPr>
        <w:lastRenderedPageBreak/>
        <w:drawing>
          <wp:inline distT="0" distB="0" distL="0" distR="0" wp14:anchorId="29AB862F" wp14:editId="344774B8">
            <wp:extent cx="5476876" cy="2700000"/>
            <wp:effectExtent l="0" t="0" r="0" b="5715"/>
            <wp:docPr id="9" name="Chart 9">
              <a:extLst xmlns:a="http://schemas.openxmlformats.org/drawingml/2006/main">
                <a:ext uri="{FF2B5EF4-FFF2-40B4-BE49-F238E27FC236}">
                  <a16:creationId xmlns:a16="http://schemas.microsoft.com/office/drawing/2014/main" id="{00000000-0008-0000-0C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7C1B803A" w14:textId="3347A388" w:rsidR="008B3942" w:rsidRPr="008924E0" w:rsidRDefault="00F85003" w:rsidP="00F85003">
      <w:pPr>
        <w:pStyle w:val="Caption"/>
        <w:jc w:val="center"/>
        <w:rPr>
          <w:i w:val="0"/>
          <w:iCs w:val="0"/>
          <w:color w:val="000000"/>
        </w:rPr>
      </w:pPr>
      <w:bookmarkStart w:id="215" w:name="_Toc133499383"/>
      <w:r>
        <w:t>Slika 11.1.</w:t>
      </w:r>
      <w:r w:rsidR="00000000">
        <w:fldChar w:fldCharType="begin"/>
      </w:r>
      <w:r w:rsidR="00000000">
        <w:instrText xml:space="preserve"> SEQ Slika_11.1. \* ARABIC </w:instrText>
      </w:r>
      <w:r w:rsidR="00000000">
        <w:fldChar w:fldCharType="separate"/>
      </w:r>
      <w:r>
        <w:rPr>
          <w:noProof/>
        </w:rPr>
        <w:t>10</w:t>
      </w:r>
      <w:r w:rsidR="00000000">
        <w:rPr>
          <w:noProof/>
        </w:rPr>
        <w:fldChar w:fldCharType="end"/>
      </w:r>
      <w:r>
        <w:t xml:space="preserve"> </w:t>
      </w:r>
      <w:r w:rsidRPr="00331355">
        <w:t>Koeficijent prolaza toplote fasadnih otvora stambenih zgrada u FBiH</w:t>
      </w:r>
      <w:bookmarkEnd w:id="215"/>
    </w:p>
    <w:p w14:paraId="0287FF58" w14:textId="77777777" w:rsidR="00F85003" w:rsidRDefault="008B3942" w:rsidP="00F85003">
      <w:pPr>
        <w:keepNext/>
      </w:pPr>
      <w:r w:rsidRPr="008924E0">
        <w:rPr>
          <w:noProof/>
        </w:rPr>
        <w:drawing>
          <wp:inline distT="0" distB="0" distL="0" distR="0" wp14:anchorId="080F9F8B" wp14:editId="5A684D12">
            <wp:extent cx="5476875" cy="2700000"/>
            <wp:effectExtent l="0" t="0" r="0" b="5715"/>
            <wp:docPr id="16" name="Chart 16">
              <a:extLst xmlns:a="http://schemas.openxmlformats.org/drawingml/2006/main">
                <a:ext uri="{FF2B5EF4-FFF2-40B4-BE49-F238E27FC236}">
                  <a16:creationId xmlns:a16="http://schemas.microsoft.com/office/drawing/2014/main" id="{00000000-0008-0000-0C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2D8EA9DF" w14:textId="05DE113A" w:rsidR="008B3942" w:rsidRPr="008B3942" w:rsidRDefault="00F85003" w:rsidP="00F85003">
      <w:pPr>
        <w:pStyle w:val="Caption"/>
        <w:jc w:val="center"/>
      </w:pPr>
      <w:bookmarkStart w:id="216" w:name="_Toc133499384"/>
      <w:r>
        <w:t>Slika 11.1.</w:t>
      </w:r>
      <w:r w:rsidR="00000000">
        <w:fldChar w:fldCharType="begin"/>
      </w:r>
      <w:r w:rsidR="00000000">
        <w:instrText xml:space="preserve"> SEQ Slika_11.1. \* ARABIC </w:instrText>
      </w:r>
      <w:r w:rsidR="00000000">
        <w:fldChar w:fldCharType="separate"/>
      </w:r>
      <w:r>
        <w:rPr>
          <w:noProof/>
        </w:rPr>
        <w:t>11</w:t>
      </w:r>
      <w:r w:rsidR="00000000">
        <w:rPr>
          <w:noProof/>
        </w:rPr>
        <w:fldChar w:fldCharType="end"/>
      </w:r>
      <w:r>
        <w:t xml:space="preserve"> </w:t>
      </w:r>
      <w:r w:rsidRPr="00331355">
        <w:t>Koeficijent prolaza toplote krovova i stropova prema negrijanom tavanu stambenih zgrada u FBiH</w:t>
      </w:r>
      <w:bookmarkEnd w:id="216"/>
    </w:p>
    <w:p w14:paraId="4458A75D" w14:textId="53D8281E" w:rsidR="00CF7A3C" w:rsidRPr="008924E0" w:rsidRDefault="00CF7A3C" w:rsidP="00CF7A3C">
      <w:pPr>
        <w:rPr>
          <w:lang w:val="bs-Latn-BA"/>
        </w:rPr>
      </w:pPr>
      <w:r w:rsidRPr="008924E0">
        <w:rPr>
          <w:lang w:val="bs-Latn-BA"/>
        </w:rPr>
        <w:t xml:space="preserve">Koeficijenti prolaza toplote tipičnih zgrada, za zgrade izgrađene prije 2014. godine, u prosjeku imaju značajno veće od vrijednosti propisanih pravilnikom. To je pokazatelj loših energijskih karakteristika zgrada, izvor povećanih gubitaka toplote zgrada te indikator da je neophodna </w:t>
      </w:r>
      <w:r w:rsidR="0091757B">
        <w:rPr>
          <w:lang w:val="bs-Latn-BA"/>
        </w:rPr>
        <w:t>energij</w:t>
      </w:r>
      <w:r w:rsidRPr="008924E0">
        <w:rPr>
          <w:lang w:val="bs-Latn-BA"/>
        </w:rPr>
        <w:t xml:space="preserve">ska </w:t>
      </w:r>
      <w:r w:rsidR="006A5773">
        <w:rPr>
          <w:lang w:val="bs-Latn-BA"/>
        </w:rPr>
        <w:t>obnova</w:t>
      </w:r>
      <w:r w:rsidRPr="008924E0">
        <w:rPr>
          <w:lang w:val="bs-Latn-BA"/>
        </w:rPr>
        <w:t xml:space="preserve"> tih zgrada. </w:t>
      </w:r>
    </w:p>
    <w:p w14:paraId="18196471" w14:textId="2687EBFB" w:rsidR="00CF7A3C" w:rsidRPr="008924E0" w:rsidRDefault="00CF7A3C" w:rsidP="00CF7A3C">
      <w:pPr>
        <w:rPr>
          <w:lang w:val="bs-Latn-BA"/>
        </w:rPr>
      </w:pPr>
      <w:r w:rsidRPr="008924E0">
        <w:rPr>
          <w:lang w:val="bs-Latn-BA"/>
        </w:rPr>
        <w:t xml:space="preserve">Podaci o koeficijentima prolaza toplote elemenata ovojnice, procentu stambenih zgrada koji nemaju postavljenu toplotnu izolaciju i procentu zgrada koje imaju prozore sa jednostrukim ostakljenjem su pokazatelj loših energijskih karakteristika većine stambenih zgrada u FBiH i fokus strategije </w:t>
      </w:r>
      <w:r w:rsidR="006A5773">
        <w:rPr>
          <w:lang w:val="bs-Latn-BA"/>
        </w:rPr>
        <w:t>obnove</w:t>
      </w:r>
      <w:r w:rsidRPr="008924E0">
        <w:rPr>
          <w:lang w:val="bs-Latn-BA"/>
        </w:rPr>
        <w:t xml:space="preserve"> stambenog sektora mora biti u prvom redu na ovim zgradama da bi se popravile njihove energijske karakteristike i reducirala potrošnja energije. </w:t>
      </w:r>
    </w:p>
    <w:p w14:paraId="212F0BBC" w14:textId="6F993F16" w:rsidR="00CF7A3C" w:rsidRPr="008924E0" w:rsidRDefault="00CF7A3C" w:rsidP="00CF7A3C">
      <w:pPr>
        <w:rPr>
          <w:lang w:val="bs-Latn-BA"/>
        </w:rPr>
      </w:pPr>
      <w:r w:rsidRPr="008924E0">
        <w:rPr>
          <w:lang w:val="bs-Latn-BA"/>
        </w:rPr>
        <w:t xml:space="preserve">Prema podacima iz Baze energijskih certifikata, novoizgrađene zgrade uvedene u Bazu, u prosjeku ne zadovoljavaju </w:t>
      </w:r>
      <w:r w:rsidR="00540A41">
        <w:rPr>
          <w:lang w:val="bs-Latn-BA"/>
        </w:rPr>
        <w:t>uvjet</w:t>
      </w:r>
      <w:r w:rsidRPr="008924E0">
        <w:rPr>
          <w:lang w:val="bs-Latn-BA"/>
        </w:rPr>
        <w:t xml:space="preserve">e postavljene za maksimalnu vrijednosti koeficijenta prolaza toplote vanjskih </w:t>
      </w:r>
      <w:r w:rsidRPr="008924E0">
        <w:rPr>
          <w:lang w:val="bs-Latn-BA"/>
        </w:rPr>
        <w:lastRenderedPageBreak/>
        <w:t xml:space="preserve">zidova, Pravilnikom o minimalnim zahtjevima za energijskim karakteristikama zgrada, što je pokazatelj povećanih gubitaka energije kroz elemente ovojnice te povećanom potrošnjom energije. </w:t>
      </w:r>
    </w:p>
    <w:p w14:paraId="24E1E61E" w14:textId="77777777" w:rsidR="00CF7A3C" w:rsidRPr="008924E0" w:rsidRDefault="00CF7A3C" w:rsidP="00CF7A3C">
      <w:pPr>
        <w:pStyle w:val="Heading5"/>
        <w:rPr>
          <w:b w:val="0"/>
          <w:i/>
          <w:lang w:val="bs-Latn-BA"/>
        </w:rPr>
      </w:pPr>
      <w:r w:rsidRPr="008924E0">
        <w:rPr>
          <w:b w:val="0"/>
          <w:i/>
          <w:lang w:val="bs-Latn-BA"/>
        </w:rPr>
        <w:t>Nestambene</w:t>
      </w:r>
      <w:r w:rsidRPr="008924E0">
        <w:rPr>
          <w:b w:val="0"/>
          <w:lang w:val="bs-Latn-BA"/>
        </w:rPr>
        <w:t xml:space="preserve"> </w:t>
      </w:r>
      <w:r w:rsidRPr="008924E0">
        <w:rPr>
          <w:b w:val="0"/>
          <w:i/>
          <w:lang w:val="bs-Latn-BA"/>
        </w:rPr>
        <w:t>zgrade</w:t>
      </w:r>
    </w:p>
    <w:p w14:paraId="0945D6EE" w14:textId="2C42317D" w:rsidR="00CF7A3C" w:rsidRDefault="00CF7A3C" w:rsidP="00CF7A3C">
      <w:pPr>
        <w:rPr>
          <w:lang w:val="bs-Latn-BA"/>
        </w:rPr>
      </w:pPr>
      <w:r w:rsidRPr="008924E0">
        <w:rPr>
          <w:lang w:val="bs-Latn-BA"/>
        </w:rPr>
        <w:t xml:space="preserve">Prosječni koeficijenti prolaza toplote karakterističnih elemenata ovojnice i to: vanjskih zidova, krovova/stropova prema negrijanom tavanu i podova za sve javne zgrade prema periodu izgradnje su predstavljeni na Slici </w:t>
      </w:r>
      <w:r w:rsidR="00F85003">
        <w:rPr>
          <w:lang w:val="bs-Latn-BA"/>
        </w:rPr>
        <w:t>11.</w:t>
      </w:r>
      <w:r w:rsidRPr="008924E0">
        <w:rPr>
          <w:lang w:val="bs-Latn-BA"/>
        </w:rPr>
        <w:t>1.</w:t>
      </w:r>
      <w:r w:rsidR="002D228C" w:rsidRPr="008924E0">
        <w:rPr>
          <w:lang w:val="bs-Latn-BA"/>
        </w:rPr>
        <w:t>1</w:t>
      </w:r>
      <w:r w:rsidR="002D228C">
        <w:rPr>
          <w:lang w:val="bs-Latn-BA"/>
        </w:rPr>
        <w:t>2</w:t>
      </w:r>
      <w:r w:rsidRPr="008924E0">
        <w:rPr>
          <w:lang w:val="bs-Latn-BA"/>
        </w:rPr>
        <w:t xml:space="preserve">. </w:t>
      </w:r>
    </w:p>
    <w:p w14:paraId="2FB7A168" w14:textId="77777777" w:rsidR="00F85003" w:rsidRDefault="008B3942" w:rsidP="00F85003">
      <w:pPr>
        <w:keepNext/>
      </w:pPr>
      <w:r w:rsidRPr="008924E0">
        <w:rPr>
          <w:noProof/>
        </w:rPr>
        <w:drawing>
          <wp:inline distT="0" distB="0" distL="0" distR="0" wp14:anchorId="33EC175E" wp14:editId="03492FF1">
            <wp:extent cx="5476876" cy="2700000"/>
            <wp:effectExtent l="0" t="0" r="0" b="5715"/>
            <wp:docPr id="17" name="Chart 17">
              <a:extLst xmlns:a="http://schemas.openxmlformats.org/drawingml/2006/main">
                <a:ext uri="{FF2B5EF4-FFF2-40B4-BE49-F238E27FC236}">
                  <a16:creationId xmlns:a16="http://schemas.microsoft.com/office/drawing/2014/main" id="{202FAA01-178A-4501-B6B1-7A469156F5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477CC94B" w14:textId="74052EB7" w:rsidR="00F85003" w:rsidRPr="008924E0" w:rsidRDefault="00F85003" w:rsidP="00F85003">
      <w:pPr>
        <w:pStyle w:val="Caption"/>
        <w:jc w:val="center"/>
      </w:pPr>
      <w:bookmarkStart w:id="217" w:name="_Toc133499385"/>
      <w:r>
        <w:t>Slika 11.1.</w:t>
      </w:r>
      <w:r w:rsidR="00000000">
        <w:fldChar w:fldCharType="begin"/>
      </w:r>
      <w:r w:rsidR="00000000">
        <w:instrText xml:space="preserve"> SEQ Slika_11.1. \* ARABIC </w:instrText>
      </w:r>
      <w:r w:rsidR="00000000">
        <w:fldChar w:fldCharType="separate"/>
      </w:r>
      <w:r>
        <w:rPr>
          <w:noProof/>
        </w:rPr>
        <w:t>12</w:t>
      </w:r>
      <w:r w:rsidR="00000000">
        <w:rPr>
          <w:noProof/>
        </w:rPr>
        <w:fldChar w:fldCharType="end"/>
      </w:r>
      <w:r>
        <w:t xml:space="preserve"> </w:t>
      </w:r>
      <w:r w:rsidRPr="00331355">
        <w:t>Prosječne vrijednosti koeficijenta prolaza toplote elemenata omotača javnih zgrada u FBiH prema namjeni zgrade i periodu izgradnje</w:t>
      </w:r>
      <w:bookmarkEnd w:id="217"/>
    </w:p>
    <w:p w14:paraId="2D09F957" w14:textId="5F5983EB" w:rsidR="00CF7A3C" w:rsidRDefault="00CF7A3C" w:rsidP="00CF7A3C">
      <w:pPr>
        <w:rPr>
          <w:lang w:val="bs-Latn-BA"/>
        </w:rPr>
      </w:pPr>
      <w:r w:rsidRPr="008924E0">
        <w:rPr>
          <w:lang w:val="bs-Latn-BA"/>
        </w:rPr>
        <w:t xml:space="preserve">Vrijednosti koeficijenata prolaza toplote za zgrade izgrađene u periodu do 2016. godine su preuzete iz Tipologije javnih zgrada u BiH, a za zgrade izgrađene u periodu 2017.-2021. iz Baze energijskih certifikata. Uzorak u Bazi za koji su podaci o koeficijentima prolaza toplote navedeni je mali (10 zgrada), te je potrebno proširiti broj zgrada za koje je izračunat prosječni koeficijent prolaza toplote elemenata ovojnice da bi se stekla ispravna slika o energijskim karakteristikama novoizgrađenih javnih zgrada. Kako se vidi na Slici </w:t>
      </w:r>
      <w:r w:rsidR="00F85003">
        <w:rPr>
          <w:lang w:val="bs-Latn-BA"/>
        </w:rPr>
        <w:t>11.</w:t>
      </w:r>
      <w:r w:rsidRPr="008924E0">
        <w:rPr>
          <w:lang w:val="bs-Latn-BA"/>
        </w:rPr>
        <w:t>1.</w:t>
      </w:r>
      <w:r w:rsidR="002D228C" w:rsidRPr="008924E0">
        <w:rPr>
          <w:lang w:val="bs-Latn-BA"/>
        </w:rPr>
        <w:t>1</w:t>
      </w:r>
      <w:r w:rsidR="002D228C">
        <w:rPr>
          <w:lang w:val="bs-Latn-BA"/>
        </w:rPr>
        <w:t>3</w:t>
      </w:r>
      <w:r w:rsidRPr="008924E0">
        <w:rPr>
          <w:lang w:val="bs-Latn-BA"/>
        </w:rPr>
        <w:t xml:space="preserve">. prosječna vrijednost koeficijenta prolaza toplote javnih zgrada izgrađenih u periodu prije 2017. godine prelazi granične vrijednosti </w:t>
      </w:r>
      <w:r w:rsidR="00AB786E">
        <w:rPr>
          <w:lang w:val="bs-Latn-BA"/>
        </w:rPr>
        <w:t>definirane</w:t>
      </w:r>
      <w:r w:rsidRPr="008924E0">
        <w:rPr>
          <w:lang w:val="bs-Latn-BA"/>
        </w:rPr>
        <w:t xml:space="preserve"> Pravilnikom o minimalnim zahtjevima za energijskim karakteristikama zgrada (</w:t>
      </w:r>
      <w:r w:rsidR="0028605F" w:rsidRPr="001972F5">
        <w:rPr>
          <w:lang w:val="bs-Latn-BA"/>
        </w:rPr>
        <w:t>„Službene novine Federacije BiH</w:t>
      </w:r>
      <w:r w:rsidR="0028605F" w:rsidRPr="001972F5">
        <w:rPr>
          <w:color w:val="333333"/>
          <w:lang w:val="bs-Latn-BA"/>
        </w:rPr>
        <w:t>“</w:t>
      </w:r>
      <w:r w:rsidR="0028605F" w:rsidRPr="001972F5">
        <w:rPr>
          <w:lang w:val="bs-Latn-BA"/>
        </w:rPr>
        <w:t xml:space="preserve">, broj </w:t>
      </w:r>
      <w:r w:rsidRPr="008924E0">
        <w:rPr>
          <w:lang w:val="bs-Latn-BA"/>
        </w:rPr>
        <w:t xml:space="preserve">81/19). </w:t>
      </w:r>
    </w:p>
    <w:p w14:paraId="04E9157E" w14:textId="77777777" w:rsidR="00F85003" w:rsidRDefault="008B3942" w:rsidP="00F85003">
      <w:pPr>
        <w:keepNext/>
      </w:pPr>
      <w:r w:rsidRPr="008924E0">
        <w:rPr>
          <w:noProof/>
        </w:rPr>
        <w:lastRenderedPageBreak/>
        <w:drawing>
          <wp:inline distT="0" distB="0" distL="0" distR="0" wp14:anchorId="68F11D92" wp14:editId="05085797">
            <wp:extent cx="5476875" cy="2520000"/>
            <wp:effectExtent l="0" t="0" r="0" b="0"/>
            <wp:docPr id="18" name="Chart 18">
              <a:extLst xmlns:a="http://schemas.openxmlformats.org/drawingml/2006/main">
                <a:ext uri="{FF2B5EF4-FFF2-40B4-BE49-F238E27FC236}">
                  <a16:creationId xmlns:a16="http://schemas.microsoft.com/office/drawing/2014/main" id="{B46D0C31-2FAC-4F68-B42D-FE23901682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2D787E57" w14:textId="0B5FC495" w:rsidR="008B3942" w:rsidRPr="008924E0" w:rsidRDefault="00F85003" w:rsidP="00F85003">
      <w:pPr>
        <w:pStyle w:val="Caption"/>
        <w:jc w:val="center"/>
      </w:pPr>
      <w:bookmarkStart w:id="218" w:name="_Toc133499386"/>
      <w:r>
        <w:t>Slika 11.1.</w:t>
      </w:r>
      <w:r w:rsidR="00000000">
        <w:fldChar w:fldCharType="begin"/>
      </w:r>
      <w:r w:rsidR="00000000">
        <w:instrText xml:space="preserve"> SEQ Slika_11.1. \* ARABIC </w:instrText>
      </w:r>
      <w:r w:rsidR="00000000">
        <w:fldChar w:fldCharType="separate"/>
      </w:r>
      <w:r>
        <w:rPr>
          <w:noProof/>
        </w:rPr>
        <w:t>13</w:t>
      </w:r>
      <w:r w:rsidR="00000000">
        <w:rPr>
          <w:noProof/>
        </w:rPr>
        <w:fldChar w:fldCharType="end"/>
      </w:r>
      <w:r>
        <w:t xml:space="preserve"> </w:t>
      </w:r>
      <w:r w:rsidRPr="008924E0">
        <w:rPr>
          <w:color w:val="000000"/>
        </w:rPr>
        <w:t>Vrijednosti koeficijenta prolaza toplote elemenata omotača javnih zgrada u FBiH po periodu izgradnje</w:t>
      </w:r>
      <w:bookmarkEnd w:id="218"/>
    </w:p>
    <w:p w14:paraId="49CA3724" w14:textId="77777777" w:rsidR="00CF7A3C" w:rsidRPr="008924E0" w:rsidRDefault="00CF7A3C" w:rsidP="00CF7A3C">
      <w:pPr>
        <w:pStyle w:val="Heading5"/>
        <w:rPr>
          <w:lang w:val="bs-Latn-BA"/>
        </w:rPr>
      </w:pPr>
      <w:r w:rsidRPr="008924E0">
        <w:rPr>
          <w:lang w:val="bs-Latn-BA"/>
        </w:rPr>
        <w:t>Sistemi grijanja, hlađenja, pripreme PTV i rasvjete</w:t>
      </w:r>
    </w:p>
    <w:p w14:paraId="6DB238B7" w14:textId="77777777" w:rsidR="00CF7A3C" w:rsidRPr="008924E0" w:rsidRDefault="00CF7A3C" w:rsidP="00CF7A3C">
      <w:pPr>
        <w:pStyle w:val="Heading5"/>
        <w:rPr>
          <w:b w:val="0"/>
          <w:i/>
          <w:lang w:val="bs-Latn-BA"/>
        </w:rPr>
      </w:pPr>
      <w:r w:rsidRPr="008924E0">
        <w:rPr>
          <w:b w:val="0"/>
          <w:i/>
          <w:lang w:val="bs-Latn-BA"/>
        </w:rPr>
        <w:t>Stambene</w:t>
      </w:r>
      <w:r w:rsidRPr="008924E0">
        <w:rPr>
          <w:b w:val="0"/>
          <w:lang w:val="bs-Latn-BA"/>
        </w:rPr>
        <w:t xml:space="preserve"> </w:t>
      </w:r>
      <w:r w:rsidRPr="008924E0">
        <w:rPr>
          <w:b w:val="0"/>
          <w:i/>
          <w:lang w:val="bs-Latn-BA"/>
        </w:rPr>
        <w:t>zgrade</w:t>
      </w:r>
    </w:p>
    <w:p w14:paraId="6936C01C" w14:textId="6C3202E1" w:rsidR="00CF7A3C" w:rsidRPr="008924E0" w:rsidRDefault="00CF7A3C" w:rsidP="00CF7A3C">
      <w:pPr>
        <w:rPr>
          <w:lang w:val="bs-Latn-BA"/>
        </w:rPr>
      </w:pPr>
      <w:r w:rsidRPr="008924E0">
        <w:rPr>
          <w:lang w:val="bs-Latn-BA"/>
        </w:rPr>
        <w:t xml:space="preserve">Stepen efikasnosti sistema grijanja utiče na odnos finalne i potrebne energije za grijanje, te je za sisteme niske efikasnosti ovaj omjer veći i obratno. Kalibirisani podaci o stvarnoj finalnoj potrošnji stambenog sektora prema podacima iz EUROSTAT-a i podaci o instalisanim sistemima grijanja predstavljeni u Tipologiji stambenih zgrada omogućili su proračun i prikaz ukupne efikasnosti sistema grijanja stambenog fonda i omjera finalne i potrebne energije za grijanje, prikazanog u Tabeli </w:t>
      </w:r>
      <w:r w:rsidR="00F85003">
        <w:rPr>
          <w:lang w:val="bs-Latn-BA"/>
        </w:rPr>
        <w:t>11.</w:t>
      </w:r>
      <w:r w:rsidRPr="008924E0">
        <w:rPr>
          <w:lang w:val="bs-Latn-BA"/>
        </w:rPr>
        <w:t xml:space="preserve">1.10. Omjer je veoma visok, posebno za SH tipove i opada za ostale tipove i za zgrade iz novijih perioda izgradnje. Rezultati su očekivani jer sistemi grijanja bazirani na sobnim pećima čine dominantni tip grijanja u preko 60 % zgrada stambenog sektora, a odlikuje ih veoma niska efikasnost, procijenjena na oko 50 % </w:t>
      </w:r>
      <w:r w:rsidRPr="008924E0">
        <w:rPr>
          <w:vertAlign w:val="superscript"/>
          <w:lang w:val="bs-Latn-BA"/>
        </w:rPr>
        <w:footnoteReference w:id="115"/>
      </w:r>
      <w:r w:rsidRPr="008924E0">
        <w:rPr>
          <w:lang w:val="bs-Latn-BA"/>
        </w:rPr>
        <w:t xml:space="preserve">. </w:t>
      </w:r>
    </w:p>
    <w:p w14:paraId="43969278" w14:textId="04B604E3" w:rsidR="00F85003" w:rsidRDefault="00F85003" w:rsidP="00F85003">
      <w:pPr>
        <w:pStyle w:val="Caption"/>
        <w:keepNext/>
      </w:pPr>
      <w:bookmarkStart w:id="219" w:name="_Toc133499629"/>
      <w:r>
        <w:t>Tabela 11.1.</w:t>
      </w:r>
      <w:r w:rsidR="00000000">
        <w:fldChar w:fldCharType="begin"/>
      </w:r>
      <w:r w:rsidR="00000000">
        <w:instrText xml:space="preserve"> SEQ Tabela_11.1. \* ARABIC </w:instrText>
      </w:r>
      <w:r w:rsidR="00000000">
        <w:fldChar w:fldCharType="separate"/>
      </w:r>
      <w:r w:rsidR="002D62B3">
        <w:rPr>
          <w:noProof/>
        </w:rPr>
        <w:t>10</w:t>
      </w:r>
      <w:r w:rsidR="00000000">
        <w:rPr>
          <w:noProof/>
        </w:rPr>
        <w:fldChar w:fldCharType="end"/>
      </w:r>
      <w:r>
        <w:t xml:space="preserve"> </w:t>
      </w:r>
      <w:r w:rsidRPr="008924E0">
        <w:rPr>
          <w:color w:val="000000"/>
        </w:rPr>
        <w:t>Omjer finalne i potrebne energije za grijanje stambenog fonda u FBiH</w:t>
      </w:r>
      <w:bookmarkEnd w:id="219"/>
    </w:p>
    <w:tbl>
      <w:tblPr>
        <w:tblStyle w:val="18"/>
        <w:tblW w:w="7863" w:type="dxa"/>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ayout w:type="fixed"/>
        <w:tblLook w:val="04A0" w:firstRow="1" w:lastRow="0" w:firstColumn="1" w:lastColumn="0" w:noHBand="0" w:noVBand="1"/>
      </w:tblPr>
      <w:tblGrid>
        <w:gridCol w:w="1708"/>
        <w:gridCol w:w="1100"/>
        <w:gridCol w:w="1215"/>
        <w:gridCol w:w="960"/>
        <w:gridCol w:w="960"/>
        <w:gridCol w:w="960"/>
        <w:gridCol w:w="960"/>
      </w:tblGrid>
      <w:tr w:rsidR="00CF7A3C" w:rsidRPr="008924E0" w14:paraId="44E3203E" w14:textId="77777777" w:rsidTr="00F85003">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708" w:type="dxa"/>
            <w:vMerge w:val="restart"/>
          </w:tcPr>
          <w:p w14:paraId="43D9B1B0" w14:textId="77777777" w:rsidR="00CF7A3C" w:rsidRPr="008924E0" w:rsidRDefault="00CF7A3C" w:rsidP="000B085B">
            <w:pPr>
              <w:jc w:val="center"/>
              <w:rPr>
                <w:lang w:val="bs-Latn-BA"/>
              </w:rPr>
            </w:pPr>
            <w:r w:rsidRPr="008924E0">
              <w:rPr>
                <w:lang w:val="bs-Latn-BA"/>
              </w:rPr>
              <w:t>Period izgradnje </w:t>
            </w:r>
          </w:p>
        </w:tc>
        <w:tc>
          <w:tcPr>
            <w:tcW w:w="2315" w:type="dxa"/>
            <w:gridSpan w:val="2"/>
            <w:vAlign w:val="center"/>
          </w:tcPr>
          <w:p w14:paraId="11828295" w14:textId="77777777" w:rsidR="00CF7A3C" w:rsidRPr="008924E0" w:rsidRDefault="00CF7A3C" w:rsidP="008B3942">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Individualno stanovanje</w:t>
            </w:r>
          </w:p>
        </w:tc>
        <w:tc>
          <w:tcPr>
            <w:tcW w:w="3840" w:type="dxa"/>
            <w:gridSpan w:val="4"/>
            <w:vAlign w:val="center"/>
          </w:tcPr>
          <w:p w14:paraId="56D85935" w14:textId="77777777" w:rsidR="00CF7A3C" w:rsidRPr="008924E0" w:rsidRDefault="00CF7A3C" w:rsidP="008B3942">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Kolektivno stanovanje</w:t>
            </w:r>
          </w:p>
        </w:tc>
      </w:tr>
      <w:tr w:rsidR="00CB76CD" w:rsidRPr="008924E0" w14:paraId="2507FF1E" w14:textId="77777777" w:rsidTr="008B394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vMerge/>
          </w:tcPr>
          <w:p w14:paraId="5858CA21" w14:textId="77777777" w:rsidR="00CF7A3C" w:rsidRPr="008924E0" w:rsidRDefault="00CF7A3C" w:rsidP="000B085B">
            <w:pPr>
              <w:widowControl w:val="0"/>
              <w:pBdr>
                <w:top w:val="nil"/>
                <w:left w:val="nil"/>
                <w:bottom w:val="nil"/>
                <w:right w:val="nil"/>
                <w:between w:val="nil"/>
              </w:pBdr>
              <w:spacing w:line="276" w:lineRule="auto"/>
              <w:rPr>
                <w:color w:val="FFFFFF"/>
                <w:lang w:val="bs-Latn-BA"/>
              </w:rPr>
            </w:pPr>
          </w:p>
        </w:tc>
        <w:tc>
          <w:tcPr>
            <w:tcW w:w="1100" w:type="dxa"/>
            <w:shd w:val="clear" w:color="auto" w:fill="006432"/>
            <w:vAlign w:val="center"/>
          </w:tcPr>
          <w:p w14:paraId="614F4B7F"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SH</w:t>
            </w:r>
          </w:p>
        </w:tc>
        <w:tc>
          <w:tcPr>
            <w:tcW w:w="1215" w:type="dxa"/>
            <w:shd w:val="clear" w:color="auto" w:fill="006432"/>
            <w:vAlign w:val="center"/>
          </w:tcPr>
          <w:p w14:paraId="3A103C7A"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TH</w:t>
            </w:r>
          </w:p>
        </w:tc>
        <w:tc>
          <w:tcPr>
            <w:tcW w:w="960" w:type="dxa"/>
            <w:shd w:val="clear" w:color="auto" w:fill="006432"/>
            <w:vAlign w:val="center"/>
          </w:tcPr>
          <w:p w14:paraId="1BECD908"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MH</w:t>
            </w:r>
          </w:p>
        </w:tc>
        <w:tc>
          <w:tcPr>
            <w:tcW w:w="960" w:type="dxa"/>
            <w:shd w:val="clear" w:color="auto" w:fill="006432"/>
            <w:vAlign w:val="center"/>
          </w:tcPr>
          <w:p w14:paraId="684ED109"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AB1</w:t>
            </w:r>
          </w:p>
        </w:tc>
        <w:tc>
          <w:tcPr>
            <w:tcW w:w="960" w:type="dxa"/>
            <w:shd w:val="clear" w:color="auto" w:fill="006432"/>
            <w:vAlign w:val="center"/>
          </w:tcPr>
          <w:p w14:paraId="32B62AE6"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AB2</w:t>
            </w:r>
          </w:p>
        </w:tc>
        <w:tc>
          <w:tcPr>
            <w:tcW w:w="960" w:type="dxa"/>
            <w:shd w:val="clear" w:color="auto" w:fill="006432"/>
            <w:vAlign w:val="center"/>
          </w:tcPr>
          <w:p w14:paraId="11989139"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b/>
                <w:color w:val="FFFFFF"/>
                <w:lang w:val="bs-Latn-BA"/>
              </w:rPr>
            </w:pPr>
            <w:r w:rsidRPr="008924E0">
              <w:rPr>
                <w:b/>
                <w:color w:val="FFFFFF"/>
                <w:lang w:val="bs-Latn-BA"/>
              </w:rPr>
              <w:t>H</w:t>
            </w:r>
          </w:p>
        </w:tc>
      </w:tr>
      <w:tr w:rsidR="00CB76CD" w:rsidRPr="008924E0" w14:paraId="2B55FB14" w14:textId="77777777" w:rsidTr="008B3942">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3ED2D959" w14:textId="77777777" w:rsidR="00CF7A3C" w:rsidRPr="008924E0" w:rsidRDefault="00CF7A3C" w:rsidP="000B085B">
            <w:pPr>
              <w:jc w:val="center"/>
              <w:rPr>
                <w:lang w:val="bs-Latn-BA"/>
              </w:rPr>
            </w:pPr>
            <w:r w:rsidRPr="008924E0">
              <w:rPr>
                <w:lang w:val="bs-Latn-BA"/>
              </w:rPr>
              <w:t>do 1945.</w:t>
            </w:r>
          </w:p>
        </w:tc>
        <w:tc>
          <w:tcPr>
            <w:tcW w:w="1100" w:type="dxa"/>
            <w:vAlign w:val="center"/>
          </w:tcPr>
          <w:p w14:paraId="39E8EEB1"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1,9</w:t>
            </w:r>
          </w:p>
        </w:tc>
        <w:tc>
          <w:tcPr>
            <w:tcW w:w="1215" w:type="dxa"/>
            <w:vAlign w:val="center"/>
          </w:tcPr>
          <w:p w14:paraId="3819E174"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2,0</w:t>
            </w:r>
          </w:p>
        </w:tc>
        <w:tc>
          <w:tcPr>
            <w:tcW w:w="960" w:type="dxa"/>
            <w:vAlign w:val="center"/>
          </w:tcPr>
          <w:p w14:paraId="53EB0139"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2,0</w:t>
            </w:r>
          </w:p>
        </w:tc>
        <w:tc>
          <w:tcPr>
            <w:tcW w:w="960" w:type="dxa"/>
            <w:vAlign w:val="center"/>
          </w:tcPr>
          <w:p w14:paraId="799AB8A0"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1,7</w:t>
            </w:r>
          </w:p>
        </w:tc>
        <w:tc>
          <w:tcPr>
            <w:tcW w:w="960" w:type="dxa"/>
            <w:vAlign w:val="center"/>
          </w:tcPr>
          <w:p w14:paraId="3FA9D8EC"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p>
        </w:tc>
        <w:tc>
          <w:tcPr>
            <w:tcW w:w="960" w:type="dxa"/>
            <w:vAlign w:val="center"/>
          </w:tcPr>
          <w:p w14:paraId="71F3A6E1"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p>
        </w:tc>
      </w:tr>
      <w:tr w:rsidR="00CB76CD" w:rsidRPr="008924E0" w14:paraId="4D77C9E5" w14:textId="77777777" w:rsidTr="008B394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1C8DF321" w14:textId="77777777" w:rsidR="00CF7A3C" w:rsidRPr="008924E0" w:rsidRDefault="00CF7A3C" w:rsidP="000B085B">
            <w:pPr>
              <w:jc w:val="center"/>
              <w:rPr>
                <w:lang w:val="bs-Latn-BA"/>
              </w:rPr>
            </w:pPr>
            <w:r w:rsidRPr="008924E0">
              <w:rPr>
                <w:lang w:val="bs-Latn-BA"/>
              </w:rPr>
              <w:t>1946.-1960.</w:t>
            </w:r>
          </w:p>
        </w:tc>
        <w:tc>
          <w:tcPr>
            <w:tcW w:w="1100" w:type="dxa"/>
            <w:vAlign w:val="center"/>
          </w:tcPr>
          <w:p w14:paraId="0CB4E9B2"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1,9</w:t>
            </w:r>
          </w:p>
        </w:tc>
        <w:tc>
          <w:tcPr>
            <w:tcW w:w="1215" w:type="dxa"/>
            <w:vAlign w:val="center"/>
          </w:tcPr>
          <w:p w14:paraId="137607B1"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w:t>
            </w:r>
          </w:p>
        </w:tc>
        <w:tc>
          <w:tcPr>
            <w:tcW w:w="960" w:type="dxa"/>
            <w:vAlign w:val="center"/>
          </w:tcPr>
          <w:p w14:paraId="3211C35B"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1,7</w:t>
            </w:r>
          </w:p>
        </w:tc>
        <w:tc>
          <w:tcPr>
            <w:tcW w:w="960" w:type="dxa"/>
            <w:vAlign w:val="center"/>
          </w:tcPr>
          <w:p w14:paraId="6E803A6B"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1,8</w:t>
            </w:r>
          </w:p>
        </w:tc>
        <w:tc>
          <w:tcPr>
            <w:tcW w:w="960" w:type="dxa"/>
            <w:vAlign w:val="center"/>
          </w:tcPr>
          <w:p w14:paraId="484E1C32"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c>
          <w:tcPr>
            <w:tcW w:w="960" w:type="dxa"/>
            <w:vAlign w:val="center"/>
          </w:tcPr>
          <w:p w14:paraId="779C97C8"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p>
        </w:tc>
      </w:tr>
      <w:tr w:rsidR="00CB76CD" w:rsidRPr="008924E0" w14:paraId="7A809884" w14:textId="77777777" w:rsidTr="008B3942">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078921F3" w14:textId="77777777" w:rsidR="00CF7A3C" w:rsidRPr="008924E0" w:rsidRDefault="00CF7A3C" w:rsidP="000B085B">
            <w:pPr>
              <w:jc w:val="center"/>
              <w:rPr>
                <w:lang w:val="bs-Latn-BA"/>
              </w:rPr>
            </w:pPr>
            <w:r w:rsidRPr="008924E0">
              <w:rPr>
                <w:lang w:val="bs-Latn-BA"/>
              </w:rPr>
              <w:t>1961.-1970.</w:t>
            </w:r>
          </w:p>
        </w:tc>
        <w:tc>
          <w:tcPr>
            <w:tcW w:w="1100" w:type="dxa"/>
            <w:vAlign w:val="center"/>
          </w:tcPr>
          <w:p w14:paraId="32E80CE4"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1,8</w:t>
            </w:r>
          </w:p>
        </w:tc>
        <w:tc>
          <w:tcPr>
            <w:tcW w:w="1215" w:type="dxa"/>
            <w:vAlign w:val="center"/>
          </w:tcPr>
          <w:p w14:paraId="0B4367B7"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w:t>
            </w:r>
          </w:p>
        </w:tc>
        <w:tc>
          <w:tcPr>
            <w:tcW w:w="960" w:type="dxa"/>
            <w:vAlign w:val="center"/>
          </w:tcPr>
          <w:p w14:paraId="33EE85A3"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w:t>
            </w:r>
          </w:p>
        </w:tc>
        <w:tc>
          <w:tcPr>
            <w:tcW w:w="960" w:type="dxa"/>
            <w:vAlign w:val="center"/>
          </w:tcPr>
          <w:p w14:paraId="608993DB"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c>
          <w:tcPr>
            <w:tcW w:w="960" w:type="dxa"/>
            <w:vAlign w:val="center"/>
          </w:tcPr>
          <w:p w14:paraId="18FA2A01"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502A1BFD"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r>
      <w:tr w:rsidR="00CB76CD" w:rsidRPr="008924E0" w14:paraId="0BF16610" w14:textId="77777777" w:rsidTr="008B394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3267F777" w14:textId="77777777" w:rsidR="00CF7A3C" w:rsidRPr="008924E0" w:rsidRDefault="00CF7A3C" w:rsidP="000B085B">
            <w:pPr>
              <w:jc w:val="center"/>
              <w:rPr>
                <w:lang w:val="bs-Latn-BA"/>
              </w:rPr>
            </w:pPr>
            <w:r w:rsidRPr="008924E0">
              <w:rPr>
                <w:lang w:val="bs-Latn-BA"/>
              </w:rPr>
              <w:t>1971.-1980.</w:t>
            </w:r>
          </w:p>
        </w:tc>
        <w:tc>
          <w:tcPr>
            <w:tcW w:w="1100" w:type="dxa"/>
            <w:vAlign w:val="center"/>
          </w:tcPr>
          <w:p w14:paraId="598D5F47"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1,8</w:t>
            </w:r>
          </w:p>
        </w:tc>
        <w:tc>
          <w:tcPr>
            <w:tcW w:w="1215" w:type="dxa"/>
            <w:vAlign w:val="center"/>
          </w:tcPr>
          <w:p w14:paraId="1F8D18D6"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w:t>
            </w:r>
          </w:p>
        </w:tc>
        <w:tc>
          <w:tcPr>
            <w:tcW w:w="960" w:type="dxa"/>
            <w:vAlign w:val="center"/>
          </w:tcPr>
          <w:p w14:paraId="02FE8EC1"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c>
          <w:tcPr>
            <w:tcW w:w="960" w:type="dxa"/>
            <w:vAlign w:val="center"/>
          </w:tcPr>
          <w:p w14:paraId="7AB740C0"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p>
        </w:tc>
        <w:tc>
          <w:tcPr>
            <w:tcW w:w="960" w:type="dxa"/>
            <w:vAlign w:val="center"/>
          </w:tcPr>
          <w:p w14:paraId="633C0042"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0FE2D426"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r>
      <w:tr w:rsidR="00CB76CD" w:rsidRPr="008924E0" w14:paraId="4A668B4A" w14:textId="77777777" w:rsidTr="008B3942">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46E52664" w14:textId="77777777" w:rsidR="00CF7A3C" w:rsidRPr="008924E0" w:rsidRDefault="00CF7A3C" w:rsidP="000B085B">
            <w:pPr>
              <w:jc w:val="center"/>
              <w:rPr>
                <w:lang w:val="bs-Latn-BA"/>
              </w:rPr>
            </w:pPr>
            <w:r w:rsidRPr="008924E0">
              <w:rPr>
                <w:lang w:val="bs-Latn-BA"/>
              </w:rPr>
              <w:t>1981.-1991.</w:t>
            </w:r>
          </w:p>
        </w:tc>
        <w:tc>
          <w:tcPr>
            <w:tcW w:w="1100" w:type="dxa"/>
            <w:vAlign w:val="center"/>
          </w:tcPr>
          <w:p w14:paraId="5FFE951B"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1,7</w:t>
            </w:r>
          </w:p>
        </w:tc>
        <w:tc>
          <w:tcPr>
            <w:tcW w:w="1215" w:type="dxa"/>
            <w:vAlign w:val="center"/>
          </w:tcPr>
          <w:p w14:paraId="44AB114A"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w:t>
            </w:r>
          </w:p>
        </w:tc>
        <w:tc>
          <w:tcPr>
            <w:tcW w:w="960" w:type="dxa"/>
            <w:vAlign w:val="center"/>
          </w:tcPr>
          <w:p w14:paraId="71C30D9C"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62EE0FAF"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1,5</w:t>
            </w:r>
          </w:p>
        </w:tc>
        <w:tc>
          <w:tcPr>
            <w:tcW w:w="960" w:type="dxa"/>
            <w:vAlign w:val="center"/>
          </w:tcPr>
          <w:p w14:paraId="61DC89B5"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649BDC7D"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p>
        </w:tc>
      </w:tr>
      <w:tr w:rsidR="00CB76CD" w:rsidRPr="008924E0" w14:paraId="25705696" w14:textId="77777777" w:rsidTr="008B394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5AFA7497" w14:textId="77777777" w:rsidR="00CF7A3C" w:rsidRPr="008924E0" w:rsidRDefault="00CF7A3C" w:rsidP="000B085B">
            <w:pPr>
              <w:jc w:val="center"/>
              <w:rPr>
                <w:lang w:val="bs-Latn-BA"/>
              </w:rPr>
            </w:pPr>
            <w:r w:rsidRPr="008924E0">
              <w:rPr>
                <w:lang w:val="bs-Latn-BA"/>
              </w:rPr>
              <w:t>1992.-2013.</w:t>
            </w:r>
          </w:p>
        </w:tc>
        <w:tc>
          <w:tcPr>
            <w:tcW w:w="1100" w:type="dxa"/>
            <w:vAlign w:val="center"/>
          </w:tcPr>
          <w:p w14:paraId="5557B579"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1,7</w:t>
            </w:r>
          </w:p>
        </w:tc>
        <w:tc>
          <w:tcPr>
            <w:tcW w:w="1215" w:type="dxa"/>
            <w:vAlign w:val="center"/>
          </w:tcPr>
          <w:p w14:paraId="20D9BD06"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p>
        </w:tc>
        <w:tc>
          <w:tcPr>
            <w:tcW w:w="960" w:type="dxa"/>
            <w:vAlign w:val="center"/>
          </w:tcPr>
          <w:p w14:paraId="5C354F64"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0433A2B9"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c>
          <w:tcPr>
            <w:tcW w:w="960" w:type="dxa"/>
            <w:vAlign w:val="center"/>
          </w:tcPr>
          <w:p w14:paraId="4BF63C31"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40700B5A"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p>
        </w:tc>
      </w:tr>
      <w:tr w:rsidR="00CB76CD" w:rsidRPr="008924E0" w14:paraId="6DDE0907" w14:textId="77777777" w:rsidTr="008B3942">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61B678A1" w14:textId="77777777" w:rsidR="00CF7A3C" w:rsidRPr="008924E0" w:rsidRDefault="00CF7A3C" w:rsidP="000B085B">
            <w:pPr>
              <w:jc w:val="center"/>
              <w:rPr>
                <w:lang w:val="bs-Latn-BA"/>
              </w:rPr>
            </w:pPr>
            <w:r w:rsidRPr="008924E0">
              <w:rPr>
                <w:lang w:val="bs-Latn-BA"/>
              </w:rPr>
              <w:t>2014.-2020.*</w:t>
            </w:r>
          </w:p>
        </w:tc>
        <w:tc>
          <w:tcPr>
            <w:tcW w:w="1100" w:type="dxa"/>
            <w:vAlign w:val="center"/>
          </w:tcPr>
          <w:p w14:paraId="303EA4E9"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c>
          <w:tcPr>
            <w:tcW w:w="1215" w:type="dxa"/>
            <w:vAlign w:val="center"/>
          </w:tcPr>
          <w:p w14:paraId="6E49521D"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c>
          <w:tcPr>
            <w:tcW w:w="960" w:type="dxa"/>
            <w:vAlign w:val="center"/>
          </w:tcPr>
          <w:p w14:paraId="0DE009B7"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c>
          <w:tcPr>
            <w:tcW w:w="960" w:type="dxa"/>
            <w:vAlign w:val="center"/>
          </w:tcPr>
          <w:p w14:paraId="66E1699A"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709D14A8"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552E5775" w14:textId="77777777" w:rsidR="00CF7A3C" w:rsidRPr="008924E0" w:rsidRDefault="00CF7A3C" w:rsidP="008B3942">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r>
      <w:tr w:rsidR="00CB76CD" w:rsidRPr="008924E0" w14:paraId="2DCDFBD1" w14:textId="77777777" w:rsidTr="008B3942">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708" w:type="dxa"/>
          </w:tcPr>
          <w:p w14:paraId="7A0D5676" w14:textId="77777777" w:rsidR="00CF7A3C" w:rsidRPr="008924E0" w:rsidRDefault="00CF7A3C" w:rsidP="000B085B">
            <w:pPr>
              <w:jc w:val="center"/>
              <w:rPr>
                <w:lang w:val="bs-Latn-BA"/>
              </w:rPr>
            </w:pPr>
            <w:r w:rsidRPr="008924E0">
              <w:rPr>
                <w:lang w:val="bs-Latn-BA"/>
              </w:rPr>
              <w:t>Prosjek</w:t>
            </w:r>
          </w:p>
        </w:tc>
        <w:tc>
          <w:tcPr>
            <w:tcW w:w="1100" w:type="dxa"/>
            <w:vAlign w:val="center"/>
          </w:tcPr>
          <w:p w14:paraId="6CBAF60F"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1,7</w:t>
            </w:r>
          </w:p>
        </w:tc>
        <w:tc>
          <w:tcPr>
            <w:tcW w:w="1215" w:type="dxa"/>
            <w:vAlign w:val="center"/>
          </w:tcPr>
          <w:p w14:paraId="5B7E8DC4"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w:t>
            </w:r>
          </w:p>
        </w:tc>
        <w:tc>
          <w:tcPr>
            <w:tcW w:w="960" w:type="dxa"/>
            <w:vAlign w:val="center"/>
          </w:tcPr>
          <w:p w14:paraId="21117CD6"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1,5</w:t>
            </w:r>
          </w:p>
        </w:tc>
        <w:tc>
          <w:tcPr>
            <w:tcW w:w="960" w:type="dxa"/>
            <w:vAlign w:val="center"/>
          </w:tcPr>
          <w:p w14:paraId="36EECF0C"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1,5</w:t>
            </w:r>
          </w:p>
        </w:tc>
        <w:tc>
          <w:tcPr>
            <w:tcW w:w="960" w:type="dxa"/>
            <w:vAlign w:val="center"/>
          </w:tcPr>
          <w:p w14:paraId="0289C6C5"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c>
          <w:tcPr>
            <w:tcW w:w="960" w:type="dxa"/>
            <w:vAlign w:val="center"/>
          </w:tcPr>
          <w:p w14:paraId="7A9B2B03" w14:textId="77777777" w:rsidR="00CF7A3C" w:rsidRPr="008924E0" w:rsidRDefault="00CF7A3C" w:rsidP="008B39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w:t>
            </w:r>
          </w:p>
        </w:tc>
      </w:tr>
    </w:tbl>
    <w:p w14:paraId="524256B8" w14:textId="77777777" w:rsidR="00CF7A3C" w:rsidRPr="008924E0" w:rsidRDefault="00CF7A3C" w:rsidP="00CF7A3C">
      <w:pPr>
        <w:ind w:left="720" w:hanging="360"/>
        <w:rPr>
          <w:sz w:val="16"/>
          <w:szCs w:val="16"/>
          <w:lang w:val="bs-Latn-BA"/>
        </w:rPr>
      </w:pPr>
      <w:r w:rsidRPr="008924E0">
        <w:rPr>
          <w:sz w:val="16"/>
          <w:szCs w:val="16"/>
          <w:lang w:val="bs-Latn-BA"/>
        </w:rPr>
        <w:t xml:space="preserve">      *Za analizu su korišteni podaci iz baze energijskih certifikata sa malim brojem uzoraka </w:t>
      </w:r>
    </w:p>
    <w:p w14:paraId="5605A9DC" w14:textId="4A37E7D5" w:rsidR="00CF7A3C" w:rsidRPr="008924E0" w:rsidRDefault="00CF7A3C" w:rsidP="00CF7A3C">
      <w:pPr>
        <w:rPr>
          <w:lang w:val="bs-Latn-BA"/>
        </w:rPr>
      </w:pPr>
      <w:r w:rsidRPr="008924E0">
        <w:rPr>
          <w:lang w:val="bs-Latn-BA"/>
        </w:rPr>
        <w:lastRenderedPageBreak/>
        <w:t xml:space="preserve">Potrošnja energije ostalih sistema, sistema za hlađenje, pripremu potrošne tople vode (PTV), rasvjete i ostalih električnih uređaja, mogu se pratiti kroz omjer ukupne finalne potrošnje stambenog sektora i potrošnje finalne energije za grijanje. Iz podataka u Tabeli </w:t>
      </w:r>
      <w:r w:rsidR="00F85003">
        <w:rPr>
          <w:lang w:val="bs-Latn-BA"/>
        </w:rPr>
        <w:t>11.</w:t>
      </w:r>
      <w:r w:rsidRPr="008924E0">
        <w:rPr>
          <w:lang w:val="bs-Latn-BA"/>
        </w:rPr>
        <w:t>1.11</w:t>
      </w:r>
      <w:r w:rsidR="00F85003">
        <w:rPr>
          <w:lang w:val="bs-Latn-BA"/>
        </w:rPr>
        <w:t>.</w:t>
      </w:r>
      <w:r w:rsidRPr="008924E0">
        <w:rPr>
          <w:lang w:val="bs-Latn-BA"/>
        </w:rPr>
        <w:t xml:space="preserve"> se vidi da ukupna potrošnja domaćinstava, ima trend porast u prethodnom periodu. Prema tome i potrošnja energije ostalih sistema bilježi porast.  Sistemi PTV u domaćinstvima su dominantno bazirani na električnim bojlerima i potrošnji električne energije, te se modernizacija ovih sistema i uštede u energiji mogu postići integracijom ovih sistema sa centralnim sistemom grijanja i instalacijom solarnih panela. Modernizacija sistema rasvjete i smanjenje potrošnje ovih podsistema se može postići instalacijom sistema rasvjete bolje klase energijske efikasnosti koje imaju značajno nižu potrošnju energije. </w:t>
      </w:r>
    </w:p>
    <w:p w14:paraId="08D63EFE" w14:textId="58D7EEBC" w:rsidR="00F85003" w:rsidRDefault="00F85003" w:rsidP="00F85003">
      <w:pPr>
        <w:pStyle w:val="Caption"/>
        <w:keepNext/>
      </w:pPr>
      <w:bookmarkStart w:id="220" w:name="_Toc133499630"/>
      <w:r>
        <w:t xml:space="preserve">Tabela 11.1. </w:t>
      </w:r>
      <w:r w:rsidR="00000000">
        <w:fldChar w:fldCharType="begin"/>
      </w:r>
      <w:r w:rsidR="00000000">
        <w:instrText xml:space="preserve"> SEQ Tabela_11.1. \* ARABIC </w:instrText>
      </w:r>
      <w:r w:rsidR="00000000">
        <w:fldChar w:fldCharType="separate"/>
      </w:r>
      <w:r w:rsidR="002D62B3">
        <w:rPr>
          <w:noProof/>
        </w:rPr>
        <w:t>11</w:t>
      </w:r>
      <w:r w:rsidR="00000000">
        <w:rPr>
          <w:noProof/>
        </w:rPr>
        <w:fldChar w:fldCharType="end"/>
      </w:r>
      <w:r>
        <w:t xml:space="preserve"> </w:t>
      </w:r>
      <w:r w:rsidRPr="008924E0">
        <w:rPr>
          <w:color w:val="000000"/>
        </w:rPr>
        <w:t>Podaci o finalnoj potrošnji energije za domaćinstva prema EUROSTAT</w:t>
      </w:r>
      <w:bookmarkEnd w:id="220"/>
    </w:p>
    <w:tbl>
      <w:tblPr>
        <w:tblStyle w:val="17"/>
        <w:tblW w:w="5463" w:type="dxa"/>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ayout w:type="fixed"/>
        <w:tblLook w:val="04A0" w:firstRow="1" w:lastRow="0" w:firstColumn="1" w:lastColumn="0" w:noHBand="0" w:noVBand="1"/>
      </w:tblPr>
      <w:tblGrid>
        <w:gridCol w:w="2791"/>
        <w:gridCol w:w="893"/>
        <w:gridCol w:w="894"/>
        <w:gridCol w:w="885"/>
      </w:tblGrid>
      <w:tr w:rsidR="00CF7A3C" w:rsidRPr="008924E0" w14:paraId="0415A1B7" w14:textId="77777777" w:rsidTr="00F85003">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91" w:type="dxa"/>
          </w:tcPr>
          <w:p w14:paraId="15D5367B" w14:textId="77777777" w:rsidR="00CF7A3C" w:rsidRPr="008924E0" w:rsidRDefault="00CF7A3C" w:rsidP="000B085B">
            <w:pPr>
              <w:rPr>
                <w:rFonts w:ascii="Times New Roman" w:eastAsia="Times New Roman" w:hAnsi="Times New Roman" w:cs="Times New Roman"/>
                <w:lang w:val="bs-Latn-BA"/>
              </w:rPr>
            </w:pPr>
          </w:p>
        </w:tc>
        <w:tc>
          <w:tcPr>
            <w:tcW w:w="893" w:type="dxa"/>
          </w:tcPr>
          <w:p w14:paraId="2F97D6CA" w14:textId="77777777" w:rsidR="00CF7A3C" w:rsidRPr="008924E0" w:rsidRDefault="00CF7A3C" w:rsidP="000B085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2018.</w:t>
            </w:r>
          </w:p>
        </w:tc>
        <w:tc>
          <w:tcPr>
            <w:tcW w:w="894" w:type="dxa"/>
          </w:tcPr>
          <w:p w14:paraId="6F17CF82" w14:textId="77777777" w:rsidR="00CF7A3C" w:rsidRPr="008924E0" w:rsidRDefault="00CF7A3C" w:rsidP="000B085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2019.</w:t>
            </w:r>
          </w:p>
        </w:tc>
        <w:tc>
          <w:tcPr>
            <w:tcW w:w="885" w:type="dxa"/>
          </w:tcPr>
          <w:p w14:paraId="7F809D0B" w14:textId="77777777" w:rsidR="00CF7A3C" w:rsidRPr="008924E0" w:rsidRDefault="00CF7A3C" w:rsidP="000B085B">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2020.</w:t>
            </w:r>
          </w:p>
        </w:tc>
      </w:tr>
      <w:tr w:rsidR="00CF7A3C" w:rsidRPr="008924E0" w14:paraId="387C676E" w14:textId="77777777" w:rsidTr="00F85003">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91" w:type="dxa"/>
          </w:tcPr>
          <w:p w14:paraId="4CE9A08D" w14:textId="77777777" w:rsidR="00CF7A3C" w:rsidRPr="008924E0" w:rsidRDefault="00CF7A3C" w:rsidP="000B085B">
            <w:pPr>
              <w:rPr>
                <w:lang w:val="bs-Latn-BA"/>
              </w:rPr>
            </w:pPr>
            <w:r w:rsidRPr="008924E0">
              <w:rPr>
                <w:lang w:val="bs-Latn-BA"/>
              </w:rPr>
              <w:t>Domaćinstva/BiH  ktoe</w:t>
            </w:r>
          </w:p>
        </w:tc>
        <w:tc>
          <w:tcPr>
            <w:tcW w:w="893" w:type="dxa"/>
          </w:tcPr>
          <w:p w14:paraId="39C12E78"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1.719,4</w:t>
            </w:r>
          </w:p>
        </w:tc>
        <w:tc>
          <w:tcPr>
            <w:tcW w:w="894" w:type="dxa"/>
          </w:tcPr>
          <w:p w14:paraId="432084FD"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1.686,6</w:t>
            </w:r>
          </w:p>
        </w:tc>
        <w:tc>
          <w:tcPr>
            <w:tcW w:w="885" w:type="dxa"/>
          </w:tcPr>
          <w:p w14:paraId="519ABE1E"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1.800,2</w:t>
            </w:r>
          </w:p>
        </w:tc>
      </w:tr>
      <w:tr w:rsidR="00CF7A3C" w:rsidRPr="008924E0" w14:paraId="2DDEC720" w14:textId="77777777" w:rsidTr="00F85003">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91" w:type="dxa"/>
          </w:tcPr>
          <w:p w14:paraId="1798BB55" w14:textId="77777777" w:rsidR="00CF7A3C" w:rsidRPr="008924E0" w:rsidRDefault="00CF7A3C" w:rsidP="000B085B">
            <w:pPr>
              <w:rPr>
                <w:lang w:val="bs-Latn-BA"/>
              </w:rPr>
            </w:pPr>
            <w:r w:rsidRPr="008924E0">
              <w:rPr>
                <w:lang w:val="bs-Latn-BA"/>
              </w:rPr>
              <w:t>Domaćinstva/FBiH, ktoe</w:t>
            </w:r>
          </w:p>
        </w:tc>
        <w:tc>
          <w:tcPr>
            <w:tcW w:w="893" w:type="dxa"/>
          </w:tcPr>
          <w:p w14:paraId="59577396"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1.066,0</w:t>
            </w:r>
          </w:p>
        </w:tc>
        <w:tc>
          <w:tcPr>
            <w:tcW w:w="894" w:type="dxa"/>
          </w:tcPr>
          <w:p w14:paraId="0AFA14D1"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1.045,7</w:t>
            </w:r>
          </w:p>
        </w:tc>
        <w:tc>
          <w:tcPr>
            <w:tcW w:w="885" w:type="dxa"/>
          </w:tcPr>
          <w:p w14:paraId="36FD48CE"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1.116,1</w:t>
            </w:r>
          </w:p>
        </w:tc>
      </w:tr>
      <w:tr w:rsidR="00CB76CD" w:rsidRPr="008924E0" w14:paraId="340FE212" w14:textId="77777777" w:rsidTr="000B085B">
        <w:trPr>
          <w:cnfStyle w:val="000000100000" w:firstRow="0" w:lastRow="0" w:firstColumn="0" w:lastColumn="0" w:oddVBand="0" w:evenVBand="0" w:oddHBand="1"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91" w:type="dxa"/>
          </w:tcPr>
          <w:p w14:paraId="5689EA9E" w14:textId="77777777" w:rsidR="00CF7A3C" w:rsidRPr="008924E0" w:rsidRDefault="00CF7A3C" w:rsidP="000B085B">
            <w:pPr>
              <w:rPr>
                <w:lang w:val="bs-Latn-BA"/>
              </w:rPr>
            </w:pPr>
            <w:r w:rsidRPr="008924E0">
              <w:rPr>
                <w:lang w:val="bs-Latn-BA"/>
              </w:rPr>
              <w:t>Grijanje/FBiH, ktoe</w:t>
            </w:r>
          </w:p>
        </w:tc>
        <w:tc>
          <w:tcPr>
            <w:tcW w:w="893" w:type="dxa"/>
            <w:vAlign w:val="center"/>
          </w:tcPr>
          <w:p w14:paraId="03FAA0FE"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951,6</w:t>
            </w:r>
          </w:p>
        </w:tc>
        <w:tc>
          <w:tcPr>
            <w:tcW w:w="894" w:type="dxa"/>
            <w:vAlign w:val="center"/>
          </w:tcPr>
          <w:p w14:paraId="40FEF1D6"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902,8</w:t>
            </w:r>
          </w:p>
        </w:tc>
        <w:tc>
          <w:tcPr>
            <w:tcW w:w="885" w:type="dxa"/>
            <w:vAlign w:val="center"/>
          </w:tcPr>
          <w:p w14:paraId="0F90761D"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930,8</w:t>
            </w:r>
          </w:p>
        </w:tc>
      </w:tr>
      <w:tr w:rsidR="00CB76CD" w:rsidRPr="008924E0" w14:paraId="16A9D985" w14:textId="77777777" w:rsidTr="000B085B">
        <w:trPr>
          <w:cnfStyle w:val="000000010000" w:firstRow="0" w:lastRow="0" w:firstColumn="0" w:lastColumn="0" w:oddVBand="0" w:evenVBand="0" w:oddHBand="0" w:evenHBand="1"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2791" w:type="dxa"/>
          </w:tcPr>
          <w:p w14:paraId="60609478" w14:textId="77777777" w:rsidR="00CF7A3C" w:rsidRPr="008924E0" w:rsidRDefault="00CF7A3C" w:rsidP="000B085B">
            <w:pPr>
              <w:rPr>
                <w:lang w:val="bs-Latn-BA"/>
              </w:rPr>
            </w:pPr>
            <w:r w:rsidRPr="008924E0">
              <w:rPr>
                <w:lang w:val="bs-Latn-BA"/>
              </w:rPr>
              <w:t>Potrošnja ostalih sistema, ktoe</w:t>
            </w:r>
          </w:p>
        </w:tc>
        <w:tc>
          <w:tcPr>
            <w:tcW w:w="893" w:type="dxa"/>
            <w:vAlign w:val="center"/>
          </w:tcPr>
          <w:p w14:paraId="742CA7D1"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114,4</w:t>
            </w:r>
          </w:p>
        </w:tc>
        <w:tc>
          <w:tcPr>
            <w:tcW w:w="894" w:type="dxa"/>
            <w:vAlign w:val="center"/>
          </w:tcPr>
          <w:p w14:paraId="702EF02A"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142,9</w:t>
            </w:r>
          </w:p>
        </w:tc>
        <w:tc>
          <w:tcPr>
            <w:tcW w:w="885" w:type="dxa"/>
            <w:vAlign w:val="center"/>
          </w:tcPr>
          <w:p w14:paraId="53C0632F"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185,3</w:t>
            </w:r>
          </w:p>
        </w:tc>
      </w:tr>
    </w:tbl>
    <w:p w14:paraId="0D0A75D2" w14:textId="77777777" w:rsidR="00CF7A3C" w:rsidRPr="008924E0" w:rsidRDefault="00CF7A3C" w:rsidP="00CF7A3C">
      <w:pPr>
        <w:pStyle w:val="Heading5"/>
        <w:rPr>
          <w:b w:val="0"/>
          <w:i/>
          <w:lang w:val="bs-Latn-BA"/>
        </w:rPr>
      </w:pPr>
      <w:r w:rsidRPr="008924E0">
        <w:rPr>
          <w:b w:val="0"/>
          <w:i/>
          <w:lang w:val="bs-Latn-BA"/>
        </w:rPr>
        <w:t>Nestambene</w:t>
      </w:r>
      <w:r w:rsidRPr="008924E0">
        <w:rPr>
          <w:b w:val="0"/>
          <w:lang w:val="bs-Latn-BA"/>
        </w:rPr>
        <w:t xml:space="preserve"> </w:t>
      </w:r>
      <w:r w:rsidRPr="008924E0">
        <w:rPr>
          <w:b w:val="0"/>
          <w:i/>
          <w:lang w:val="bs-Latn-BA"/>
        </w:rPr>
        <w:t>zgrade</w:t>
      </w:r>
    </w:p>
    <w:p w14:paraId="6556BD19" w14:textId="3A08F83D" w:rsidR="00CF7A3C" w:rsidRPr="008924E0" w:rsidRDefault="00CF7A3C" w:rsidP="00CF7A3C">
      <w:pPr>
        <w:pStyle w:val="0Tekst"/>
        <w:rPr>
          <w:rFonts w:ascii="Calibri" w:eastAsiaTheme="minorEastAsia" w:hAnsi="Calibri" w:cs="Calibri"/>
          <w:color w:val="auto"/>
          <w:szCs w:val="22"/>
          <w:lang w:val="bs-Latn-BA" w:eastAsia="ja-JP"/>
        </w:rPr>
      </w:pPr>
      <w:r w:rsidRPr="008924E0">
        <w:rPr>
          <w:rFonts w:ascii="Calibri" w:eastAsiaTheme="minorEastAsia" w:hAnsi="Calibri" w:cs="Calibri"/>
          <w:color w:val="auto"/>
          <w:szCs w:val="22"/>
          <w:lang w:val="bs-Latn-BA" w:eastAsia="ja-JP"/>
        </w:rPr>
        <w:t xml:space="preserve">Efikasnost sistema grijanja za nestambene zgrade se može pratiti kao prosječni omjer finalne i potrebne energije koji iznosi 1,24. U Tipologiji javnih zgrada su navedene karakteristike dominantnih sistema grijanja zastupljenih u pojedinim kategorijama te je moguće prikazati omjer finalne i potrebne potrošnje energije javnih zgrada, kako je prikazano u Tabeli </w:t>
      </w:r>
      <w:r w:rsidR="00F85003">
        <w:rPr>
          <w:rFonts w:ascii="Calibri" w:eastAsiaTheme="minorEastAsia" w:hAnsi="Calibri" w:cs="Calibri"/>
          <w:color w:val="auto"/>
          <w:szCs w:val="22"/>
          <w:lang w:val="bs-Latn-BA" w:eastAsia="ja-JP"/>
        </w:rPr>
        <w:t>11.</w:t>
      </w:r>
      <w:r w:rsidRPr="008924E0">
        <w:rPr>
          <w:rFonts w:ascii="Calibri" w:eastAsiaTheme="minorEastAsia" w:hAnsi="Calibri" w:cs="Calibri"/>
          <w:color w:val="auto"/>
          <w:szCs w:val="22"/>
          <w:lang w:val="bs-Latn-BA" w:eastAsia="ja-JP"/>
        </w:rPr>
        <w:t xml:space="preserve">1.12. Omjer je visok i može se reducirati instalacijom visokoefikasnih sistema grijanja.  Kako se vidi, za zgrade namijenjene obrazovanju, koje čine jednu od dvije dominantne kategorije, omjer je veoma nepovoljan, što je indikator prekomjerne potrošnje energije kao rezultat niske efikasnosti sistema grijanja. </w:t>
      </w:r>
    </w:p>
    <w:p w14:paraId="59C98C06" w14:textId="74B0EA33" w:rsidR="00F85003" w:rsidRDefault="00F85003" w:rsidP="00F85003">
      <w:pPr>
        <w:pStyle w:val="Caption"/>
        <w:keepNext/>
      </w:pPr>
      <w:bookmarkStart w:id="221" w:name="_Toc133499631"/>
      <w:r>
        <w:t>Tabela 11.1.</w:t>
      </w:r>
      <w:r w:rsidR="00000000">
        <w:fldChar w:fldCharType="begin"/>
      </w:r>
      <w:r w:rsidR="00000000">
        <w:instrText xml:space="preserve"> SEQ Tabela_11.1. \* ARABIC </w:instrText>
      </w:r>
      <w:r w:rsidR="00000000">
        <w:fldChar w:fldCharType="separate"/>
      </w:r>
      <w:r w:rsidR="002D62B3">
        <w:rPr>
          <w:noProof/>
        </w:rPr>
        <w:t>12</w:t>
      </w:r>
      <w:r w:rsidR="00000000">
        <w:rPr>
          <w:noProof/>
        </w:rPr>
        <w:fldChar w:fldCharType="end"/>
      </w:r>
      <w:r>
        <w:t xml:space="preserve"> </w:t>
      </w:r>
      <w:r w:rsidRPr="008924E0">
        <w:rPr>
          <w:color w:val="000000"/>
        </w:rPr>
        <w:t>Omjer finalne i potrebne energije za grijanje javnih zgrada u FBiH</w:t>
      </w:r>
      <w:bookmarkEnd w:id="221"/>
    </w:p>
    <w:tbl>
      <w:tblPr>
        <w:tblStyle w:val="16"/>
        <w:tblW w:w="8789" w:type="dxa"/>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ayout w:type="fixed"/>
        <w:tblLook w:val="04A0" w:firstRow="1" w:lastRow="0" w:firstColumn="1" w:lastColumn="0" w:noHBand="0" w:noVBand="1"/>
      </w:tblPr>
      <w:tblGrid>
        <w:gridCol w:w="1446"/>
        <w:gridCol w:w="964"/>
        <w:gridCol w:w="1037"/>
        <w:gridCol w:w="941"/>
        <w:gridCol w:w="976"/>
        <w:gridCol w:w="976"/>
        <w:gridCol w:w="1245"/>
        <w:gridCol w:w="1204"/>
      </w:tblGrid>
      <w:tr w:rsidR="00CB76CD" w:rsidRPr="008924E0" w14:paraId="0DAE417A" w14:textId="77777777" w:rsidTr="000B085B">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1446" w:type="dxa"/>
          </w:tcPr>
          <w:p w14:paraId="06A112EF" w14:textId="77777777" w:rsidR="00CF7A3C" w:rsidRPr="008924E0" w:rsidRDefault="00CF7A3C" w:rsidP="000B085B">
            <w:pPr>
              <w:rPr>
                <w:sz w:val="16"/>
                <w:szCs w:val="16"/>
                <w:lang w:val="bs-Latn-BA"/>
              </w:rPr>
            </w:pPr>
            <w:r w:rsidRPr="008924E0">
              <w:rPr>
                <w:sz w:val="16"/>
                <w:szCs w:val="16"/>
                <w:lang w:val="bs-Latn-BA"/>
              </w:rPr>
              <w:t xml:space="preserve"> Period izgradnje </w:t>
            </w:r>
          </w:p>
        </w:tc>
        <w:tc>
          <w:tcPr>
            <w:tcW w:w="964" w:type="dxa"/>
          </w:tcPr>
          <w:p w14:paraId="6C6007A1"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sz w:val="16"/>
                <w:szCs w:val="16"/>
                <w:lang w:val="bs-Latn-BA"/>
              </w:rPr>
            </w:pPr>
            <w:r w:rsidRPr="008924E0">
              <w:rPr>
                <w:sz w:val="16"/>
                <w:szCs w:val="16"/>
                <w:lang w:val="bs-Latn-BA"/>
              </w:rPr>
              <w:t>Obdanište</w:t>
            </w:r>
          </w:p>
        </w:tc>
        <w:tc>
          <w:tcPr>
            <w:tcW w:w="1037" w:type="dxa"/>
          </w:tcPr>
          <w:p w14:paraId="3B119D28"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sz w:val="16"/>
                <w:szCs w:val="16"/>
                <w:lang w:val="bs-Latn-BA"/>
              </w:rPr>
            </w:pPr>
            <w:r w:rsidRPr="008924E0">
              <w:rPr>
                <w:sz w:val="16"/>
                <w:szCs w:val="16"/>
                <w:lang w:val="bs-Latn-BA"/>
              </w:rPr>
              <w:t>Obrazov.</w:t>
            </w:r>
          </w:p>
        </w:tc>
        <w:tc>
          <w:tcPr>
            <w:tcW w:w="941" w:type="dxa"/>
          </w:tcPr>
          <w:p w14:paraId="2DC6D023"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sz w:val="16"/>
                <w:szCs w:val="16"/>
                <w:lang w:val="bs-Latn-BA"/>
              </w:rPr>
            </w:pPr>
            <w:r w:rsidRPr="008924E0">
              <w:rPr>
                <w:sz w:val="16"/>
                <w:szCs w:val="16"/>
                <w:lang w:val="bs-Latn-BA"/>
              </w:rPr>
              <w:t>Zdravstvo</w:t>
            </w:r>
          </w:p>
        </w:tc>
        <w:tc>
          <w:tcPr>
            <w:tcW w:w="976" w:type="dxa"/>
          </w:tcPr>
          <w:p w14:paraId="3F2BA8EE"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sz w:val="16"/>
                <w:szCs w:val="16"/>
                <w:lang w:val="bs-Latn-BA"/>
              </w:rPr>
            </w:pPr>
            <w:r w:rsidRPr="008924E0">
              <w:rPr>
                <w:sz w:val="16"/>
                <w:szCs w:val="16"/>
                <w:lang w:val="bs-Latn-BA"/>
              </w:rPr>
              <w:t>Sport</w:t>
            </w:r>
          </w:p>
        </w:tc>
        <w:tc>
          <w:tcPr>
            <w:tcW w:w="976" w:type="dxa"/>
          </w:tcPr>
          <w:p w14:paraId="08FC809D"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sz w:val="16"/>
                <w:szCs w:val="16"/>
                <w:lang w:val="bs-Latn-BA"/>
              </w:rPr>
            </w:pPr>
            <w:r w:rsidRPr="008924E0">
              <w:rPr>
                <w:sz w:val="16"/>
                <w:szCs w:val="16"/>
                <w:lang w:val="bs-Latn-BA"/>
              </w:rPr>
              <w:t>Kultura</w:t>
            </w:r>
          </w:p>
        </w:tc>
        <w:tc>
          <w:tcPr>
            <w:tcW w:w="1245" w:type="dxa"/>
          </w:tcPr>
          <w:p w14:paraId="59DECBD1"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sz w:val="16"/>
                <w:szCs w:val="16"/>
                <w:lang w:val="bs-Latn-BA"/>
              </w:rPr>
            </w:pPr>
            <w:r w:rsidRPr="008924E0">
              <w:rPr>
                <w:sz w:val="16"/>
                <w:szCs w:val="16"/>
                <w:lang w:val="bs-Latn-BA"/>
              </w:rPr>
              <w:t>Administrat.</w:t>
            </w:r>
          </w:p>
        </w:tc>
        <w:tc>
          <w:tcPr>
            <w:tcW w:w="1204" w:type="dxa"/>
          </w:tcPr>
          <w:p w14:paraId="533E0763" w14:textId="77777777" w:rsidR="00CF7A3C" w:rsidRPr="008924E0" w:rsidRDefault="00CF7A3C" w:rsidP="000B085B">
            <w:pPr>
              <w:cnfStyle w:val="100000000000" w:firstRow="1" w:lastRow="0" w:firstColumn="0" w:lastColumn="0" w:oddVBand="0" w:evenVBand="0" w:oddHBand="0" w:evenHBand="0" w:firstRowFirstColumn="0" w:firstRowLastColumn="0" w:lastRowFirstColumn="0" w:lastRowLastColumn="0"/>
              <w:rPr>
                <w:sz w:val="16"/>
                <w:szCs w:val="16"/>
                <w:lang w:val="bs-Latn-BA"/>
              </w:rPr>
            </w:pPr>
            <w:r w:rsidRPr="008924E0">
              <w:rPr>
                <w:sz w:val="16"/>
                <w:szCs w:val="16"/>
                <w:lang w:val="bs-Latn-BA"/>
              </w:rPr>
              <w:t>Cjelodnevni bor.</w:t>
            </w:r>
          </w:p>
        </w:tc>
      </w:tr>
      <w:tr w:rsidR="00CB76CD" w:rsidRPr="008924E0" w14:paraId="0B100C29" w14:textId="77777777" w:rsidTr="000B085B">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1446" w:type="dxa"/>
          </w:tcPr>
          <w:p w14:paraId="711296FF" w14:textId="77777777" w:rsidR="00CF7A3C" w:rsidRPr="008924E0" w:rsidRDefault="00CF7A3C" w:rsidP="000B085B">
            <w:pPr>
              <w:rPr>
                <w:lang w:val="bs-Latn-BA"/>
              </w:rPr>
            </w:pPr>
            <w:r w:rsidRPr="008924E0">
              <w:rPr>
                <w:lang w:val="bs-Latn-BA"/>
              </w:rPr>
              <w:t>do 1945.</w:t>
            </w:r>
          </w:p>
        </w:tc>
        <w:tc>
          <w:tcPr>
            <w:tcW w:w="964" w:type="dxa"/>
            <w:vAlign w:val="center"/>
          </w:tcPr>
          <w:p w14:paraId="71379EE2"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w:t>
            </w:r>
          </w:p>
        </w:tc>
        <w:tc>
          <w:tcPr>
            <w:tcW w:w="1037" w:type="dxa"/>
            <w:vAlign w:val="center"/>
          </w:tcPr>
          <w:p w14:paraId="7DD733D1"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41" w:type="dxa"/>
            <w:vAlign w:val="center"/>
          </w:tcPr>
          <w:p w14:paraId="43EBD289"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76" w:type="dxa"/>
            <w:vAlign w:val="center"/>
          </w:tcPr>
          <w:p w14:paraId="48F8A41E"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w:t>
            </w:r>
          </w:p>
        </w:tc>
        <w:tc>
          <w:tcPr>
            <w:tcW w:w="976" w:type="dxa"/>
            <w:vAlign w:val="center"/>
          </w:tcPr>
          <w:p w14:paraId="05BCDE48"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245" w:type="dxa"/>
            <w:vAlign w:val="center"/>
          </w:tcPr>
          <w:p w14:paraId="39A8194B"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204" w:type="dxa"/>
            <w:vAlign w:val="center"/>
          </w:tcPr>
          <w:p w14:paraId="00DF2160"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w:t>
            </w:r>
          </w:p>
        </w:tc>
      </w:tr>
      <w:tr w:rsidR="00CB76CD" w:rsidRPr="008924E0" w14:paraId="04312CAC" w14:textId="77777777" w:rsidTr="000B085B">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46" w:type="dxa"/>
          </w:tcPr>
          <w:p w14:paraId="01AF41CA" w14:textId="77777777" w:rsidR="00CF7A3C" w:rsidRPr="008924E0" w:rsidRDefault="00CF7A3C" w:rsidP="000B085B">
            <w:pPr>
              <w:rPr>
                <w:lang w:val="bs-Latn-BA"/>
              </w:rPr>
            </w:pPr>
            <w:r w:rsidRPr="008924E0">
              <w:rPr>
                <w:lang w:val="bs-Latn-BA"/>
              </w:rPr>
              <w:t>1946.-1965.</w:t>
            </w:r>
          </w:p>
        </w:tc>
        <w:tc>
          <w:tcPr>
            <w:tcW w:w="964" w:type="dxa"/>
            <w:vAlign w:val="center"/>
          </w:tcPr>
          <w:p w14:paraId="3B7B8689"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037" w:type="dxa"/>
            <w:vAlign w:val="center"/>
          </w:tcPr>
          <w:p w14:paraId="0CE5150C"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41" w:type="dxa"/>
            <w:vAlign w:val="center"/>
          </w:tcPr>
          <w:p w14:paraId="4B6522EF"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976" w:type="dxa"/>
            <w:vAlign w:val="center"/>
          </w:tcPr>
          <w:p w14:paraId="01F9FFCC"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76" w:type="dxa"/>
            <w:vAlign w:val="center"/>
          </w:tcPr>
          <w:p w14:paraId="6ED6E7D5"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245" w:type="dxa"/>
            <w:vAlign w:val="center"/>
          </w:tcPr>
          <w:p w14:paraId="4588D576"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204" w:type="dxa"/>
            <w:vAlign w:val="center"/>
          </w:tcPr>
          <w:p w14:paraId="2D71DCD2"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r>
      <w:tr w:rsidR="00CB76CD" w:rsidRPr="008924E0" w14:paraId="712B282A" w14:textId="77777777" w:rsidTr="000B085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46" w:type="dxa"/>
          </w:tcPr>
          <w:p w14:paraId="6D8B87CA" w14:textId="77777777" w:rsidR="00CF7A3C" w:rsidRPr="008924E0" w:rsidRDefault="00CF7A3C" w:rsidP="000B085B">
            <w:pPr>
              <w:rPr>
                <w:lang w:val="bs-Latn-BA"/>
              </w:rPr>
            </w:pPr>
            <w:r w:rsidRPr="008924E0">
              <w:rPr>
                <w:lang w:val="bs-Latn-BA"/>
              </w:rPr>
              <w:t>1966.-1973.</w:t>
            </w:r>
          </w:p>
        </w:tc>
        <w:tc>
          <w:tcPr>
            <w:tcW w:w="964" w:type="dxa"/>
            <w:vAlign w:val="center"/>
          </w:tcPr>
          <w:p w14:paraId="1CE55143"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037" w:type="dxa"/>
            <w:vAlign w:val="center"/>
          </w:tcPr>
          <w:p w14:paraId="246B3B01"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41" w:type="dxa"/>
            <w:vAlign w:val="center"/>
          </w:tcPr>
          <w:p w14:paraId="40C349AA"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976" w:type="dxa"/>
            <w:vAlign w:val="center"/>
          </w:tcPr>
          <w:p w14:paraId="1EEDD05B"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76" w:type="dxa"/>
            <w:vAlign w:val="center"/>
          </w:tcPr>
          <w:p w14:paraId="245F057B"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245" w:type="dxa"/>
            <w:vAlign w:val="center"/>
          </w:tcPr>
          <w:p w14:paraId="6C621207"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1204" w:type="dxa"/>
            <w:vAlign w:val="center"/>
          </w:tcPr>
          <w:p w14:paraId="095A884A"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r>
      <w:tr w:rsidR="00CB76CD" w:rsidRPr="008924E0" w14:paraId="0DE09CF6" w14:textId="77777777" w:rsidTr="000B085B">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46" w:type="dxa"/>
          </w:tcPr>
          <w:p w14:paraId="1FB0D6AF" w14:textId="77777777" w:rsidR="00CF7A3C" w:rsidRPr="008924E0" w:rsidRDefault="00CF7A3C" w:rsidP="000B085B">
            <w:pPr>
              <w:rPr>
                <w:lang w:val="bs-Latn-BA"/>
              </w:rPr>
            </w:pPr>
            <w:r w:rsidRPr="008924E0">
              <w:rPr>
                <w:lang w:val="bs-Latn-BA"/>
              </w:rPr>
              <w:t>1974.-1987.</w:t>
            </w:r>
          </w:p>
        </w:tc>
        <w:tc>
          <w:tcPr>
            <w:tcW w:w="964" w:type="dxa"/>
            <w:vAlign w:val="center"/>
          </w:tcPr>
          <w:p w14:paraId="5E28C220"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1037" w:type="dxa"/>
            <w:vAlign w:val="center"/>
          </w:tcPr>
          <w:p w14:paraId="5CAC3B90"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41" w:type="dxa"/>
            <w:vAlign w:val="center"/>
          </w:tcPr>
          <w:p w14:paraId="5675D967"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76" w:type="dxa"/>
            <w:vAlign w:val="center"/>
          </w:tcPr>
          <w:p w14:paraId="0222394F"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76" w:type="dxa"/>
            <w:vAlign w:val="center"/>
          </w:tcPr>
          <w:p w14:paraId="75FD4CF5"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245" w:type="dxa"/>
            <w:vAlign w:val="center"/>
          </w:tcPr>
          <w:p w14:paraId="117E5B3B"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1204" w:type="dxa"/>
            <w:vAlign w:val="center"/>
          </w:tcPr>
          <w:p w14:paraId="377E932B"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r>
      <w:tr w:rsidR="00CB76CD" w:rsidRPr="008924E0" w14:paraId="33830F11" w14:textId="77777777" w:rsidTr="000B085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46" w:type="dxa"/>
          </w:tcPr>
          <w:p w14:paraId="7CF22FA7" w14:textId="77777777" w:rsidR="00CF7A3C" w:rsidRPr="008924E0" w:rsidRDefault="00CF7A3C" w:rsidP="000B085B">
            <w:pPr>
              <w:rPr>
                <w:lang w:val="bs-Latn-BA"/>
              </w:rPr>
            </w:pPr>
            <w:r w:rsidRPr="008924E0">
              <w:rPr>
                <w:lang w:val="bs-Latn-BA"/>
              </w:rPr>
              <w:t>1988.-2009.</w:t>
            </w:r>
          </w:p>
        </w:tc>
        <w:tc>
          <w:tcPr>
            <w:tcW w:w="964" w:type="dxa"/>
            <w:vAlign w:val="center"/>
          </w:tcPr>
          <w:p w14:paraId="721B12E6"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037" w:type="dxa"/>
            <w:vAlign w:val="center"/>
          </w:tcPr>
          <w:p w14:paraId="13B0FDDD"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41" w:type="dxa"/>
            <w:vAlign w:val="center"/>
          </w:tcPr>
          <w:p w14:paraId="0807C7F4"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976" w:type="dxa"/>
            <w:vAlign w:val="center"/>
          </w:tcPr>
          <w:p w14:paraId="2D8E85C0"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976" w:type="dxa"/>
            <w:vAlign w:val="center"/>
          </w:tcPr>
          <w:p w14:paraId="4FADF3BC"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1245" w:type="dxa"/>
            <w:vAlign w:val="center"/>
          </w:tcPr>
          <w:p w14:paraId="5F6C5D18"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1204" w:type="dxa"/>
            <w:vAlign w:val="center"/>
          </w:tcPr>
          <w:p w14:paraId="5B3C4DD7"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r>
      <w:tr w:rsidR="00CB76CD" w:rsidRPr="008924E0" w14:paraId="67B94AFC" w14:textId="77777777" w:rsidTr="000B085B">
        <w:trPr>
          <w:cnfStyle w:val="000000010000" w:firstRow="0" w:lastRow="0" w:firstColumn="0" w:lastColumn="0" w:oddVBand="0" w:evenVBand="0" w:oddHBand="0" w:evenHBand="1"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46" w:type="dxa"/>
          </w:tcPr>
          <w:p w14:paraId="45E5D079" w14:textId="77777777" w:rsidR="00CF7A3C" w:rsidRPr="008924E0" w:rsidRDefault="00CF7A3C" w:rsidP="000B085B">
            <w:pPr>
              <w:rPr>
                <w:lang w:val="bs-Latn-BA"/>
              </w:rPr>
            </w:pPr>
            <w:r w:rsidRPr="008924E0">
              <w:rPr>
                <w:lang w:val="bs-Latn-BA"/>
              </w:rPr>
              <w:t>nakon 2010.</w:t>
            </w:r>
          </w:p>
        </w:tc>
        <w:tc>
          <w:tcPr>
            <w:tcW w:w="964" w:type="dxa"/>
            <w:vAlign w:val="center"/>
          </w:tcPr>
          <w:p w14:paraId="1C7B8EDF"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037" w:type="dxa"/>
            <w:vAlign w:val="center"/>
          </w:tcPr>
          <w:p w14:paraId="4B24BD7A"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41" w:type="dxa"/>
            <w:vAlign w:val="center"/>
          </w:tcPr>
          <w:p w14:paraId="5B85E190"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76" w:type="dxa"/>
            <w:vAlign w:val="center"/>
          </w:tcPr>
          <w:p w14:paraId="3A2B2EE6"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976" w:type="dxa"/>
            <w:vAlign w:val="center"/>
          </w:tcPr>
          <w:p w14:paraId="25B30260"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w:t>
            </w:r>
          </w:p>
        </w:tc>
        <w:tc>
          <w:tcPr>
            <w:tcW w:w="1245" w:type="dxa"/>
            <w:vAlign w:val="center"/>
          </w:tcPr>
          <w:p w14:paraId="5F6EE807"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1,13</w:t>
            </w:r>
          </w:p>
        </w:tc>
        <w:tc>
          <w:tcPr>
            <w:tcW w:w="1204" w:type="dxa"/>
            <w:vAlign w:val="center"/>
          </w:tcPr>
          <w:p w14:paraId="3CC83580" w14:textId="77777777" w:rsidR="00CF7A3C" w:rsidRPr="008924E0" w:rsidRDefault="00CF7A3C" w:rsidP="000B085B">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w:t>
            </w:r>
          </w:p>
        </w:tc>
      </w:tr>
      <w:tr w:rsidR="00CB76CD" w:rsidRPr="008924E0" w14:paraId="0DBD0C01" w14:textId="77777777" w:rsidTr="000B085B">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1446" w:type="dxa"/>
          </w:tcPr>
          <w:p w14:paraId="4A7E9D6F" w14:textId="77777777" w:rsidR="00CF7A3C" w:rsidRPr="008924E0" w:rsidRDefault="00CF7A3C" w:rsidP="000B085B">
            <w:pPr>
              <w:rPr>
                <w:lang w:val="bs-Latn-BA"/>
              </w:rPr>
            </w:pPr>
            <w:r w:rsidRPr="008924E0">
              <w:rPr>
                <w:lang w:val="bs-Latn-BA"/>
              </w:rPr>
              <w:t>Prosjek</w:t>
            </w:r>
          </w:p>
        </w:tc>
        <w:tc>
          <w:tcPr>
            <w:tcW w:w="964" w:type="dxa"/>
            <w:vAlign w:val="center"/>
          </w:tcPr>
          <w:p w14:paraId="766A76C6"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1,14</w:t>
            </w:r>
          </w:p>
        </w:tc>
        <w:tc>
          <w:tcPr>
            <w:tcW w:w="1037" w:type="dxa"/>
            <w:vAlign w:val="center"/>
          </w:tcPr>
          <w:p w14:paraId="6D5B86C2"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1,38</w:t>
            </w:r>
          </w:p>
        </w:tc>
        <w:tc>
          <w:tcPr>
            <w:tcW w:w="941" w:type="dxa"/>
            <w:vAlign w:val="center"/>
          </w:tcPr>
          <w:p w14:paraId="6B4DB1FE"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1,29</w:t>
            </w:r>
          </w:p>
        </w:tc>
        <w:tc>
          <w:tcPr>
            <w:tcW w:w="976" w:type="dxa"/>
            <w:vAlign w:val="center"/>
          </w:tcPr>
          <w:p w14:paraId="1EB23E4F"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1,29</w:t>
            </w:r>
          </w:p>
        </w:tc>
        <w:tc>
          <w:tcPr>
            <w:tcW w:w="976" w:type="dxa"/>
            <w:vAlign w:val="center"/>
          </w:tcPr>
          <w:p w14:paraId="370D18DE"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1,18</w:t>
            </w:r>
          </w:p>
        </w:tc>
        <w:tc>
          <w:tcPr>
            <w:tcW w:w="1245" w:type="dxa"/>
            <w:vAlign w:val="center"/>
          </w:tcPr>
          <w:p w14:paraId="0C7FD105"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1,165</w:t>
            </w:r>
          </w:p>
        </w:tc>
        <w:tc>
          <w:tcPr>
            <w:tcW w:w="1204" w:type="dxa"/>
            <w:vAlign w:val="center"/>
          </w:tcPr>
          <w:p w14:paraId="1E827486" w14:textId="77777777" w:rsidR="00CF7A3C" w:rsidRPr="008924E0" w:rsidRDefault="00CF7A3C" w:rsidP="000B085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1,21</w:t>
            </w:r>
          </w:p>
        </w:tc>
      </w:tr>
    </w:tbl>
    <w:p w14:paraId="2882353E" w14:textId="77777777" w:rsidR="00CF7A3C" w:rsidRPr="008924E0" w:rsidRDefault="00CF7A3C" w:rsidP="00CF7A3C">
      <w:pPr>
        <w:rPr>
          <w:lang w:val="bs-Latn-BA"/>
        </w:rPr>
      </w:pPr>
    </w:p>
    <w:p w14:paraId="26414BD0" w14:textId="77777777" w:rsidR="00CF7A3C" w:rsidRPr="008924E0" w:rsidRDefault="00CF7A3C" w:rsidP="00581C1C">
      <w:pPr>
        <w:pStyle w:val="Heading4"/>
        <w:numPr>
          <w:ilvl w:val="3"/>
          <w:numId w:val="54"/>
        </w:numPr>
        <w:rPr>
          <w:lang w:val="bs-Latn-BA"/>
        </w:rPr>
      </w:pPr>
      <w:bookmarkStart w:id="222" w:name="_Toc134011821"/>
      <w:r w:rsidRPr="008924E0">
        <w:rPr>
          <w:lang w:val="bs-Latn-BA"/>
        </w:rPr>
        <w:t>Zgrade sa statusom nacionalnih spomenika</w:t>
      </w:r>
      <w:bookmarkEnd w:id="222"/>
      <w:r w:rsidRPr="008924E0">
        <w:rPr>
          <w:lang w:val="bs-Latn-BA"/>
        </w:rPr>
        <w:t xml:space="preserve"> </w:t>
      </w:r>
    </w:p>
    <w:p w14:paraId="32063E8F" w14:textId="601B797D" w:rsidR="00CF7A3C" w:rsidRPr="008924E0" w:rsidRDefault="00CF7A3C" w:rsidP="00CF7A3C">
      <w:pPr>
        <w:rPr>
          <w:lang w:val="bs-Latn-BA"/>
        </w:rPr>
      </w:pPr>
      <w:r w:rsidRPr="008924E0">
        <w:rPr>
          <w:lang w:val="bs-Latn-BA"/>
        </w:rPr>
        <w:t xml:space="preserve">Zavod za zaštitu spomenika FBiH (ZZS FBiH) u okviru Ministarstva kulture i sporta FBiH, nadležan je za oblast zaštite i korištenja kulturno-historijskog naslijeđa u FBiH. Zavod  evidentira i obrađuje prikupljene podatke, valorizuje i štiti evidentirane objekte kulturno-historijskog naslijeđa, izrađuje sve propisane i </w:t>
      </w:r>
      <w:r w:rsidR="00C8296F" w:rsidRPr="008924E0">
        <w:rPr>
          <w:lang w:val="bs-Latn-BA"/>
        </w:rPr>
        <w:t>standardiz</w:t>
      </w:r>
      <w:r w:rsidR="00C8296F">
        <w:rPr>
          <w:lang w:val="bs-Latn-BA"/>
        </w:rPr>
        <w:t>irane</w:t>
      </w:r>
      <w:r w:rsidR="00C8296F" w:rsidRPr="008924E0">
        <w:rPr>
          <w:lang w:val="bs-Latn-BA"/>
        </w:rPr>
        <w:t xml:space="preserve"> </w:t>
      </w:r>
      <w:r w:rsidRPr="008924E0">
        <w:rPr>
          <w:lang w:val="bs-Latn-BA"/>
        </w:rPr>
        <w:t xml:space="preserve">programe zaštite i korištenja objekata kulturno-historijskog naslijeđa, arhivira i čuva dokumentaciju o objektima kulturno-historijskog naslijeđa, te utvrđuje mjere i uvjete za buduću namjenu, korištenje i upravljanje objektima kulturno-historijskog naslijeđa. U nadležnosti Zavoda je i priprema programe </w:t>
      </w:r>
      <w:r w:rsidR="006A5773">
        <w:rPr>
          <w:lang w:val="bs-Latn-BA"/>
        </w:rPr>
        <w:t>obnove</w:t>
      </w:r>
      <w:r w:rsidRPr="008924E0">
        <w:rPr>
          <w:lang w:val="bs-Latn-BA"/>
        </w:rPr>
        <w:t xml:space="preserve">, konzervacije, restauracije, rekonstrukcije i rehabilitacije </w:t>
      </w:r>
      <w:r w:rsidRPr="008924E0">
        <w:rPr>
          <w:lang w:val="bs-Latn-BA"/>
        </w:rPr>
        <w:lastRenderedPageBreak/>
        <w:t>objekata kulturno-historijskog naslijeđa, te sudjelovanje u pripremi zakona i drugih propisa u vezi sa zaštitom i korištenjem kulturno-historijskog naslijeđa.</w:t>
      </w:r>
    </w:p>
    <w:p w14:paraId="349ABF2E" w14:textId="0ABDC5C7" w:rsidR="00CF7A3C" w:rsidRPr="008924E0" w:rsidRDefault="00CF7A3C" w:rsidP="00CF7A3C">
      <w:pPr>
        <w:rPr>
          <w:i/>
          <w:iCs/>
          <w:szCs w:val="18"/>
          <w:lang w:val="bs-Latn-BA"/>
        </w:rPr>
      </w:pPr>
      <w:r w:rsidRPr="008924E0">
        <w:rPr>
          <w:lang w:val="bs-Latn-BA"/>
        </w:rPr>
        <w:t xml:space="preserve">Iako ZZS FBiH sadrži evidenciju zgrada proglašenih nacionalnim spomenicima u FBiH, za potrebe pripreme situacione analize, od strane ZZS dostavljena je samo lista zgrada i graditeljskih cjelina sa statusom nacionalnog spomenika po kantonima (Tabela </w:t>
      </w:r>
      <w:r w:rsidR="00F85003">
        <w:rPr>
          <w:lang w:val="bs-Latn-BA"/>
        </w:rPr>
        <w:t>11.</w:t>
      </w:r>
      <w:r w:rsidRPr="008924E0">
        <w:rPr>
          <w:lang w:val="bs-Latn-BA"/>
        </w:rPr>
        <w:t>1.13 ).</w:t>
      </w:r>
    </w:p>
    <w:p w14:paraId="4C172B3C" w14:textId="341E98FD" w:rsidR="00F85003" w:rsidRDefault="00F85003" w:rsidP="00F85003">
      <w:pPr>
        <w:pStyle w:val="Caption"/>
        <w:keepNext/>
      </w:pPr>
      <w:bookmarkStart w:id="223" w:name="_Toc133499632"/>
      <w:r>
        <w:t>Tabela 11.1.</w:t>
      </w:r>
      <w:r w:rsidR="00000000">
        <w:fldChar w:fldCharType="begin"/>
      </w:r>
      <w:r w:rsidR="00000000">
        <w:instrText xml:space="preserve"> SEQ Tabela_11.1. \* ARABIC </w:instrText>
      </w:r>
      <w:r w:rsidR="00000000">
        <w:fldChar w:fldCharType="separate"/>
      </w:r>
      <w:r w:rsidR="002D62B3">
        <w:rPr>
          <w:noProof/>
        </w:rPr>
        <w:t>13</w:t>
      </w:r>
      <w:r w:rsidR="00000000">
        <w:rPr>
          <w:noProof/>
        </w:rPr>
        <w:fldChar w:fldCharType="end"/>
      </w:r>
      <w:r>
        <w:t xml:space="preserve"> </w:t>
      </w:r>
      <w:r w:rsidRPr="008924E0">
        <w:rPr>
          <w:color w:val="000000"/>
        </w:rPr>
        <w:t>Pregled zgrada i graditeljskih cjelina sa statusom nacionalnog spomenika u FBiH.</w:t>
      </w:r>
      <w:bookmarkEnd w:id="223"/>
    </w:p>
    <w:tbl>
      <w:tblPr>
        <w:tblStyle w:val="15"/>
        <w:tblW w:w="9027"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150"/>
        <w:gridCol w:w="1980"/>
        <w:gridCol w:w="1890"/>
        <w:gridCol w:w="2007"/>
      </w:tblGrid>
      <w:tr w:rsidR="00CF7A3C" w:rsidRPr="001972F5" w14:paraId="3748E2DB" w14:textId="77777777" w:rsidTr="00F85003">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696199CB" w14:textId="77777777" w:rsidR="00CF7A3C" w:rsidRPr="008924E0" w:rsidRDefault="00CF7A3C" w:rsidP="000B085B">
            <w:pPr>
              <w:rPr>
                <w:lang w:val="bs-Latn-BA"/>
              </w:rPr>
            </w:pPr>
            <w:r w:rsidRPr="008924E0">
              <w:rPr>
                <w:lang w:val="bs-Latn-BA"/>
              </w:rPr>
              <w:t>Kanton</w:t>
            </w:r>
          </w:p>
        </w:tc>
        <w:tc>
          <w:tcPr>
            <w:tcW w:w="1980" w:type="dxa"/>
          </w:tcPr>
          <w:p w14:paraId="6055F901"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Broj zgrada sa statusom nacionalnog spomenika</w:t>
            </w:r>
          </w:p>
        </w:tc>
        <w:tc>
          <w:tcPr>
            <w:tcW w:w="1890" w:type="dxa"/>
          </w:tcPr>
          <w:p w14:paraId="5D3E89A8"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Broj graditeljskih cjelina sa statusom nacionalnog spomenika</w:t>
            </w:r>
          </w:p>
        </w:tc>
        <w:tc>
          <w:tcPr>
            <w:tcW w:w="2007" w:type="dxa"/>
          </w:tcPr>
          <w:p w14:paraId="4333DA42"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Ukupan broj zgrada i graditeljskih cjelina po kantonima</w:t>
            </w:r>
          </w:p>
        </w:tc>
      </w:tr>
      <w:tr w:rsidR="00CB76CD" w:rsidRPr="008924E0" w14:paraId="4364B6FA"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0233ACFA" w14:textId="77777777" w:rsidR="00CF7A3C" w:rsidRPr="008924E0" w:rsidRDefault="00CF7A3C" w:rsidP="000B085B">
            <w:pPr>
              <w:rPr>
                <w:lang w:val="bs-Latn-BA"/>
              </w:rPr>
            </w:pPr>
            <w:r w:rsidRPr="008924E0">
              <w:rPr>
                <w:lang w:val="bs-Latn-BA"/>
              </w:rPr>
              <w:t>Unsko-sanski kanton</w:t>
            </w:r>
          </w:p>
        </w:tc>
        <w:tc>
          <w:tcPr>
            <w:tcW w:w="1980" w:type="dxa"/>
            <w:vAlign w:val="center"/>
          </w:tcPr>
          <w:p w14:paraId="137F95E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12</w:t>
            </w:r>
          </w:p>
        </w:tc>
        <w:tc>
          <w:tcPr>
            <w:tcW w:w="1890" w:type="dxa"/>
          </w:tcPr>
          <w:p w14:paraId="20A5FF9C"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w:t>
            </w:r>
          </w:p>
        </w:tc>
        <w:tc>
          <w:tcPr>
            <w:tcW w:w="2007" w:type="dxa"/>
          </w:tcPr>
          <w:p w14:paraId="1B4BBB7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14</w:t>
            </w:r>
          </w:p>
        </w:tc>
      </w:tr>
      <w:tr w:rsidR="00CB76CD" w:rsidRPr="008924E0" w14:paraId="2C785F61"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09CC655F" w14:textId="77777777" w:rsidR="00CF7A3C" w:rsidRPr="008924E0" w:rsidRDefault="00CF7A3C" w:rsidP="000B085B">
            <w:pPr>
              <w:rPr>
                <w:lang w:val="bs-Latn-BA"/>
              </w:rPr>
            </w:pPr>
            <w:r w:rsidRPr="008924E0">
              <w:rPr>
                <w:lang w:val="bs-Latn-BA"/>
              </w:rPr>
              <w:t>Posavski kanton</w:t>
            </w:r>
          </w:p>
        </w:tc>
        <w:tc>
          <w:tcPr>
            <w:tcW w:w="1980" w:type="dxa"/>
            <w:vAlign w:val="center"/>
          </w:tcPr>
          <w:p w14:paraId="0159AB1B"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w:t>
            </w:r>
          </w:p>
        </w:tc>
        <w:tc>
          <w:tcPr>
            <w:tcW w:w="1890" w:type="dxa"/>
          </w:tcPr>
          <w:p w14:paraId="6805EA1F"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c>
          <w:tcPr>
            <w:tcW w:w="2007" w:type="dxa"/>
          </w:tcPr>
          <w:p w14:paraId="45F393C2"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w:t>
            </w:r>
          </w:p>
        </w:tc>
      </w:tr>
      <w:tr w:rsidR="00CB76CD" w:rsidRPr="008924E0" w14:paraId="204EA6EF"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20EFE747" w14:textId="77777777" w:rsidR="00CF7A3C" w:rsidRPr="008924E0" w:rsidRDefault="00CF7A3C" w:rsidP="000B085B">
            <w:pPr>
              <w:rPr>
                <w:lang w:val="bs-Latn-BA"/>
              </w:rPr>
            </w:pPr>
            <w:r w:rsidRPr="008924E0">
              <w:rPr>
                <w:lang w:val="bs-Latn-BA"/>
              </w:rPr>
              <w:t>Tuzlanski kanton</w:t>
            </w:r>
          </w:p>
        </w:tc>
        <w:tc>
          <w:tcPr>
            <w:tcW w:w="1980" w:type="dxa"/>
            <w:vAlign w:val="center"/>
          </w:tcPr>
          <w:p w14:paraId="2E885CD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34</w:t>
            </w:r>
          </w:p>
        </w:tc>
        <w:tc>
          <w:tcPr>
            <w:tcW w:w="1890" w:type="dxa"/>
          </w:tcPr>
          <w:p w14:paraId="405F94D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c>
          <w:tcPr>
            <w:tcW w:w="2007" w:type="dxa"/>
          </w:tcPr>
          <w:p w14:paraId="2DDD5D3D"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34</w:t>
            </w:r>
          </w:p>
        </w:tc>
      </w:tr>
      <w:tr w:rsidR="00CB76CD" w:rsidRPr="008924E0" w14:paraId="5776540C"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0466D407" w14:textId="77777777" w:rsidR="00CF7A3C" w:rsidRPr="008924E0" w:rsidRDefault="00CF7A3C" w:rsidP="000B085B">
            <w:pPr>
              <w:rPr>
                <w:lang w:val="bs-Latn-BA"/>
              </w:rPr>
            </w:pPr>
            <w:r w:rsidRPr="008924E0">
              <w:rPr>
                <w:lang w:val="bs-Latn-BA"/>
              </w:rPr>
              <w:t>Zeničko-dobojski kanton</w:t>
            </w:r>
          </w:p>
        </w:tc>
        <w:tc>
          <w:tcPr>
            <w:tcW w:w="1980" w:type="dxa"/>
            <w:vAlign w:val="center"/>
          </w:tcPr>
          <w:p w14:paraId="77E0C2AB"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24</w:t>
            </w:r>
          </w:p>
        </w:tc>
        <w:tc>
          <w:tcPr>
            <w:tcW w:w="1890" w:type="dxa"/>
          </w:tcPr>
          <w:p w14:paraId="049907D2"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w:t>
            </w:r>
          </w:p>
        </w:tc>
        <w:tc>
          <w:tcPr>
            <w:tcW w:w="2007" w:type="dxa"/>
          </w:tcPr>
          <w:p w14:paraId="7DCDB3C4"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25</w:t>
            </w:r>
          </w:p>
        </w:tc>
      </w:tr>
      <w:tr w:rsidR="00CB76CD" w:rsidRPr="008924E0" w14:paraId="6BCD9DBA"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71833549" w14:textId="77777777" w:rsidR="00CF7A3C" w:rsidRPr="008924E0" w:rsidRDefault="00CF7A3C" w:rsidP="000B085B">
            <w:pPr>
              <w:rPr>
                <w:lang w:val="bs-Latn-BA"/>
              </w:rPr>
            </w:pPr>
            <w:r w:rsidRPr="008924E0">
              <w:rPr>
                <w:lang w:val="bs-Latn-BA"/>
              </w:rPr>
              <w:t>Bosansko-podrinjski kanton</w:t>
            </w:r>
          </w:p>
        </w:tc>
        <w:tc>
          <w:tcPr>
            <w:tcW w:w="1980" w:type="dxa"/>
            <w:vAlign w:val="center"/>
          </w:tcPr>
          <w:p w14:paraId="51A0250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c>
          <w:tcPr>
            <w:tcW w:w="1890" w:type="dxa"/>
          </w:tcPr>
          <w:p w14:paraId="07BA8DE3"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c>
          <w:tcPr>
            <w:tcW w:w="2007" w:type="dxa"/>
          </w:tcPr>
          <w:p w14:paraId="1AE20459"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r>
      <w:tr w:rsidR="00CB76CD" w:rsidRPr="008924E0" w14:paraId="1EDAC7CA"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4A28C8C7" w14:textId="77777777" w:rsidR="00CF7A3C" w:rsidRPr="008924E0" w:rsidRDefault="00CF7A3C" w:rsidP="000B085B">
            <w:pPr>
              <w:rPr>
                <w:lang w:val="bs-Latn-BA"/>
              </w:rPr>
            </w:pPr>
            <w:r w:rsidRPr="008924E0">
              <w:rPr>
                <w:lang w:val="bs-Latn-BA"/>
              </w:rPr>
              <w:t>Srednjobosanski kanton</w:t>
            </w:r>
          </w:p>
        </w:tc>
        <w:tc>
          <w:tcPr>
            <w:tcW w:w="1980" w:type="dxa"/>
            <w:vAlign w:val="center"/>
          </w:tcPr>
          <w:p w14:paraId="19AB5CD4"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30</w:t>
            </w:r>
          </w:p>
        </w:tc>
        <w:tc>
          <w:tcPr>
            <w:tcW w:w="1890" w:type="dxa"/>
          </w:tcPr>
          <w:p w14:paraId="5E14DF05"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c>
          <w:tcPr>
            <w:tcW w:w="2007" w:type="dxa"/>
          </w:tcPr>
          <w:p w14:paraId="61BCB0E2"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30</w:t>
            </w:r>
          </w:p>
        </w:tc>
      </w:tr>
      <w:tr w:rsidR="00CB76CD" w:rsidRPr="008924E0" w14:paraId="09B17E5C"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4A2F4342" w14:textId="77777777" w:rsidR="00CF7A3C" w:rsidRPr="008924E0" w:rsidRDefault="00CF7A3C" w:rsidP="000B085B">
            <w:pPr>
              <w:rPr>
                <w:lang w:val="bs-Latn-BA"/>
              </w:rPr>
            </w:pPr>
            <w:r w:rsidRPr="008924E0">
              <w:rPr>
                <w:lang w:val="bs-Latn-BA"/>
              </w:rPr>
              <w:t>Hercegovačko-neretvanski kanton</w:t>
            </w:r>
          </w:p>
        </w:tc>
        <w:tc>
          <w:tcPr>
            <w:tcW w:w="1980" w:type="dxa"/>
            <w:vAlign w:val="center"/>
          </w:tcPr>
          <w:p w14:paraId="123421A2"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38</w:t>
            </w:r>
          </w:p>
        </w:tc>
        <w:tc>
          <w:tcPr>
            <w:tcW w:w="1890" w:type="dxa"/>
          </w:tcPr>
          <w:p w14:paraId="74FAF17B"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w:t>
            </w:r>
          </w:p>
        </w:tc>
        <w:tc>
          <w:tcPr>
            <w:tcW w:w="2007" w:type="dxa"/>
          </w:tcPr>
          <w:p w14:paraId="5A0EED46"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41</w:t>
            </w:r>
          </w:p>
        </w:tc>
      </w:tr>
      <w:tr w:rsidR="00CB76CD" w:rsidRPr="008924E0" w14:paraId="12591D30"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7949406C" w14:textId="77777777" w:rsidR="00CF7A3C" w:rsidRPr="008924E0" w:rsidRDefault="00CF7A3C" w:rsidP="000B085B">
            <w:pPr>
              <w:rPr>
                <w:lang w:val="bs-Latn-BA"/>
              </w:rPr>
            </w:pPr>
            <w:r w:rsidRPr="008924E0">
              <w:rPr>
                <w:lang w:val="bs-Latn-BA"/>
              </w:rPr>
              <w:t>Zapadnohercegovački kanton</w:t>
            </w:r>
          </w:p>
        </w:tc>
        <w:tc>
          <w:tcPr>
            <w:tcW w:w="1980" w:type="dxa"/>
            <w:vAlign w:val="center"/>
          </w:tcPr>
          <w:p w14:paraId="0A39677F"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w:t>
            </w:r>
          </w:p>
        </w:tc>
        <w:tc>
          <w:tcPr>
            <w:tcW w:w="1890" w:type="dxa"/>
          </w:tcPr>
          <w:p w14:paraId="57443B24"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c>
          <w:tcPr>
            <w:tcW w:w="2007" w:type="dxa"/>
          </w:tcPr>
          <w:p w14:paraId="6F9DC345"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w:t>
            </w:r>
          </w:p>
        </w:tc>
      </w:tr>
      <w:tr w:rsidR="00CB76CD" w:rsidRPr="008924E0" w14:paraId="37E68B5E"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7FC17C4C" w14:textId="77777777" w:rsidR="00CF7A3C" w:rsidRPr="008924E0" w:rsidRDefault="00CF7A3C" w:rsidP="000B085B">
            <w:pPr>
              <w:rPr>
                <w:lang w:val="bs-Latn-BA"/>
              </w:rPr>
            </w:pPr>
            <w:r w:rsidRPr="008924E0">
              <w:rPr>
                <w:lang w:val="bs-Latn-BA"/>
              </w:rPr>
              <w:t>Kanton Sarajevo</w:t>
            </w:r>
          </w:p>
        </w:tc>
        <w:tc>
          <w:tcPr>
            <w:tcW w:w="1980" w:type="dxa"/>
            <w:vAlign w:val="center"/>
          </w:tcPr>
          <w:p w14:paraId="3CCA62DA"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99</w:t>
            </w:r>
          </w:p>
        </w:tc>
        <w:tc>
          <w:tcPr>
            <w:tcW w:w="1890" w:type="dxa"/>
          </w:tcPr>
          <w:p w14:paraId="3B3F06C2"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7</w:t>
            </w:r>
          </w:p>
        </w:tc>
        <w:tc>
          <w:tcPr>
            <w:tcW w:w="2007" w:type="dxa"/>
          </w:tcPr>
          <w:p w14:paraId="7BF317D7"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106</w:t>
            </w:r>
          </w:p>
        </w:tc>
      </w:tr>
      <w:tr w:rsidR="00CB76CD" w:rsidRPr="008924E0" w14:paraId="2CFB7C6E"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227D5D28" w14:textId="77777777" w:rsidR="00CF7A3C" w:rsidRPr="008924E0" w:rsidRDefault="00CF7A3C" w:rsidP="000B085B">
            <w:pPr>
              <w:rPr>
                <w:lang w:val="bs-Latn-BA"/>
              </w:rPr>
            </w:pPr>
            <w:r w:rsidRPr="008924E0">
              <w:rPr>
                <w:lang w:val="bs-Latn-BA"/>
              </w:rPr>
              <w:t>Kanton 10</w:t>
            </w:r>
          </w:p>
        </w:tc>
        <w:tc>
          <w:tcPr>
            <w:tcW w:w="1980" w:type="dxa"/>
            <w:vAlign w:val="center"/>
          </w:tcPr>
          <w:p w14:paraId="3E6B905D"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w:t>
            </w:r>
          </w:p>
        </w:tc>
        <w:tc>
          <w:tcPr>
            <w:tcW w:w="1890" w:type="dxa"/>
          </w:tcPr>
          <w:p w14:paraId="3F8E088A"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c>
          <w:tcPr>
            <w:tcW w:w="2007" w:type="dxa"/>
          </w:tcPr>
          <w:p w14:paraId="46EA7E48"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11</w:t>
            </w:r>
          </w:p>
        </w:tc>
      </w:tr>
      <w:tr w:rsidR="00CB76CD" w:rsidRPr="008924E0" w14:paraId="008AA511"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50" w:type="dxa"/>
          </w:tcPr>
          <w:p w14:paraId="46E14D7F" w14:textId="77777777" w:rsidR="00CF7A3C" w:rsidRPr="008924E0" w:rsidRDefault="00CF7A3C" w:rsidP="000B085B">
            <w:pPr>
              <w:rPr>
                <w:lang w:val="bs-Latn-BA"/>
              </w:rPr>
            </w:pPr>
            <w:r w:rsidRPr="008924E0">
              <w:rPr>
                <w:lang w:val="bs-Latn-BA"/>
              </w:rPr>
              <w:t>Ukupno</w:t>
            </w:r>
          </w:p>
        </w:tc>
        <w:tc>
          <w:tcPr>
            <w:tcW w:w="1980" w:type="dxa"/>
            <w:vAlign w:val="center"/>
          </w:tcPr>
          <w:p w14:paraId="4C66CA31"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252</w:t>
            </w:r>
          </w:p>
        </w:tc>
        <w:tc>
          <w:tcPr>
            <w:tcW w:w="1890" w:type="dxa"/>
          </w:tcPr>
          <w:p w14:paraId="1E679777"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13</w:t>
            </w:r>
          </w:p>
        </w:tc>
        <w:tc>
          <w:tcPr>
            <w:tcW w:w="2007" w:type="dxa"/>
          </w:tcPr>
          <w:p w14:paraId="072A65A8"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265</w:t>
            </w:r>
          </w:p>
        </w:tc>
      </w:tr>
    </w:tbl>
    <w:p w14:paraId="61EB3825" w14:textId="77777777" w:rsidR="00CF7A3C" w:rsidRPr="008924E0" w:rsidRDefault="00CF7A3C" w:rsidP="00CF7A3C">
      <w:pPr>
        <w:rPr>
          <w:lang w:val="bs-Latn-BA"/>
        </w:rPr>
      </w:pPr>
    </w:p>
    <w:p w14:paraId="17D5BB69" w14:textId="77777777" w:rsidR="00CF7A3C" w:rsidRPr="008924E0" w:rsidRDefault="00CF7A3C" w:rsidP="00CF7A3C">
      <w:pPr>
        <w:rPr>
          <w:lang w:val="bs-Latn-BA"/>
        </w:rPr>
      </w:pPr>
      <w:r w:rsidRPr="008924E0">
        <w:rPr>
          <w:lang w:val="bs-Latn-BA"/>
        </w:rPr>
        <w:t>Prema podacima koje je priložio Zavod za zaštitu spomenika FBiH, osim zgrada sa statusom nacionalnih spomenika, pobrojano je i 13 graditeljskih cjelina sa statusom nacionalnog spomenika koje imaju jednu ili više zgrada u svom sastavu i to:</w:t>
      </w:r>
    </w:p>
    <w:p w14:paraId="7D837386"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Industrijska graditeljska cjelina hidroelektrane na Jarku u Bihaću </w:t>
      </w:r>
    </w:p>
    <w:p w14:paraId="36F3C75A"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Graditeljska cjelina – Zgrada Klostera (Samostan i škola časnih sestara Klanateljica Krvi Kristove) i Zgrada I. zasjedanja AVNOJ-a (Muzej AVNOJ-a) u Bihaću </w:t>
      </w:r>
    </w:p>
    <w:p w14:paraId="4133A249"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Graditeljska cjelina nekadašnje Fabrike papira („Papirne“) </w:t>
      </w:r>
    </w:p>
    <w:p w14:paraId="74E59525"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Stambena graditeljska cjelina  Bišćević – Lakšić</w:t>
      </w:r>
    </w:p>
    <w:p w14:paraId="2697A959"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Graditeljska cjelina – Mitropolija (Vladikin dvor ili Episkopska palata ) </w:t>
      </w:r>
    </w:p>
    <w:p w14:paraId="23488D61"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Stambena graditeljska cjelina hadži Junuz-age Mehmedbašića </w:t>
      </w:r>
    </w:p>
    <w:p w14:paraId="3164981B"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Graditeljska cjelina školskih zgrada iz Gimnazijske ulice</w:t>
      </w:r>
    </w:p>
    <w:p w14:paraId="7B2C23CA"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Graditeljska stambena cjelina kuće poznate kao kuća Alije Đerzeleza</w:t>
      </w:r>
    </w:p>
    <w:p w14:paraId="6765F05F"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Graditeljska cjelina  Careve (Hatibove, Stare sultan Mehmeda, Stare-Atik, Gazi sultan Fatih Mehmed-hanove) džamije sa Isa-begovom banjom </w:t>
      </w:r>
    </w:p>
    <w:p w14:paraId="4CC34D3E"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Industrijska graditeljska cjelina električne centrale na Hridu (Dudinom Hridu) </w:t>
      </w:r>
    </w:p>
    <w:p w14:paraId="7B773077"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Ambijentalna cjelina – Kazandžiluk, Male Daire i Luledžina ulica </w:t>
      </w:r>
    </w:p>
    <w:p w14:paraId="268B497B"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Ambijentalna cjelina Hadži Sinanove (Silahdar Mustafa-paše) tekije sa Sarač Alijinom džamijom i mezarjem uz nju </w:t>
      </w:r>
    </w:p>
    <w:p w14:paraId="488EBE16" w14:textId="77777777" w:rsidR="00CF7A3C" w:rsidRPr="008924E0" w:rsidRDefault="00CF7A3C" w:rsidP="00CF7A3C">
      <w:pPr>
        <w:numPr>
          <w:ilvl w:val="0"/>
          <w:numId w:val="26"/>
        </w:numPr>
        <w:pBdr>
          <w:top w:val="nil"/>
          <w:left w:val="nil"/>
          <w:bottom w:val="nil"/>
          <w:right w:val="nil"/>
          <w:between w:val="nil"/>
        </w:pBdr>
        <w:spacing w:after="120" w:line="240" w:lineRule="auto"/>
        <w:rPr>
          <w:color w:val="000000"/>
          <w:lang w:val="bs-Latn-BA"/>
        </w:rPr>
      </w:pPr>
      <w:r w:rsidRPr="008924E0">
        <w:rPr>
          <w:color w:val="000000"/>
          <w:lang w:val="bs-Latn-BA"/>
        </w:rPr>
        <w:t xml:space="preserve">Graditeljska cjelina – kompleks vila iz austrougarskog perioda u Petrakijinoj ulici (Vila Mandić, vila Heinricha Reitera, vila Hermine Radisch i vila Forstratha Miklaua). </w:t>
      </w:r>
    </w:p>
    <w:p w14:paraId="271F39FF" w14:textId="77777777" w:rsidR="00CF7A3C" w:rsidRPr="008924E0" w:rsidRDefault="00CF7A3C" w:rsidP="00CF7A3C">
      <w:pPr>
        <w:rPr>
          <w:lang w:val="bs-Latn-BA"/>
        </w:rPr>
      </w:pPr>
      <w:r w:rsidRPr="008924E0">
        <w:rPr>
          <w:lang w:val="bs-Latn-BA"/>
        </w:rPr>
        <w:lastRenderedPageBreak/>
        <w:t>Podaci raspoloživi od strane ZZS FBiH odnose se samo na broj takvih zgrada i cjelina, te njihovu lokaciju, što svakako nije dovoljno za detaljniju analizu energijskih karakteristika ove kategorije zgrada.</w:t>
      </w:r>
    </w:p>
    <w:p w14:paraId="7400A39B" w14:textId="77BC5DCD" w:rsidR="00CF7A3C" w:rsidRPr="008924E0" w:rsidRDefault="00CF7A3C" w:rsidP="00CF7A3C">
      <w:pPr>
        <w:rPr>
          <w:lang w:val="bs-Latn-BA"/>
        </w:rPr>
      </w:pPr>
      <w:r w:rsidRPr="008924E0">
        <w:rPr>
          <w:lang w:val="bs-Latn-BA"/>
        </w:rPr>
        <w:t>U svakom slučaju, zgrade sa statusom nacionalnih spomenika obzirom na njihove specifičnosti i nadležnosti, tretirat će se kroz poseban „Program</w:t>
      </w:r>
      <w:r w:rsidR="00341113">
        <w:rPr>
          <w:lang w:val="bs-Latn-BA"/>
        </w:rPr>
        <w:t xml:space="preserve"> </w:t>
      </w:r>
      <w:r w:rsidRPr="008924E0">
        <w:rPr>
          <w:lang w:val="bs-Latn-BA"/>
        </w:rPr>
        <w:t>energijske obnove zgrada koje imaju status nacionalnih spomenika za period do 2050. godine“.</w:t>
      </w:r>
    </w:p>
    <w:p w14:paraId="57916572" w14:textId="77777777" w:rsidR="00CF7A3C" w:rsidRPr="008924E0" w:rsidRDefault="00CF7A3C" w:rsidP="00BB40F0">
      <w:pPr>
        <w:pStyle w:val="Heading4"/>
        <w:numPr>
          <w:ilvl w:val="3"/>
          <w:numId w:val="54"/>
        </w:numPr>
        <w:ind w:left="1890" w:hanging="810"/>
        <w:rPr>
          <w:lang w:val="bs-Latn-BA"/>
        </w:rPr>
      </w:pPr>
      <w:bookmarkStart w:id="224" w:name="_Toc134011822"/>
      <w:r w:rsidRPr="008924E0">
        <w:rPr>
          <w:lang w:val="bs-Latn-BA"/>
        </w:rPr>
        <w:t>Zgrade u vlasništvu i korištenju oružanih snaga BiH</w:t>
      </w:r>
      <w:bookmarkEnd w:id="224"/>
    </w:p>
    <w:p w14:paraId="7FEDB53B" w14:textId="39E6FC25" w:rsidR="00CF7A3C" w:rsidRPr="008924E0" w:rsidRDefault="00CF7A3C" w:rsidP="00CF7A3C">
      <w:pPr>
        <w:rPr>
          <w:lang w:val="bs-Latn-BA"/>
        </w:rPr>
      </w:pPr>
      <w:r w:rsidRPr="008924E0">
        <w:rPr>
          <w:lang w:val="bs-Latn-BA"/>
        </w:rPr>
        <w:t>Fond zgrada Oružanih snaga BiH, odnosno zgrade koj</w:t>
      </w:r>
      <w:r w:rsidR="000A1591">
        <w:rPr>
          <w:lang w:val="bs-Latn-BA"/>
        </w:rPr>
        <w:t>e</w:t>
      </w:r>
      <w:r w:rsidRPr="008924E0">
        <w:rPr>
          <w:lang w:val="bs-Latn-BA"/>
        </w:rPr>
        <w:t xml:space="preserve"> su </w:t>
      </w:r>
      <w:r w:rsidR="000A1591">
        <w:rPr>
          <w:lang w:val="bs-Latn-BA"/>
        </w:rPr>
        <w:t>date</w:t>
      </w:r>
      <w:r w:rsidR="00341113">
        <w:rPr>
          <w:lang w:val="bs-Latn-BA"/>
        </w:rPr>
        <w:t xml:space="preserve"> na </w:t>
      </w:r>
      <w:r w:rsidR="000A1591">
        <w:rPr>
          <w:lang w:val="bs-Latn-BA"/>
        </w:rPr>
        <w:t>korištenje</w:t>
      </w:r>
      <w:r w:rsidR="00341113">
        <w:rPr>
          <w:lang w:val="bs-Latn-BA"/>
        </w:rPr>
        <w:t xml:space="preserve"> </w:t>
      </w:r>
      <w:r w:rsidRPr="008924E0">
        <w:rPr>
          <w:lang w:val="bs-Latn-BA"/>
        </w:rPr>
        <w:t>Ministarstv</w:t>
      </w:r>
      <w:r w:rsidR="00341113">
        <w:rPr>
          <w:lang w:val="bs-Latn-BA"/>
        </w:rPr>
        <w:t>u</w:t>
      </w:r>
      <w:r w:rsidRPr="008924E0">
        <w:rPr>
          <w:lang w:val="bs-Latn-BA"/>
        </w:rPr>
        <w:t xml:space="preserve"> odbrane BiH, tretirat će se kroz poseban „Program energijske obnove vojnih zgrada u BiH“, jer informacije o istima spadaju u domen državne tajne. Na području BiH postoji 1.040 takvih zgrada, sa ukupnom površinom 558.212 m</w:t>
      </w:r>
      <w:r w:rsidRPr="008924E0">
        <w:rPr>
          <w:vertAlign w:val="superscript"/>
          <w:lang w:val="bs-Latn-BA"/>
        </w:rPr>
        <w:t>2</w:t>
      </w:r>
      <w:r w:rsidRPr="008924E0">
        <w:rPr>
          <w:lang w:val="bs-Latn-BA"/>
        </w:rPr>
        <w:t xml:space="preserve">. (Tabela </w:t>
      </w:r>
      <w:r w:rsidR="00F85003">
        <w:rPr>
          <w:lang w:val="bs-Latn-BA"/>
        </w:rPr>
        <w:t>11.</w:t>
      </w:r>
      <w:r w:rsidRPr="008924E0">
        <w:rPr>
          <w:lang w:val="bs-Latn-BA"/>
        </w:rPr>
        <w:t xml:space="preserve">1.14.). </w:t>
      </w:r>
    </w:p>
    <w:p w14:paraId="1DF444DB" w14:textId="4C8F9882" w:rsidR="00F85003" w:rsidRDefault="00F85003" w:rsidP="00F85003">
      <w:pPr>
        <w:pStyle w:val="Caption"/>
        <w:keepNext/>
      </w:pPr>
      <w:bookmarkStart w:id="225" w:name="_Toc133499633"/>
      <w:r>
        <w:t>Tabela 11.1.</w:t>
      </w:r>
      <w:r w:rsidR="00000000">
        <w:fldChar w:fldCharType="begin"/>
      </w:r>
      <w:r w:rsidR="00000000">
        <w:instrText xml:space="preserve"> SEQ Tabela_11.1. \* ARABIC </w:instrText>
      </w:r>
      <w:r w:rsidR="00000000">
        <w:fldChar w:fldCharType="separate"/>
      </w:r>
      <w:r w:rsidR="002D62B3">
        <w:rPr>
          <w:noProof/>
        </w:rPr>
        <w:t>14</w:t>
      </w:r>
      <w:r w:rsidR="00000000">
        <w:rPr>
          <w:noProof/>
        </w:rPr>
        <w:fldChar w:fldCharType="end"/>
      </w:r>
      <w:r>
        <w:t xml:space="preserve"> </w:t>
      </w:r>
      <w:r w:rsidRPr="008924E0">
        <w:rPr>
          <w:color w:val="000000"/>
        </w:rPr>
        <w:t>Fond zgrada Oružanih snaga BiH</w:t>
      </w:r>
      <w:bookmarkEnd w:id="225"/>
    </w:p>
    <w:tbl>
      <w:tblPr>
        <w:tblStyle w:val="14"/>
        <w:tblW w:w="8928"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2976"/>
        <w:gridCol w:w="2976"/>
        <w:gridCol w:w="2976"/>
      </w:tblGrid>
      <w:tr w:rsidR="00CF7A3C" w:rsidRPr="008924E0" w14:paraId="71A8DB63" w14:textId="77777777" w:rsidTr="00F85003">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293A2E72" w14:textId="77777777" w:rsidR="00CF7A3C" w:rsidRPr="008924E0" w:rsidRDefault="00CF7A3C" w:rsidP="000B085B">
            <w:pPr>
              <w:rPr>
                <w:lang w:val="bs-Latn-BA"/>
              </w:rPr>
            </w:pPr>
            <w:r w:rsidRPr="008924E0">
              <w:rPr>
                <w:lang w:val="bs-Latn-BA"/>
              </w:rPr>
              <w:t>Lokacija objekata po entitetima</w:t>
            </w:r>
          </w:p>
        </w:tc>
        <w:tc>
          <w:tcPr>
            <w:tcW w:w="2976" w:type="dxa"/>
            <w:vAlign w:val="center"/>
          </w:tcPr>
          <w:p w14:paraId="38149D63"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Broj</w:t>
            </w:r>
          </w:p>
        </w:tc>
        <w:tc>
          <w:tcPr>
            <w:tcW w:w="2976" w:type="dxa"/>
            <w:vAlign w:val="center"/>
          </w:tcPr>
          <w:p w14:paraId="09E6ADDE"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Površina (m</w:t>
            </w:r>
            <w:r w:rsidRPr="008924E0">
              <w:rPr>
                <w:vertAlign w:val="superscript"/>
                <w:lang w:val="bs-Latn-BA"/>
              </w:rPr>
              <w:t>2</w:t>
            </w:r>
            <w:r w:rsidRPr="008924E0">
              <w:rPr>
                <w:lang w:val="bs-Latn-BA"/>
              </w:rPr>
              <w:t>)</w:t>
            </w:r>
          </w:p>
        </w:tc>
      </w:tr>
      <w:tr w:rsidR="00CF7A3C" w:rsidRPr="008924E0" w14:paraId="05A77524" w14:textId="77777777" w:rsidTr="00F85003">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76" w:type="dxa"/>
          </w:tcPr>
          <w:p w14:paraId="75F55894" w14:textId="77777777" w:rsidR="00CF7A3C" w:rsidRPr="008924E0" w:rsidRDefault="00CF7A3C" w:rsidP="000B085B">
            <w:pPr>
              <w:rPr>
                <w:lang w:val="bs-Latn-BA"/>
              </w:rPr>
            </w:pPr>
            <w:r w:rsidRPr="008924E0">
              <w:rPr>
                <w:lang w:val="bs-Latn-BA"/>
              </w:rPr>
              <w:t>Federacija BiH</w:t>
            </w:r>
          </w:p>
        </w:tc>
        <w:tc>
          <w:tcPr>
            <w:tcW w:w="2976" w:type="dxa"/>
            <w:vAlign w:val="center"/>
          </w:tcPr>
          <w:p w14:paraId="60540A18"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722</w:t>
            </w:r>
          </w:p>
        </w:tc>
        <w:tc>
          <w:tcPr>
            <w:tcW w:w="2976" w:type="dxa"/>
            <w:vAlign w:val="center"/>
          </w:tcPr>
          <w:p w14:paraId="13141CF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357.632</w:t>
            </w:r>
          </w:p>
        </w:tc>
      </w:tr>
      <w:tr w:rsidR="00CF7A3C" w:rsidRPr="008924E0" w14:paraId="3AFB46FD" w14:textId="77777777" w:rsidTr="00F85003">
        <w:trPr>
          <w:cnfStyle w:val="000000010000" w:firstRow="0" w:lastRow="0" w:firstColumn="0" w:lastColumn="0" w:oddVBand="0" w:evenVBand="0" w:oddHBand="0" w:evenHBand="1"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76" w:type="dxa"/>
          </w:tcPr>
          <w:p w14:paraId="044597E9" w14:textId="77777777" w:rsidR="00CF7A3C" w:rsidRPr="008924E0" w:rsidRDefault="00CF7A3C" w:rsidP="000B085B">
            <w:pPr>
              <w:rPr>
                <w:lang w:val="bs-Latn-BA"/>
              </w:rPr>
            </w:pPr>
            <w:r w:rsidRPr="008924E0">
              <w:rPr>
                <w:lang w:val="bs-Latn-BA"/>
              </w:rPr>
              <w:t>Republika Srpska</w:t>
            </w:r>
          </w:p>
        </w:tc>
        <w:tc>
          <w:tcPr>
            <w:tcW w:w="2976" w:type="dxa"/>
            <w:vAlign w:val="center"/>
          </w:tcPr>
          <w:p w14:paraId="7CE17119"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418</w:t>
            </w:r>
          </w:p>
        </w:tc>
        <w:tc>
          <w:tcPr>
            <w:tcW w:w="2976" w:type="dxa"/>
            <w:vAlign w:val="center"/>
          </w:tcPr>
          <w:p w14:paraId="6FBCD9C5"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200.580</w:t>
            </w:r>
          </w:p>
        </w:tc>
      </w:tr>
      <w:tr w:rsidR="00CF7A3C" w:rsidRPr="008924E0" w14:paraId="499CE351" w14:textId="77777777" w:rsidTr="00F85003">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76" w:type="dxa"/>
          </w:tcPr>
          <w:p w14:paraId="54DF2B74" w14:textId="77777777" w:rsidR="00CF7A3C" w:rsidRPr="008924E0" w:rsidRDefault="00CF7A3C" w:rsidP="000B085B">
            <w:pPr>
              <w:rPr>
                <w:lang w:val="bs-Latn-BA"/>
              </w:rPr>
            </w:pPr>
            <w:r w:rsidRPr="008924E0">
              <w:rPr>
                <w:lang w:val="bs-Latn-BA"/>
              </w:rPr>
              <w:t>BiH ukupno</w:t>
            </w:r>
          </w:p>
        </w:tc>
        <w:tc>
          <w:tcPr>
            <w:tcW w:w="2976" w:type="dxa"/>
            <w:vAlign w:val="center"/>
          </w:tcPr>
          <w:p w14:paraId="1092EF4A"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1.140</w:t>
            </w:r>
          </w:p>
        </w:tc>
        <w:tc>
          <w:tcPr>
            <w:tcW w:w="2976" w:type="dxa"/>
            <w:vAlign w:val="center"/>
          </w:tcPr>
          <w:p w14:paraId="6FF29DCE"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lang w:val="bs-Latn-BA"/>
              </w:rPr>
            </w:pPr>
            <w:r w:rsidRPr="008924E0">
              <w:rPr>
                <w:rFonts w:asciiTheme="minorHAnsi" w:hAnsiTheme="minorHAnsi" w:cstheme="minorHAnsi"/>
                <w:b/>
                <w:lang w:val="bs-Latn-BA"/>
              </w:rPr>
              <w:t>558.212</w:t>
            </w:r>
          </w:p>
        </w:tc>
      </w:tr>
    </w:tbl>
    <w:p w14:paraId="22C98174" w14:textId="77777777" w:rsidR="00CF7A3C" w:rsidRPr="008924E0" w:rsidRDefault="00CF7A3C" w:rsidP="00CF7A3C">
      <w:pPr>
        <w:rPr>
          <w:lang w:val="bs-Latn-BA"/>
        </w:rPr>
      </w:pPr>
      <w:r w:rsidRPr="008924E0">
        <w:rPr>
          <w:lang w:val="bs-Latn-BA"/>
        </w:rPr>
        <w:t xml:space="preserve">Za situacionu analizu su poslužili popunjeni podaci iz upitnika upućenog Ministarstvu odbrane BiH. Na osnovu dostavljenih podataka pripremljena je situaciona analiza prema kojoj se pruža uvid u broj zgrada, korisnu površinu i energijske performanse ove kategorije zgrada. </w:t>
      </w:r>
    </w:p>
    <w:p w14:paraId="27780F9E" w14:textId="1EAF7E26" w:rsidR="00CF7A3C" w:rsidRPr="008924E0" w:rsidRDefault="00CF7A3C" w:rsidP="00CF7A3C">
      <w:pPr>
        <w:rPr>
          <w:lang w:val="bs-Latn-BA"/>
        </w:rPr>
      </w:pPr>
      <w:r w:rsidRPr="008924E0">
        <w:rPr>
          <w:lang w:val="bs-Latn-BA"/>
        </w:rPr>
        <w:t xml:space="preserve">Podaci o perspektivnoj i neperspektivnoj imovini su dati u Tabeli </w:t>
      </w:r>
      <w:r w:rsidR="00F85003">
        <w:rPr>
          <w:lang w:val="bs-Latn-BA"/>
        </w:rPr>
        <w:t>1</w:t>
      </w:r>
      <w:r w:rsidRPr="008924E0">
        <w:rPr>
          <w:lang w:val="bs-Latn-BA"/>
        </w:rPr>
        <w:t>1.1.</w:t>
      </w:r>
      <w:r w:rsidR="00F85003">
        <w:rPr>
          <w:lang w:val="bs-Latn-BA"/>
        </w:rPr>
        <w:t>1</w:t>
      </w:r>
      <w:r w:rsidRPr="008924E0">
        <w:rPr>
          <w:lang w:val="bs-Latn-BA"/>
        </w:rPr>
        <w:t xml:space="preserve">5. Iz dostavljenih podataka se može zaključiti da se radi o značajnom fondu zgrada koji se može ocijeniti kao fond koji zahtjeva energijsku </w:t>
      </w:r>
      <w:r w:rsidR="00712E17">
        <w:rPr>
          <w:lang w:val="bs-Latn-BA"/>
        </w:rPr>
        <w:t>obnovu</w:t>
      </w:r>
      <w:r w:rsidRPr="008924E0">
        <w:rPr>
          <w:lang w:val="bs-Latn-BA"/>
        </w:rPr>
        <w:t>, te će on biti tretiran kroz poseban program.</w:t>
      </w:r>
    </w:p>
    <w:p w14:paraId="22744FC9" w14:textId="61530E9C" w:rsidR="00F85003" w:rsidRDefault="00F85003" w:rsidP="00F85003">
      <w:pPr>
        <w:pStyle w:val="Caption"/>
        <w:keepNext/>
      </w:pPr>
      <w:bookmarkStart w:id="226" w:name="_Toc133499634"/>
      <w:r>
        <w:t>Tabela 11.1.</w:t>
      </w:r>
      <w:r w:rsidR="00000000">
        <w:fldChar w:fldCharType="begin"/>
      </w:r>
      <w:r w:rsidR="00000000">
        <w:instrText xml:space="preserve"> SEQ Tabela_11.1. \* ARABIC </w:instrText>
      </w:r>
      <w:r w:rsidR="00000000">
        <w:fldChar w:fldCharType="separate"/>
      </w:r>
      <w:r w:rsidR="002D62B3">
        <w:rPr>
          <w:noProof/>
        </w:rPr>
        <w:t>15</w:t>
      </w:r>
      <w:r w:rsidR="00000000">
        <w:rPr>
          <w:noProof/>
        </w:rPr>
        <w:fldChar w:fldCharType="end"/>
      </w:r>
      <w:r>
        <w:t xml:space="preserve"> </w:t>
      </w:r>
      <w:r w:rsidRPr="008924E0">
        <w:rPr>
          <w:color w:val="000000"/>
        </w:rPr>
        <w:t>Podaci o perspektivnoj i neperspektivnoj imovini</w:t>
      </w:r>
      <w:bookmarkEnd w:id="226"/>
      <w:r w:rsidRPr="008924E0">
        <w:rPr>
          <w:color w:val="000000"/>
        </w:rPr>
        <w:t xml:space="preserve">  </w:t>
      </w:r>
    </w:p>
    <w:tbl>
      <w:tblPr>
        <w:tblStyle w:val="13"/>
        <w:tblW w:w="8985"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2995"/>
        <w:gridCol w:w="2995"/>
        <w:gridCol w:w="2995"/>
      </w:tblGrid>
      <w:tr w:rsidR="00CF7A3C" w:rsidRPr="008924E0" w14:paraId="758EBE11" w14:textId="77777777" w:rsidTr="00F85003">
        <w:trPr>
          <w:cnfStyle w:val="100000000000" w:firstRow="1" w:lastRow="0" w:firstColumn="0" w:lastColumn="0" w:oddVBand="0" w:evenVBand="0" w:oddHBand="0" w:evenHBand="0" w:firstRowFirstColumn="0" w:firstRowLastColumn="0" w:lastRowFirstColumn="0" w:lastRowLastColumn="0"/>
          <w:trHeight w:val="309"/>
          <w:jc w:val="center"/>
        </w:trPr>
        <w:tc>
          <w:tcPr>
            <w:cnfStyle w:val="001000000000" w:firstRow="0" w:lastRow="0" w:firstColumn="1" w:lastColumn="0" w:oddVBand="0" w:evenVBand="0" w:oddHBand="0" w:evenHBand="0" w:firstRowFirstColumn="0" w:firstRowLastColumn="0" w:lastRowFirstColumn="0" w:lastRowLastColumn="0"/>
            <w:tcW w:w="2995" w:type="dxa"/>
            <w:vAlign w:val="center"/>
          </w:tcPr>
          <w:p w14:paraId="2F74C49E" w14:textId="77777777" w:rsidR="00CF7A3C" w:rsidRPr="008924E0" w:rsidRDefault="00CF7A3C" w:rsidP="000B085B">
            <w:pPr>
              <w:rPr>
                <w:lang w:val="bs-Latn-BA"/>
              </w:rPr>
            </w:pPr>
            <w:r w:rsidRPr="008924E0">
              <w:rPr>
                <w:lang w:val="bs-Latn-BA"/>
              </w:rPr>
              <w:t>Lokacija objekata po entitetima</w:t>
            </w:r>
          </w:p>
        </w:tc>
        <w:tc>
          <w:tcPr>
            <w:tcW w:w="2995" w:type="dxa"/>
            <w:vAlign w:val="center"/>
          </w:tcPr>
          <w:p w14:paraId="2DA7A728"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 xml:space="preserve">Perspektivna imovina </w:t>
            </w:r>
          </w:p>
        </w:tc>
        <w:tc>
          <w:tcPr>
            <w:tcW w:w="2995" w:type="dxa"/>
            <w:vAlign w:val="center"/>
          </w:tcPr>
          <w:p w14:paraId="13C4877F"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lang w:val="bs-Latn-BA"/>
              </w:rPr>
            </w:pPr>
            <w:r w:rsidRPr="008924E0">
              <w:rPr>
                <w:lang w:val="bs-Latn-BA"/>
              </w:rPr>
              <w:t>Neprespekivna imovina</w:t>
            </w:r>
          </w:p>
        </w:tc>
      </w:tr>
      <w:tr w:rsidR="00CF7A3C" w:rsidRPr="008924E0" w14:paraId="724DC631" w14:textId="77777777" w:rsidTr="00F85003">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001E9574" w14:textId="77777777" w:rsidR="00CF7A3C" w:rsidRPr="008924E0" w:rsidRDefault="00CF7A3C" w:rsidP="000B085B">
            <w:pPr>
              <w:rPr>
                <w:lang w:val="bs-Latn-BA"/>
              </w:rPr>
            </w:pPr>
            <w:r w:rsidRPr="008924E0">
              <w:rPr>
                <w:lang w:val="bs-Latn-BA"/>
              </w:rPr>
              <w:t>Broj zgrada</w:t>
            </w:r>
          </w:p>
        </w:tc>
        <w:tc>
          <w:tcPr>
            <w:tcW w:w="2995" w:type="dxa"/>
            <w:vAlign w:val="center"/>
          </w:tcPr>
          <w:p w14:paraId="30583F9C"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204</w:t>
            </w:r>
          </w:p>
        </w:tc>
        <w:tc>
          <w:tcPr>
            <w:tcW w:w="2995" w:type="dxa"/>
            <w:vAlign w:val="center"/>
          </w:tcPr>
          <w:p w14:paraId="448D0D8D"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45</w:t>
            </w:r>
          </w:p>
        </w:tc>
      </w:tr>
      <w:tr w:rsidR="00CF7A3C" w:rsidRPr="008924E0" w14:paraId="03425710" w14:textId="77777777" w:rsidTr="00F85003">
        <w:trPr>
          <w:cnfStyle w:val="000000010000" w:firstRow="0" w:lastRow="0" w:firstColumn="0" w:lastColumn="0" w:oddVBand="0" w:evenVBand="0" w:oddHBand="0" w:evenHBand="1"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2CB93C30" w14:textId="77777777" w:rsidR="00CF7A3C" w:rsidRPr="008924E0" w:rsidRDefault="00CF7A3C" w:rsidP="000B085B">
            <w:pPr>
              <w:rPr>
                <w:lang w:val="bs-Latn-BA"/>
              </w:rPr>
            </w:pPr>
            <w:r w:rsidRPr="008924E0">
              <w:rPr>
                <w:lang w:val="bs-Latn-BA"/>
              </w:rPr>
              <w:t>Korisna površina, m</w:t>
            </w:r>
            <w:r w:rsidRPr="008924E0">
              <w:rPr>
                <w:vertAlign w:val="superscript"/>
                <w:lang w:val="bs-Latn-BA"/>
              </w:rPr>
              <w:t>2</w:t>
            </w:r>
          </w:p>
        </w:tc>
        <w:tc>
          <w:tcPr>
            <w:tcW w:w="2995" w:type="dxa"/>
            <w:vAlign w:val="center"/>
          </w:tcPr>
          <w:p w14:paraId="5946D6FA"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91.500</w:t>
            </w:r>
          </w:p>
        </w:tc>
        <w:tc>
          <w:tcPr>
            <w:tcW w:w="2995" w:type="dxa"/>
            <w:vAlign w:val="center"/>
          </w:tcPr>
          <w:p w14:paraId="0DB210FC"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17.020</w:t>
            </w:r>
          </w:p>
        </w:tc>
      </w:tr>
      <w:tr w:rsidR="00CF7A3C" w:rsidRPr="008924E0" w14:paraId="75AA35DB" w14:textId="77777777" w:rsidTr="00F85003">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2312A72E" w14:textId="77777777" w:rsidR="00CF7A3C" w:rsidRPr="008924E0" w:rsidRDefault="00CF7A3C" w:rsidP="000B085B">
            <w:pPr>
              <w:rPr>
                <w:lang w:val="bs-Latn-BA"/>
              </w:rPr>
            </w:pPr>
            <w:r w:rsidRPr="008924E0">
              <w:rPr>
                <w:lang w:val="bs-Latn-BA"/>
              </w:rPr>
              <w:t>Urađen energijski audit</w:t>
            </w:r>
          </w:p>
        </w:tc>
        <w:tc>
          <w:tcPr>
            <w:tcW w:w="2995" w:type="dxa"/>
            <w:vAlign w:val="center"/>
          </w:tcPr>
          <w:p w14:paraId="1DA44331"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 xml:space="preserve">16 </w:t>
            </w:r>
          </w:p>
        </w:tc>
        <w:tc>
          <w:tcPr>
            <w:tcW w:w="2995" w:type="dxa"/>
            <w:vAlign w:val="center"/>
          </w:tcPr>
          <w:p w14:paraId="41B2711D"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r>
      <w:tr w:rsidR="00CF7A3C" w:rsidRPr="008924E0" w14:paraId="704D3E19" w14:textId="77777777" w:rsidTr="00F85003">
        <w:trPr>
          <w:cnfStyle w:val="000000010000" w:firstRow="0" w:lastRow="0" w:firstColumn="0" w:lastColumn="0" w:oddVBand="0" w:evenVBand="0" w:oddHBand="0" w:evenHBand="1"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1DE107F9" w14:textId="77777777" w:rsidR="00CF7A3C" w:rsidRPr="008924E0" w:rsidRDefault="00CF7A3C" w:rsidP="000B085B">
            <w:pPr>
              <w:rPr>
                <w:lang w:val="bs-Latn-BA"/>
              </w:rPr>
            </w:pPr>
            <w:r w:rsidRPr="008924E0">
              <w:rPr>
                <w:lang w:val="bs-Latn-BA"/>
              </w:rPr>
              <w:t>Toplotna izolacija postavljena na vanjsku fasadu</w:t>
            </w:r>
          </w:p>
        </w:tc>
        <w:tc>
          <w:tcPr>
            <w:tcW w:w="2995" w:type="dxa"/>
            <w:vAlign w:val="center"/>
          </w:tcPr>
          <w:p w14:paraId="5CFBA735"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25</w:t>
            </w:r>
          </w:p>
        </w:tc>
        <w:tc>
          <w:tcPr>
            <w:tcW w:w="2995" w:type="dxa"/>
            <w:vAlign w:val="center"/>
          </w:tcPr>
          <w:p w14:paraId="3D4A8E98"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w:t>
            </w:r>
          </w:p>
        </w:tc>
      </w:tr>
      <w:tr w:rsidR="00CF7A3C" w:rsidRPr="008924E0" w14:paraId="20F45FA2" w14:textId="77777777" w:rsidTr="00F85003">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5E543FF7" w14:textId="020690FA" w:rsidR="00CF7A3C" w:rsidRPr="008924E0" w:rsidRDefault="00CF7A3C" w:rsidP="000B085B">
            <w:pPr>
              <w:rPr>
                <w:lang w:val="bs-Latn-BA"/>
              </w:rPr>
            </w:pPr>
            <w:r w:rsidRPr="008924E0">
              <w:rPr>
                <w:lang w:val="bs-Latn-BA"/>
              </w:rPr>
              <w:t xml:space="preserve">Primjenjene mjere </w:t>
            </w:r>
            <w:r w:rsidR="000A1591">
              <w:rPr>
                <w:lang w:val="bs-Latn-BA"/>
              </w:rPr>
              <w:t>obnove</w:t>
            </w:r>
          </w:p>
        </w:tc>
        <w:tc>
          <w:tcPr>
            <w:tcW w:w="2995" w:type="dxa"/>
            <w:vAlign w:val="center"/>
          </w:tcPr>
          <w:p w14:paraId="6126BC5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61</w:t>
            </w:r>
          </w:p>
        </w:tc>
        <w:tc>
          <w:tcPr>
            <w:tcW w:w="2995" w:type="dxa"/>
            <w:vAlign w:val="center"/>
          </w:tcPr>
          <w:p w14:paraId="261579F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1</w:t>
            </w:r>
          </w:p>
        </w:tc>
      </w:tr>
      <w:tr w:rsidR="00CF7A3C" w:rsidRPr="008924E0" w14:paraId="1C626DDB" w14:textId="77777777" w:rsidTr="00F85003">
        <w:trPr>
          <w:cnfStyle w:val="000000010000" w:firstRow="0" w:lastRow="0" w:firstColumn="0" w:lastColumn="0" w:oddVBand="0" w:evenVBand="0" w:oddHBand="0" w:evenHBand="1"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5A058318" w14:textId="77777777" w:rsidR="00CF7A3C" w:rsidRPr="008924E0" w:rsidRDefault="00CF7A3C" w:rsidP="000B085B">
            <w:pPr>
              <w:rPr>
                <w:lang w:val="bs-Latn-BA"/>
              </w:rPr>
            </w:pPr>
            <w:r w:rsidRPr="008924E0">
              <w:rPr>
                <w:lang w:val="bs-Latn-BA"/>
              </w:rPr>
              <w:t xml:space="preserve">Opis stanja ovojnice/loše </w:t>
            </w:r>
          </w:p>
        </w:tc>
        <w:tc>
          <w:tcPr>
            <w:tcW w:w="2995" w:type="dxa"/>
            <w:vAlign w:val="center"/>
          </w:tcPr>
          <w:p w14:paraId="2083273B"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32 %</w:t>
            </w:r>
          </w:p>
        </w:tc>
        <w:tc>
          <w:tcPr>
            <w:tcW w:w="2995" w:type="dxa"/>
            <w:vAlign w:val="center"/>
          </w:tcPr>
          <w:p w14:paraId="6284D168"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98 %</w:t>
            </w:r>
          </w:p>
        </w:tc>
      </w:tr>
      <w:tr w:rsidR="00CF7A3C" w:rsidRPr="008924E0" w14:paraId="1FC76461" w14:textId="77777777" w:rsidTr="00F85003">
        <w:trPr>
          <w:cnfStyle w:val="000000100000" w:firstRow="0" w:lastRow="0" w:firstColumn="0" w:lastColumn="0" w:oddVBand="0" w:evenVBand="0" w:oddHBand="1" w:evenHBand="0"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071D33B1" w14:textId="77777777" w:rsidR="00CF7A3C" w:rsidRPr="008924E0" w:rsidRDefault="00CF7A3C" w:rsidP="000B085B">
            <w:pPr>
              <w:rPr>
                <w:lang w:val="bs-Latn-BA"/>
              </w:rPr>
            </w:pPr>
            <w:r w:rsidRPr="008924E0">
              <w:rPr>
                <w:lang w:val="bs-Latn-BA"/>
              </w:rPr>
              <w:t xml:space="preserve">Opis stanja ovojnice/zadovoljavajuće </w:t>
            </w:r>
          </w:p>
        </w:tc>
        <w:tc>
          <w:tcPr>
            <w:tcW w:w="2995" w:type="dxa"/>
            <w:vAlign w:val="center"/>
          </w:tcPr>
          <w:p w14:paraId="0654CB92"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59 %</w:t>
            </w:r>
          </w:p>
        </w:tc>
        <w:tc>
          <w:tcPr>
            <w:tcW w:w="2995" w:type="dxa"/>
            <w:vAlign w:val="center"/>
          </w:tcPr>
          <w:p w14:paraId="7E125157"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2 %</w:t>
            </w:r>
          </w:p>
        </w:tc>
      </w:tr>
      <w:tr w:rsidR="00CF7A3C" w:rsidRPr="008924E0" w14:paraId="2116F220" w14:textId="77777777" w:rsidTr="00F85003">
        <w:trPr>
          <w:cnfStyle w:val="000000010000" w:firstRow="0" w:lastRow="0" w:firstColumn="0" w:lastColumn="0" w:oddVBand="0" w:evenVBand="0" w:oddHBand="0" w:evenHBand="1" w:firstRowFirstColumn="0" w:firstRowLastColumn="0" w:lastRowFirstColumn="0" w:lastRowLastColumn="0"/>
          <w:trHeight w:val="229"/>
          <w:jc w:val="center"/>
        </w:trPr>
        <w:tc>
          <w:tcPr>
            <w:cnfStyle w:val="001000000000" w:firstRow="0" w:lastRow="0" w:firstColumn="1" w:lastColumn="0" w:oddVBand="0" w:evenVBand="0" w:oddHBand="0" w:evenHBand="0" w:firstRowFirstColumn="0" w:firstRowLastColumn="0" w:lastRowFirstColumn="0" w:lastRowLastColumn="0"/>
            <w:tcW w:w="2995" w:type="dxa"/>
          </w:tcPr>
          <w:p w14:paraId="3F6294C3" w14:textId="77777777" w:rsidR="00CF7A3C" w:rsidRPr="008924E0" w:rsidRDefault="00CF7A3C" w:rsidP="000B085B">
            <w:pPr>
              <w:rPr>
                <w:lang w:val="bs-Latn-BA"/>
              </w:rPr>
            </w:pPr>
            <w:r w:rsidRPr="008924E0">
              <w:rPr>
                <w:lang w:val="bs-Latn-BA"/>
              </w:rPr>
              <w:t xml:space="preserve">Opis stanja ovojnice/dobro </w:t>
            </w:r>
          </w:p>
        </w:tc>
        <w:tc>
          <w:tcPr>
            <w:tcW w:w="2995" w:type="dxa"/>
            <w:vAlign w:val="center"/>
          </w:tcPr>
          <w:p w14:paraId="43F1C72B"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9 %</w:t>
            </w:r>
          </w:p>
        </w:tc>
        <w:tc>
          <w:tcPr>
            <w:tcW w:w="2995" w:type="dxa"/>
            <w:vAlign w:val="center"/>
          </w:tcPr>
          <w:p w14:paraId="2D729DA8"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8924E0">
              <w:rPr>
                <w:rFonts w:asciiTheme="minorHAnsi" w:hAnsiTheme="minorHAnsi" w:cstheme="minorHAnsi"/>
                <w:lang w:val="bs-Latn-BA"/>
              </w:rPr>
              <w:t>0 %</w:t>
            </w:r>
          </w:p>
        </w:tc>
      </w:tr>
    </w:tbl>
    <w:p w14:paraId="08538308" w14:textId="77777777" w:rsidR="00CF7A3C" w:rsidRPr="008924E0" w:rsidRDefault="00CF7A3C" w:rsidP="00CF7A3C">
      <w:pPr>
        <w:rPr>
          <w:lang w:val="bs-Latn-BA"/>
        </w:rPr>
      </w:pPr>
    </w:p>
    <w:p w14:paraId="06D66F60" w14:textId="77777777" w:rsidR="00CF7A3C" w:rsidRPr="008924E0" w:rsidRDefault="00CF7A3C" w:rsidP="00BB40F0">
      <w:pPr>
        <w:pStyle w:val="Heading4"/>
        <w:numPr>
          <w:ilvl w:val="3"/>
          <w:numId w:val="54"/>
        </w:numPr>
        <w:ind w:left="1890" w:hanging="810"/>
        <w:rPr>
          <w:lang w:val="bs-Latn-BA"/>
        </w:rPr>
      </w:pPr>
      <w:bookmarkStart w:id="227" w:name="_Toc134011823"/>
      <w:r w:rsidRPr="008924E0">
        <w:rPr>
          <w:lang w:val="bs-Latn-BA"/>
        </w:rPr>
        <w:t>Relevantna pravno-statusna i tehnička pitanja za stambene zgrade</w:t>
      </w:r>
      <w:bookmarkEnd w:id="227"/>
    </w:p>
    <w:p w14:paraId="6B7B6274" w14:textId="1886A6D6" w:rsidR="00CF7A3C" w:rsidRPr="008924E0" w:rsidRDefault="00CF7A3C" w:rsidP="00CF7A3C">
      <w:pPr>
        <w:rPr>
          <w:lang w:val="bs-Latn-BA"/>
        </w:rPr>
      </w:pPr>
      <w:r w:rsidRPr="008924E0">
        <w:rPr>
          <w:lang w:val="bs-Latn-BA"/>
        </w:rPr>
        <w:t xml:space="preserve">Integracija bespravno izgrađenih zgrada u šeme subvencioniranja provođenja mjera energijske </w:t>
      </w:r>
      <w:r w:rsidR="006A5773">
        <w:rPr>
          <w:lang w:val="bs-Latn-BA"/>
        </w:rPr>
        <w:t>obnove</w:t>
      </w:r>
      <w:r w:rsidRPr="008924E0">
        <w:rPr>
          <w:lang w:val="bs-Latn-BA"/>
        </w:rPr>
        <w:t xml:space="preserve"> predstavlja značajnu prepreku uspješnoj implementaciji mjera energijske </w:t>
      </w:r>
      <w:r w:rsidR="006A5773">
        <w:rPr>
          <w:lang w:val="bs-Latn-BA"/>
        </w:rPr>
        <w:t>obnove</w:t>
      </w:r>
      <w:r w:rsidRPr="008924E0">
        <w:rPr>
          <w:lang w:val="bs-Latn-BA"/>
        </w:rPr>
        <w:t xml:space="preserve">. </w:t>
      </w:r>
    </w:p>
    <w:p w14:paraId="777CFF43" w14:textId="77777777" w:rsidR="00CF7A3C" w:rsidRPr="008924E0" w:rsidRDefault="00CF7A3C" w:rsidP="00CF7A3C">
      <w:pPr>
        <w:rPr>
          <w:lang w:val="bs-Latn-BA"/>
        </w:rPr>
      </w:pPr>
      <w:r w:rsidRPr="008924E0">
        <w:rPr>
          <w:lang w:val="bs-Latn-BA"/>
        </w:rPr>
        <w:t>Legalizacija bespravno izgrađenih zgrada je u nadležnosti kantona koji, kroz donošenje zakona i odluka, smanjuju broj nelegalnih novoizgrađenih zgrada ili legalizaciju postojećih.</w:t>
      </w:r>
    </w:p>
    <w:p w14:paraId="1159A8C0" w14:textId="56D61038" w:rsidR="00CF7A3C" w:rsidRPr="008924E0" w:rsidRDefault="00CF7A3C" w:rsidP="00CF7A3C">
      <w:pPr>
        <w:rPr>
          <w:lang w:val="bs-Latn-BA"/>
        </w:rPr>
      </w:pPr>
      <w:r w:rsidRPr="008924E0">
        <w:rPr>
          <w:lang w:val="bs-Latn-BA"/>
        </w:rPr>
        <w:lastRenderedPageBreak/>
        <w:t xml:space="preserve">Prema procjenama broja individualnih stambenih zgrada na nivou FBiH za zgrade izgrađene u periodu prije 2014. godine, procenat broja zgrada koje imaju status nelegalno izgrađenih zgrada izgrađenih u periodu prije 2014. godine iznosi u prosjeku 22,22 % za FBiH (Tabela </w:t>
      </w:r>
      <w:r w:rsidR="00F85003">
        <w:rPr>
          <w:lang w:val="bs-Latn-BA"/>
        </w:rPr>
        <w:t>11.</w:t>
      </w:r>
      <w:r w:rsidRPr="008924E0">
        <w:rPr>
          <w:lang w:val="bs-Latn-BA"/>
        </w:rPr>
        <w:t>1.1</w:t>
      </w:r>
      <w:r w:rsidR="00F85003">
        <w:rPr>
          <w:lang w:val="bs-Latn-BA"/>
        </w:rPr>
        <w:t>6</w:t>
      </w:r>
      <w:r w:rsidRPr="008924E0">
        <w:rPr>
          <w:lang w:val="bs-Latn-BA"/>
        </w:rPr>
        <w:t>).</w:t>
      </w:r>
    </w:p>
    <w:p w14:paraId="37AB8785" w14:textId="77777777" w:rsidR="00CF7A3C" w:rsidRPr="008924E0" w:rsidRDefault="00CF7A3C" w:rsidP="00CF7A3C">
      <w:pPr>
        <w:rPr>
          <w:lang w:val="bs-Latn-BA"/>
        </w:rPr>
      </w:pPr>
      <w:r w:rsidRPr="008924E0">
        <w:rPr>
          <w:lang w:val="bs-Latn-BA"/>
        </w:rPr>
        <w:t xml:space="preserve">Za procjenu broja bespravno izgrađenih zgrada, izgrađenih bez lokacijske informacije, odnosno urbanističke saglasnosti i odobrenja za građenje u periodu nakon 2013. godine, korišteni su podaci o broju izdatih saglasnosti za privremeno priključenje bespravno izgrađenih zgrada u skladu sa članom 68. Zakona o električnoj energiji u Federaciji Bosne i Hercegovine i kantonalnim zakonima o legalizaciji bespravno izgrađenih zgrada. Prema podacima dostavljenim  iz Elektrodistribucije BiH, broj krajnjih kupaca kojima je izdata saglasnost za privremeno priključenje bespravno izgrađenih zgrada za podružnice Bihać, Mostar, Sarajevo, Travnik, Tuzla i Zenica iznosi 20.570 zgrada. Iz Elektroprivrede HZHB nisu dostavljeni podaci pa se ne može predstaviti tačan broj i procenat bespravno izgrađenih zgrada u svim općinama i kantonima. </w:t>
      </w:r>
    </w:p>
    <w:p w14:paraId="6545943A" w14:textId="57EA7A66" w:rsidR="00CF7A3C" w:rsidRPr="001972F5" w:rsidRDefault="00CF7A3C" w:rsidP="008B3942">
      <w:pPr>
        <w:rPr>
          <w:lang w:val="bs-Latn-BA"/>
        </w:rPr>
      </w:pPr>
      <w:r w:rsidRPr="008924E0">
        <w:rPr>
          <w:lang w:val="bs-Latn-BA"/>
        </w:rPr>
        <w:t>Na osnovu podataka dostavljenih od strane Elektroprivrede BiH, napravljena je procjena broja bespravno izgrađenih zgrada od 2013. godine, po kantonima i u FBiH. Tačnu godinu izgradnje i ukupan broj nelegalno izgrađenih zgrada nije moguće procijeniti, kao ni njihove energijske karakteristike.</w:t>
      </w:r>
    </w:p>
    <w:p w14:paraId="07FAF3AF" w14:textId="0B535456" w:rsidR="00F85003" w:rsidRDefault="00F85003" w:rsidP="00F85003">
      <w:pPr>
        <w:pStyle w:val="Caption"/>
        <w:keepNext/>
      </w:pPr>
      <w:bookmarkStart w:id="228" w:name="_Toc133499635"/>
      <w:r>
        <w:t>Tabela 11.1.</w:t>
      </w:r>
      <w:r w:rsidR="00000000">
        <w:fldChar w:fldCharType="begin"/>
      </w:r>
      <w:r w:rsidR="00000000">
        <w:instrText xml:space="preserve"> SEQ Tabela_11.1. \* ARABIC </w:instrText>
      </w:r>
      <w:r w:rsidR="00000000">
        <w:fldChar w:fldCharType="separate"/>
      </w:r>
      <w:r w:rsidR="002D62B3">
        <w:rPr>
          <w:noProof/>
        </w:rPr>
        <w:t>16</w:t>
      </w:r>
      <w:r w:rsidR="00000000">
        <w:rPr>
          <w:noProof/>
        </w:rPr>
        <w:fldChar w:fldCharType="end"/>
      </w:r>
      <w:r>
        <w:t xml:space="preserve"> </w:t>
      </w:r>
      <w:r w:rsidRPr="008924E0">
        <w:rPr>
          <w:color w:val="000000"/>
        </w:rPr>
        <w:t>Broj individualnih stambenih zgrada koje imaju status nelegalno izgrađenih zgrada u FBiH</w:t>
      </w:r>
      <w:bookmarkEnd w:id="228"/>
    </w:p>
    <w:tbl>
      <w:tblPr>
        <w:tblStyle w:val="12"/>
        <w:tblW w:w="9277" w:type="dxa"/>
        <w:jc w:val="center"/>
        <w:tblBorders>
          <w:top w:val="single" w:sz="4" w:space="0" w:color="DBDBDB"/>
          <w:left w:val="single" w:sz="4" w:space="0" w:color="DBDBDB"/>
          <w:bottom w:val="single" w:sz="4" w:space="0" w:color="DBDBDB"/>
          <w:right w:val="single" w:sz="4" w:space="0" w:color="DBDBDB"/>
          <w:insideH w:val="single" w:sz="18" w:space="0" w:color="FFFFFF"/>
          <w:insideV w:val="single" w:sz="18" w:space="0" w:color="FFFFFF"/>
        </w:tblBorders>
        <w:tblLayout w:type="fixed"/>
        <w:tblLook w:val="04A0" w:firstRow="1" w:lastRow="0" w:firstColumn="1" w:lastColumn="0" w:noHBand="0" w:noVBand="1"/>
      </w:tblPr>
      <w:tblGrid>
        <w:gridCol w:w="3261"/>
        <w:gridCol w:w="1559"/>
        <w:gridCol w:w="1190"/>
        <w:gridCol w:w="2070"/>
        <w:gridCol w:w="1197"/>
      </w:tblGrid>
      <w:tr w:rsidR="00CB76CD" w:rsidRPr="008924E0" w14:paraId="5F4C9656" w14:textId="77777777" w:rsidTr="000B085B">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755DD00B" w14:textId="77777777" w:rsidR="00CF7A3C" w:rsidRPr="008924E0" w:rsidRDefault="00CF7A3C" w:rsidP="000B085B">
            <w:pPr>
              <w:rPr>
                <w:rFonts w:eastAsia="Calibri"/>
                <w:lang w:val="bs-Latn-BA"/>
              </w:rPr>
            </w:pPr>
            <w:r w:rsidRPr="008924E0">
              <w:rPr>
                <w:rFonts w:eastAsia="Calibri"/>
                <w:lang w:val="bs-Latn-BA"/>
              </w:rPr>
              <w:t>Kanton</w:t>
            </w:r>
          </w:p>
        </w:tc>
        <w:tc>
          <w:tcPr>
            <w:tcW w:w="1559" w:type="dxa"/>
          </w:tcPr>
          <w:p w14:paraId="2B0323D8"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Ukupan broj zgrada do 2014.</w:t>
            </w:r>
          </w:p>
        </w:tc>
        <w:tc>
          <w:tcPr>
            <w:tcW w:w="1190" w:type="dxa"/>
          </w:tcPr>
          <w:p w14:paraId="3282D409"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 xml:space="preserve">Procenat nelegalnih zgrada </w:t>
            </w:r>
          </w:p>
        </w:tc>
        <w:tc>
          <w:tcPr>
            <w:tcW w:w="2070" w:type="dxa"/>
          </w:tcPr>
          <w:p w14:paraId="600D2A72"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Ukupan broj zgrada 2014.-2021.</w:t>
            </w:r>
          </w:p>
        </w:tc>
        <w:tc>
          <w:tcPr>
            <w:tcW w:w="1197" w:type="dxa"/>
          </w:tcPr>
          <w:p w14:paraId="742234B2" w14:textId="77777777" w:rsidR="00CF7A3C" w:rsidRPr="008924E0" w:rsidRDefault="00CF7A3C" w:rsidP="000B085B">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Procenat nelegalnih zgrada</w:t>
            </w:r>
          </w:p>
        </w:tc>
      </w:tr>
      <w:tr w:rsidR="00CB76CD" w:rsidRPr="008924E0" w14:paraId="74425946"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18303CE2" w14:textId="77777777" w:rsidR="00CF7A3C" w:rsidRPr="008924E0" w:rsidRDefault="00CF7A3C" w:rsidP="000B085B">
            <w:pPr>
              <w:rPr>
                <w:rFonts w:eastAsia="Calibri"/>
                <w:lang w:val="bs-Latn-BA"/>
              </w:rPr>
            </w:pPr>
            <w:r w:rsidRPr="008924E0">
              <w:rPr>
                <w:rFonts w:eastAsia="Calibri"/>
                <w:lang w:val="bs-Latn-BA"/>
              </w:rPr>
              <w:t>Unsko-sanski kanton</w:t>
            </w:r>
          </w:p>
        </w:tc>
        <w:tc>
          <w:tcPr>
            <w:tcW w:w="1559" w:type="dxa"/>
          </w:tcPr>
          <w:p w14:paraId="0D9C6333"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85.128</w:t>
            </w:r>
          </w:p>
        </w:tc>
        <w:tc>
          <w:tcPr>
            <w:tcW w:w="1190" w:type="dxa"/>
          </w:tcPr>
          <w:p w14:paraId="43965EBD"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29,37%</w:t>
            </w:r>
          </w:p>
        </w:tc>
        <w:tc>
          <w:tcPr>
            <w:tcW w:w="2070" w:type="dxa"/>
          </w:tcPr>
          <w:p w14:paraId="7ABD4FE0"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11.831</w:t>
            </w:r>
          </w:p>
        </w:tc>
        <w:tc>
          <w:tcPr>
            <w:tcW w:w="1197" w:type="dxa"/>
          </w:tcPr>
          <w:p w14:paraId="4BAE2EB3"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31,00%</w:t>
            </w:r>
          </w:p>
        </w:tc>
      </w:tr>
      <w:tr w:rsidR="00CB76CD" w:rsidRPr="008924E0" w14:paraId="3EDAAAE5"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3067C0E0" w14:textId="77777777" w:rsidR="00CF7A3C" w:rsidRPr="008924E0" w:rsidRDefault="00CF7A3C" w:rsidP="000B085B">
            <w:pPr>
              <w:rPr>
                <w:rFonts w:eastAsia="Calibri"/>
                <w:lang w:val="bs-Latn-BA"/>
              </w:rPr>
            </w:pPr>
            <w:r w:rsidRPr="008924E0">
              <w:rPr>
                <w:rFonts w:eastAsia="Calibri"/>
                <w:lang w:val="bs-Latn-BA"/>
              </w:rPr>
              <w:t>Posavski kanton</w:t>
            </w:r>
          </w:p>
        </w:tc>
        <w:tc>
          <w:tcPr>
            <w:tcW w:w="1559" w:type="dxa"/>
          </w:tcPr>
          <w:p w14:paraId="175F2154"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16.083</w:t>
            </w:r>
          </w:p>
        </w:tc>
        <w:tc>
          <w:tcPr>
            <w:tcW w:w="1190" w:type="dxa"/>
          </w:tcPr>
          <w:p w14:paraId="378E3FB9"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20,00%</w:t>
            </w:r>
          </w:p>
        </w:tc>
        <w:tc>
          <w:tcPr>
            <w:tcW w:w="2070" w:type="dxa"/>
          </w:tcPr>
          <w:p w14:paraId="672F7C7D"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2.235</w:t>
            </w:r>
          </w:p>
        </w:tc>
        <w:tc>
          <w:tcPr>
            <w:tcW w:w="1197" w:type="dxa"/>
          </w:tcPr>
          <w:p w14:paraId="23C7B0E9"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w:t>
            </w:r>
          </w:p>
        </w:tc>
      </w:tr>
      <w:tr w:rsidR="00CB76CD" w:rsidRPr="008924E0" w14:paraId="0BDF5497"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65DADB45" w14:textId="77777777" w:rsidR="00CF7A3C" w:rsidRPr="008924E0" w:rsidRDefault="00CF7A3C" w:rsidP="000B085B">
            <w:pPr>
              <w:rPr>
                <w:rFonts w:eastAsia="Calibri"/>
                <w:lang w:val="bs-Latn-BA"/>
              </w:rPr>
            </w:pPr>
            <w:r w:rsidRPr="008924E0">
              <w:rPr>
                <w:rFonts w:eastAsia="Calibri"/>
                <w:lang w:val="bs-Latn-BA"/>
              </w:rPr>
              <w:t>Tuzlanski kanton</w:t>
            </w:r>
          </w:p>
        </w:tc>
        <w:tc>
          <w:tcPr>
            <w:tcW w:w="1559" w:type="dxa"/>
          </w:tcPr>
          <w:p w14:paraId="181ADC3B"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140.708</w:t>
            </w:r>
          </w:p>
        </w:tc>
        <w:tc>
          <w:tcPr>
            <w:tcW w:w="1190" w:type="dxa"/>
          </w:tcPr>
          <w:p w14:paraId="597F8811"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22,74%</w:t>
            </w:r>
          </w:p>
        </w:tc>
        <w:tc>
          <w:tcPr>
            <w:tcW w:w="2070" w:type="dxa"/>
          </w:tcPr>
          <w:p w14:paraId="0C93DCB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19.555</w:t>
            </w:r>
          </w:p>
        </w:tc>
        <w:tc>
          <w:tcPr>
            <w:tcW w:w="1197" w:type="dxa"/>
          </w:tcPr>
          <w:p w14:paraId="1F86A7C8"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38,09%</w:t>
            </w:r>
          </w:p>
        </w:tc>
      </w:tr>
      <w:tr w:rsidR="00CB76CD" w:rsidRPr="008924E0" w14:paraId="4F56A550"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11BCC96C" w14:textId="77777777" w:rsidR="00CF7A3C" w:rsidRPr="008924E0" w:rsidRDefault="00CF7A3C" w:rsidP="000B085B">
            <w:pPr>
              <w:rPr>
                <w:rFonts w:eastAsia="Calibri"/>
                <w:lang w:val="bs-Latn-BA"/>
              </w:rPr>
            </w:pPr>
            <w:r w:rsidRPr="008924E0">
              <w:rPr>
                <w:rFonts w:eastAsia="Calibri"/>
                <w:lang w:val="bs-Latn-BA"/>
              </w:rPr>
              <w:t>Zeničko-dobojski kanton</w:t>
            </w:r>
          </w:p>
        </w:tc>
        <w:tc>
          <w:tcPr>
            <w:tcW w:w="1559" w:type="dxa"/>
          </w:tcPr>
          <w:p w14:paraId="1288004A"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101.659</w:t>
            </w:r>
          </w:p>
        </w:tc>
        <w:tc>
          <w:tcPr>
            <w:tcW w:w="1190" w:type="dxa"/>
          </w:tcPr>
          <w:p w14:paraId="067FD860"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20,00%</w:t>
            </w:r>
          </w:p>
        </w:tc>
        <w:tc>
          <w:tcPr>
            <w:tcW w:w="2070" w:type="dxa"/>
          </w:tcPr>
          <w:p w14:paraId="719C84E8"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14.128</w:t>
            </w:r>
          </w:p>
        </w:tc>
        <w:tc>
          <w:tcPr>
            <w:tcW w:w="1197" w:type="dxa"/>
          </w:tcPr>
          <w:p w14:paraId="1CA3B4AA"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12,62%</w:t>
            </w:r>
          </w:p>
        </w:tc>
      </w:tr>
      <w:tr w:rsidR="00CB76CD" w:rsidRPr="008924E0" w14:paraId="5F30005E"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4A10D9CF" w14:textId="77777777" w:rsidR="00CF7A3C" w:rsidRPr="008924E0" w:rsidRDefault="00CF7A3C" w:rsidP="000B085B">
            <w:pPr>
              <w:rPr>
                <w:rFonts w:eastAsia="Calibri"/>
                <w:lang w:val="bs-Latn-BA"/>
              </w:rPr>
            </w:pPr>
            <w:r w:rsidRPr="008924E0">
              <w:rPr>
                <w:rFonts w:eastAsia="Calibri"/>
                <w:lang w:val="bs-Latn-BA"/>
              </w:rPr>
              <w:t>Bosansko-podrinjski kanton</w:t>
            </w:r>
          </w:p>
        </w:tc>
        <w:tc>
          <w:tcPr>
            <w:tcW w:w="1559" w:type="dxa"/>
          </w:tcPr>
          <w:p w14:paraId="0380BBA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8.427</w:t>
            </w:r>
          </w:p>
        </w:tc>
        <w:tc>
          <w:tcPr>
            <w:tcW w:w="1190" w:type="dxa"/>
          </w:tcPr>
          <w:p w14:paraId="7CACE81C"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20,00%</w:t>
            </w:r>
          </w:p>
        </w:tc>
        <w:tc>
          <w:tcPr>
            <w:tcW w:w="2070" w:type="dxa"/>
          </w:tcPr>
          <w:p w14:paraId="10517B94"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1.171</w:t>
            </w:r>
          </w:p>
        </w:tc>
        <w:tc>
          <w:tcPr>
            <w:tcW w:w="1197" w:type="dxa"/>
          </w:tcPr>
          <w:p w14:paraId="20FE848E"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22,46%</w:t>
            </w:r>
          </w:p>
        </w:tc>
      </w:tr>
      <w:tr w:rsidR="00CB76CD" w:rsidRPr="008924E0" w14:paraId="6CC7C47C"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4F8B0C9C" w14:textId="77777777" w:rsidR="00CF7A3C" w:rsidRPr="008924E0" w:rsidRDefault="00CF7A3C" w:rsidP="000B085B">
            <w:pPr>
              <w:rPr>
                <w:rFonts w:eastAsia="Calibri"/>
                <w:lang w:val="bs-Latn-BA"/>
              </w:rPr>
            </w:pPr>
            <w:r w:rsidRPr="008924E0">
              <w:rPr>
                <w:rFonts w:eastAsia="Calibri"/>
                <w:lang w:val="bs-Latn-BA"/>
              </w:rPr>
              <w:t>Srednjobosanski kanton</w:t>
            </w:r>
          </w:p>
        </w:tc>
        <w:tc>
          <w:tcPr>
            <w:tcW w:w="1559" w:type="dxa"/>
          </w:tcPr>
          <w:p w14:paraId="246F9D2E"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75.671</w:t>
            </w:r>
          </w:p>
        </w:tc>
        <w:tc>
          <w:tcPr>
            <w:tcW w:w="1190" w:type="dxa"/>
          </w:tcPr>
          <w:p w14:paraId="68EDC5C0"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20,00%</w:t>
            </w:r>
          </w:p>
        </w:tc>
        <w:tc>
          <w:tcPr>
            <w:tcW w:w="2070" w:type="dxa"/>
          </w:tcPr>
          <w:p w14:paraId="04C84101"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10.517</w:t>
            </w:r>
          </w:p>
        </w:tc>
        <w:tc>
          <w:tcPr>
            <w:tcW w:w="1197" w:type="dxa"/>
          </w:tcPr>
          <w:p w14:paraId="11726635"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10,68%</w:t>
            </w:r>
          </w:p>
        </w:tc>
      </w:tr>
      <w:tr w:rsidR="00CB76CD" w:rsidRPr="008924E0" w14:paraId="6489287B"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46C9C2F5" w14:textId="77777777" w:rsidR="00CF7A3C" w:rsidRPr="008924E0" w:rsidRDefault="00CF7A3C" w:rsidP="000B085B">
            <w:pPr>
              <w:rPr>
                <w:rFonts w:eastAsia="Calibri"/>
                <w:lang w:val="bs-Latn-BA"/>
              </w:rPr>
            </w:pPr>
            <w:r w:rsidRPr="008924E0">
              <w:rPr>
                <w:rFonts w:eastAsia="Calibri"/>
                <w:lang w:val="bs-Latn-BA"/>
              </w:rPr>
              <w:t>Hercegovačko-neretvanski kanton</w:t>
            </w:r>
          </w:p>
        </w:tc>
        <w:tc>
          <w:tcPr>
            <w:tcW w:w="1559" w:type="dxa"/>
          </w:tcPr>
          <w:p w14:paraId="4548F8DC"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57.169</w:t>
            </w:r>
          </w:p>
        </w:tc>
        <w:tc>
          <w:tcPr>
            <w:tcW w:w="1190" w:type="dxa"/>
          </w:tcPr>
          <w:p w14:paraId="1B7FF12E"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5,42%</w:t>
            </w:r>
          </w:p>
        </w:tc>
        <w:tc>
          <w:tcPr>
            <w:tcW w:w="2070" w:type="dxa"/>
          </w:tcPr>
          <w:p w14:paraId="165442B6"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7.945</w:t>
            </w:r>
          </w:p>
        </w:tc>
        <w:tc>
          <w:tcPr>
            <w:tcW w:w="1197" w:type="dxa"/>
          </w:tcPr>
          <w:p w14:paraId="39900128"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7,70%</w:t>
            </w:r>
          </w:p>
        </w:tc>
      </w:tr>
      <w:tr w:rsidR="00CB76CD" w:rsidRPr="008924E0" w14:paraId="384CA429"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7CE2E56D" w14:textId="77777777" w:rsidR="00CF7A3C" w:rsidRPr="008924E0" w:rsidRDefault="00CF7A3C" w:rsidP="000B085B">
            <w:pPr>
              <w:rPr>
                <w:rFonts w:eastAsia="Calibri"/>
                <w:lang w:val="bs-Latn-BA"/>
              </w:rPr>
            </w:pPr>
            <w:r w:rsidRPr="008924E0">
              <w:rPr>
                <w:rFonts w:eastAsia="Calibri"/>
                <w:lang w:val="bs-Latn-BA"/>
              </w:rPr>
              <w:t>Zapadnohercegovački kanton</w:t>
            </w:r>
          </w:p>
        </w:tc>
        <w:tc>
          <w:tcPr>
            <w:tcW w:w="1559" w:type="dxa"/>
          </w:tcPr>
          <w:p w14:paraId="27887245"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25.290</w:t>
            </w:r>
          </w:p>
        </w:tc>
        <w:tc>
          <w:tcPr>
            <w:tcW w:w="1190" w:type="dxa"/>
          </w:tcPr>
          <w:p w14:paraId="38949BA8"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20,00%</w:t>
            </w:r>
          </w:p>
        </w:tc>
        <w:tc>
          <w:tcPr>
            <w:tcW w:w="2070" w:type="dxa"/>
          </w:tcPr>
          <w:p w14:paraId="382446A9"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3.515</w:t>
            </w:r>
          </w:p>
        </w:tc>
        <w:tc>
          <w:tcPr>
            <w:tcW w:w="1197" w:type="dxa"/>
          </w:tcPr>
          <w:p w14:paraId="62B797EF"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w:t>
            </w:r>
          </w:p>
        </w:tc>
      </w:tr>
      <w:tr w:rsidR="00CB76CD" w:rsidRPr="008924E0" w14:paraId="6F35B4B5"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6F4287CB" w14:textId="77777777" w:rsidR="00CF7A3C" w:rsidRPr="008924E0" w:rsidRDefault="00CF7A3C" w:rsidP="000B085B">
            <w:pPr>
              <w:rPr>
                <w:rFonts w:eastAsia="Calibri"/>
                <w:lang w:val="bs-Latn-BA"/>
              </w:rPr>
            </w:pPr>
            <w:r w:rsidRPr="008924E0">
              <w:rPr>
                <w:rFonts w:eastAsia="Calibri"/>
                <w:lang w:val="bs-Latn-BA"/>
              </w:rPr>
              <w:t>Kanton Sarajevo</w:t>
            </w:r>
          </w:p>
        </w:tc>
        <w:tc>
          <w:tcPr>
            <w:tcW w:w="1559" w:type="dxa"/>
          </w:tcPr>
          <w:p w14:paraId="66605AD9"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75.057</w:t>
            </w:r>
          </w:p>
        </w:tc>
        <w:tc>
          <w:tcPr>
            <w:tcW w:w="1190" w:type="dxa"/>
          </w:tcPr>
          <w:p w14:paraId="198A2A73"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33,31%</w:t>
            </w:r>
          </w:p>
        </w:tc>
        <w:tc>
          <w:tcPr>
            <w:tcW w:w="2070" w:type="dxa"/>
          </w:tcPr>
          <w:p w14:paraId="648B3BAB"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10.432</w:t>
            </w:r>
          </w:p>
        </w:tc>
        <w:tc>
          <w:tcPr>
            <w:tcW w:w="1197" w:type="dxa"/>
          </w:tcPr>
          <w:p w14:paraId="4C7CEA4F"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54,37%</w:t>
            </w:r>
          </w:p>
        </w:tc>
      </w:tr>
      <w:tr w:rsidR="00CB76CD" w:rsidRPr="008924E0" w14:paraId="5E204383" w14:textId="77777777" w:rsidTr="000B085B">
        <w:trPr>
          <w:cnfStyle w:val="000000010000" w:firstRow="0" w:lastRow="0" w:firstColumn="0" w:lastColumn="0" w:oddVBand="0" w:evenVBand="0" w:oddHBand="0" w:evenHBand="1"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7A62860D" w14:textId="77777777" w:rsidR="00CF7A3C" w:rsidRPr="008924E0" w:rsidRDefault="00CF7A3C" w:rsidP="000B085B">
            <w:pPr>
              <w:rPr>
                <w:rFonts w:eastAsia="Calibri"/>
                <w:lang w:val="bs-Latn-BA"/>
              </w:rPr>
            </w:pPr>
            <w:r w:rsidRPr="008924E0">
              <w:rPr>
                <w:rFonts w:eastAsia="Calibri"/>
                <w:lang w:val="bs-Latn-BA"/>
              </w:rPr>
              <w:t>Kanton 10</w:t>
            </w:r>
          </w:p>
        </w:tc>
        <w:tc>
          <w:tcPr>
            <w:tcW w:w="1559" w:type="dxa"/>
          </w:tcPr>
          <w:p w14:paraId="30BD9C21"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23.517</w:t>
            </w:r>
          </w:p>
        </w:tc>
        <w:tc>
          <w:tcPr>
            <w:tcW w:w="1190" w:type="dxa"/>
          </w:tcPr>
          <w:p w14:paraId="751B7E1E"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20,00%</w:t>
            </w:r>
          </w:p>
        </w:tc>
        <w:tc>
          <w:tcPr>
            <w:tcW w:w="2070" w:type="dxa"/>
          </w:tcPr>
          <w:p w14:paraId="3AC246D3"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3.268</w:t>
            </w:r>
          </w:p>
        </w:tc>
        <w:tc>
          <w:tcPr>
            <w:tcW w:w="1197" w:type="dxa"/>
          </w:tcPr>
          <w:p w14:paraId="4A23E54B" w14:textId="77777777" w:rsidR="00CF7A3C" w:rsidRPr="008924E0" w:rsidRDefault="00CF7A3C" w:rsidP="000B085B">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Calibri"/>
                <w:lang w:val="bs-Latn-BA"/>
              </w:rPr>
            </w:pPr>
            <w:r w:rsidRPr="008924E0">
              <w:rPr>
                <w:rFonts w:ascii="Calibri" w:eastAsia="Calibri" w:hAnsi="Calibri" w:cs="Calibri"/>
                <w:lang w:val="bs-Latn-BA"/>
              </w:rPr>
              <w:t>-</w:t>
            </w:r>
          </w:p>
        </w:tc>
      </w:tr>
      <w:tr w:rsidR="00CB76CD" w:rsidRPr="008924E0" w14:paraId="427AA145" w14:textId="77777777" w:rsidTr="000B085B">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261" w:type="dxa"/>
          </w:tcPr>
          <w:p w14:paraId="16CAED8E" w14:textId="77777777" w:rsidR="00CF7A3C" w:rsidRPr="008924E0" w:rsidRDefault="00CF7A3C" w:rsidP="000B085B">
            <w:pPr>
              <w:rPr>
                <w:rFonts w:eastAsia="Calibri"/>
                <w:lang w:val="bs-Latn-BA"/>
              </w:rPr>
            </w:pPr>
            <w:r w:rsidRPr="008924E0">
              <w:rPr>
                <w:rFonts w:eastAsia="Calibri"/>
                <w:lang w:val="bs-Latn-BA"/>
              </w:rPr>
              <w:t>Ukupno</w:t>
            </w:r>
          </w:p>
        </w:tc>
        <w:tc>
          <w:tcPr>
            <w:tcW w:w="1559" w:type="dxa"/>
          </w:tcPr>
          <w:p w14:paraId="020828D2"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val="bs-Latn-BA"/>
              </w:rPr>
            </w:pPr>
            <w:r w:rsidRPr="008924E0">
              <w:rPr>
                <w:rFonts w:ascii="Calibri" w:eastAsia="Calibri" w:hAnsi="Calibri" w:cs="Calibri"/>
                <w:b/>
                <w:lang w:val="bs-Latn-BA"/>
              </w:rPr>
              <w:t>608.709</w:t>
            </w:r>
          </w:p>
        </w:tc>
        <w:tc>
          <w:tcPr>
            <w:tcW w:w="1190" w:type="dxa"/>
          </w:tcPr>
          <w:p w14:paraId="0E12B7AA"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val="bs-Latn-BA"/>
              </w:rPr>
            </w:pPr>
            <w:r w:rsidRPr="008924E0">
              <w:rPr>
                <w:rFonts w:ascii="Calibri" w:eastAsia="Calibri" w:hAnsi="Calibri" w:cs="Calibri"/>
                <w:b/>
                <w:lang w:val="bs-Latn-BA"/>
              </w:rPr>
              <w:t>22,22%</w:t>
            </w:r>
          </w:p>
        </w:tc>
        <w:tc>
          <w:tcPr>
            <w:tcW w:w="2070" w:type="dxa"/>
          </w:tcPr>
          <w:p w14:paraId="7F1CB126"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val="bs-Latn-BA"/>
              </w:rPr>
            </w:pPr>
            <w:r w:rsidRPr="008924E0">
              <w:rPr>
                <w:rFonts w:ascii="Calibri" w:eastAsia="Calibri" w:hAnsi="Calibri" w:cs="Calibri"/>
                <w:b/>
                <w:lang w:val="bs-Latn-BA"/>
              </w:rPr>
              <w:t>84.597</w:t>
            </w:r>
          </w:p>
        </w:tc>
        <w:tc>
          <w:tcPr>
            <w:tcW w:w="1197" w:type="dxa"/>
          </w:tcPr>
          <w:p w14:paraId="0AC4FF16" w14:textId="77777777" w:rsidR="00CF7A3C" w:rsidRPr="008924E0" w:rsidRDefault="00CF7A3C" w:rsidP="000B085B">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Calibri"/>
                <w:b/>
                <w:lang w:val="bs-Latn-BA"/>
              </w:rPr>
            </w:pPr>
            <w:r w:rsidRPr="008924E0">
              <w:rPr>
                <w:rFonts w:ascii="Calibri" w:eastAsia="Calibri" w:hAnsi="Calibri" w:cs="Calibri"/>
                <w:lang w:val="bs-Latn-BA"/>
              </w:rPr>
              <w:t>-</w:t>
            </w:r>
          </w:p>
        </w:tc>
      </w:tr>
    </w:tbl>
    <w:p w14:paraId="7589A955" w14:textId="77777777" w:rsidR="00CF7A3C" w:rsidRPr="008924E0" w:rsidRDefault="00CF7A3C" w:rsidP="00CF7A3C">
      <w:pPr>
        <w:tabs>
          <w:tab w:val="left" w:pos="4962"/>
        </w:tabs>
        <w:rPr>
          <w:sz w:val="20"/>
          <w:szCs w:val="20"/>
          <w:lang w:val="bs-Latn-BA"/>
        </w:rPr>
      </w:pPr>
      <w:r w:rsidRPr="008924E0">
        <w:rPr>
          <w:sz w:val="20"/>
          <w:szCs w:val="20"/>
          <w:lang w:val="bs-Latn-BA"/>
        </w:rPr>
        <w:t xml:space="preserve">*Podatak iz EP BiH </w:t>
      </w:r>
    </w:p>
    <w:p w14:paraId="3D3216D8" w14:textId="77777777" w:rsidR="00CF7A3C" w:rsidRPr="008924E0" w:rsidRDefault="00CF7A3C" w:rsidP="00CF7A3C">
      <w:pPr>
        <w:tabs>
          <w:tab w:val="left" w:pos="4962"/>
        </w:tabs>
        <w:rPr>
          <w:b/>
          <w:lang w:val="bs-Latn-BA"/>
        </w:rPr>
      </w:pPr>
      <w:r w:rsidRPr="008924E0">
        <w:rPr>
          <w:b/>
          <w:lang w:val="bs-Latn-BA"/>
        </w:rPr>
        <w:t xml:space="preserve">U narednom periodu je potrebno ažurirati podatke za svaki kanton da bi se dobila precizna slika o broju i procentima nelegalno izgrađenih zgrada i njihovim energijskim karakteristikama. </w:t>
      </w:r>
    </w:p>
    <w:p w14:paraId="45A324C6" w14:textId="77777777" w:rsidR="00CF7A3C" w:rsidRPr="008924E0" w:rsidRDefault="00CF7A3C" w:rsidP="00CF7A3C">
      <w:pPr>
        <w:tabs>
          <w:tab w:val="left" w:pos="4962"/>
        </w:tabs>
        <w:rPr>
          <w:lang w:val="bs-Latn-BA"/>
        </w:rPr>
      </w:pPr>
      <w:r w:rsidRPr="008924E0">
        <w:rPr>
          <w:lang w:val="bs-Latn-BA"/>
        </w:rPr>
        <w:t>Po pitanju vlasničke strukture stambenih zgrada, porodične kuće su isključivo privatno vlasništvo, kao i najveći broj stanova u zgradama kolektivnog stanovanja. Prema podacima iz popisa stanovništva</w:t>
      </w:r>
      <w:r w:rsidRPr="008924E0">
        <w:rPr>
          <w:vertAlign w:val="superscript"/>
          <w:lang w:val="bs-Latn-BA"/>
        </w:rPr>
        <w:footnoteReference w:id="116"/>
      </w:r>
      <w:r w:rsidRPr="008924E0">
        <w:rPr>
          <w:lang w:val="bs-Latn-BA"/>
        </w:rPr>
        <w:t xml:space="preserve"> od ukupnog broja stambenih jedinica, 0,51% stambenih jedinica je u državnom vlasništvu. </w:t>
      </w:r>
    </w:p>
    <w:p w14:paraId="1EC6A4A3" w14:textId="77777777" w:rsidR="00CF7A3C" w:rsidRPr="008924E0" w:rsidRDefault="00CF7A3C" w:rsidP="00CF7A3C">
      <w:pPr>
        <w:rPr>
          <w:lang w:val="bs-Latn-BA"/>
        </w:rPr>
      </w:pPr>
    </w:p>
    <w:p w14:paraId="2826B3B3" w14:textId="77777777" w:rsidR="00CF7A3C" w:rsidRPr="008924E0" w:rsidRDefault="00CF7A3C" w:rsidP="00CF7A3C">
      <w:pPr>
        <w:jc w:val="left"/>
        <w:rPr>
          <w:rFonts w:ascii="Arial" w:eastAsia="Arial" w:hAnsi="Arial" w:cs="Arial"/>
          <w:b/>
          <w:smallCaps/>
          <w:color w:val="00592E"/>
          <w:sz w:val="28"/>
          <w:szCs w:val="28"/>
          <w:lang w:val="bs-Latn-BA"/>
        </w:rPr>
        <w:sectPr w:rsidR="00CF7A3C" w:rsidRPr="008924E0" w:rsidSect="00EA76A9">
          <w:pgSz w:w="11907" w:h="16840"/>
          <w:pgMar w:top="1276" w:right="1440" w:bottom="1440" w:left="1440" w:header="284" w:footer="295" w:gutter="0"/>
          <w:cols w:space="720"/>
          <w:docGrid w:linePitch="299"/>
        </w:sectPr>
      </w:pPr>
      <w:r w:rsidRPr="008924E0">
        <w:rPr>
          <w:lang w:val="bs-Latn-BA"/>
        </w:rPr>
        <w:br w:type="page"/>
      </w:r>
    </w:p>
    <w:p w14:paraId="6FC891D9" w14:textId="77777777" w:rsidR="00CF7A3C" w:rsidRPr="008924E0" w:rsidRDefault="00CF7A3C" w:rsidP="00581C1C">
      <w:pPr>
        <w:pStyle w:val="Heading1"/>
        <w:numPr>
          <w:ilvl w:val="0"/>
          <w:numId w:val="54"/>
        </w:numPr>
        <w:rPr>
          <w:lang w:val="bs-Latn-BA"/>
        </w:rPr>
      </w:pPr>
      <w:bookmarkStart w:id="229" w:name="_Toc134011824"/>
      <w:r w:rsidRPr="008924E0">
        <w:rPr>
          <w:lang w:val="bs-Latn-BA"/>
        </w:rPr>
        <w:lastRenderedPageBreak/>
        <w:t>SWOT analiza</w:t>
      </w:r>
      <w:bookmarkEnd w:id="229"/>
    </w:p>
    <w:p w14:paraId="7C901808" w14:textId="38D6FF41" w:rsidR="00CF7A3C" w:rsidRPr="008924E0" w:rsidRDefault="00CF7A3C" w:rsidP="00CF7A3C">
      <w:pPr>
        <w:rPr>
          <w:lang w:val="bs-Latn-BA"/>
        </w:rPr>
      </w:pPr>
      <w:r w:rsidRPr="008924E0">
        <w:rPr>
          <w:lang w:val="bs-Latn-BA"/>
        </w:rPr>
        <w:t>SWOT analiza (</w:t>
      </w:r>
      <w:r w:rsidRPr="0028605F">
        <w:rPr>
          <w:i/>
          <w:iCs/>
          <w:lang w:val="bs-Latn-BA"/>
        </w:rPr>
        <w:t>Strengths – Snage, We</w:t>
      </w:r>
      <w:r w:rsidR="001A3735" w:rsidRPr="0028605F">
        <w:rPr>
          <w:i/>
          <w:iCs/>
          <w:lang w:val="bs-Latn-BA"/>
        </w:rPr>
        <w:t>a</w:t>
      </w:r>
      <w:r w:rsidRPr="0028605F">
        <w:rPr>
          <w:i/>
          <w:iCs/>
          <w:lang w:val="bs-Latn-BA"/>
        </w:rPr>
        <w:t>kness – Slabosti, Opportunities – Prilike, Threats – prijetnje</w:t>
      </w:r>
      <w:r w:rsidRPr="008924E0">
        <w:rPr>
          <w:lang w:val="bs-Latn-BA"/>
        </w:rPr>
        <w:t xml:space="preserve">) je tehnika strateškog planiranja i strateškog upravljanja koja se koristi </w:t>
      </w:r>
      <w:r w:rsidR="004359FA">
        <w:rPr>
          <w:lang w:val="bs-Latn-BA"/>
        </w:rPr>
        <w:t>u svrhu identificiranja</w:t>
      </w:r>
      <w:r w:rsidRPr="008924E0">
        <w:rPr>
          <w:lang w:val="bs-Latn-BA"/>
        </w:rPr>
        <w:t xml:space="preserve"> prednosti, slabosti, prilik</w:t>
      </w:r>
      <w:r w:rsidR="004359FA">
        <w:rPr>
          <w:lang w:val="bs-Latn-BA"/>
        </w:rPr>
        <w:t>a</w:t>
      </w:r>
      <w:r w:rsidRPr="008924E0">
        <w:rPr>
          <w:lang w:val="bs-Latn-BA"/>
        </w:rPr>
        <w:t xml:space="preserve"> i prijetnj</w:t>
      </w:r>
      <w:r w:rsidR="004359FA">
        <w:rPr>
          <w:lang w:val="bs-Latn-BA"/>
        </w:rPr>
        <w:t>i</w:t>
      </w:r>
      <w:r w:rsidRPr="008924E0">
        <w:rPr>
          <w:lang w:val="bs-Latn-BA"/>
        </w:rPr>
        <w:t xml:space="preserve"> povezan</w:t>
      </w:r>
      <w:r w:rsidR="004359FA">
        <w:rPr>
          <w:lang w:val="bs-Latn-BA"/>
        </w:rPr>
        <w:t>ih</w:t>
      </w:r>
      <w:r w:rsidRPr="008924E0">
        <w:rPr>
          <w:lang w:val="bs-Latn-BA"/>
        </w:rPr>
        <w:t xml:space="preserve"> s planiranjem strategije obnove. U Tabeli </w:t>
      </w:r>
      <w:r w:rsidR="00F85003">
        <w:rPr>
          <w:lang w:val="bs-Latn-BA"/>
        </w:rPr>
        <w:t>11</w:t>
      </w:r>
      <w:r w:rsidRPr="008924E0">
        <w:rPr>
          <w:lang w:val="bs-Latn-BA"/>
        </w:rPr>
        <w:t>.1.</w:t>
      </w:r>
      <w:r w:rsidR="00F85003">
        <w:rPr>
          <w:lang w:val="bs-Latn-BA"/>
        </w:rPr>
        <w:t>17</w:t>
      </w:r>
      <w:r w:rsidRPr="008924E0">
        <w:rPr>
          <w:lang w:val="bs-Latn-BA"/>
        </w:rPr>
        <w:t xml:space="preserve"> je prikazana SWOT analiza sektora zgradarstva u FBiH.</w:t>
      </w:r>
    </w:p>
    <w:p w14:paraId="4549DA51" w14:textId="01F620D9" w:rsidR="00F85003" w:rsidRDefault="00F85003" w:rsidP="00F85003">
      <w:pPr>
        <w:pStyle w:val="Caption"/>
        <w:keepNext/>
      </w:pPr>
      <w:bookmarkStart w:id="230" w:name="_Toc133499636"/>
      <w:r>
        <w:t>Tabela 11.1.</w:t>
      </w:r>
      <w:r w:rsidR="00000000">
        <w:fldChar w:fldCharType="begin"/>
      </w:r>
      <w:r w:rsidR="00000000">
        <w:instrText xml:space="preserve"> SEQ Tabela_11.1. \* ARABIC </w:instrText>
      </w:r>
      <w:r w:rsidR="00000000">
        <w:fldChar w:fldCharType="separate"/>
      </w:r>
      <w:r w:rsidR="002D62B3">
        <w:rPr>
          <w:noProof/>
        </w:rPr>
        <w:t>17</w:t>
      </w:r>
      <w:r w:rsidR="00000000">
        <w:rPr>
          <w:noProof/>
        </w:rPr>
        <w:fldChar w:fldCharType="end"/>
      </w:r>
      <w:r>
        <w:t xml:space="preserve"> </w:t>
      </w:r>
      <w:r w:rsidRPr="008924E0">
        <w:rPr>
          <w:color w:val="000000"/>
        </w:rPr>
        <w:t>SWOT analiza sektora zgradarstva u FBiH</w:t>
      </w:r>
      <w:bookmarkEnd w:id="230"/>
    </w:p>
    <w:tbl>
      <w:tblPr>
        <w:tblStyle w:val="11"/>
        <w:tblW w:w="1410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7054"/>
        <w:gridCol w:w="7054"/>
      </w:tblGrid>
      <w:tr w:rsidR="00CF7A3C" w:rsidRPr="00D9090D" w14:paraId="661143E5" w14:textId="77777777" w:rsidTr="00D9090D">
        <w:trPr>
          <w:trHeight w:val="326"/>
          <w:jc w:val="center"/>
        </w:trPr>
        <w:tc>
          <w:tcPr>
            <w:tcW w:w="7054" w:type="dxa"/>
            <w:shd w:val="clear" w:color="auto" w:fill="005837"/>
            <w:vAlign w:val="center"/>
          </w:tcPr>
          <w:p w14:paraId="2041F2F5" w14:textId="77777777" w:rsidR="00CF7A3C" w:rsidRPr="00D9090D" w:rsidRDefault="00CF7A3C" w:rsidP="00D9090D">
            <w:pPr>
              <w:widowControl w:val="0"/>
              <w:pBdr>
                <w:top w:val="nil"/>
                <w:left w:val="nil"/>
                <w:bottom w:val="nil"/>
                <w:right w:val="nil"/>
                <w:between w:val="nil"/>
              </w:pBdr>
              <w:spacing w:line="276" w:lineRule="auto"/>
              <w:ind w:left="1742" w:right="1714"/>
              <w:jc w:val="center"/>
              <w:rPr>
                <w:rFonts w:asciiTheme="minorHAnsi" w:hAnsiTheme="minorHAnsi" w:cstheme="minorHAnsi"/>
                <w:b/>
                <w:bCs/>
                <w:lang w:val="bs-Latn-BA"/>
              </w:rPr>
            </w:pPr>
            <w:r w:rsidRPr="00D9090D">
              <w:rPr>
                <w:rFonts w:asciiTheme="minorHAnsi" w:hAnsiTheme="minorHAnsi" w:cstheme="minorHAnsi"/>
                <w:b/>
                <w:bCs/>
                <w:color w:val="FFFFFF"/>
                <w:lang w:val="bs-Latn-BA"/>
              </w:rPr>
              <w:t xml:space="preserve">SNAGE </w:t>
            </w:r>
          </w:p>
        </w:tc>
        <w:tc>
          <w:tcPr>
            <w:tcW w:w="7054" w:type="dxa"/>
            <w:shd w:val="clear" w:color="auto" w:fill="005837"/>
            <w:vAlign w:val="center"/>
          </w:tcPr>
          <w:p w14:paraId="1D12674A" w14:textId="77777777" w:rsidR="00CF7A3C" w:rsidRPr="00D9090D" w:rsidRDefault="00CF7A3C" w:rsidP="00D9090D">
            <w:pPr>
              <w:widowControl w:val="0"/>
              <w:pBdr>
                <w:top w:val="nil"/>
                <w:left w:val="nil"/>
                <w:bottom w:val="nil"/>
                <w:right w:val="nil"/>
                <w:between w:val="nil"/>
              </w:pBdr>
              <w:spacing w:line="276" w:lineRule="auto"/>
              <w:ind w:left="1742" w:right="1714"/>
              <w:jc w:val="center"/>
              <w:rPr>
                <w:rFonts w:asciiTheme="minorHAnsi" w:hAnsiTheme="minorHAnsi" w:cstheme="minorHAnsi"/>
                <w:b/>
                <w:bCs/>
                <w:lang w:val="bs-Latn-BA"/>
              </w:rPr>
            </w:pPr>
            <w:r w:rsidRPr="00D9090D">
              <w:rPr>
                <w:rFonts w:asciiTheme="minorHAnsi" w:hAnsiTheme="minorHAnsi" w:cstheme="minorHAnsi"/>
                <w:b/>
                <w:bCs/>
                <w:color w:val="FFFFFF"/>
                <w:lang w:val="bs-Latn-BA"/>
              </w:rPr>
              <w:t xml:space="preserve">SLABOSTI </w:t>
            </w:r>
          </w:p>
        </w:tc>
      </w:tr>
      <w:tr w:rsidR="00CF7A3C" w:rsidRPr="00D9090D" w14:paraId="0CAB0089" w14:textId="77777777" w:rsidTr="001D48BD">
        <w:trPr>
          <w:trHeight w:val="800"/>
          <w:jc w:val="center"/>
        </w:trPr>
        <w:tc>
          <w:tcPr>
            <w:tcW w:w="7054" w:type="dxa"/>
          </w:tcPr>
          <w:p w14:paraId="3F668301"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Uspostavljen institucionalni i regulatorni okvir u oblasti EE u FBiH</w:t>
            </w:r>
          </w:p>
          <w:p w14:paraId="5ABC9CE5"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Uspostavljen ISEE u FBiH</w:t>
            </w:r>
          </w:p>
          <w:p w14:paraId="10DBEDBD"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Operativan REC u okviru ISEE u FBiH</w:t>
            </w:r>
          </w:p>
          <w:p w14:paraId="603C1864"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Veliki broj stručnih kvalificiranih lica za provođenje DEA i EC u FBiH</w:t>
            </w:r>
          </w:p>
          <w:p w14:paraId="7C809F06"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Veliki potencijal za uštede energije i smanjenje emisija CO2 u sektoru zgradarstva u FBiH</w:t>
            </w:r>
          </w:p>
          <w:p w14:paraId="6D619C31" w14:textId="76DE0D3B"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Veliki broj urađenih DEA za javne objekte na nivou FBiH, te implementiran veliki broj mjera EE kroz projekte EE podržane od strane organizacija i </w:t>
            </w:r>
            <w:r w:rsidR="007B690C" w:rsidRPr="00D9090D">
              <w:rPr>
                <w:rFonts w:asciiTheme="minorHAnsi" w:hAnsiTheme="minorHAnsi" w:cstheme="minorHAnsi"/>
                <w:lang w:val="bs-Latn-BA"/>
              </w:rPr>
              <w:t>financ</w:t>
            </w:r>
            <w:r w:rsidRPr="00D9090D">
              <w:rPr>
                <w:rFonts w:asciiTheme="minorHAnsi" w:hAnsiTheme="minorHAnsi" w:cstheme="minorHAnsi"/>
                <w:lang w:val="bs-Latn-BA"/>
              </w:rPr>
              <w:t>ijskih institucija koje djeluju u BiH (UNDP, GIZ, USAID, World Bank, EBRD, KfW, Caritas Switzerland)</w:t>
            </w:r>
          </w:p>
          <w:p w14:paraId="54B1FD1C"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Usvojen „Operativni plan poboljšanja energijske efikasnosti u institucijama FBiH“ (2021)</w:t>
            </w:r>
          </w:p>
          <w:p w14:paraId="4B47F802" w14:textId="643AA508"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Institucionalizacija upravljanja energijom/energijskog menadžmenta uvedena je u osam (8) kantona, a odluka o </w:t>
            </w:r>
            <w:r w:rsidR="00F03625" w:rsidRPr="00D9090D">
              <w:rPr>
                <w:rFonts w:asciiTheme="minorHAnsi" w:hAnsiTheme="minorHAnsi" w:cstheme="minorHAnsi"/>
                <w:lang w:val="bs-Latn-BA"/>
              </w:rPr>
              <w:t>obvez</w:t>
            </w:r>
            <w:r w:rsidRPr="00D9090D">
              <w:rPr>
                <w:rFonts w:asciiTheme="minorHAnsi" w:hAnsiTheme="minorHAnsi" w:cstheme="minorHAnsi"/>
                <w:lang w:val="bs-Latn-BA"/>
              </w:rPr>
              <w:t>nom unosu podataka o potrošnji u Informacioni sistem za upravljanje energijom (EMIS) usvojena u šest (6) kantona</w:t>
            </w:r>
          </w:p>
          <w:p w14:paraId="23024097" w14:textId="21F32B81"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Zainteresiranost stranih organizacija za podrškom institucijama FBiH u ispunjavanju </w:t>
            </w:r>
            <w:r w:rsidR="00F03625" w:rsidRPr="00D9090D">
              <w:rPr>
                <w:rFonts w:asciiTheme="minorHAnsi" w:hAnsiTheme="minorHAnsi" w:cstheme="minorHAnsi"/>
                <w:lang w:val="bs-Latn-BA"/>
              </w:rPr>
              <w:t>obvez</w:t>
            </w:r>
            <w:r w:rsidRPr="00D9090D">
              <w:rPr>
                <w:rFonts w:asciiTheme="minorHAnsi" w:hAnsiTheme="minorHAnsi" w:cstheme="minorHAnsi"/>
                <w:lang w:val="bs-Latn-BA"/>
              </w:rPr>
              <w:t>a iz Ugovora o EZ u pogledu EE (UNDP, GIZ, USAID)</w:t>
            </w:r>
          </w:p>
          <w:p w14:paraId="2874AEDC"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Uspostavljen Revolving fond za EE za javne objekte u FBiH (definirani kriteriji za dodjelu sredstava u okviru Revolving fonda za EE)</w:t>
            </w:r>
          </w:p>
          <w:p w14:paraId="1F64E4C6" w14:textId="2010FF9B"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Zainteresiranost stranih </w:t>
            </w:r>
            <w:r w:rsidR="007B690C" w:rsidRPr="00D9090D">
              <w:rPr>
                <w:rFonts w:asciiTheme="minorHAnsi" w:hAnsiTheme="minorHAnsi" w:cstheme="minorHAnsi"/>
                <w:lang w:val="bs-Latn-BA"/>
              </w:rPr>
              <w:t>financ</w:t>
            </w:r>
            <w:r w:rsidRPr="00D9090D">
              <w:rPr>
                <w:rFonts w:asciiTheme="minorHAnsi" w:hAnsiTheme="minorHAnsi" w:cstheme="minorHAnsi"/>
                <w:lang w:val="bs-Latn-BA"/>
              </w:rPr>
              <w:t xml:space="preserve">ijera za </w:t>
            </w:r>
            <w:r w:rsidR="007B690C" w:rsidRPr="00D9090D">
              <w:rPr>
                <w:rFonts w:asciiTheme="minorHAnsi" w:hAnsiTheme="minorHAnsi" w:cstheme="minorHAnsi"/>
                <w:lang w:val="bs-Latn-BA"/>
              </w:rPr>
              <w:t>financ</w:t>
            </w:r>
            <w:r w:rsidRPr="00D9090D">
              <w:rPr>
                <w:rFonts w:asciiTheme="minorHAnsi" w:hAnsiTheme="minorHAnsi" w:cstheme="minorHAnsi"/>
                <w:lang w:val="bs-Latn-BA"/>
              </w:rPr>
              <w:t xml:space="preserve">iranje projekata EE u </w:t>
            </w:r>
            <w:r w:rsidRPr="00D9090D">
              <w:rPr>
                <w:rFonts w:asciiTheme="minorHAnsi" w:hAnsiTheme="minorHAnsi" w:cstheme="minorHAnsi"/>
                <w:lang w:val="bs-Latn-BA"/>
              </w:rPr>
              <w:lastRenderedPageBreak/>
              <w:t>FBiH</w:t>
            </w:r>
          </w:p>
          <w:p w14:paraId="7CA931E7"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Raspoloživost prirodnih resursa</w:t>
            </w:r>
          </w:p>
          <w:p w14:paraId="01EC710B"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Razvijena tradicija proizvodnje i privatnog poduzetništva</w:t>
            </w:r>
          </w:p>
          <w:p w14:paraId="66B96BDD"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Podaci o energijskim karakteristikama stambenih zgrada raspoloživi kroz Tipologiju stambenih zgrada u BiH (2016) </w:t>
            </w:r>
          </w:p>
          <w:p w14:paraId="726BF851"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Podaci o energijskim karakteristikama javnih zgrada raspoloživi kroz Tipologiju javnih zgrada u BiH (2017)</w:t>
            </w:r>
          </w:p>
          <w:p w14:paraId="33223602"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Intenzivna obuka energijskih menadžera u javnim zgradama kroz projekte EE podržane od strane UNDP-a i FZO FBiH</w:t>
            </w:r>
          </w:p>
          <w:p w14:paraId="427ECADC" w14:textId="77777777" w:rsidR="00CF7A3C" w:rsidRPr="00D9090D" w:rsidRDefault="00CF7A3C" w:rsidP="000B085B">
            <w:pPr>
              <w:widowControl w:val="0"/>
              <w:pBdr>
                <w:top w:val="nil"/>
                <w:left w:val="nil"/>
                <w:bottom w:val="nil"/>
                <w:right w:val="nil"/>
                <w:between w:val="nil"/>
              </w:pBdr>
              <w:tabs>
                <w:tab w:val="left" w:pos="439"/>
              </w:tabs>
              <w:ind w:left="800" w:right="695"/>
              <w:rPr>
                <w:rFonts w:asciiTheme="minorHAnsi" w:hAnsiTheme="minorHAnsi" w:cstheme="minorHAnsi"/>
                <w:lang w:val="bs-Latn-BA"/>
              </w:rPr>
            </w:pPr>
          </w:p>
        </w:tc>
        <w:tc>
          <w:tcPr>
            <w:tcW w:w="7054" w:type="dxa"/>
          </w:tcPr>
          <w:p w14:paraId="1539357D"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lastRenderedPageBreak/>
              <w:t>Spora i dugotrajna procedura pripreme i usvajanja strateških dokumenta relevantnih za oblast EE,  kako na državnom, tako i na nivou FBiH (strateški dokumenti su nerijetko u formi nacrta 2-3 godine)</w:t>
            </w:r>
          </w:p>
          <w:p w14:paraId="4EC5AE89" w14:textId="696C5EB3"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Nepostoj</w:t>
            </w:r>
            <w:r w:rsidR="00357760" w:rsidRPr="00D9090D">
              <w:rPr>
                <w:rFonts w:asciiTheme="minorHAnsi" w:hAnsiTheme="minorHAnsi" w:cstheme="minorHAnsi"/>
                <w:lang w:val="bs-Latn-BA"/>
              </w:rPr>
              <w:t>anje</w:t>
            </w:r>
            <w:r w:rsidRPr="00D9090D">
              <w:rPr>
                <w:rFonts w:asciiTheme="minorHAnsi" w:hAnsiTheme="minorHAnsi" w:cstheme="minorHAnsi"/>
                <w:lang w:val="bs-Latn-BA"/>
              </w:rPr>
              <w:t xml:space="preserve"> inventar</w:t>
            </w:r>
            <w:r w:rsidR="00357760" w:rsidRPr="00D9090D">
              <w:rPr>
                <w:rFonts w:asciiTheme="minorHAnsi" w:hAnsiTheme="minorHAnsi" w:cstheme="minorHAnsi"/>
                <w:lang w:val="bs-Latn-BA"/>
              </w:rPr>
              <w:t>a</w:t>
            </w:r>
            <w:r w:rsidRPr="00D9090D">
              <w:rPr>
                <w:rFonts w:asciiTheme="minorHAnsi" w:hAnsiTheme="minorHAnsi" w:cstheme="minorHAnsi"/>
                <w:lang w:val="bs-Latn-BA"/>
              </w:rPr>
              <w:t xml:space="preserve"> svih zgrada u FBiH (jedinstven šifrarnik zgrada sa identifikacionim brojem (ID)),  niti su raspoloživi tačni podaci o broju novoizgrađenih stambenih zgrada, klimatskoj regiji, bruto, neto i korisnoj grijanoj površini zgrada, energiji za hlađenje u zgradama u FBiH</w:t>
            </w:r>
          </w:p>
          <w:p w14:paraId="10C5AB78" w14:textId="68F6BD48" w:rsidR="00CF7A3C" w:rsidRPr="00D9090D" w:rsidRDefault="00341113"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 xml:space="preserve">Neusaglašenost </w:t>
            </w:r>
            <w:r w:rsidR="00CF7A3C" w:rsidRPr="00D9090D">
              <w:rPr>
                <w:rFonts w:asciiTheme="minorHAnsi" w:hAnsiTheme="minorHAnsi" w:cstheme="minorHAnsi"/>
                <w:lang w:val="bs-Latn-BA"/>
              </w:rPr>
              <w:t xml:space="preserve">broja  novoizgrađenih zgrada u odnosu na dostupne statističke podatke (realno stanje na terenu ne odgovara statističkim podacima) </w:t>
            </w:r>
          </w:p>
          <w:p w14:paraId="0A4FCB13" w14:textId="1E11F8C6"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Nepostoj</w:t>
            </w:r>
            <w:r w:rsidR="00357760" w:rsidRPr="00D9090D">
              <w:rPr>
                <w:rFonts w:asciiTheme="minorHAnsi" w:hAnsiTheme="minorHAnsi" w:cstheme="minorHAnsi"/>
                <w:lang w:val="bs-Latn-BA"/>
              </w:rPr>
              <w:t>anje</w:t>
            </w:r>
            <w:r w:rsidRPr="00D9090D">
              <w:rPr>
                <w:rFonts w:asciiTheme="minorHAnsi" w:hAnsiTheme="minorHAnsi" w:cstheme="minorHAnsi"/>
                <w:lang w:val="bs-Latn-BA"/>
              </w:rPr>
              <w:t xml:space="preserve"> evidencij</w:t>
            </w:r>
            <w:r w:rsidR="00357760" w:rsidRPr="00D9090D">
              <w:rPr>
                <w:rFonts w:asciiTheme="minorHAnsi" w:hAnsiTheme="minorHAnsi" w:cstheme="minorHAnsi"/>
                <w:lang w:val="bs-Latn-BA"/>
              </w:rPr>
              <w:t>e</w:t>
            </w:r>
            <w:r w:rsidRPr="00D9090D">
              <w:rPr>
                <w:rFonts w:asciiTheme="minorHAnsi" w:hAnsiTheme="minorHAnsi" w:cstheme="minorHAnsi"/>
                <w:lang w:val="bs-Latn-BA"/>
              </w:rPr>
              <w:t xml:space="preserve"> nelegalno izgrađenih zgrada na nivou kantona </w:t>
            </w:r>
          </w:p>
          <w:p w14:paraId="322E5F63"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Nedostupnost podataka o komercijalnim zgradama</w:t>
            </w:r>
          </w:p>
          <w:p w14:paraId="380E1762"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Neusklađenost zakona o gradnji na nivo FBiH i na kantonalnim nivoima sa Zakonom o EE u FBiH</w:t>
            </w:r>
          </w:p>
          <w:p w14:paraId="0FA3C9D8"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Transpozicija EU direktiva u oblasti EE nije u potpunosti izvršena u zakonodavstvo FBiH</w:t>
            </w:r>
          </w:p>
          <w:p w14:paraId="198322A3"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 xml:space="preserve">Podzakonski akti koji reguliraju određene oblasti propisane u okviru Zakona o EE u FBiH nisu doneseni </w:t>
            </w:r>
          </w:p>
          <w:p w14:paraId="56D47F69" w14:textId="77777777" w:rsidR="00CF7A3C" w:rsidRPr="00D9090D" w:rsidRDefault="00CF7A3C" w:rsidP="000B085B">
            <w:pPr>
              <w:numPr>
                <w:ilvl w:val="0"/>
                <w:numId w:val="18"/>
              </w:numPr>
              <w:pBdr>
                <w:top w:val="nil"/>
                <w:left w:val="nil"/>
                <w:bottom w:val="nil"/>
                <w:right w:val="nil"/>
                <w:between w:val="nil"/>
              </w:pBdr>
              <w:rPr>
                <w:rFonts w:asciiTheme="minorHAnsi" w:hAnsiTheme="minorHAnsi" w:cstheme="minorHAnsi"/>
                <w:lang w:val="bs-Latn-BA"/>
              </w:rPr>
            </w:pPr>
            <w:r w:rsidRPr="00D9090D">
              <w:rPr>
                <w:rFonts w:asciiTheme="minorHAnsi" w:hAnsiTheme="minorHAnsi" w:cstheme="minorHAnsi"/>
                <w:lang w:val="bs-Latn-BA"/>
              </w:rPr>
              <w:t>Propisi o energijskom označavanju i ekodizajnu nisu usvojeni</w:t>
            </w:r>
          </w:p>
          <w:p w14:paraId="3128C1D4" w14:textId="4BEF27EB"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 xml:space="preserve">Nepostojanje dugoročnih i održivih mehanizama </w:t>
            </w:r>
            <w:r w:rsidR="007B690C" w:rsidRPr="00D9090D">
              <w:rPr>
                <w:rFonts w:asciiTheme="minorHAnsi" w:hAnsiTheme="minorHAnsi" w:cstheme="minorHAnsi"/>
                <w:lang w:val="bs-Latn-BA"/>
              </w:rPr>
              <w:t>financ</w:t>
            </w:r>
            <w:r w:rsidRPr="00D9090D">
              <w:rPr>
                <w:rFonts w:asciiTheme="minorHAnsi" w:hAnsiTheme="minorHAnsi" w:cstheme="minorHAnsi"/>
                <w:lang w:val="bs-Latn-BA"/>
              </w:rPr>
              <w:t>iranja mjera EE</w:t>
            </w:r>
          </w:p>
          <w:p w14:paraId="03A09DF6"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lastRenderedPageBreak/>
              <w:t>Informacioni sistem ISEE nije u potpunosti operativan (nedostaje komponenta 5)</w:t>
            </w:r>
          </w:p>
          <w:p w14:paraId="43D8A5D5"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Nije uspostavljen jedinstven sistem informacionih sistema evidencija u oblasti EE</w:t>
            </w:r>
          </w:p>
          <w:p w14:paraId="695EB072"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Zakon o upraviteljima u zgradama kolektivnog stanovanja nije donesen na nivou svih kantona</w:t>
            </w:r>
          </w:p>
          <w:p w14:paraId="70A3FDF9"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 xml:space="preserve">Na nivou kantona nisu doneseni akcioni planovi, kao ni programi poboljšanja EE na nivou svih općina/gradova </w:t>
            </w:r>
          </w:p>
          <w:p w14:paraId="5E531D43"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Nije uspostavljena Agencija EE na nivou FBiH kako je to propisano Zakonom o EE u FBiH</w:t>
            </w:r>
          </w:p>
          <w:p w14:paraId="35966B15"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Nepostojanje kapaciteta za provođenje aktivnosti u oblasti EE na svim nivoima vlasti</w:t>
            </w:r>
          </w:p>
          <w:p w14:paraId="6696D300" w14:textId="3281821F"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Zgrade stambenog i nestambenog sektora su izuzetno loših energijskih karakteristika i često ne</w:t>
            </w:r>
            <w:r w:rsidR="001A3735" w:rsidRPr="00D9090D">
              <w:rPr>
                <w:rFonts w:asciiTheme="minorHAnsi" w:hAnsiTheme="minorHAnsi" w:cstheme="minorHAnsi"/>
                <w:lang w:val="bs-Latn-BA"/>
              </w:rPr>
              <w:t xml:space="preserve"> </w:t>
            </w:r>
            <w:r w:rsidRPr="00D9090D">
              <w:rPr>
                <w:rFonts w:asciiTheme="minorHAnsi" w:hAnsiTheme="minorHAnsi" w:cstheme="minorHAnsi"/>
                <w:lang w:val="bs-Latn-BA"/>
              </w:rPr>
              <w:t xml:space="preserve">zadovoljavaju </w:t>
            </w:r>
            <w:r w:rsidR="00540A41" w:rsidRPr="00D9090D">
              <w:rPr>
                <w:rFonts w:asciiTheme="minorHAnsi" w:hAnsiTheme="minorHAnsi" w:cstheme="minorHAnsi"/>
                <w:lang w:val="bs-Latn-BA"/>
              </w:rPr>
              <w:t>uvjet</w:t>
            </w:r>
            <w:r w:rsidRPr="00D9090D">
              <w:rPr>
                <w:rFonts w:asciiTheme="minorHAnsi" w:hAnsiTheme="minorHAnsi" w:cstheme="minorHAnsi"/>
                <w:lang w:val="bs-Latn-BA"/>
              </w:rPr>
              <w:t xml:space="preserve">e termalnog komfora </w:t>
            </w:r>
          </w:p>
          <w:p w14:paraId="4329A70D"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 xml:space="preserve">Fosilna goriva su dominantan energent za grijanje za sve vrste zgrada </w:t>
            </w:r>
          </w:p>
          <w:p w14:paraId="2FFA87D3"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Nepostojanje posebnih programa potpore za energijsku obnovu objekata kulturne baštine i vojnih objekata</w:t>
            </w:r>
          </w:p>
          <w:p w14:paraId="393964EC"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Nerazvijenost modela ugovaranja (ESCO, JPP, itd)</w:t>
            </w:r>
          </w:p>
          <w:p w14:paraId="69E17F35"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Neusklađenost sistema obrazovanja sa tržištem rada</w:t>
            </w:r>
          </w:p>
          <w:p w14:paraId="0ADA0D6B"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Velika zastupljenost sive ekonomije</w:t>
            </w:r>
          </w:p>
          <w:p w14:paraId="6A416A55"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Nepostojanje programa zaštite za socijalne kategorije stanovništva</w:t>
            </w:r>
          </w:p>
          <w:p w14:paraId="6A991C03"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Zastarjeli propisi u oblasti zaštite od požara i seizmičke otpornosti u zgradarstvu</w:t>
            </w:r>
          </w:p>
          <w:p w14:paraId="0ED496D4"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Loše održavanje zgrada </w:t>
            </w:r>
          </w:p>
        </w:tc>
      </w:tr>
      <w:tr w:rsidR="00CF7A3C" w:rsidRPr="00D9090D" w14:paraId="71E2773B" w14:textId="77777777" w:rsidTr="00D9090D">
        <w:trPr>
          <w:trHeight w:val="391"/>
          <w:jc w:val="center"/>
        </w:trPr>
        <w:tc>
          <w:tcPr>
            <w:tcW w:w="7054" w:type="dxa"/>
            <w:shd w:val="clear" w:color="auto" w:fill="005837"/>
            <w:vAlign w:val="center"/>
          </w:tcPr>
          <w:p w14:paraId="1740401E" w14:textId="77777777" w:rsidR="00CF7A3C" w:rsidRPr="00D9090D" w:rsidRDefault="00CF7A3C" w:rsidP="00D9090D">
            <w:pPr>
              <w:widowControl w:val="0"/>
              <w:pBdr>
                <w:top w:val="nil"/>
                <w:left w:val="nil"/>
                <w:bottom w:val="nil"/>
                <w:right w:val="nil"/>
                <w:between w:val="nil"/>
              </w:pBdr>
              <w:spacing w:line="276" w:lineRule="auto"/>
              <w:ind w:right="1714"/>
              <w:jc w:val="center"/>
              <w:rPr>
                <w:rFonts w:asciiTheme="minorHAnsi" w:hAnsiTheme="minorHAnsi" w:cstheme="minorHAnsi"/>
                <w:b/>
                <w:bCs/>
                <w:lang w:val="bs-Latn-BA"/>
              </w:rPr>
            </w:pPr>
            <w:r w:rsidRPr="00D9090D">
              <w:rPr>
                <w:rFonts w:asciiTheme="minorHAnsi" w:hAnsiTheme="minorHAnsi" w:cstheme="minorHAnsi"/>
                <w:b/>
                <w:bCs/>
                <w:color w:val="FFFFFF"/>
                <w:lang w:val="bs-Latn-BA"/>
              </w:rPr>
              <w:lastRenderedPageBreak/>
              <w:t>PRILIKE</w:t>
            </w:r>
          </w:p>
        </w:tc>
        <w:tc>
          <w:tcPr>
            <w:tcW w:w="7054" w:type="dxa"/>
            <w:shd w:val="clear" w:color="auto" w:fill="005837"/>
            <w:vAlign w:val="center"/>
          </w:tcPr>
          <w:p w14:paraId="16E88928" w14:textId="77777777" w:rsidR="00CF7A3C" w:rsidRPr="00D9090D" w:rsidRDefault="00CF7A3C" w:rsidP="00D9090D">
            <w:pPr>
              <w:widowControl w:val="0"/>
              <w:pBdr>
                <w:top w:val="nil"/>
                <w:left w:val="nil"/>
                <w:bottom w:val="nil"/>
                <w:right w:val="nil"/>
                <w:between w:val="nil"/>
              </w:pBdr>
              <w:spacing w:line="276" w:lineRule="auto"/>
              <w:ind w:left="1733" w:right="1714"/>
              <w:jc w:val="center"/>
              <w:rPr>
                <w:rFonts w:asciiTheme="minorHAnsi" w:hAnsiTheme="minorHAnsi" w:cstheme="minorHAnsi"/>
                <w:b/>
                <w:bCs/>
                <w:lang w:val="bs-Latn-BA"/>
              </w:rPr>
            </w:pPr>
            <w:r w:rsidRPr="00D9090D">
              <w:rPr>
                <w:rFonts w:asciiTheme="minorHAnsi" w:hAnsiTheme="minorHAnsi" w:cstheme="minorHAnsi"/>
                <w:b/>
                <w:bCs/>
                <w:color w:val="FFFFFF"/>
                <w:lang w:val="bs-Latn-BA"/>
              </w:rPr>
              <w:t>PRIJETNJE</w:t>
            </w:r>
          </w:p>
        </w:tc>
      </w:tr>
      <w:tr w:rsidR="00CF7A3C" w:rsidRPr="00D9090D" w14:paraId="60F5F687" w14:textId="77777777" w:rsidTr="001D48BD">
        <w:trPr>
          <w:trHeight w:val="440"/>
          <w:jc w:val="center"/>
        </w:trPr>
        <w:tc>
          <w:tcPr>
            <w:tcW w:w="7054" w:type="dxa"/>
          </w:tcPr>
          <w:p w14:paraId="1804F903"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Energijska tranzicija</w:t>
            </w:r>
          </w:p>
          <w:p w14:paraId="11D1B532" w14:textId="64A7A08A"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Operativnost revolving fondova i veće iskorištavanje međunarodnih fondova za </w:t>
            </w:r>
            <w:r w:rsidR="007B690C" w:rsidRPr="00D9090D">
              <w:rPr>
                <w:rFonts w:asciiTheme="minorHAnsi" w:hAnsiTheme="minorHAnsi" w:cstheme="minorHAnsi"/>
                <w:lang w:val="bs-Latn-BA"/>
              </w:rPr>
              <w:t>financ</w:t>
            </w:r>
            <w:r w:rsidRPr="00D9090D">
              <w:rPr>
                <w:rFonts w:asciiTheme="minorHAnsi" w:hAnsiTheme="minorHAnsi" w:cstheme="minorHAnsi"/>
                <w:lang w:val="bs-Latn-BA"/>
              </w:rPr>
              <w:t>iranje projekata EE u zgradarstvu</w:t>
            </w:r>
          </w:p>
          <w:p w14:paraId="3520EF1F"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Razvoj sistema cirkularne ekonomije</w:t>
            </w:r>
          </w:p>
          <w:p w14:paraId="4B823554"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lastRenderedPageBreak/>
              <w:t xml:space="preserve">Donošenje relevantnih strateških dokumenata na nivou FBiH  </w:t>
            </w:r>
          </w:p>
          <w:p w14:paraId="5D44B2C7"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Usklađivanje zakona o gradnji na kantonalnim nivoima sa Zakonom o EE u FBiH</w:t>
            </w:r>
          </w:p>
          <w:p w14:paraId="2F8B5F46"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Donošenje novog zakona o prostornom uređenju u nadležnosti FBiH koji će tretirati oblast EE u skladu sa Zakonom o EE u FBiH</w:t>
            </w:r>
          </w:p>
          <w:p w14:paraId="10D2D840" w14:textId="77777777" w:rsidR="00CF7A3C" w:rsidRPr="00D9090D" w:rsidRDefault="00CF7A3C" w:rsidP="000B085B">
            <w:pPr>
              <w:widowControl w:val="0"/>
              <w:numPr>
                <w:ilvl w:val="0"/>
                <w:numId w:val="18"/>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Potpuna transpozicija EU direktiva u oblasti zgradarstva u zakonodavstvo FBiH</w:t>
            </w:r>
          </w:p>
          <w:p w14:paraId="03BEBE3C" w14:textId="1B125704"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Bolje korištenje svih mehanizama </w:t>
            </w:r>
            <w:r w:rsidR="007B690C" w:rsidRPr="00D9090D">
              <w:rPr>
                <w:rFonts w:asciiTheme="minorHAnsi" w:hAnsiTheme="minorHAnsi" w:cstheme="minorHAnsi"/>
                <w:lang w:val="bs-Latn-BA"/>
              </w:rPr>
              <w:t>financ</w:t>
            </w:r>
            <w:r w:rsidRPr="00D9090D">
              <w:rPr>
                <w:rFonts w:asciiTheme="minorHAnsi" w:hAnsiTheme="minorHAnsi" w:cstheme="minorHAnsi"/>
                <w:lang w:val="bs-Latn-BA"/>
              </w:rPr>
              <w:t>iranja</w:t>
            </w:r>
          </w:p>
          <w:p w14:paraId="4794B300"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Implementacija  ISEE</w:t>
            </w:r>
          </w:p>
          <w:p w14:paraId="2EA3F179"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Donošenje svih podzakonskih akata koji reguliraju određene oblasti propisane u okviru Zakona o EE u FBiH </w:t>
            </w:r>
          </w:p>
          <w:p w14:paraId="62738D11"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Donošenje i implementacija zakona o korištenju, upravljanju i održavanju zajedničkih dijelova zgrade na nivou svih kantona</w:t>
            </w:r>
          </w:p>
          <w:p w14:paraId="05F7A46A"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Donošenje akcionih planova na nivou kantona i programa poboljšanja EE na nivou svih općina/gradova</w:t>
            </w:r>
          </w:p>
          <w:p w14:paraId="086B24D1"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Uspostavljanje Agencije EE na nivou FBiH</w:t>
            </w:r>
          </w:p>
          <w:p w14:paraId="11702325"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Povećanje investicija u građevinskom sektoru </w:t>
            </w:r>
          </w:p>
          <w:p w14:paraId="16010548"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Primjena novih tehnologija i pametnih rješenja</w:t>
            </w:r>
          </w:p>
          <w:p w14:paraId="40344F88"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 xml:space="preserve">Formiranje komisije za nezavisna kontrolu u oblasti EE u zgradarstvu (EC i DEA) </w:t>
            </w:r>
          </w:p>
          <w:p w14:paraId="31DBECF9"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Veća primjena BIM-a u projektima EE u zgradarstvu</w:t>
            </w:r>
          </w:p>
        </w:tc>
        <w:tc>
          <w:tcPr>
            <w:tcW w:w="7054" w:type="dxa"/>
          </w:tcPr>
          <w:p w14:paraId="5D1EDAC1"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lastRenderedPageBreak/>
              <w:t>Politička nestabilnost na nivou BiH</w:t>
            </w:r>
          </w:p>
          <w:p w14:paraId="03BB1734"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Visok stepen korupcije</w:t>
            </w:r>
          </w:p>
          <w:p w14:paraId="3B75C762"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Nepostojanje strategije digitalne transformacije</w:t>
            </w:r>
          </w:p>
          <w:p w14:paraId="306EDBDC"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Energijska nestabilnost</w:t>
            </w:r>
          </w:p>
          <w:p w14:paraId="27F557EC"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397"/>
              <w:rPr>
                <w:rFonts w:asciiTheme="minorHAnsi" w:hAnsiTheme="minorHAnsi" w:cstheme="minorHAnsi"/>
                <w:lang w:val="bs-Latn-BA"/>
              </w:rPr>
            </w:pPr>
            <w:r w:rsidRPr="00D9090D">
              <w:rPr>
                <w:rFonts w:asciiTheme="minorHAnsi" w:hAnsiTheme="minorHAnsi" w:cstheme="minorHAnsi"/>
                <w:lang w:val="bs-Latn-BA"/>
              </w:rPr>
              <w:t>Rast energijskog siromaštva u FBiH</w:t>
            </w:r>
          </w:p>
          <w:p w14:paraId="0A3AB9C7"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lastRenderedPageBreak/>
              <w:t>Nedostatak digitalnih vještina u poslovanju</w:t>
            </w:r>
          </w:p>
          <w:p w14:paraId="09F5ADE2"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Globalna ekonomska i energijska kriza</w:t>
            </w:r>
          </w:p>
          <w:p w14:paraId="311C7F7C"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Složene i dugotrajne procedure javnih nabavki</w:t>
            </w:r>
          </w:p>
          <w:p w14:paraId="2D537D5B"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Nizak standard građana</w:t>
            </w:r>
          </w:p>
          <w:p w14:paraId="76FCE692"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Iseljavanje i depopulacija stanovništva</w:t>
            </w:r>
          </w:p>
          <w:p w14:paraId="5F265910"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Nedovoljna raspoloživost kvalificirane radne snage</w:t>
            </w:r>
          </w:p>
          <w:p w14:paraId="5D33958D"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Podkapacitiranost građevinske operative za sveobuhvatnu energijsku obnovu zgrada do 2050.</w:t>
            </w:r>
          </w:p>
          <w:p w14:paraId="1EFD1ACA"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 xml:space="preserve">Dugotrajna procedura za provođenje javne nabavke </w:t>
            </w:r>
          </w:p>
          <w:p w14:paraId="6EF985AE" w14:textId="03210841"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 xml:space="preserve">Nesigurnost </w:t>
            </w:r>
            <w:r w:rsidR="001A3735" w:rsidRPr="00D9090D">
              <w:rPr>
                <w:rFonts w:asciiTheme="minorHAnsi" w:hAnsiTheme="minorHAnsi" w:cstheme="minorHAnsi"/>
                <w:lang w:val="bs-Latn-BA"/>
              </w:rPr>
              <w:t>snabdijevanja</w:t>
            </w:r>
            <w:r w:rsidRPr="00D9090D">
              <w:rPr>
                <w:rFonts w:asciiTheme="minorHAnsi" w:hAnsiTheme="minorHAnsi" w:cstheme="minorHAnsi"/>
                <w:lang w:val="bs-Latn-BA"/>
              </w:rPr>
              <w:t xml:space="preserve"> energentima uzrokovana globalnom krizom</w:t>
            </w:r>
          </w:p>
          <w:p w14:paraId="758A5D4B"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Nedostatak građevinskih materijala i opreme uzrokovana globalnom krizom</w:t>
            </w:r>
          </w:p>
          <w:p w14:paraId="5829F477"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Variranje cijena materijala i opreme uzrokovana globalnom krizom</w:t>
            </w:r>
          </w:p>
          <w:p w14:paraId="5C945A90"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Nedovoljna ulaganja u razvoj inovativnih rješenja  i nove tehnologije u oblasti inženjeringa</w:t>
            </w:r>
          </w:p>
          <w:p w14:paraId="42631E47"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Životna i zdravstvena ugroženost stanovništva zbog starosti i dotrajalosti zgrada</w:t>
            </w:r>
          </w:p>
          <w:p w14:paraId="6F8D6D12"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Neefikasno i netransparentno trošenje sredstava u javnom sektoru</w:t>
            </w:r>
          </w:p>
          <w:p w14:paraId="1F9E3F3B"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Neriješeni imovinsko-pravni odnosi u sektoru zgradarstva</w:t>
            </w:r>
          </w:p>
          <w:p w14:paraId="14EC7F4C"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Nepostojanje političke volje za sistemsko rješavanje nelegalne gradnje</w:t>
            </w:r>
          </w:p>
          <w:p w14:paraId="4FDC3750" w14:textId="207D9E24" w:rsidR="00CF7A3C" w:rsidRPr="00D9090D" w:rsidRDefault="00CF7A3C" w:rsidP="000B085B">
            <w:pPr>
              <w:widowControl w:val="0"/>
              <w:numPr>
                <w:ilvl w:val="0"/>
                <w:numId w:val="37"/>
              </w:numPr>
              <w:pBdr>
                <w:top w:val="nil"/>
                <w:left w:val="nil"/>
                <w:bottom w:val="nil"/>
                <w:right w:val="nil"/>
                <w:between w:val="nil"/>
              </w:pBdr>
              <w:tabs>
                <w:tab w:val="left" w:pos="439"/>
              </w:tabs>
              <w:ind w:right="691"/>
              <w:rPr>
                <w:rFonts w:asciiTheme="minorHAnsi" w:hAnsiTheme="minorHAnsi" w:cstheme="minorHAnsi"/>
                <w:lang w:val="bs-Latn-BA"/>
              </w:rPr>
            </w:pPr>
            <w:r w:rsidRPr="00D9090D">
              <w:rPr>
                <w:rFonts w:asciiTheme="minorHAnsi" w:hAnsiTheme="minorHAnsi" w:cstheme="minorHAnsi"/>
                <w:lang w:val="bs-Latn-BA"/>
              </w:rPr>
              <w:t xml:space="preserve">Demotiviranost ključnih aktera uslijed nedostatka </w:t>
            </w:r>
            <w:r w:rsidR="007B690C" w:rsidRPr="00D9090D">
              <w:rPr>
                <w:rFonts w:asciiTheme="minorHAnsi" w:hAnsiTheme="minorHAnsi" w:cstheme="minorHAnsi"/>
                <w:lang w:val="bs-Latn-BA"/>
              </w:rPr>
              <w:t>financ</w:t>
            </w:r>
            <w:r w:rsidRPr="00D9090D">
              <w:rPr>
                <w:rFonts w:asciiTheme="minorHAnsi" w:hAnsiTheme="minorHAnsi" w:cstheme="minorHAnsi"/>
                <w:lang w:val="bs-Latn-BA"/>
              </w:rPr>
              <w:t>ijskih poticaja  za energijsku obnovu zgrada</w:t>
            </w:r>
          </w:p>
          <w:p w14:paraId="4E42D473" w14:textId="77777777" w:rsidR="00CF7A3C" w:rsidRPr="00D9090D" w:rsidRDefault="00CF7A3C" w:rsidP="000B085B">
            <w:pPr>
              <w:numPr>
                <w:ilvl w:val="0"/>
                <w:numId w:val="37"/>
              </w:numPr>
              <w:pBdr>
                <w:top w:val="nil"/>
                <w:left w:val="nil"/>
                <w:bottom w:val="nil"/>
                <w:right w:val="nil"/>
                <w:between w:val="nil"/>
              </w:pBdr>
              <w:rPr>
                <w:rFonts w:asciiTheme="minorHAnsi" w:hAnsiTheme="minorHAnsi" w:cstheme="minorHAnsi"/>
                <w:lang w:val="bs-Latn-BA"/>
              </w:rPr>
            </w:pPr>
            <w:r w:rsidRPr="00D9090D">
              <w:rPr>
                <w:rFonts w:asciiTheme="minorHAnsi" w:hAnsiTheme="minorHAnsi" w:cstheme="minorHAnsi"/>
                <w:lang w:val="bs-Latn-BA"/>
              </w:rPr>
              <w:t>Dug period povrata investicija u oblasti EE</w:t>
            </w:r>
          </w:p>
          <w:p w14:paraId="74DD1831" w14:textId="77777777" w:rsidR="00CF7A3C" w:rsidRPr="00D9090D" w:rsidRDefault="00CF7A3C" w:rsidP="000B085B">
            <w:pPr>
              <w:widowControl w:val="0"/>
              <w:numPr>
                <w:ilvl w:val="0"/>
                <w:numId w:val="37"/>
              </w:numPr>
              <w:pBdr>
                <w:top w:val="nil"/>
                <w:left w:val="nil"/>
                <w:bottom w:val="nil"/>
                <w:right w:val="nil"/>
                <w:between w:val="nil"/>
              </w:pBdr>
              <w:tabs>
                <w:tab w:val="left" w:pos="439"/>
              </w:tabs>
              <w:ind w:right="695"/>
              <w:rPr>
                <w:rFonts w:asciiTheme="minorHAnsi" w:hAnsiTheme="minorHAnsi" w:cstheme="minorHAnsi"/>
                <w:lang w:val="bs-Latn-BA"/>
              </w:rPr>
            </w:pPr>
            <w:r w:rsidRPr="00D9090D">
              <w:rPr>
                <w:rFonts w:asciiTheme="minorHAnsi" w:hAnsiTheme="minorHAnsi" w:cstheme="minorHAnsi"/>
                <w:lang w:val="bs-Latn-BA"/>
              </w:rPr>
              <w:t>Visok stepen zaduženosti javnog sektora</w:t>
            </w:r>
          </w:p>
        </w:tc>
      </w:tr>
    </w:tbl>
    <w:p w14:paraId="56FF7414" w14:textId="77777777" w:rsidR="00CF7A3C" w:rsidRPr="008924E0" w:rsidRDefault="00CF7A3C" w:rsidP="00CF7A3C">
      <w:pPr>
        <w:rPr>
          <w:lang w:val="bs-Latn-BA"/>
        </w:rPr>
      </w:pPr>
    </w:p>
    <w:p w14:paraId="211517B5" w14:textId="77777777" w:rsidR="00CF7A3C" w:rsidRPr="008924E0" w:rsidRDefault="00CF7A3C" w:rsidP="00CF7A3C">
      <w:pPr>
        <w:rPr>
          <w:lang w:val="bs-Latn-BA"/>
        </w:rPr>
      </w:pPr>
    </w:p>
    <w:p w14:paraId="413B3892" w14:textId="77777777" w:rsidR="00CF7A3C" w:rsidRPr="008924E0" w:rsidRDefault="00CF7A3C" w:rsidP="00CF7A3C">
      <w:pPr>
        <w:jc w:val="left"/>
        <w:rPr>
          <w:rFonts w:ascii="Arial" w:eastAsia="Arial" w:hAnsi="Arial" w:cs="Arial"/>
          <w:b/>
          <w:smallCaps/>
          <w:color w:val="00592E"/>
          <w:sz w:val="28"/>
          <w:szCs w:val="28"/>
          <w:lang w:val="bs-Latn-BA"/>
        </w:rPr>
      </w:pPr>
      <w:r w:rsidRPr="008924E0">
        <w:rPr>
          <w:lang w:val="bs-Latn-BA"/>
        </w:rPr>
        <w:br w:type="page"/>
      </w:r>
    </w:p>
    <w:p w14:paraId="17F60D43" w14:textId="77777777" w:rsidR="00CF7A3C" w:rsidRPr="008924E0" w:rsidRDefault="00CF7A3C" w:rsidP="00581C1C">
      <w:pPr>
        <w:pStyle w:val="Heading1"/>
        <w:numPr>
          <w:ilvl w:val="0"/>
          <w:numId w:val="54"/>
        </w:numPr>
        <w:rPr>
          <w:lang w:val="bs-Latn-BA"/>
        </w:rPr>
      </w:pPr>
      <w:bookmarkStart w:id="231" w:name="_Toc134011825"/>
      <w:r w:rsidRPr="008924E0">
        <w:rPr>
          <w:lang w:val="bs-Latn-BA"/>
        </w:rPr>
        <w:lastRenderedPageBreak/>
        <w:t>Razvojni strateški pravci</w:t>
      </w:r>
      <w:bookmarkEnd w:id="231"/>
      <w:r w:rsidRPr="008924E0">
        <w:rPr>
          <w:lang w:val="bs-Latn-BA"/>
        </w:rPr>
        <w:t xml:space="preserve"> </w:t>
      </w:r>
    </w:p>
    <w:p w14:paraId="55677D1C" w14:textId="697351F6" w:rsidR="00CF7A3C" w:rsidRPr="008924E0" w:rsidRDefault="00CF7A3C" w:rsidP="00CF7A3C">
      <w:pPr>
        <w:rPr>
          <w:lang w:val="bs-Latn-BA"/>
        </w:rPr>
      </w:pPr>
      <w:r w:rsidRPr="008924E0">
        <w:rPr>
          <w:lang w:val="bs-Latn-BA"/>
        </w:rPr>
        <w:t>Na osnovu SWOT analize definirani su strateški pravci, odnosno strateško fokusiranje u svrhu obnove zgrada u FBiH, koji su prikazani u tabeli</w:t>
      </w:r>
      <w:r w:rsidR="00F85003">
        <w:rPr>
          <w:lang w:val="bs-Latn-BA"/>
        </w:rPr>
        <w:t xml:space="preserve"> 11</w:t>
      </w:r>
      <w:r w:rsidRPr="008924E0">
        <w:rPr>
          <w:lang w:val="bs-Latn-BA"/>
        </w:rPr>
        <w:t>.1.</w:t>
      </w:r>
      <w:r w:rsidR="00F85003">
        <w:rPr>
          <w:lang w:val="bs-Latn-BA"/>
        </w:rPr>
        <w:t>18.</w:t>
      </w:r>
      <w:r w:rsidRPr="008924E0">
        <w:rPr>
          <w:lang w:val="bs-Latn-BA"/>
        </w:rPr>
        <w:t xml:space="preserve"> </w:t>
      </w:r>
    </w:p>
    <w:p w14:paraId="7AEA50CD" w14:textId="59AA5BB9" w:rsidR="00F85003" w:rsidRDefault="00F85003" w:rsidP="00F85003">
      <w:pPr>
        <w:pStyle w:val="Caption"/>
        <w:keepNext/>
      </w:pPr>
      <w:bookmarkStart w:id="232" w:name="_Toc133499637"/>
      <w:r>
        <w:t>Tabela 11.1.</w:t>
      </w:r>
      <w:r w:rsidR="00000000">
        <w:fldChar w:fldCharType="begin"/>
      </w:r>
      <w:r w:rsidR="00000000">
        <w:instrText xml:space="preserve"> SEQ Tabela_11.1. \* ARABIC </w:instrText>
      </w:r>
      <w:r w:rsidR="00000000">
        <w:fldChar w:fldCharType="separate"/>
      </w:r>
      <w:r w:rsidR="002D62B3">
        <w:rPr>
          <w:noProof/>
        </w:rPr>
        <w:t>18</w:t>
      </w:r>
      <w:r w:rsidR="00000000">
        <w:rPr>
          <w:noProof/>
        </w:rPr>
        <w:fldChar w:fldCharType="end"/>
      </w:r>
      <w:r>
        <w:t xml:space="preserve"> </w:t>
      </w:r>
      <w:r w:rsidRPr="008924E0">
        <w:rPr>
          <w:color w:val="000000"/>
        </w:rPr>
        <w:t>Strateški pravci u svrhu obnove zgrada u FBiH</w:t>
      </w:r>
      <w:bookmarkEnd w:id="232"/>
    </w:p>
    <w:tbl>
      <w:tblPr>
        <w:tblStyle w:val="10"/>
        <w:tblW w:w="5000" w:type="pct"/>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00" w:firstRow="0" w:lastRow="0" w:firstColumn="0" w:lastColumn="0" w:noHBand="0" w:noVBand="1"/>
      </w:tblPr>
      <w:tblGrid>
        <w:gridCol w:w="4495"/>
        <w:gridCol w:w="178"/>
        <w:gridCol w:w="5245"/>
        <w:gridCol w:w="4190"/>
      </w:tblGrid>
      <w:tr w:rsidR="00CF7A3C" w:rsidRPr="001972F5" w14:paraId="6C48CE86" w14:textId="77777777" w:rsidTr="001D48BD">
        <w:trPr>
          <w:trHeight w:val="274"/>
          <w:jc w:val="center"/>
        </w:trPr>
        <w:tc>
          <w:tcPr>
            <w:tcW w:w="1656" w:type="pct"/>
            <w:gridSpan w:val="2"/>
            <w:shd w:val="clear" w:color="auto" w:fill="005837"/>
            <w:vAlign w:val="center"/>
          </w:tcPr>
          <w:p w14:paraId="30D2E2CA" w14:textId="77777777" w:rsidR="00CF7A3C" w:rsidRPr="00D9090D" w:rsidRDefault="00CF7A3C" w:rsidP="000B085B">
            <w:pPr>
              <w:ind w:left="576" w:right="576"/>
              <w:jc w:val="center"/>
              <w:rPr>
                <w:rFonts w:asciiTheme="minorHAnsi" w:hAnsiTheme="minorHAnsi" w:cstheme="minorHAnsi"/>
                <w:b/>
                <w:color w:val="FFFFFF" w:themeColor="background1"/>
                <w:sz w:val="18"/>
                <w:szCs w:val="18"/>
                <w:lang w:val="bs-Latn-BA"/>
              </w:rPr>
            </w:pPr>
            <w:r w:rsidRPr="00D9090D">
              <w:rPr>
                <w:rFonts w:asciiTheme="minorHAnsi" w:hAnsiTheme="minorHAnsi" w:cstheme="minorHAnsi"/>
                <w:b/>
                <w:color w:val="FFFFFF" w:themeColor="background1"/>
                <w:sz w:val="18"/>
                <w:szCs w:val="18"/>
                <w:lang w:val="bs-Latn-BA"/>
              </w:rPr>
              <w:t>Strateški izazovi (SI)</w:t>
            </w:r>
          </w:p>
        </w:tc>
        <w:tc>
          <w:tcPr>
            <w:tcW w:w="1859" w:type="pct"/>
            <w:shd w:val="clear" w:color="auto" w:fill="005837"/>
            <w:vAlign w:val="center"/>
          </w:tcPr>
          <w:p w14:paraId="255326CB" w14:textId="77777777" w:rsidR="00CF7A3C" w:rsidRPr="00D9090D" w:rsidRDefault="00CF7A3C" w:rsidP="000B085B">
            <w:pPr>
              <w:ind w:left="576" w:right="576"/>
              <w:jc w:val="center"/>
              <w:rPr>
                <w:rFonts w:asciiTheme="minorHAnsi" w:hAnsiTheme="minorHAnsi" w:cstheme="minorHAnsi"/>
                <w:b/>
                <w:color w:val="FFFFFF" w:themeColor="background1"/>
                <w:sz w:val="18"/>
                <w:szCs w:val="18"/>
                <w:lang w:val="bs-Latn-BA"/>
              </w:rPr>
            </w:pPr>
            <w:r w:rsidRPr="00D9090D">
              <w:rPr>
                <w:rFonts w:asciiTheme="minorHAnsi" w:hAnsiTheme="minorHAnsi" w:cstheme="minorHAnsi"/>
                <w:b/>
                <w:color w:val="FFFFFF" w:themeColor="background1"/>
                <w:sz w:val="18"/>
                <w:szCs w:val="18"/>
                <w:lang w:val="bs-Latn-BA"/>
              </w:rPr>
              <w:t>Strateški fokusi (SF)</w:t>
            </w:r>
          </w:p>
        </w:tc>
        <w:tc>
          <w:tcPr>
            <w:tcW w:w="1485" w:type="pct"/>
            <w:shd w:val="clear" w:color="auto" w:fill="005837"/>
            <w:vAlign w:val="center"/>
          </w:tcPr>
          <w:p w14:paraId="0203F132" w14:textId="77777777" w:rsidR="00CF7A3C" w:rsidRPr="00D9090D" w:rsidRDefault="00CF7A3C" w:rsidP="000B085B">
            <w:pPr>
              <w:ind w:left="576" w:right="576"/>
              <w:jc w:val="center"/>
              <w:rPr>
                <w:rFonts w:asciiTheme="minorHAnsi" w:hAnsiTheme="minorHAnsi" w:cstheme="minorHAnsi"/>
                <w:b/>
                <w:color w:val="FFFFFF" w:themeColor="background1"/>
                <w:sz w:val="18"/>
                <w:szCs w:val="18"/>
                <w:lang w:val="bs-Latn-BA"/>
              </w:rPr>
            </w:pPr>
            <w:r w:rsidRPr="00D9090D">
              <w:rPr>
                <w:rFonts w:asciiTheme="minorHAnsi" w:hAnsiTheme="minorHAnsi" w:cstheme="minorHAnsi"/>
                <w:b/>
                <w:color w:val="FFFFFF" w:themeColor="background1"/>
                <w:sz w:val="18"/>
                <w:szCs w:val="18"/>
                <w:lang w:val="bs-Latn-BA"/>
              </w:rPr>
              <w:t>Usklađenost SF sa razvojnim pravcima (RP) “Okvira za realizaciju ciljeva održivog razvoja u BiH”</w:t>
            </w:r>
          </w:p>
        </w:tc>
      </w:tr>
      <w:tr w:rsidR="00CF7A3C" w:rsidRPr="001972F5" w14:paraId="64BCAAF0" w14:textId="77777777" w:rsidTr="00D80825">
        <w:trPr>
          <w:trHeight w:val="60"/>
          <w:jc w:val="center"/>
        </w:trPr>
        <w:tc>
          <w:tcPr>
            <w:tcW w:w="1593" w:type="pct"/>
          </w:tcPr>
          <w:p w14:paraId="4027CFD6"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reducirati potrošnju energije u zgradarstvu i zavisnost od fosilnih goriva u sektoru snabdjevanja i potrošnje?</w:t>
            </w:r>
          </w:p>
          <w:p w14:paraId="525D178A"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izvršiti prilagođavanje klimatskim promjenama i doprinijeti niskoemisionom razvoju FBiH?</w:t>
            </w:r>
          </w:p>
          <w:p w14:paraId="585CD7F5"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osigurati stabilno i sigurno snabdijevanje energijom?</w:t>
            </w:r>
          </w:p>
          <w:p w14:paraId="7CD5AF23" w14:textId="422D038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 xml:space="preserve">Kako osigurati održivo </w:t>
            </w:r>
            <w:r w:rsidR="007B690C" w:rsidRPr="00D80825">
              <w:rPr>
                <w:rFonts w:asciiTheme="minorHAnsi" w:hAnsiTheme="minorHAnsi" w:cstheme="minorHAnsi"/>
                <w:sz w:val="19"/>
                <w:szCs w:val="19"/>
                <w:lang w:val="bs-Latn-BA"/>
              </w:rPr>
              <w:t>financ</w:t>
            </w:r>
            <w:r w:rsidRPr="00D80825">
              <w:rPr>
                <w:rFonts w:asciiTheme="minorHAnsi" w:hAnsiTheme="minorHAnsi" w:cstheme="minorHAnsi"/>
                <w:sz w:val="19"/>
                <w:szCs w:val="19"/>
                <w:lang w:val="bs-Latn-BA"/>
              </w:rPr>
              <w:t>iranje mjera EE u zgradarstvu?</w:t>
            </w:r>
          </w:p>
          <w:p w14:paraId="2CACC974" w14:textId="4A0A4DAF"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 xml:space="preserve">Kako iskoristiti veliki broj međunarodnih fondova za </w:t>
            </w:r>
            <w:r w:rsidR="007B690C" w:rsidRPr="00D80825">
              <w:rPr>
                <w:rFonts w:asciiTheme="minorHAnsi" w:hAnsiTheme="minorHAnsi" w:cstheme="minorHAnsi"/>
                <w:sz w:val="19"/>
                <w:szCs w:val="19"/>
                <w:lang w:val="bs-Latn-BA"/>
              </w:rPr>
              <w:t>financ</w:t>
            </w:r>
            <w:r w:rsidRPr="00D80825">
              <w:rPr>
                <w:rFonts w:asciiTheme="minorHAnsi" w:hAnsiTheme="minorHAnsi" w:cstheme="minorHAnsi"/>
                <w:sz w:val="19"/>
                <w:szCs w:val="19"/>
                <w:lang w:val="bs-Latn-BA"/>
              </w:rPr>
              <w:t>iranje EE?</w:t>
            </w:r>
          </w:p>
          <w:p w14:paraId="7BB924CE"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osigurati nesmetano provođenje svih aktivnosti u oblasti EE i efikasniju međusektorsku saradnju na nivou FBiH?</w:t>
            </w:r>
          </w:p>
          <w:p w14:paraId="08C5DF7C"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povećati efikasnost postojećih informacionih sistema evidencija?</w:t>
            </w:r>
          </w:p>
          <w:p w14:paraId="2A1B5A36"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ubrzati privredni razvoj?</w:t>
            </w:r>
          </w:p>
          <w:p w14:paraId="76608C00"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postići veću sigurnost i duži životni vijek zgrada?</w:t>
            </w:r>
          </w:p>
          <w:p w14:paraId="70E7D9A7" w14:textId="77777777" w:rsidR="00CF7A3C" w:rsidRPr="00D80825" w:rsidRDefault="00CF7A3C" w:rsidP="000B085B">
            <w:pPr>
              <w:widowControl w:val="0"/>
              <w:numPr>
                <w:ilvl w:val="0"/>
                <w:numId w:val="11"/>
              </w:numPr>
              <w:pBdr>
                <w:top w:val="nil"/>
                <w:left w:val="nil"/>
                <w:bottom w:val="nil"/>
                <w:right w:val="nil"/>
                <w:between w:val="nil"/>
              </w:pBdr>
              <w:tabs>
                <w:tab w:val="left" w:pos="439"/>
              </w:tabs>
              <w:spacing w:after="60"/>
              <w:ind w:left="812" w:right="576" w:hanging="668"/>
              <w:rPr>
                <w:rFonts w:asciiTheme="minorHAnsi" w:hAnsiTheme="minorHAnsi" w:cstheme="minorHAnsi"/>
                <w:sz w:val="19"/>
                <w:szCs w:val="19"/>
                <w:lang w:val="bs-Latn-BA"/>
              </w:rPr>
            </w:pPr>
            <w:r w:rsidRPr="00D80825">
              <w:rPr>
                <w:rFonts w:asciiTheme="minorHAnsi" w:hAnsiTheme="minorHAnsi" w:cstheme="minorHAnsi"/>
                <w:sz w:val="19"/>
                <w:szCs w:val="19"/>
                <w:lang w:val="bs-Latn-BA"/>
              </w:rPr>
              <w:t>Kako unaprijediti kvalitet života građana?</w:t>
            </w:r>
          </w:p>
        </w:tc>
        <w:tc>
          <w:tcPr>
            <w:tcW w:w="1922" w:type="pct"/>
            <w:gridSpan w:val="2"/>
          </w:tcPr>
          <w:p w14:paraId="0995CD0A" w14:textId="77777777"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Smanjenje potrošnje energije i emisija CO</w:t>
            </w:r>
            <w:r w:rsidRPr="00D80825">
              <w:rPr>
                <w:rFonts w:asciiTheme="minorHAnsi" w:hAnsiTheme="minorHAnsi" w:cstheme="minorHAnsi"/>
                <w:sz w:val="19"/>
                <w:szCs w:val="19"/>
                <w:vertAlign w:val="subscript"/>
                <w:lang w:val="bs-Latn-BA"/>
              </w:rPr>
              <w:t>2</w:t>
            </w:r>
            <w:r w:rsidRPr="00D80825">
              <w:rPr>
                <w:rFonts w:asciiTheme="minorHAnsi" w:hAnsiTheme="minorHAnsi" w:cstheme="minorHAnsi"/>
                <w:sz w:val="19"/>
                <w:szCs w:val="19"/>
                <w:lang w:val="bs-Latn-BA"/>
              </w:rPr>
              <w:t xml:space="preserve"> kroz implementaciju mjera EE i povećanje udjela OIE (poveznica sa SI -  1,2,3)</w:t>
            </w:r>
          </w:p>
          <w:p w14:paraId="52E7A55D" w14:textId="77777777"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Dekarbonizacija sektora zgradarstva (poveznica sa SI -  1,2,3)</w:t>
            </w:r>
          </w:p>
          <w:p w14:paraId="1BBFCB7C" w14:textId="77777777" w:rsidR="00CF7A3C" w:rsidRPr="00D80825" w:rsidRDefault="00CF7A3C" w:rsidP="000B085B">
            <w:pPr>
              <w:numPr>
                <w:ilvl w:val="0"/>
                <w:numId w:val="16"/>
              </w:numPr>
              <w:pBdr>
                <w:top w:val="nil"/>
                <w:left w:val="nil"/>
                <w:bottom w:val="nil"/>
                <w:right w:val="nil"/>
                <w:between w:val="nil"/>
              </w:pBdr>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Sveobuhvatna obnova sektora zgradarstva uz korištenje lokalnih resursa (poveznica sa SI –1.2, 3,5,6,8,9,10)</w:t>
            </w:r>
          </w:p>
          <w:p w14:paraId="27EE20B3" w14:textId="77777777"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Uspostavljanje dugoročnih i održivih revolving fondova za EE u zgradarstvu (poveznica sa SI -4,5)</w:t>
            </w:r>
          </w:p>
          <w:p w14:paraId="756945E5" w14:textId="5A4B1697" w:rsidR="00CF7A3C" w:rsidRPr="00D80825" w:rsidRDefault="007B690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Financ</w:t>
            </w:r>
            <w:r w:rsidR="00CF7A3C" w:rsidRPr="00D80825">
              <w:rPr>
                <w:rFonts w:asciiTheme="minorHAnsi" w:hAnsiTheme="minorHAnsi" w:cstheme="minorHAnsi"/>
                <w:sz w:val="19"/>
                <w:szCs w:val="19"/>
                <w:lang w:val="bs-Latn-BA"/>
              </w:rPr>
              <w:t xml:space="preserve">ijska inkluzija  kroz razvoj modela </w:t>
            </w:r>
            <w:r w:rsidRPr="00D80825">
              <w:rPr>
                <w:rFonts w:asciiTheme="minorHAnsi" w:hAnsiTheme="minorHAnsi" w:cstheme="minorHAnsi"/>
                <w:sz w:val="19"/>
                <w:szCs w:val="19"/>
                <w:lang w:val="bs-Latn-BA"/>
              </w:rPr>
              <w:t>financ</w:t>
            </w:r>
            <w:r w:rsidR="00CF7A3C" w:rsidRPr="00D80825">
              <w:rPr>
                <w:rFonts w:asciiTheme="minorHAnsi" w:hAnsiTheme="minorHAnsi" w:cstheme="minorHAnsi"/>
                <w:sz w:val="19"/>
                <w:szCs w:val="19"/>
                <w:lang w:val="bs-Latn-BA"/>
              </w:rPr>
              <w:t>iranja provođenja mjera EE za posebno ugrožene kategorije (poveznica sa SI –1,4,5,6,8,10)</w:t>
            </w:r>
          </w:p>
          <w:p w14:paraId="62AB5E59" w14:textId="77777777"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Razvoj projektnih prijedloga i digitalnih vješina, te primjena novih tehnologija i pametnih rješenja u sektoru zgradarstva (poveznica sa SI -  1,3,5,7,8,10)</w:t>
            </w:r>
          </w:p>
          <w:p w14:paraId="634F556C" w14:textId="77777777"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Sveobuhvatan i integriran informacioni sistem u sektoru zgradarstva (poveznica sa SI –  6,7)</w:t>
            </w:r>
          </w:p>
          <w:p w14:paraId="758CE8F2" w14:textId="77777777"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 xml:space="preserve">Potpuna transpozicija EU direktiva vezanih za EE u zakonodavstvo FBiH (poveznica sa SI - 1-10) </w:t>
            </w:r>
          </w:p>
          <w:p w14:paraId="39D18E84" w14:textId="77777777"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Hormonizacija propisa relevantnih za EE na svim nivoima vlasti u FBiH (poveznica sa SI – 1-10)</w:t>
            </w:r>
          </w:p>
          <w:p w14:paraId="58FFD2CD" w14:textId="75DA65FA" w:rsidR="00CF7A3C" w:rsidRPr="00D80825" w:rsidRDefault="00CF7A3C" w:rsidP="000B085B">
            <w:pPr>
              <w:widowControl w:val="0"/>
              <w:numPr>
                <w:ilvl w:val="0"/>
                <w:numId w:val="16"/>
              </w:numPr>
              <w:pBdr>
                <w:top w:val="nil"/>
                <w:left w:val="nil"/>
                <w:bottom w:val="nil"/>
                <w:right w:val="nil"/>
                <w:between w:val="nil"/>
              </w:pBdr>
              <w:tabs>
                <w:tab w:val="left" w:pos="439"/>
              </w:tabs>
              <w:spacing w:after="60"/>
              <w:ind w:left="656" w:right="576" w:hanging="648"/>
              <w:rPr>
                <w:rFonts w:asciiTheme="minorHAnsi" w:hAnsiTheme="minorHAnsi" w:cstheme="minorHAnsi"/>
                <w:sz w:val="19"/>
                <w:szCs w:val="19"/>
                <w:lang w:val="bs-Latn-BA"/>
              </w:rPr>
            </w:pPr>
            <w:r w:rsidRPr="00D80825">
              <w:rPr>
                <w:rFonts w:asciiTheme="minorHAnsi" w:hAnsiTheme="minorHAnsi" w:cstheme="minorHAnsi"/>
                <w:sz w:val="19"/>
                <w:szCs w:val="19"/>
                <w:lang w:val="bs-Latn-BA"/>
              </w:rPr>
              <w:t xml:space="preserve">Primjena cirkularne ekonomije u sektoru zgradarstva (poveznica sa SI -  1,3)  </w:t>
            </w:r>
          </w:p>
        </w:tc>
        <w:tc>
          <w:tcPr>
            <w:tcW w:w="1485" w:type="pct"/>
          </w:tcPr>
          <w:p w14:paraId="6946D890" w14:textId="77777777" w:rsidR="00CF7A3C" w:rsidRPr="00D80825" w:rsidRDefault="00CF7A3C" w:rsidP="000B085B">
            <w:pPr>
              <w:widowControl w:val="0"/>
              <w:numPr>
                <w:ilvl w:val="0"/>
                <w:numId w:val="30"/>
              </w:numPr>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r w:rsidRPr="00D80825">
              <w:rPr>
                <w:rFonts w:asciiTheme="minorHAnsi" w:hAnsiTheme="minorHAnsi" w:cstheme="minorHAnsi"/>
                <w:sz w:val="19"/>
                <w:szCs w:val="19"/>
                <w:lang w:val="bs-Latn-BA"/>
              </w:rPr>
              <w:t>Dobra uprava i upravljanje javnim sektorom (poveznica sa SF – 1, 2, 3, 4, 5,7, 8,10)</w:t>
            </w:r>
          </w:p>
          <w:p w14:paraId="5DEF0133" w14:textId="77777777" w:rsidR="00CF7A3C" w:rsidRPr="00D80825" w:rsidRDefault="00CF7A3C" w:rsidP="000B085B">
            <w:pPr>
              <w:widowControl w:val="0"/>
              <w:numPr>
                <w:ilvl w:val="0"/>
                <w:numId w:val="30"/>
              </w:numPr>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r w:rsidRPr="00D80825">
              <w:rPr>
                <w:rFonts w:asciiTheme="minorHAnsi" w:hAnsiTheme="minorHAnsi" w:cstheme="minorHAnsi"/>
                <w:sz w:val="19"/>
                <w:szCs w:val="19"/>
                <w:lang w:val="bs-Latn-BA"/>
              </w:rPr>
              <w:t>Pametni rast (poveznica sa SF – 1, 2, 3, 4, 5, 7, 8,10)</w:t>
            </w:r>
          </w:p>
          <w:p w14:paraId="350DE927" w14:textId="77777777" w:rsidR="00CF7A3C" w:rsidRPr="00D80825" w:rsidRDefault="00CF7A3C" w:rsidP="000B085B">
            <w:pPr>
              <w:widowControl w:val="0"/>
              <w:numPr>
                <w:ilvl w:val="0"/>
                <w:numId w:val="30"/>
              </w:numPr>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r w:rsidRPr="00D80825">
              <w:rPr>
                <w:rFonts w:asciiTheme="minorHAnsi" w:hAnsiTheme="minorHAnsi" w:cstheme="minorHAnsi"/>
                <w:sz w:val="19"/>
                <w:szCs w:val="19"/>
                <w:lang w:val="bs-Latn-BA"/>
              </w:rPr>
              <w:t>Društvo jednakih mogućnost (poveznica sa SF –2,5, 8,9, 10)</w:t>
            </w:r>
          </w:p>
          <w:p w14:paraId="71B65F06" w14:textId="77777777" w:rsidR="00CF7A3C" w:rsidRPr="00D80825" w:rsidRDefault="00CF7A3C" w:rsidP="000B085B">
            <w:pPr>
              <w:widowControl w:val="0"/>
              <w:pBdr>
                <w:top w:val="nil"/>
                <w:left w:val="nil"/>
                <w:bottom w:val="nil"/>
                <w:right w:val="nil"/>
                <w:between w:val="nil"/>
              </w:pBdr>
              <w:tabs>
                <w:tab w:val="left" w:pos="439"/>
              </w:tabs>
              <w:spacing w:after="60"/>
              <w:ind w:left="694" w:right="576" w:hanging="567"/>
              <w:rPr>
                <w:rFonts w:asciiTheme="minorHAnsi" w:hAnsiTheme="minorHAnsi" w:cstheme="minorHAnsi"/>
                <w:sz w:val="19"/>
                <w:szCs w:val="19"/>
                <w:lang w:val="bs-Latn-BA"/>
              </w:rPr>
            </w:pPr>
          </w:p>
          <w:p w14:paraId="7C684B8F" w14:textId="77777777" w:rsidR="00CF7A3C" w:rsidRPr="00D80825" w:rsidRDefault="00CF7A3C" w:rsidP="000B085B">
            <w:pPr>
              <w:widowControl w:val="0"/>
              <w:pBdr>
                <w:top w:val="nil"/>
                <w:left w:val="nil"/>
                <w:bottom w:val="nil"/>
                <w:right w:val="nil"/>
                <w:between w:val="nil"/>
              </w:pBdr>
              <w:tabs>
                <w:tab w:val="left" w:pos="439"/>
              </w:tabs>
              <w:spacing w:after="60"/>
              <w:ind w:left="694" w:right="576" w:hanging="567"/>
              <w:rPr>
                <w:rFonts w:asciiTheme="minorHAnsi" w:hAnsiTheme="minorHAnsi" w:cstheme="minorHAnsi"/>
                <w:i/>
                <w:sz w:val="19"/>
                <w:szCs w:val="19"/>
                <w:u w:val="single"/>
                <w:lang w:val="bs-Latn-BA"/>
              </w:rPr>
            </w:pPr>
            <w:r w:rsidRPr="00D80825">
              <w:rPr>
                <w:rFonts w:asciiTheme="minorHAnsi" w:hAnsiTheme="minorHAnsi" w:cstheme="minorHAnsi"/>
                <w:i/>
                <w:sz w:val="19"/>
                <w:szCs w:val="19"/>
                <w:u w:val="single"/>
                <w:lang w:val="bs-Latn-BA"/>
              </w:rPr>
              <w:t xml:space="preserve">Usklađenost sa horizontalnim temama: </w:t>
            </w:r>
          </w:p>
          <w:p w14:paraId="482799D2" w14:textId="77777777" w:rsidR="00CF7A3C" w:rsidRPr="00D80825" w:rsidRDefault="00CF7A3C" w:rsidP="000B085B">
            <w:pPr>
              <w:widowControl w:val="0"/>
              <w:numPr>
                <w:ilvl w:val="0"/>
                <w:numId w:val="31"/>
              </w:numPr>
              <w:pBdr>
                <w:top w:val="nil"/>
                <w:left w:val="nil"/>
                <w:bottom w:val="nil"/>
                <w:right w:val="nil"/>
                <w:between w:val="nil"/>
              </w:pBdr>
              <w:tabs>
                <w:tab w:val="left" w:pos="439"/>
              </w:tabs>
              <w:spacing w:after="60"/>
              <w:ind w:left="694" w:right="576" w:hanging="567"/>
              <w:rPr>
                <w:rFonts w:asciiTheme="minorHAnsi" w:hAnsiTheme="minorHAnsi" w:cstheme="minorHAnsi"/>
                <w:i/>
                <w:sz w:val="19"/>
                <w:szCs w:val="19"/>
                <w:lang w:val="bs-Latn-BA"/>
              </w:rPr>
            </w:pPr>
            <w:r w:rsidRPr="00D80825">
              <w:rPr>
                <w:rFonts w:asciiTheme="minorHAnsi" w:hAnsiTheme="minorHAnsi" w:cstheme="minorHAnsi"/>
                <w:i/>
                <w:sz w:val="19"/>
                <w:szCs w:val="19"/>
                <w:lang w:val="bs-Latn-BA"/>
              </w:rPr>
              <w:t>Ulaganje u ljudski kapital za budućnost (poveznica sa SF</w:t>
            </w:r>
            <w:r w:rsidRPr="00D80825">
              <w:rPr>
                <w:rFonts w:asciiTheme="minorHAnsi" w:hAnsiTheme="minorHAnsi" w:cstheme="minorHAnsi"/>
                <w:sz w:val="19"/>
                <w:szCs w:val="19"/>
                <w:lang w:val="bs-Latn-BA"/>
              </w:rPr>
              <w:t xml:space="preserve"> – </w:t>
            </w:r>
            <w:r w:rsidRPr="00D80825">
              <w:rPr>
                <w:rFonts w:asciiTheme="minorHAnsi" w:hAnsiTheme="minorHAnsi" w:cstheme="minorHAnsi"/>
                <w:i/>
                <w:sz w:val="19"/>
                <w:szCs w:val="19"/>
                <w:lang w:val="bs-Latn-BA"/>
              </w:rPr>
              <w:t>2,4,5,6,8,10)</w:t>
            </w:r>
          </w:p>
          <w:p w14:paraId="3244E448" w14:textId="77777777" w:rsidR="00CF7A3C" w:rsidRPr="00D80825" w:rsidRDefault="00CF7A3C" w:rsidP="000B085B">
            <w:pPr>
              <w:widowControl w:val="0"/>
              <w:numPr>
                <w:ilvl w:val="0"/>
                <w:numId w:val="31"/>
              </w:numPr>
              <w:pBdr>
                <w:top w:val="nil"/>
                <w:left w:val="nil"/>
                <w:bottom w:val="nil"/>
                <w:right w:val="nil"/>
                <w:between w:val="nil"/>
              </w:pBdr>
              <w:tabs>
                <w:tab w:val="left" w:pos="439"/>
              </w:tabs>
              <w:spacing w:after="60"/>
              <w:ind w:left="694" w:right="576" w:hanging="567"/>
              <w:rPr>
                <w:rFonts w:asciiTheme="minorHAnsi" w:hAnsiTheme="minorHAnsi" w:cstheme="minorHAnsi"/>
                <w:i/>
                <w:sz w:val="19"/>
                <w:szCs w:val="19"/>
                <w:lang w:val="bs-Latn-BA"/>
              </w:rPr>
            </w:pPr>
            <w:r w:rsidRPr="00D80825">
              <w:rPr>
                <w:rFonts w:asciiTheme="minorHAnsi" w:hAnsiTheme="minorHAnsi" w:cstheme="minorHAnsi"/>
                <w:i/>
                <w:sz w:val="19"/>
                <w:szCs w:val="19"/>
                <w:lang w:val="bs-Latn-BA"/>
              </w:rPr>
              <w:t>Niko ne smije biti isključen (poveznica sa SF –5,6,8,9,10)</w:t>
            </w:r>
          </w:p>
          <w:p w14:paraId="17F67394" w14:textId="77777777" w:rsidR="00CF7A3C" w:rsidRPr="00D80825" w:rsidRDefault="00CF7A3C" w:rsidP="000B085B">
            <w:pPr>
              <w:widowControl w:val="0"/>
              <w:pBdr>
                <w:top w:val="nil"/>
                <w:left w:val="nil"/>
                <w:bottom w:val="nil"/>
                <w:right w:val="nil"/>
                <w:between w:val="nil"/>
              </w:pBdr>
              <w:tabs>
                <w:tab w:val="left" w:pos="439"/>
              </w:tabs>
              <w:spacing w:after="60"/>
              <w:ind w:left="241" w:right="576"/>
              <w:rPr>
                <w:rFonts w:asciiTheme="minorHAnsi" w:hAnsiTheme="minorHAnsi" w:cstheme="minorHAnsi"/>
                <w:sz w:val="19"/>
                <w:szCs w:val="19"/>
                <w:lang w:val="bs-Latn-BA"/>
              </w:rPr>
            </w:pPr>
          </w:p>
        </w:tc>
      </w:tr>
    </w:tbl>
    <w:p w14:paraId="34F69F8A" w14:textId="77777777" w:rsidR="00CF7A3C" w:rsidRPr="008924E0" w:rsidRDefault="00CF7A3C" w:rsidP="00CF7A3C">
      <w:pPr>
        <w:pStyle w:val="Heading1"/>
        <w:ind w:left="480" w:hanging="480"/>
        <w:rPr>
          <w:lang w:val="bs-Latn-BA"/>
        </w:rPr>
        <w:sectPr w:rsidR="00CF7A3C" w:rsidRPr="008924E0">
          <w:pgSz w:w="16840" w:h="11907" w:orient="landscape"/>
          <w:pgMar w:top="1440" w:right="1282" w:bottom="1440" w:left="1440" w:header="288" w:footer="288" w:gutter="0"/>
          <w:cols w:space="720"/>
          <w:titlePg/>
        </w:sectPr>
      </w:pPr>
    </w:p>
    <w:p w14:paraId="74534F9D" w14:textId="77777777" w:rsidR="00CF7A3C" w:rsidRPr="008924E0" w:rsidRDefault="00CF7A3C" w:rsidP="00581C1C">
      <w:pPr>
        <w:pStyle w:val="Heading1"/>
        <w:numPr>
          <w:ilvl w:val="0"/>
          <w:numId w:val="54"/>
        </w:numPr>
        <w:rPr>
          <w:lang w:val="bs-Latn-BA"/>
        </w:rPr>
      </w:pPr>
      <w:bookmarkStart w:id="233" w:name="_Toc134011826"/>
      <w:r w:rsidRPr="008924E0">
        <w:rPr>
          <w:lang w:val="bs-Latn-BA"/>
        </w:rPr>
        <w:lastRenderedPageBreak/>
        <w:t>Vizija</w:t>
      </w:r>
      <w:bookmarkEnd w:id="233"/>
      <w:r w:rsidRPr="008924E0">
        <w:rPr>
          <w:lang w:val="bs-Latn-BA"/>
        </w:rPr>
        <w:t xml:space="preserve"> </w:t>
      </w:r>
    </w:p>
    <w:p w14:paraId="3B223C1C" w14:textId="77777777" w:rsidR="00CF7A3C" w:rsidRPr="008924E0" w:rsidRDefault="00CF7A3C" w:rsidP="00CF7A3C">
      <w:pPr>
        <w:rPr>
          <w:lang w:val="bs-Latn-BA"/>
        </w:rPr>
      </w:pPr>
      <w:r w:rsidRPr="008924E0">
        <w:rPr>
          <w:lang w:val="bs-Latn-BA"/>
        </w:rPr>
        <w:t xml:space="preserve">Vizija je definirana za period do 2050. Godine i predstavlja zajedničku fokusiranu predodžbu željene promjene u dugoročnoj perspektivi kojoj će Strategija obnove zgradarstva u FBiH  doprinijeti. </w:t>
      </w:r>
    </w:p>
    <w:p w14:paraId="2B68E49A" w14:textId="77777777" w:rsidR="00CF7A3C" w:rsidRPr="008924E0" w:rsidRDefault="00CF7A3C" w:rsidP="00CF7A3C">
      <w:pPr>
        <w:rPr>
          <w:lang w:val="bs-Latn-BA"/>
        </w:rPr>
      </w:pPr>
      <w:r w:rsidRPr="008924E0">
        <w:rPr>
          <w:lang w:val="bs-Latn-BA"/>
        </w:rPr>
        <w:t>Vizija se zasniva na zaključcima situacione analize i služi kao osnov za utvrđivanje strateških ciljeva.</w:t>
      </w:r>
    </w:p>
    <w:p w14:paraId="7216A708" w14:textId="77777777" w:rsidR="00CF7A3C" w:rsidRPr="008924E0" w:rsidRDefault="00CF7A3C" w:rsidP="00CF7A3C">
      <w:pPr>
        <w:rPr>
          <w:b/>
          <w:i/>
          <w:lang w:val="bs-Latn-BA"/>
        </w:rPr>
      </w:pPr>
      <w:r w:rsidRPr="008924E0">
        <w:rPr>
          <w:b/>
          <w:i/>
          <w:lang w:val="bs-Latn-BA"/>
        </w:rPr>
        <w:t>Sektor zgradarstva u Federaciji BiH je energijski visokoefikasan, dekarboniziran i održiv, sa primarnom funkcijom zaštite zdravlja i poboljšanja kvalitete života svih građana, i njihovog ekonomskog prosperiteta.</w:t>
      </w:r>
    </w:p>
    <w:p w14:paraId="6A12DBDC" w14:textId="77777777" w:rsidR="00CF7A3C" w:rsidRPr="008924E0" w:rsidRDefault="00CF7A3C" w:rsidP="00CF7A3C">
      <w:pPr>
        <w:rPr>
          <w:rFonts w:ascii="Arial" w:eastAsia="Arial" w:hAnsi="Arial" w:cs="Arial"/>
          <w:b/>
          <w:smallCaps/>
          <w:color w:val="005837"/>
          <w:sz w:val="28"/>
          <w:szCs w:val="28"/>
          <w:lang w:val="bs-Latn-BA"/>
        </w:rPr>
      </w:pPr>
      <w:r w:rsidRPr="008924E0">
        <w:rPr>
          <w:lang w:val="bs-Latn-BA"/>
        </w:rPr>
        <w:br w:type="page"/>
      </w:r>
    </w:p>
    <w:p w14:paraId="70896DCC" w14:textId="2D69AFF6" w:rsidR="00CF7A3C" w:rsidRPr="008924E0" w:rsidRDefault="00CF7A3C" w:rsidP="00581C1C">
      <w:pPr>
        <w:pStyle w:val="Heading1"/>
        <w:numPr>
          <w:ilvl w:val="0"/>
          <w:numId w:val="54"/>
        </w:numPr>
        <w:rPr>
          <w:lang w:val="bs-Latn-BA"/>
        </w:rPr>
      </w:pPr>
      <w:bookmarkStart w:id="234" w:name="_Toc134011827"/>
      <w:r w:rsidRPr="008924E0">
        <w:rPr>
          <w:lang w:val="bs-Latn-BA"/>
        </w:rPr>
        <w:lastRenderedPageBreak/>
        <w:t>Strateški cilje sa indikatorima</w:t>
      </w:r>
      <w:bookmarkEnd w:id="234"/>
      <w:r w:rsidRPr="008924E0">
        <w:rPr>
          <w:lang w:val="bs-Latn-BA"/>
        </w:rPr>
        <w:t xml:space="preserve"> </w:t>
      </w:r>
    </w:p>
    <w:p w14:paraId="63461402" w14:textId="77777777" w:rsidR="00CF7A3C" w:rsidRPr="008924E0" w:rsidRDefault="00CF7A3C" w:rsidP="00CF7A3C">
      <w:pPr>
        <w:rPr>
          <w:lang w:val="bs-Latn-BA"/>
        </w:rPr>
      </w:pPr>
      <w:r w:rsidRPr="008924E0">
        <w:rPr>
          <w:lang w:val="bs-Latn-BA"/>
        </w:rPr>
        <w:t>Strateški cilj predstavlja izraz onoga što se želi postići u periodu važenja strateškog dokumenta, odnosno, oblasti unutar kojih je potrebno djelovati.</w:t>
      </w:r>
    </w:p>
    <w:p w14:paraId="127A75F5" w14:textId="6AC0724A" w:rsidR="00CF7A3C" w:rsidRPr="008924E0" w:rsidRDefault="00CF7A3C" w:rsidP="00CF7A3C">
      <w:pPr>
        <w:rPr>
          <w:lang w:val="bs-Latn-BA"/>
        </w:rPr>
      </w:pPr>
      <w:r w:rsidRPr="008924E0">
        <w:rPr>
          <w:lang w:val="bs-Latn-BA"/>
        </w:rPr>
        <w:t xml:space="preserve">Stoga je za potrebe izrade Strategije definiran strateški cilj (tabela </w:t>
      </w:r>
      <w:r w:rsidR="002D62B3">
        <w:rPr>
          <w:lang w:val="bs-Latn-BA"/>
        </w:rPr>
        <w:t>11</w:t>
      </w:r>
      <w:r w:rsidRPr="008924E0">
        <w:rPr>
          <w:lang w:val="bs-Latn-BA"/>
        </w:rPr>
        <w:t>.1.</w:t>
      </w:r>
      <w:r w:rsidR="002D62B3">
        <w:rPr>
          <w:lang w:val="bs-Latn-BA"/>
        </w:rPr>
        <w:t>9</w:t>
      </w:r>
      <w:r w:rsidRPr="008924E0">
        <w:rPr>
          <w:lang w:val="bs-Latn-BA"/>
        </w:rPr>
        <w:t>) za postizanje energijski visokoefikasanog, dekarboniziranog i održivog sektora zgradarstva u FBiH, s ciljem zaštite zdravlja i poboljšanja kvalitete života svih građana, te njihovog ekonomskog prosperiteta.</w:t>
      </w:r>
    </w:p>
    <w:p w14:paraId="7583B123" w14:textId="0FE03542" w:rsidR="002D62B3" w:rsidRPr="002D62B3" w:rsidRDefault="002D62B3" w:rsidP="002D62B3">
      <w:pPr>
        <w:pStyle w:val="Caption"/>
        <w:keepNext/>
      </w:pPr>
      <w:bookmarkStart w:id="235" w:name="_Toc133499638"/>
      <w:r>
        <w:t>Tabela 11.1.</w:t>
      </w:r>
      <w:r w:rsidR="00000000">
        <w:fldChar w:fldCharType="begin"/>
      </w:r>
      <w:r w:rsidR="00000000">
        <w:instrText xml:space="preserve"> SEQ Tabela_11.1. \* ARABIC </w:instrText>
      </w:r>
      <w:r w:rsidR="00000000">
        <w:fldChar w:fldCharType="separate"/>
      </w:r>
      <w:r>
        <w:rPr>
          <w:noProof/>
        </w:rPr>
        <w:t>19</w:t>
      </w:r>
      <w:r w:rsidR="00000000">
        <w:rPr>
          <w:noProof/>
        </w:rPr>
        <w:fldChar w:fldCharType="end"/>
      </w:r>
      <w:r>
        <w:t xml:space="preserve"> </w:t>
      </w:r>
      <w:r w:rsidRPr="008924E0">
        <w:rPr>
          <w:color w:val="000000"/>
        </w:rPr>
        <w:t>Strateški cilj za postizanje energijski visokoefikasanog, dekarboniziranog i održivog sektora zgradarstva u FBiH, s ciljem zaštite zdravlja i poboljšanja kvalitete života svih građana, te njihovog ekonomskog prosperiteta</w:t>
      </w:r>
      <w:bookmarkEnd w:id="235"/>
    </w:p>
    <w:tbl>
      <w:tblPr>
        <w:tblStyle w:val="9"/>
        <w:tblW w:w="9116"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9116"/>
      </w:tblGrid>
      <w:tr w:rsidR="00CF7A3C" w:rsidRPr="008924E0" w14:paraId="6CA53753" w14:textId="77777777" w:rsidTr="002D62B3">
        <w:trPr>
          <w:cnfStyle w:val="100000000000" w:firstRow="1" w:lastRow="0" w:firstColumn="0" w:lastColumn="0" w:oddVBand="0" w:evenVBand="0" w:oddHBand="0" w:evenHBand="0" w:firstRowFirstColumn="0" w:firstRowLastColumn="0" w:lastRowFirstColumn="0" w:lastRowLastColumn="0"/>
          <w:trHeight w:val="326"/>
          <w:jc w:val="center"/>
        </w:trPr>
        <w:tc>
          <w:tcPr>
            <w:cnfStyle w:val="001000000000" w:firstRow="0" w:lastRow="0" w:firstColumn="1" w:lastColumn="0" w:oddVBand="0" w:evenVBand="0" w:oddHBand="0" w:evenHBand="0" w:firstRowFirstColumn="0" w:firstRowLastColumn="0" w:lastRowFirstColumn="0" w:lastRowLastColumn="0"/>
            <w:tcW w:w="9116" w:type="dxa"/>
            <w:vAlign w:val="center"/>
          </w:tcPr>
          <w:p w14:paraId="099D251B" w14:textId="77777777" w:rsidR="00CF7A3C" w:rsidRPr="008924E0" w:rsidRDefault="00CF7A3C" w:rsidP="000B085B">
            <w:pPr>
              <w:jc w:val="center"/>
              <w:rPr>
                <w:lang w:val="bs-Latn-BA"/>
              </w:rPr>
            </w:pPr>
            <w:r w:rsidRPr="008924E0">
              <w:rPr>
                <w:sz w:val="22"/>
                <w:szCs w:val="22"/>
                <w:lang w:val="bs-Latn-BA"/>
              </w:rPr>
              <w:t>STRATEŠKI CILJ</w:t>
            </w:r>
          </w:p>
        </w:tc>
      </w:tr>
      <w:tr w:rsidR="00CF7A3C" w:rsidRPr="001972F5" w14:paraId="7150A815" w14:textId="77777777" w:rsidTr="002D62B3">
        <w:trPr>
          <w:cnfStyle w:val="000000100000" w:firstRow="0" w:lastRow="0" w:firstColumn="0" w:lastColumn="0" w:oddVBand="0" w:evenVBand="0" w:oddHBand="1" w:evenHBand="0" w:firstRowFirstColumn="0" w:firstRowLastColumn="0" w:lastRowFirstColumn="0" w:lastRowLastColumn="0"/>
          <w:trHeight w:val="652"/>
          <w:jc w:val="center"/>
        </w:trPr>
        <w:tc>
          <w:tcPr>
            <w:cnfStyle w:val="001000000000" w:firstRow="0" w:lastRow="0" w:firstColumn="1" w:lastColumn="0" w:oddVBand="0" w:evenVBand="0" w:oddHBand="0" w:evenHBand="0" w:firstRowFirstColumn="0" w:firstRowLastColumn="0" w:lastRowFirstColumn="0" w:lastRowLastColumn="0"/>
            <w:tcW w:w="9116" w:type="dxa"/>
            <w:vAlign w:val="center"/>
          </w:tcPr>
          <w:p w14:paraId="1948660A" w14:textId="77777777" w:rsidR="00CF7A3C" w:rsidRPr="008924E0" w:rsidRDefault="00CF7A3C" w:rsidP="000B085B">
            <w:pPr>
              <w:jc w:val="center"/>
              <w:rPr>
                <w:rFonts w:ascii="Arial" w:hAnsi="Arial" w:cs="Arial"/>
                <w:b w:val="0"/>
                <w:bCs/>
                <w:i/>
                <w:iCs/>
                <w:lang w:val="bs-Latn-BA"/>
              </w:rPr>
            </w:pPr>
            <w:r w:rsidRPr="008924E0">
              <w:rPr>
                <w:rFonts w:ascii="Arial" w:hAnsi="Arial" w:cs="Arial"/>
                <w:bCs/>
                <w:i/>
                <w:iCs/>
                <w:lang w:val="bs-Latn-BA"/>
              </w:rPr>
              <w:t xml:space="preserve">Postojeći fond zgrada u Federaciji Bosne i Hercegovine </w:t>
            </w:r>
          </w:p>
          <w:p w14:paraId="097F3CEB" w14:textId="77777777" w:rsidR="00CF7A3C" w:rsidRPr="008924E0" w:rsidRDefault="00CF7A3C" w:rsidP="000B085B">
            <w:pPr>
              <w:jc w:val="center"/>
              <w:rPr>
                <w:rFonts w:ascii="Arial" w:hAnsi="Arial" w:cs="Arial"/>
                <w:b w:val="0"/>
                <w:bCs/>
                <w:i/>
                <w:iCs/>
                <w:lang w:val="bs-Latn-BA"/>
              </w:rPr>
            </w:pPr>
            <w:r w:rsidRPr="008924E0">
              <w:rPr>
                <w:rFonts w:ascii="Arial" w:hAnsi="Arial" w:cs="Arial"/>
                <w:bCs/>
                <w:i/>
                <w:iCs/>
                <w:lang w:val="bs-Latn-BA"/>
              </w:rPr>
              <w:t>je transformiran u energijski visokoefikasan i dekarboniziran fond zgrada do 2050. godine</w:t>
            </w:r>
          </w:p>
        </w:tc>
      </w:tr>
    </w:tbl>
    <w:p w14:paraId="3E4D2DFB" w14:textId="77777777" w:rsidR="00CF7A3C" w:rsidRPr="008924E0" w:rsidRDefault="00CF7A3C" w:rsidP="00CF7A3C">
      <w:pPr>
        <w:rPr>
          <w:lang w:val="bs-Latn-BA"/>
        </w:rPr>
      </w:pPr>
    </w:p>
    <w:p w14:paraId="31E9D5DE" w14:textId="5253E0E6" w:rsidR="00CF7A3C" w:rsidRPr="008924E0" w:rsidRDefault="00CF7A3C" w:rsidP="00CF7A3C">
      <w:pPr>
        <w:rPr>
          <w:lang w:val="bs-Latn-BA"/>
        </w:rPr>
      </w:pPr>
      <w:r w:rsidRPr="008924E0">
        <w:rPr>
          <w:lang w:val="bs-Latn-BA"/>
        </w:rPr>
        <w:t xml:space="preserve">Zgradarstvo i građevinski sektor značajno doprinose emisiji ugljika i klimatskim promjenama pa se tu nalazi i veliki potencijal za dekarbonizaciju. Na globalnom nivou, zgradarstvo je odgovorno za oko 50% svih </w:t>
      </w:r>
      <w:r w:rsidR="00A3514D">
        <w:rPr>
          <w:lang w:val="bs-Latn-BA"/>
        </w:rPr>
        <w:t>eksploatiranih</w:t>
      </w:r>
      <w:r w:rsidR="00A3514D" w:rsidRPr="008924E0">
        <w:rPr>
          <w:lang w:val="bs-Latn-BA"/>
        </w:rPr>
        <w:t xml:space="preserve"> </w:t>
      </w:r>
      <w:r w:rsidRPr="008924E0">
        <w:rPr>
          <w:lang w:val="bs-Latn-BA"/>
        </w:rPr>
        <w:t>sirovina, 33% potrošnje vode i 35% nastalog otpada. Ostali utjecaji koje građevine imaju na okoliš uključuju: iscrpljivanje resursa, onečišćenje zraka, vode i zemljišta te gubitak biološke diverzifikacije. Samo operativno korištenje zgrada, u Europi sudjeluje s oko 40% ukupne potrošnje energije i 36% emisija CO</w:t>
      </w:r>
      <w:r w:rsidRPr="008924E0">
        <w:rPr>
          <w:vertAlign w:val="subscript"/>
          <w:lang w:val="bs-Latn-BA"/>
        </w:rPr>
        <w:t>2</w:t>
      </w:r>
      <w:r w:rsidRPr="008924E0">
        <w:rPr>
          <w:lang w:val="bs-Latn-BA"/>
        </w:rPr>
        <w:t>.</w:t>
      </w:r>
    </w:p>
    <w:p w14:paraId="72BE7DC3" w14:textId="77777777" w:rsidR="00CF7A3C" w:rsidRPr="008924E0" w:rsidRDefault="00CF7A3C" w:rsidP="00CF7A3C">
      <w:pPr>
        <w:rPr>
          <w:lang w:val="bs-Latn-BA"/>
        </w:rPr>
      </w:pPr>
      <w:r w:rsidRPr="008924E0">
        <w:rPr>
          <w:lang w:val="bs-Latn-BA"/>
        </w:rPr>
        <w:t>Svjetski savez za zgrade i građevinski sektor izdao je GlobalABC Roadmap for Buildings and Construction 2020 - 2050</w:t>
      </w:r>
      <w:r w:rsidRPr="008924E0">
        <w:rPr>
          <w:rStyle w:val="FootnoteReference"/>
          <w:lang w:val="bs-Latn-BA"/>
        </w:rPr>
        <w:footnoteReference w:id="117"/>
      </w:r>
      <w:r w:rsidRPr="008924E0">
        <w:rPr>
          <w:lang w:val="bs-Latn-BA"/>
        </w:rPr>
        <w:t xml:space="preserve"> koji pokazuje da isplativa energijska efikasnost i mjere za dekarbonizaciju u zgradama predstavljaju trećinu ukupnih smanjenja koja su potrebna za ispunjavanje ciljeva iz Pariškog Sporazuma.</w:t>
      </w:r>
    </w:p>
    <w:p w14:paraId="10EB930F" w14:textId="77777777" w:rsidR="00CF7A3C" w:rsidRPr="008924E0" w:rsidRDefault="00CF7A3C" w:rsidP="00CF7A3C">
      <w:pPr>
        <w:rPr>
          <w:lang w:val="bs-Latn-BA"/>
        </w:rPr>
      </w:pPr>
      <w:r w:rsidRPr="008924E0">
        <w:rPr>
          <w:lang w:val="bs-Latn-BA"/>
        </w:rPr>
        <w:t xml:space="preserve">Europski zeleni plan i Europski zakon o klimi definiraju sve što je bitno za postizanje cilja klimatske neutralnosti, stoga je EU donijela niz prijedloga izmjena specifičnih direktiva te inicijativa, kako bi različiti privredni sektori dobili što konkretnije instrukcije šta trebaju poduzeti kako bi postigli te ciljeve, </w:t>
      </w:r>
    </w:p>
    <w:p w14:paraId="38756B9C" w14:textId="338A0A79" w:rsidR="00CF7A3C" w:rsidRPr="008924E0" w:rsidRDefault="00CF7A3C" w:rsidP="00CF7A3C">
      <w:pPr>
        <w:rPr>
          <w:lang w:val="bs-Latn-BA"/>
        </w:rPr>
      </w:pPr>
      <w:r w:rsidRPr="008924E0">
        <w:rPr>
          <w:lang w:val="bs-Latn-BA"/>
        </w:rPr>
        <w:t>Sve navedeno, navodi na zaključak da s obzirom na udio zgrada u energijskoj potrebi i ukupnim emisijama CO</w:t>
      </w:r>
      <w:r w:rsidRPr="00DA1A46">
        <w:rPr>
          <w:vertAlign w:val="subscript"/>
          <w:lang w:val="bs-Latn-BA"/>
        </w:rPr>
        <w:t>2</w:t>
      </w:r>
      <w:r w:rsidRPr="008924E0">
        <w:rPr>
          <w:lang w:val="bs-Latn-BA"/>
        </w:rPr>
        <w:t>, građevinski sektor čini najlogičnijim kandidatom za prioritet u intervencijama</w:t>
      </w:r>
      <w:r w:rsidR="00A3514D">
        <w:rPr>
          <w:lang w:val="bs-Latn-BA"/>
        </w:rPr>
        <w:t xml:space="preserve"> </w:t>
      </w:r>
      <w:r w:rsidRPr="008924E0">
        <w:rPr>
          <w:lang w:val="bs-Latn-BA"/>
        </w:rPr>
        <w:t xml:space="preserve"> smanjenj</w:t>
      </w:r>
      <w:r w:rsidR="00A3514D">
        <w:rPr>
          <w:lang w:val="bs-Latn-BA"/>
        </w:rPr>
        <w:t>a</w:t>
      </w:r>
      <w:r w:rsidRPr="008924E0">
        <w:rPr>
          <w:lang w:val="bs-Latn-BA"/>
        </w:rPr>
        <w:t xml:space="preserve"> potreba za energijom i reduciranjem emisija CO</w:t>
      </w:r>
      <w:r w:rsidRPr="00DA1A46">
        <w:rPr>
          <w:vertAlign w:val="subscript"/>
          <w:lang w:val="bs-Latn-BA"/>
        </w:rPr>
        <w:t>2</w:t>
      </w:r>
      <w:r w:rsidRPr="008924E0">
        <w:rPr>
          <w:lang w:val="bs-Latn-BA"/>
        </w:rPr>
        <w:t xml:space="preserve">. </w:t>
      </w:r>
    </w:p>
    <w:p w14:paraId="0BAE0C41" w14:textId="1A4D0D06" w:rsidR="00CF7A3C" w:rsidRPr="008924E0" w:rsidRDefault="00CF7A3C" w:rsidP="00CF7A3C">
      <w:pPr>
        <w:rPr>
          <w:lang w:val="bs-Latn-BA"/>
        </w:rPr>
      </w:pPr>
      <w:r w:rsidRPr="008924E0">
        <w:rPr>
          <w:lang w:val="bs-Latn-BA"/>
        </w:rPr>
        <w:t xml:space="preserve">U kontekstu </w:t>
      </w:r>
      <w:r w:rsidR="0091757B">
        <w:rPr>
          <w:lang w:val="bs-Latn-BA"/>
        </w:rPr>
        <w:t>energij</w:t>
      </w:r>
      <w:r w:rsidRPr="008924E0">
        <w:rPr>
          <w:lang w:val="bs-Latn-BA"/>
        </w:rPr>
        <w:t xml:space="preserve">ske tranzicije, jedan od izazova je </w:t>
      </w:r>
      <w:r w:rsidR="0091757B">
        <w:rPr>
          <w:lang w:val="bs-Latn-BA"/>
        </w:rPr>
        <w:t>energij</w:t>
      </w:r>
      <w:r w:rsidRPr="008924E0">
        <w:rPr>
          <w:lang w:val="bs-Latn-BA"/>
        </w:rPr>
        <w:t xml:space="preserve">ska obnova zgrada koja će zahtijevati velika </w:t>
      </w:r>
      <w:r w:rsidR="007B690C">
        <w:rPr>
          <w:lang w:val="bs-Latn-BA"/>
        </w:rPr>
        <w:t>financ</w:t>
      </w:r>
      <w:r w:rsidRPr="008924E0">
        <w:rPr>
          <w:lang w:val="bs-Latn-BA"/>
        </w:rPr>
        <w:t xml:space="preserve">ijska sredstva i angažiranje velikog građevinskog potencijala. Strategija Razvoja FBiH 2021-2027, kroz strateški cilji 3. Resursno efikasan i održiv razvoj, preko prioriteta 3.3 Povećati energijsku efikasnost, ukazuje na značaj poboljšanja energijskih karakteristika zgrada, posebno onih koje koriste organizacije javnog sektora, kao i na tehničku i </w:t>
      </w:r>
      <w:r w:rsidR="007B690C">
        <w:rPr>
          <w:lang w:val="bs-Latn-BA"/>
        </w:rPr>
        <w:t>financ</w:t>
      </w:r>
      <w:r w:rsidRPr="008924E0">
        <w:rPr>
          <w:lang w:val="bs-Latn-BA"/>
        </w:rPr>
        <w:t xml:space="preserve">ijsku podršku malim i srednjim preduzećima (MSP) i javnim komunalnim preduzećima, provođenja energijskih audita i uvođenje sistema upravljanja energijom, uključujući i implementaciju ISO 50001 standarda, usvajanje modela kontinuiranog osiguranja sredstava za realizaciju planova EE uspostavom održivog namjenskog fonda, korištenjem mehanizma obligacionih šema i sredstava iz budžeta, podržavanje uspostavljanja šema </w:t>
      </w:r>
      <w:r w:rsidR="007B690C">
        <w:rPr>
          <w:lang w:val="bs-Latn-BA"/>
        </w:rPr>
        <w:t>financ</w:t>
      </w:r>
      <w:r w:rsidRPr="008924E0">
        <w:rPr>
          <w:lang w:val="bs-Latn-BA"/>
        </w:rPr>
        <w:t xml:space="preserve">iranja EE iz privatnih sredstava, između ostalog putem energijskih zadruga, javno-privatnog </w:t>
      </w:r>
      <w:r w:rsidRPr="008924E0">
        <w:rPr>
          <w:lang w:val="bs-Latn-BA"/>
        </w:rPr>
        <w:lastRenderedPageBreak/>
        <w:t xml:space="preserve">partnerstva i kompanija za pružanje energijskih usluga (prema ESCO modelu) i </w:t>
      </w:r>
      <w:r w:rsidR="007B690C">
        <w:rPr>
          <w:lang w:val="bs-Latn-BA"/>
        </w:rPr>
        <w:t>financ</w:t>
      </w:r>
      <w:r w:rsidRPr="008924E0">
        <w:rPr>
          <w:lang w:val="bs-Latn-BA"/>
        </w:rPr>
        <w:t>iranje projekata EE formiranjem namjenske kreditne linije Razvojne banke FBiH za projekte u MSP-ima i lokalnim zajednicama.</w:t>
      </w:r>
    </w:p>
    <w:p w14:paraId="2F18BF27" w14:textId="77777777" w:rsidR="00CF7A3C" w:rsidRPr="008924E0" w:rsidRDefault="00CF7A3C" w:rsidP="00CF7A3C">
      <w:pPr>
        <w:rPr>
          <w:lang w:val="bs-Latn-BA"/>
        </w:rPr>
      </w:pPr>
      <w:r w:rsidRPr="008924E0">
        <w:rPr>
          <w:lang w:val="bs-Latn-BA"/>
        </w:rPr>
        <w:t>Strategija zaštite okoliša FBiH 2022-2032 kroz prioritet 4.5. Povećanje energijske efikasnosti u krajnjoj potrošnji u svim sektorima, što će se postići kreiranjem povoljnog ambijenta unaprjeđenjem zakonodavnog okvira, smanjenjem potrošnje energije u stambenim i nestambenim zgradama, povećanjem energijske efikasnosti u industriji i smanjenjem potrošnje primarne energije, također ukazuje na značaj energijske obnove sa aspekta zaštitu okoliša.</w:t>
      </w:r>
    </w:p>
    <w:p w14:paraId="636A1515" w14:textId="51C09CE5" w:rsidR="00CF7A3C" w:rsidRPr="008924E0" w:rsidRDefault="00CF7A3C" w:rsidP="00CF7A3C">
      <w:pPr>
        <w:rPr>
          <w:lang w:val="bs-Latn-BA"/>
        </w:rPr>
      </w:pPr>
      <w:r w:rsidRPr="008924E0">
        <w:rPr>
          <w:lang w:val="bs-Latn-BA"/>
        </w:rPr>
        <w:t>U tom smislu, zgradu je potrebno posmatrati kao skup proizvoda i materijala sa snažnim utjecajem na okoli</w:t>
      </w:r>
      <w:r w:rsidR="00A3514D">
        <w:rPr>
          <w:lang w:val="bs-Latn-BA"/>
        </w:rPr>
        <w:t>š</w:t>
      </w:r>
      <w:r w:rsidRPr="008924E0">
        <w:rPr>
          <w:lang w:val="bs-Latn-BA"/>
        </w:rPr>
        <w:t>, društvo i privredu. Kako bi se ovi utjecaji kvantificirali i kako bi se njima moglo upravljati, utjecaj zgrade kao cjeline i svaki materijal i proizvod u zgradi potrebno je posmatrati u cijeloživotnom ciklusu. Upravo zato što ovaj kompleksan proces ne može samostalno provesti niti jedan od društvenih ili privrednih sektora, potrebno je da javni i privatni sektor kao i svi sudionici građevinske operative (urbanisti, projektanti i izvođači) i do korisnici zgrade, napreduju sinhronizirano.</w:t>
      </w:r>
    </w:p>
    <w:p w14:paraId="77B79F44" w14:textId="4677175C" w:rsidR="00CF7A3C" w:rsidRPr="008924E0" w:rsidRDefault="00CF7A3C" w:rsidP="00CF7A3C">
      <w:pPr>
        <w:spacing w:line="240" w:lineRule="auto"/>
        <w:rPr>
          <w:lang w:val="bs-Latn-BA"/>
        </w:rPr>
      </w:pPr>
      <w:r w:rsidRPr="008924E0">
        <w:rPr>
          <w:lang w:val="bs-Latn-BA"/>
        </w:rPr>
        <w:t>Značajan procenat zgrada u stambenom sektoru FBiH je ocijenjen kao energijski neefikasan zbog prekomjerne potrošnje energije</w:t>
      </w:r>
      <w:r w:rsidR="00A3514D">
        <w:rPr>
          <w:lang w:val="bs-Latn-BA"/>
        </w:rPr>
        <w:t>.</w:t>
      </w:r>
      <w:r w:rsidRPr="008924E0">
        <w:rPr>
          <w:lang w:val="bs-Latn-BA"/>
        </w:rPr>
        <w:t xml:space="preserve"> </w:t>
      </w:r>
      <w:r w:rsidR="00A3514D">
        <w:rPr>
          <w:lang w:val="bs-Latn-BA"/>
        </w:rPr>
        <w:t>U</w:t>
      </w:r>
      <w:r w:rsidRPr="008924E0">
        <w:rPr>
          <w:lang w:val="bs-Latn-BA"/>
        </w:rPr>
        <w:t>vjeti termalnog komfora nisu ispunjeni u velikom broju zgrada te ovakav stambeni sektor predstavlja rizik po zdravlje i kvalitet života građana. Strateški cilj podrazumijeva značajno smanjenje apsolutne i specifične potrošnje finalne i primarne energije stambenog sektora. Realizacija cilja se može postići implementacijom mjera energijske efikasnosti, a koje će obuhvatiti arhitektonsko-građevinske mjere (postavljanje toplotne izolacije na elemente ovojnice zgrade i unaprijeđenje energijskih karakteristika vanjske stolarije), mjera poboljšanja efikasnosti termotehničkih sistema (korištenje visokoefikasnih sistema grijanja i hlađenja), implementaciju sistema baziranih na obnovljivim izvorima energije (instalacija toplotnih pumpi tlo/voda, instalacija solarnih panela za pripremu PTV, instalacija fotonaponskih panela za proizvodnju električne energije i slično) te korištenje visokoefikasnih uređaja unutar zgrade. Implementacija ovih mjera će osigurati smanjenje potrošnje energije, poboljšanje kvalitete života i značajne ekonomske benefite stanovnika FBiH.</w:t>
      </w:r>
    </w:p>
    <w:p w14:paraId="5A65EF55" w14:textId="77777777" w:rsidR="00CF7A3C" w:rsidRPr="008924E0" w:rsidRDefault="00CF7A3C" w:rsidP="00CF7A3C">
      <w:pPr>
        <w:spacing w:after="0" w:line="240" w:lineRule="auto"/>
        <w:rPr>
          <w:lang w:val="bs-Latn-BA"/>
        </w:rPr>
      </w:pPr>
      <w:r w:rsidRPr="008924E0">
        <w:rPr>
          <w:lang w:val="bs-Latn-BA"/>
        </w:rPr>
        <w:t xml:space="preserve">Sistemi grijanja u stambenim i javnim zgradama su bazirani na potrošnji fosilnih goriva. Imajući u vidu da je većina zgrada ocijenjena kao energijski neefikasna i da su dominantni sistemi grijanja dotrajali i niske ukupne efikasnosti, rezultat je velika koncentracija stakleničkih plinova u atmosferi koja potječe od ovih sistema. </w:t>
      </w:r>
    </w:p>
    <w:p w14:paraId="139B84FF" w14:textId="77777777" w:rsidR="00CF7A3C" w:rsidRPr="008924E0" w:rsidRDefault="00CF7A3C" w:rsidP="00CF7A3C">
      <w:pPr>
        <w:spacing w:after="0" w:line="240" w:lineRule="auto"/>
        <w:rPr>
          <w:lang w:val="bs-Latn-BA"/>
        </w:rPr>
      </w:pPr>
      <w:r w:rsidRPr="008924E0">
        <w:rPr>
          <w:lang w:val="bs-Latn-BA"/>
        </w:rPr>
        <w:t>Sveobuhvatnom energijskom obnovom stambenog sektora, izgradnjom zgrada gotovo nulte energije i povećanjem udjela obnovljivih izvora energije u sistemu snabdijevanja energijom zgrada, postići će se dekarbonizacija sektora zgradarstva i značajno reducirati emisije stakleničkih plinova. Osim tehničkim mjera,  za realizaciju ovog cilja su neophodna  institucionalna i pravna rješenja.</w:t>
      </w:r>
    </w:p>
    <w:p w14:paraId="5049DA71" w14:textId="77777777" w:rsidR="00CF7A3C" w:rsidRPr="008924E0" w:rsidRDefault="00CF7A3C" w:rsidP="00CF7A3C">
      <w:pPr>
        <w:rPr>
          <w:i/>
          <w:iCs/>
          <w:szCs w:val="18"/>
          <w:lang w:val="bs-Latn-BA"/>
        </w:rPr>
      </w:pPr>
      <w:r w:rsidRPr="008924E0">
        <w:rPr>
          <w:lang w:val="bs-Latn-BA"/>
        </w:rPr>
        <w:br w:type="page"/>
      </w:r>
    </w:p>
    <w:p w14:paraId="3D000E74" w14:textId="32E9D28E" w:rsidR="00F85003" w:rsidRDefault="00F85003" w:rsidP="00F85003">
      <w:pPr>
        <w:pStyle w:val="Caption"/>
        <w:keepNext/>
      </w:pPr>
      <w:bookmarkStart w:id="236" w:name="_Toc133499639"/>
      <w:r>
        <w:lastRenderedPageBreak/>
        <w:t>Tabela 11.1.</w:t>
      </w:r>
      <w:r w:rsidR="00000000">
        <w:fldChar w:fldCharType="begin"/>
      </w:r>
      <w:r w:rsidR="00000000">
        <w:instrText xml:space="preserve"> SEQ Tabela_11.1. \* ARABIC </w:instrText>
      </w:r>
      <w:r w:rsidR="00000000">
        <w:fldChar w:fldCharType="separate"/>
      </w:r>
      <w:r w:rsidR="002D62B3">
        <w:rPr>
          <w:noProof/>
        </w:rPr>
        <w:t>20</w:t>
      </w:r>
      <w:r w:rsidR="00000000">
        <w:rPr>
          <w:noProof/>
        </w:rPr>
        <w:fldChar w:fldCharType="end"/>
      </w:r>
      <w:r>
        <w:t xml:space="preserve"> </w:t>
      </w:r>
      <w:r w:rsidRPr="008924E0">
        <w:rPr>
          <w:color w:val="000000"/>
        </w:rPr>
        <w:t>Strateški cilj i indikatori uticaja</w:t>
      </w:r>
      <w:bookmarkEnd w:id="236"/>
    </w:p>
    <w:tbl>
      <w:tblPr>
        <w:tblStyle w:val="8"/>
        <w:tblW w:w="90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2875"/>
        <w:gridCol w:w="2160"/>
        <w:gridCol w:w="1980"/>
        <w:gridCol w:w="2070"/>
      </w:tblGrid>
      <w:tr w:rsidR="00CF7A3C" w:rsidRPr="00D9090D" w14:paraId="726F4C51" w14:textId="77777777" w:rsidTr="00D9090D">
        <w:trPr>
          <w:trHeight w:val="840"/>
          <w:jc w:val="center"/>
        </w:trPr>
        <w:tc>
          <w:tcPr>
            <w:tcW w:w="2875" w:type="dxa"/>
            <w:shd w:val="clear" w:color="auto" w:fill="005837"/>
          </w:tcPr>
          <w:p w14:paraId="15F81601" w14:textId="77777777" w:rsidR="00CF7A3C" w:rsidRPr="00D9090D" w:rsidRDefault="00CF7A3C" w:rsidP="000B085B">
            <w:pPr>
              <w:widowControl w:val="0"/>
              <w:pBdr>
                <w:top w:val="nil"/>
                <w:left w:val="nil"/>
                <w:bottom w:val="nil"/>
                <w:right w:val="nil"/>
                <w:between w:val="nil"/>
              </w:pBdr>
              <w:spacing w:before="1"/>
              <w:rPr>
                <w:rFonts w:asciiTheme="minorHAnsi" w:eastAsia="Trebuchet MS" w:hAnsiTheme="minorHAnsi" w:cstheme="minorHAnsi"/>
                <w:b/>
                <w:bCs/>
                <w:sz w:val="22"/>
                <w:szCs w:val="22"/>
                <w:lang w:val="bs-Latn-BA"/>
              </w:rPr>
            </w:pPr>
          </w:p>
          <w:p w14:paraId="6970E03B" w14:textId="77777777" w:rsidR="00CF7A3C" w:rsidRPr="00D9090D" w:rsidRDefault="00CF7A3C" w:rsidP="000B085B">
            <w:pPr>
              <w:widowControl w:val="0"/>
              <w:pBdr>
                <w:top w:val="nil"/>
                <w:left w:val="nil"/>
                <w:bottom w:val="nil"/>
                <w:right w:val="nil"/>
                <w:between w:val="nil"/>
              </w:pBdr>
              <w:ind w:left="56"/>
              <w:rPr>
                <w:rFonts w:asciiTheme="minorHAnsi" w:eastAsia="Helvetica Neue" w:hAnsiTheme="minorHAnsi" w:cstheme="minorHAnsi"/>
                <w:b/>
                <w:bCs/>
                <w:sz w:val="22"/>
                <w:szCs w:val="22"/>
                <w:lang w:val="bs-Latn-BA"/>
              </w:rPr>
            </w:pPr>
            <w:r w:rsidRPr="00D9090D">
              <w:rPr>
                <w:rFonts w:asciiTheme="minorHAnsi" w:eastAsia="Helvetica Neue" w:hAnsiTheme="minorHAnsi" w:cstheme="minorHAnsi"/>
                <w:b/>
                <w:bCs/>
                <w:color w:val="FFFFFF"/>
                <w:sz w:val="22"/>
                <w:szCs w:val="22"/>
                <w:lang w:val="bs-Latn-BA"/>
              </w:rPr>
              <w:t>STRATEŠKI CILJEVI</w:t>
            </w:r>
          </w:p>
        </w:tc>
        <w:tc>
          <w:tcPr>
            <w:tcW w:w="2160" w:type="dxa"/>
            <w:shd w:val="clear" w:color="auto" w:fill="005837"/>
          </w:tcPr>
          <w:p w14:paraId="2A57164B" w14:textId="77777777" w:rsidR="00CF7A3C" w:rsidRPr="00D9090D" w:rsidRDefault="00CF7A3C" w:rsidP="000B085B">
            <w:pPr>
              <w:widowControl w:val="0"/>
              <w:pBdr>
                <w:top w:val="nil"/>
                <w:left w:val="nil"/>
                <w:bottom w:val="nil"/>
                <w:right w:val="nil"/>
                <w:between w:val="nil"/>
              </w:pBdr>
              <w:spacing w:before="1"/>
              <w:rPr>
                <w:rFonts w:asciiTheme="minorHAnsi" w:eastAsia="Trebuchet MS" w:hAnsiTheme="minorHAnsi" w:cstheme="minorHAnsi"/>
                <w:b/>
                <w:bCs/>
                <w:sz w:val="22"/>
                <w:szCs w:val="22"/>
                <w:lang w:val="bs-Latn-BA"/>
              </w:rPr>
            </w:pPr>
          </w:p>
          <w:p w14:paraId="69FF136F" w14:textId="77777777" w:rsidR="00CF7A3C" w:rsidRPr="00D9090D" w:rsidRDefault="00CF7A3C" w:rsidP="000B085B">
            <w:pPr>
              <w:widowControl w:val="0"/>
              <w:pBdr>
                <w:top w:val="nil"/>
                <w:left w:val="nil"/>
                <w:bottom w:val="nil"/>
                <w:right w:val="nil"/>
                <w:between w:val="nil"/>
              </w:pBdr>
              <w:ind w:left="338"/>
              <w:jc w:val="both"/>
              <w:rPr>
                <w:rFonts w:asciiTheme="minorHAnsi" w:eastAsia="Helvetica Neue" w:hAnsiTheme="minorHAnsi" w:cstheme="minorHAnsi"/>
                <w:b/>
                <w:bCs/>
                <w:sz w:val="22"/>
                <w:szCs w:val="22"/>
                <w:lang w:val="bs-Latn-BA"/>
              </w:rPr>
            </w:pPr>
            <w:r w:rsidRPr="00D9090D">
              <w:rPr>
                <w:rFonts w:asciiTheme="minorHAnsi" w:eastAsia="Helvetica Neue" w:hAnsiTheme="minorHAnsi" w:cstheme="minorHAnsi"/>
                <w:b/>
                <w:bCs/>
                <w:color w:val="FFFFFF"/>
                <w:sz w:val="22"/>
                <w:szCs w:val="22"/>
                <w:lang w:val="bs-Latn-BA"/>
              </w:rPr>
              <w:t>INDIKATORI UTICAJA</w:t>
            </w:r>
          </w:p>
        </w:tc>
        <w:tc>
          <w:tcPr>
            <w:tcW w:w="1980" w:type="dxa"/>
            <w:shd w:val="clear" w:color="auto" w:fill="005837"/>
          </w:tcPr>
          <w:p w14:paraId="79998182" w14:textId="77777777" w:rsidR="00CF7A3C" w:rsidRPr="00D9090D" w:rsidRDefault="00CF7A3C" w:rsidP="000B085B">
            <w:pPr>
              <w:widowControl w:val="0"/>
              <w:pBdr>
                <w:top w:val="nil"/>
                <w:left w:val="nil"/>
                <w:bottom w:val="nil"/>
                <w:right w:val="nil"/>
                <w:between w:val="nil"/>
              </w:pBdr>
              <w:rPr>
                <w:rFonts w:asciiTheme="minorHAnsi" w:eastAsia="Trebuchet MS" w:hAnsiTheme="minorHAnsi" w:cstheme="minorHAnsi"/>
                <w:b/>
                <w:bCs/>
                <w:sz w:val="22"/>
                <w:szCs w:val="22"/>
                <w:lang w:val="bs-Latn-BA"/>
              </w:rPr>
            </w:pPr>
          </w:p>
          <w:p w14:paraId="110A3F8E" w14:textId="77777777" w:rsidR="00CF7A3C" w:rsidRPr="00D9090D" w:rsidRDefault="00CF7A3C" w:rsidP="000B085B">
            <w:pPr>
              <w:widowControl w:val="0"/>
              <w:pBdr>
                <w:top w:val="nil"/>
                <w:left w:val="nil"/>
                <w:bottom w:val="nil"/>
                <w:right w:val="nil"/>
                <w:between w:val="nil"/>
              </w:pBdr>
              <w:spacing w:line="372" w:lineRule="auto"/>
              <w:ind w:left="529" w:firstLine="131"/>
              <w:rPr>
                <w:rFonts w:asciiTheme="minorHAnsi" w:eastAsia="Helvetica Neue" w:hAnsiTheme="minorHAnsi" w:cstheme="minorHAnsi"/>
                <w:b/>
                <w:bCs/>
                <w:sz w:val="22"/>
                <w:szCs w:val="22"/>
                <w:lang w:val="bs-Latn-BA"/>
              </w:rPr>
            </w:pPr>
            <w:r w:rsidRPr="00D9090D">
              <w:rPr>
                <w:rFonts w:asciiTheme="minorHAnsi" w:eastAsia="Helvetica Neue" w:hAnsiTheme="minorHAnsi" w:cstheme="minorHAnsi"/>
                <w:b/>
                <w:bCs/>
                <w:color w:val="FFFFFF"/>
                <w:sz w:val="22"/>
                <w:szCs w:val="22"/>
                <w:lang w:val="bs-Latn-BA"/>
              </w:rPr>
              <w:t>POLAZNA VRIJEDNOST</w:t>
            </w:r>
          </w:p>
        </w:tc>
        <w:tc>
          <w:tcPr>
            <w:tcW w:w="2070" w:type="dxa"/>
            <w:shd w:val="clear" w:color="auto" w:fill="005837"/>
          </w:tcPr>
          <w:p w14:paraId="5134F0A5" w14:textId="77777777" w:rsidR="00CF7A3C" w:rsidRPr="00D9090D" w:rsidRDefault="00CF7A3C" w:rsidP="000B085B">
            <w:pPr>
              <w:widowControl w:val="0"/>
              <w:pBdr>
                <w:top w:val="nil"/>
                <w:left w:val="nil"/>
                <w:bottom w:val="nil"/>
                <w:right w:val="nil"/>
                <w:between w:val="nil"/>
              </w:pBdr>
              <w:spacing w:before="81"/>
              <w:ind w:left="324" w:right="295"/>
              <w:jc w:val="center"/>
              <w:rPr>
                <w:rFonts w:asciiTheme="minorHAnsi" w:eastAsia="Helvetica Neue" w:hAnsiTheme="minorHAnsi" w:cstheme="minorHAnsi"/>
                <w:b/>
                <w:bCs/>
                <w:sz w:val="22"/>
                <w:szCs w:val="22"/>
                <w:lang w:val="bs-Latn-BA"/>
              </w:rPr>
            </w:pPr>
            <w:r w:rsidRPr="00D9090D">
              <w:rPr>
                <w:rFonts w:asciiTheme="minorHAnsi" w:eastAsia="Helvetica Neue" w:hAnsiTheme="minorHAnsi" w:cstheme="minorHAnsi"/>
                <w:b/>
                <w:bCs/>
                <w:color w:val="FFFFFF"/>
                <w:sz w:val="22"/>
                <w:szCs w:val="22"/>
                <w:lang w:val="bs-Latn-BA"/>
              </w:rPr>
              <w:t xml:space="preserve">CILJNA </w:t>
            </w:r>
          </w:p>
          <w:p w14:paraId="7700BD69" w14:textId="77777777" w:rsidR="00CF7A3C" w:rsidRPr="00D9090D" w:rsidRDefault="00CF7A3C" w:rsidP="000B085B">
            <w:pPr>
              <w:widowControl w:val="0"/>
              <w:pBdr>
                <w:top w:val="nil"/>
                <w:left w:val="nil"/>
                <w:bottom w:val="nil"/>
                <w:right w:val="nil"/>
                <w:between w:val="nil"/>
              </w:pBdr>
              <w:ind w:left="324" w:right="312"/>
              <w:jc w:val="center"/>
              <w:rPr>
                <w:rFonts w:asciiTheme="minorHAnsi" w:eastAsia="Helvetica Neue" w:hAnsiTheme="minorHAnsi" w:cstheme="minorHAnsi"/>
                <w:b/>
                <w:bCs/>
                <w:sz w:val="22"/>
                <w:szCs w:val="22"/>
                <w:lang w:val="bs-Latn-BA"/>
              </w:rPr>
            </w:pPr>
            <w:r w:rsidRPr="00D9090D">
              <w:rPr>
                <w:rFonts w:asciiTheme="minorHAnsi" w:eastAsia="Helvetica Neue" w:hAnsiTheme="minorHAnsi" w:cstheme="minorHAnsi"/>
                <w:b/>
                <w:bCs/>
                <w:color w:val="FFFFFF"/>
                <w:sz w:val="22"/>
                <w:szCs w:val="22"/>
                <w:lang w:val="bs-Latn-BA"/>
              </w:rPr>
              <w:t xml:space="preserve">VRIJEDNOST 2050. </w:t>
            </w:r>
          </w:p>
        </w:tc>
      </w:tr>
      <w:tr w:rsidR="004A0B5F" w:rsidRPr="00D9090D" w14:paraId="028B4C71" w14:textId="77777777" w:rsidTr="00D9090D">
        <w:trPr>
          <w:trHeight w:val="322"/>
          <w:jc w:val="center"/>
        </w:trPr>
        <w:tc>
          <w:tcPr>
            <w:tcW w:w="2875" w:type="dxa"/>
            <w:vMerge w:val="restart"/>
            <w:shd w:val="clear" w:color="auto" w:fill="005837"/>
          </w:tcPr>
          <w:p w14:paraId="32CFC446" w14:textId="77777777" w:rsidR="004A0B5F" w:rsidRPr="00D9090D" w:rsidRDefault="004A0B5F" w:rsidP="004A0B5F">
            <w:pPr>
              <w:widowControl w:val="0"/>
              <w:pBdr>
                <w:top w:val="nil"/>
                <w:left w:val="nil"/>
                <w:bottom w:val="nil"/>
                <w:right w:val="nil"/>
                <w:between w:val="nil"/>
              </w:pBdr>
              <w:spacing w:before="1"/>
              <w:ind w:left="56"/>
              <w:rPr>
                <w:rFonts w:asciiTheme="minorHAnsi" w:eastAsia="Helvetica Neue" w:hAnsiTheme="minorHAnsi" w:cstheme="minorHAnsi"/>
                <w:color w:val="FFFFFF"/>
                <w:sz w:val="22"/>
                <w:szCs w:val="22"/>
                <w:lang w:val="bs-Latn-BA"/>
              </w:rPr>
            </w:pPr>
            <w:r w:rsidRPr="00D9090D">
              <w:rPr>
                <w:rFonts w:asciiTheme="minorHAnsi" w:eastAsia="Helvetica Neue" w:hAnsiTheme="minorHAnsi" w:cstheme="minorHAnsi"/>
                <w:color w:val="FFFFFF"/>
                <w:sz w:val="22"/>
                <w:szCs w:val="22"/>
                <w:lang w:val="bs-Latn-BA"/>
              </w:rPr>
              <w:t>STRATEŠKI CILJ 1:</w:t>
            </w:r>
          </w:p>
          <w:p w14:paraId="67A98D37" w14:textId="77777777" w:rsidR="004A0B5F" w:rsidRPr="00D9090D" w:rsidRDefault="004A0B5F" w:rsidP="004A0B5F">
            <w:pPr>
              <w:widowControl w:val="0"/>
              <w:pBdr>
                <w:top w:val="nil"/>
                <w:left w:val="nil"/>
                <w:bottom w:val="nil"/>
                <w:right w:val="nil"/>
                <w:between w:val="nil"/>
              </w:pBdr>
              <w:spacing w:before="1"/>
              <w:ind w:left="56"/>
              <w:rPr>
                <w:rFonts w:asciiTheme="minorHAnsi" w:eastAsia="Helvetica Neue" w:hAnsiTheme="minorHAnsi" w:cstheme="minorHAnsi"/>
                <w:sz w:val="22"/>
                <w:szCs w:val="22"/>
                <w:lang w:val="bs-Latn-BA"/>
              </w:rPr>
            </w:pPr>
          </w:p>
          <w:p w14:paraId="6E9B6460" w14:textId="77777777" w:rsidR="004A0B5F" w:rsidRPr="00D9090D" w:rsidRDefault="004A0B5F" w:rsidP="004A0B5F">
            <w:pPr>
              <w:widowControl w:val="0"/>
              <w:pBdr>
                <w:top w:val="nil"/>
                <w:left w:val="nil"/>
                <w:bottom w:val="nil"/>
                <w:right w:val="nil"/>
                <w:between w:val="nil"/>
              </w:pBdr>
              <w:rPr>
                <w:rFonts w:asciiTheme="minorHAnsi" w:eastAsia="Times New Roman" w:hAnsiTheme="minorHAnsi" w:cstheme="minorHAnsi"/>
                <w:sz w:val="22"/>
                <w:szCs w:val="22"/>
                <w:lang w:val="bs-Latn-BA"/>
              </w:rPr>
            </w:pPr>
            <w:r w:rsidRPr="00D9090D">
              <w:rPr>
                <w:rFonts w:asciiTheme="minorHAnsi" w:eastAsia="Helvetica Neue" w:hAnsiTheme="minorHAnsi" w:cstheme="minorHAnsi"/>
                <w:color w:val="FFD965"/>
                <w:sz w:val="22"/>
                <w:szCs w:val="22"/>
                <w:lang w:val="bs-Latn-BA"/>
              </w:rPr>
              <w:t xml:space="preserve">Postojeći fond zgrada je transformiran u energijski visokoefikasan i dekarboniziran fond zgrada do 2050. godine </w:t>
            </w:r>
          </w:p>
        </w:tc>
        <w:tc>
          <w:tcPr>
            <w:tcW w:w="2160" w:type="dxa"/>
          </w:tcPr>
          <w:p w14:paraId="5A669835" w14:textId="0065F25D" w:rsidR="004A0B5F" w:rsidRPr="00D9090D" w:rsidRDefault="004A0B5F" w:rsidP="004A0B5F">
            <w:pPr>
              <w:widowControl w:val="0"/>
              <w:pBdr>
                <w:top w:val="nil"/>
                <w:left w:val="nil"/>
                <w:bottom w:val="nil"/>
                <w:right w:val="nil"/>
                <w:between w:val="nil"/>
              </w:pBdr>
              <w:spacing w:before="95"/>
              <w:ind w:left="56"/>
              <w:rPr>
                <w:rFonts w:asciiTheme="minorHAnsi" w:hAnsiTheme="minorHAnsi" w:cstheme="minorHAnsi"/>
                <w:sz w:val="22"/>
                <w:szCs w:val="22"/>
                <w:lang w:val="bs-Latn-BA"/>
              </w:rPr>
            </w:pPr>
            <w:r w:rsidRPr="00D9090D">
              <w:rPr>
                <w:rFonts w:asciiTheme="minorHAnsi" w:hAnsiTheme="minorHAnsi" w:cstheme="minorHAnsi"/>
                <w:sz w:val="22"/>
                <w:szCs w:val="22"/>
                <w:lang w:val="bs-Latn-BA"/>
              </w:rPr>
              <w:t>Potrošnja finalne energije u sektoru zgradarstva, ktoe</w:t>
            </w:r>
          </w:p>
        </w:tc>
        <w:tc>
          <w:tcPr>
            <w:tcW w:w="1980" w:type="dxa"/>
            <w:vAlign w:val="center"/>
          </w:tcPr>
          <w:p w14:paraId="6E5ADB40" w14:textId="77777777" w:rsidR="004A0B5F" w:rsidRPr="00D9090D" w:rsidRDefault="004A0B5F" w:rsidP="004A0B5F">
            <w:pPr>
              <w:widowControl w:val="0"/>
              <w:pBdr>
                <w:top w:val="nil"/>
                <w:left w:val="nil"/>
                <w:bottom w:val="nil"/>
                <w:right w:val="nil"/>
                <w:between w:val="nil"/>
              </w:pBdr>
              <w:spacing w:before="95"/>
              <w:jc w:val="center"/>
              <w:rPr>
                <w:rFonts w:asciiTheme="minorHAnsi" w:hAnsiTheme="minorHAnsi" w:cstheme="minorHAnsi"/>
                <w:sz w:val="22"/>
                <w:szCs w:val="22"/>
                <w:lang w:val="bs-Latn-BA"/>
              </w:rPr>
            </w:pPr>
            <w:r w:rsidRPr="00D9090D">
              <w:rPr>
                <w:rFonts w:asciiTheme="minorHAnsi" w:hAnsiTheme="minorHAnsi" w:cstheme="minorHAnsi"/>
                <w:sz w:val="22"/>
                <w:szCs w:val="22"/>
                <w:lang w:val="bs-Latn-BA"/>
              </w:rPr>
              <w:t>LEAP, 2020</w:t>
            </w:r>
            <w:r w:rsidRPr="00D9090D">
              <w:rPr>
                <w:rFonts w:asciiTheme="minorHAnsi" w:hAnsiTheme="minorHAnsi" w:cstheme="minorHAnsi"/>
                <w:vertAlign w:val="superscript"/>
                <w:lang w:val="bs-Latn-BA"/>
              </w:rPr>
              <w:footnoteReference w:id="118"/>
            </w:r>
          </w:p>
          <w:p w14:paraId="2840847F" w14:textId="2E9A27CD" w:rsidR="004A0B5F" w:rsidRPr="00D9090D" w:rsidRDefault="004A0B5F" w:rsidP="004A0B5F">
            <w:pPr>
              <w:widowControl w:val="0"/>
              <w:pBdr>
                <w:top w:val="nil"/>
                <w:left w:val="nil"/>
                <w:bottom w:val="nil"/>
                <w:right w:val="nil"/>
                <w:between w:val="nil"/>
              </w:pBdr>
              <w:spacing w:before="95"/>
              <w:jc w:val="center"/>
              <w:rPr>
                <w:rFonts w:asciiTheme="minorHAnsi" w:hAnsiTheme="minorHAnsi" w:cstheme="minorHAnsi"/>
                <w:sz w:val="22"/>
                <w:szCs w:val="22"/>
                <w:lang w:val="bs-Latn-BA"/>
              </w:rPr>
            </w:pPr>
            <w:r w:rsidRPr="00D9090D">
              <w:rPr>
                <w:rFonts w:asciiTheme="minorHAnsi" w:hAnsiTheme="minorHAnsi" w:cstheme="minorHAnsi"/>
                <w:sz w:val="22"/>
                <w:szCs w:val="22"/>
                <w:lang w:val="bs-Latn-BA"/>
              </w:rPr>
              <w:t>1.728,5</w:t>
            </w:r>
          </w:p>
        </w:tc>
        <w:tc>
          <w:tcPr>
            <w:tcW w:w="2070" w:type="dxa"/>
            <w:vAlign w:val="center"/>
          </w:tcPr>
          <w:p w14:paraId="70C2B3DA" w14:textId="77777777" w:rsidR="004A0B5F" w:rsidRPr="00D9090D" w:rsidRDefault="004A0B5F" w:rsidP="004A0B5F">
            <w:pPr>
              <w:widowControl w:val="0"/>
              <w:spacing w:before="95"/>
              <w:jc w:val="center"/>
              <w:rPr>
                <w:rFonts w:asciiTheme="minorHAnsi" w:hAnsiTheme="minorHAnsi" w:cstheme="minorHAnsi"/>
                <w:sz w:val="22"/>
                <w:szCs w:val="22"/>
                <w:lang w:val="bs-Latn-BA"/>
              </w:rPr>
            </w:pPr>
            <w:r w:rsidRPr="00D9090D">
              <w:rPr>
                <w:rFonts w:asciiTheme="minorHAnsi" w:hAnsiTheme="minorHAnsi" w:cstheme="minorHAnsi"/>
                <w:sz w:val="22"/>
                <w:szCs w:val="22"/>
                <w:lang w:val="bs-Latn-BA"/>
              </w:rPr>
              <w:t>BiH, 2050</w:t>
            </w:r>
          </w:p>
          <w:p w14:paraId="66CA8633" w14:textId="787AA967" w:rsidR="004A0B5F" w:rsidRPr="00D9090D" w:rsidRDefault="004A0B5F" w:rsidP="004A0B5F">
            <w:pPr>
              <w:widowControl w:val="0"/>
              <w:spacing w:before="95"/>
              <w:jc w:val="center"/>
              <w:rPr>
                <w:rFonts w:asciiTheme="minorHAnsi" w:hAnsiTheme="minorHAnsi" w:cstheme="minorHAnsi"/>
                <w:sz w:val="22"/>
                <w:szCs w:val="22"/>
                <w:lang w:val="bs-Latn-BA"/>
              </w:rPr>
            </w:pPr>
            <w:r w:rsidRPr="00D9090D">
              <w:rPr>
                <w:rFonts w:asciiTheme="minorHAnsi" w:hAnsiTheme="minorHAnsi" w:cstheme="minorHAnsi"/>
                <w:sz w:val="22"/>
                <w:szCs w:val="22"/>
                <w:lang w:val="bs-Latn-BA"/>
              </w:rPr>
              <w:t>1.257,3</w:t>
            </w:r>
          </w:p>
        </w:tc>
      </w:tr>
      <w:tr w:rsidR="004A0B5F" w:rsidRPr="00D9090D" w14:paraId="6D17FE98" w14:textId="77777777" w:rsidTr="00D9090D">
        <w:trPr>
          <w:trHeight w:val="322"/>
          <w:jc w:val="center"/>
        </w:trPr>
        <w:tc>
          <w:tcPr>
            <w:tcW w:w="2875" w:type="dxa"/>
            <w:vMerge/>
            <w:shd w:val="clear" w:color="auto" w:fill="005837"/>
          </w:tcPr>
          <w:p w14:paraId="51A1694A" w14:textId="77777777" w:rsidR="004A0B5F" w:rsidRPr="00D9090D" w:rsidRDefault="004A0B5F" w:rsidP="004A0B5F">
            <w:pPr>
              <w:widowControl w:val="0"/>
              <w:pBdr>
                <w:top w:val="nil"/>
                <w:left w:val="nil"/>
                <w:bottom w:val="nil"/>
                <w:right w:val="nil"/>
                <w:between w:val="nil"/>
              </w:pBdr>
              <w:spacing w:line="276" w:lineRule="auto"/>
              <w:rPr>
                <w:rFonts w:asciiTheme="minorHAnsi" w:hAnsiTheme="minorHAnsi" w:cstheme="minorHAnsi"/>
                <w:sz w:val="22"/>
                <w:szCs w:val="22"/>
                <w:lang w:val="bs-Latn-BA"/>
              </w:rPr>
            </w:pPr>
          </w:p>
        </w:tc>
        <w:tc>
          <w:tcPr>
            <w:tcW w:w="2160" w:type="dxa"/>
          </w:tcPr>
          <w:p w14:paraId="38511978" w14:textId="14C1D453" w:rsidR="004A0B5F" w:rsidRPr="00D9090D" w:rsidRDefault="004A0B5F" w:rsidP="004A0B5F">
            <w:pPr>
              <w:widowControl w:val="0"/>
              <w:pBdr>
                <w:top w:val="nil"/>
                <w:left w:val="nil"/>
                <w:bottom w:val="nil"/>
                <w:right w:val="nil"/>
                <w:between w:val="nil"/>
              </w:pBdr>
              <w:spacing w:before="95"/>
              <w:ind w:left="56"/>
              <w:rPr>
                <w:rFonts w:asciiTheme="minorHAnsi" w:hAnsiTheme="minorHAnsi" w:cstheme="minorHAnsi"/>
                <w:color w:val="auto"/>
                <w:sz w:val="22"/>
                <w:szCs w:val="22"/>
                <w:lang w:val="bs-Latn-BA"/>
              </w:rPr>
            </w:pPr>
            <w:r w:rsidRPr="00D9090D">
              <w:rPr>
                <w:rFonts w:asciiTheme="minorHAnsi" w:hAnsiTheme="minorHAnsi" w:cstheme="minorHAnsi"/>
                <w:color w:val="auto"/>
                <w:sz w:val="22"/>
                <w:szCs w:val="22"/>
                <w:lang w:val="bs-Latn-BA"/>
              </w:rPr>
              <w:t>Emisija  CO</w:t>
            </w:r>
            <w:r w:rsidRPr="00D9090D">
              <w:rPr>
                <w:rFonts w:asciiTheme="minorHAnsi" w:hAnsiTheme="minorHAnsi" w:cstheme="minorHAnsi"/>
                <w:color w:val="auto"/>
                <w:sz w:val="22"/>
                <w:szCs w:val="22"/>
                <w:vertAlign w:val="subscript"/>
                <w:lang w:val="bs-Latn-BA"/>
              </w:rPr>
              <w:t>2</w:t>
            </w:r>
            <w:r w:rsidRPr="00D9090D">
              <w:rPr>
                <w:rFonts w:asciiTheme="minorHAnsi" w:hAnsiTheme="minorHAnsi" w:cstheme="minorHAnsi"/>
                <w:color w:val="auto"/>
                <w:sz w:val="22"/>
                <w:szCs w:val="22"/>
                <w:lang w:val="bs-Latn-BA"/>
              </w:rPr>
              <w:t xml:space="preserve"> stambenog sektora, ktCO</w:t>
            </w:r>
            <w:r w:rsidRPr="00D9090D">
              <w:rPr>
                <w:rFonts w:asciiTheme="minorHAnsi" w:hAnsiTheme="minorHAnsi" w:cstheme="minorHAnsi"/>
                <w:color w:val="auto"/>
                <w:sz w:val="22"/>
                <w:szCs w:val="22"/>
                <w:vertAlign w:val="subscript"/>
                <w:lang w:val="bs-Latn-BA"/>
              </w:rPr>
              <w:t>2</w:t>
            </w:r>
            <w:r w:rsidRPr="00D9090D">
              <w:rPr>
                <w:rFonts w:asciiTheme="minorHAnsi" w:hAnsiTheme="minorHAnsi" w:cstheme="minorHAnsi"/>
                <w:color w:val="auto"/>
                <w:sz w:val="22"/>
                <w:szCs w:val="22"/>
                <w:lang w:val="bs-Latn-BA"/>
              </w:rPr>
              <w:t>eq</w:t>
            </w:r>
          </w:p>
        </w:tc>
        <w:tc>
          <w:tcPr>
            <w:tcW w:w="1980" w:type="dxa"/>
          </w:tcPr>
          <w:p w14:paraId="6AFB2A06" w14:textId="77777777" w:rsidR="004A0B5F" w:rsidRPr="00D9090D" w:rsidRDefault="004A0B5F" w:rsidP="004A0B5F">
            <w:pPr>
              <w:widowControl w:val="0"/>
              <w:spacing w:before="85"/>
              <w:ind w:left="607"/>
              <w:rPr>
                <w:rFonts w:asciiTheme="minorHAnsi" w:hAnsiTheme="minorHAnsi" w:cstheme="minorHAnsi"/>
                <w:color w:val="auto"/>
                <w:sz w:val="22"/>
                <w:szCs w:val="22"/>
                <w:lang w:val="bs-Latn-BA"/>
              </w:rPr>
            </w:pPr>
            <w:r w:rsidRPr="00D9090D">
              <w:rPr>
                <w:rFonts w:asciiTheme="minorHAnsi" w:hAnsiTheme="minorHAnsi" w:cstheme="minorHAnsi"/>
                <w:color w:val="auto"/>
                <w:sz w:val="22"/>
                <w:szCs w:val="22"/>
                <w:lang w:val="bs-Latn-BA"/>
              </w:rPr>
              <w:t>BiH, 2020</w:t>
            </w:r>
          </w:p>
          <w:p w14:paraId="464FDEA9" w14:textId="40881906" w:rsidR="004A0B5F" w:rsidRPr="00D9090D" w:rsidRDefault="004A0B5F" w:rsidP="004A0B5F">
            <w:pPr>
              <w:widowControl w:val="0"/>
              <w:pBdr>
                <w:top w:val="nil"/>
                <w:left w:val="nil"/>
                <w:bottom w:val="nil"/>
                <w:right w:val="nil"/>
                <w:between w:val="nil"/>
              </w:pBdr>
              <w:spacing w:before="95"/>
              <w:jc w:val="center"/>
              <w:rPr>
                <w:rFonts w:asciiTheme="minorHAnsi" w:hAnsiTheme="minorHAnsi" w:cstheme="minorHAnsi"/>
                <w:color w:val="auto"/>
                <w:sz w:val="22"/>
                <w:szCs w:val="22"/>
                <w:lang w:val="bs-Latn-BA"/>
              </w:rPr>
            </w:pPr>
            <w:r w:rsidRPr="00D9090D">
              <w:rPr>
                <w:rFonts w:asciiTheme="minorHAnsi" w:hAnsiTheme="minorHAnsi" w:cstheme="minorHAnsi"/>
                <w:color w:val="auto"/>
                <w:sz w:val="22"/>
                <w:szCs w:val="22"/>
                <w:lang w:val="bs-Latn-BA"/>
              </w:rPr>
              <w:t>7.937</w:t>
            </w:r>
          </w:p>
        </w:tc>
        <w:tc>
          <w:tcPr>
            <w:tcW w:w="2070" w:type="dxa"/>
          </w:tcPr>
          <w:p w14:paraId="4034C3EF" w14:textId="77777777" w:rsidR="004A0B5F" w:rsidRPr="00D9090D" w:rsidRDefault="004A0B5F" w:rsidP="004A0B5F">
            <w:pPr>
              <w:widowControl w:val="0"/>
              <w:spacing w:before="95"/>
              <w:jc w:val="center"/>
              <w:rPr>
                <w:rFonts w:asciiTheme="minorHAnsi" w:hAnsiTheme="minorHAnsi" w:cstheme="minorHAnsi"/>
                <w:color w:val="auto"/>
                <w:sz w:val="22"/>
                <w:szCs w:val="22"/>
                <w:lang w:val="bs-Latn-BA"/>
              </w:rPr>
            </w:pPr>
            <w:r w:rsidRPr="00D9090D">
              <w:rPr>
                <w:rFonts w:asciiTheme="minorHAnsi" w:hAnsiTheme="minorHAnsi" w:cstheme="minorHAnsi"/>
                <w:color w:val="auto"/>
                <w:sz w:val="22"/>
                <w:szCs w:val="22"/>
                <w:lang w:val="bs-Latn-BA"/>
              </w:rPr>
              <w:t>BiH, 2050</w:t>
            </w:r>
          </w:p>
          <w:p w14:paraId="714E8A2E" w14:textId="434D8FFA" w:rsidR="004A0B5F" w:rsidRPr="00D9090D" w:rsidRDefault="004A0B5F" w:rsidP="004A0B5F">
            <w:pPr>
              <w:widowControl w:val="0"/>
              <w:spacing w:before="95"/>
              <w:jc w:val="center"/>
              <w:rPr>
                <w:rFonts w:asciiTheme="minorHAnsi" w:hAnsiTheme="minorHAnsi" w:cstheme="minorHAnsi"/>
                <w:color w:val="auto"/>
                <w:sz w:val="22"/>
                <w:szCs w:val="22"/>
                <w:lang w:val="bs-Latn-BA"/>
              </w:rPr>
            </w:pPr>
            <w:r w:rsidRPr="00D9090D">
              <w:rPr>
                <w:rFonts w:asciiTheme="minorHAnsi" w:hAnsiTheme="minorHAnsi" w:cstheme="minorHAnsi"/>
                <w:color w:val="auto"/>
                <w:sz w:val="22"/>
                <w:szCs w:val="22"/>
                <w:lang w:val="bs-Latn-BA"/>
              </w:rPr>
              <w:t>2.075</w:t>
            </w:r>
          </w:p>
        </w:tc>
      </w:tr>
    </w:tbl>
    <w:p w14:paraId="4C8F0A93" w14:textId="77777777" w:rsidR="00CF7A3C" w:rsidRPr="008924E0" w:rsidRDefault="00CF7A3C" w:rsidP="00CF7A3C">
      <w:pPr>
        <w:rPr>
          <w:lang w:val="bs-Latn-BA"/>
        </w:rPr>
      </w:pPr>
    </w:p>
    <w:p w14:paraId="28F4F54B" w14:textId="48317051" w:rsidR="00840EE9" w:rsidRPr="008924E0" w:rsidRDefault="00CF7A3C" w:rsidP="00A321E1">
      <w:pPr>
        <w:pStyle w:val="Caption"/>
        <w:keepNext/>
      </w:pPr>
      <w:r w:rsidRPr="008924E0">
        <w:br w:type="page"/>
      </w:r>
    </w:p>
    <w:p w14:paraId="5C5826FF" w14:textId="77777777" w:rsidR="001A4D88" w:rsidRPr="008924E0" w:rsidRDefault="001A4D88" w:rsidP="001A4D88">
      <w:pPr>
        <w:pStyle w:val="Heading1"/>
        <w:numPr>
          <w:ilvl w:val="0"/>
          <w:numId w:val="0"/>
        </w:numPr>
        <w:rPr>
          <w:lang w:val="bs-Latn-BA"/>
        </w:rPr>
      </w:pPr>
      <w:bookmarkStart w:id="237" w:name="_Toc134011828"/>
      <w:r w:rsidRPr="008924E0">
        <w:rPr>
          <w:lang w:val="bs-Latn-BA"/>
        </w:rPr>
        <w:lastRenderedPageBreak/>
        <w:t>Aneks 11.2.</w:t>
      </w:r>
      <w:bookmarkEnd w:id="237"/>
      <w:r w:rsidRPr="008924E0">
        <w:rPr>
          <w:lang w:val="bs-Latn-BA"/>
        </w:rPr>
        <w:t xml:space="preserve">  </w:t>
      </w:r>
    </w:p>
    <w:p w14:paraId="473BF814" w14:textId="77777777" w:rsidR="001A4D88" w:rsidRDefault="001A4D88" w:rsidP="001A4D88">
      <w:pPr>
        <w:pStyle w:val="Heading2"/>
        <w:numPr>
          <w:ilvl w:val="0"/>
          <w:numId w:val="0"/>
        </w:numPr>
        <w:rPr>
          <w:lang w:val="bs-Latn-BA"/>
        </w:rPr>
      </w:pPr>
      <w:bookmarkStart w:id="238" w:name="_Toc134011829"/>
      <w:r>
        <w:rPr>
          <w:lang w:val="bs-Latn-BA"/>
        </w:rPr>
        <w:t>Scenariji d</w:t>
      </w:r>
      <w:r w:rsidRPr="00586694">
        <w:rPr>
          <w:lang w:val="bs-Latn-BA"/>
        </w:rPr>
        <w:t>ugoročn</w:t>
      </w:r>
      <w:r>
        <w:rPr>
          <w:lang w:val="bs-Latn-BA"/>
        </w:rPr>
        <w:t>og</w:t>
      </w:r>
      <w:r w:rsidRPr="00586694">
        <w:rPr>
          <w:lang w:val="bs-Latn-BA"/>
        </w:rPr>
        <w:t xml:space="preserve"> plan</w:t>
      </w:r>
      <w:r>
        <w:rPr>
          <w:lang w:val="bs-Latn-BA"/>
        </w:rPr>
        <w:t>a</w:t>
      </w:r>
      <w:r w:rsidRPr="00586694">
        <w:rPr>
          <w:lang w:val="bs-Latn-BA"/>
        </w:rPr>
        <w:t xml:space="preserve"> </w:t>
      </w:r>
      <w:r>
        <w:rPr>
          <w:lang w:val="bs-Latn-BA"/>
        </w:rPr>
        <w:t>energijske obnove stambenog fonda i fonda javnih zgrada u FBiH</w:t>
      </w:r>
      <w:r w:rsidRPr="00A522CA">
        <w:rPr>
          <w:lang w:val="bs-Latn-BA"/>
        </w:rPr>
        <w:t xml:space="preserve"> do 2050. godine</w:t>
      </w:r>
      <w:bookmarkEnd w:id="238"/>
      <w:r w:rsidRPr="00A522CA">
        <w:rPr>
          <w:lang w:val="bs-Latn-BA"/>
        </w:rPr>
        <w:t xml:space="preserve"> </w:t>
      </w:r>
    </w:p>
    <w:p w14:paraId="62A8E93C" w14:textId="77777777" w:rsidR="001A4D88" w:rsidRDefault="001A4D88" w:rsidP="001A4D88">
      <w:pPr>
        <w:shd w:val="clear" w:color="auto" w:fill="FFFFFF"/>
        <w:spacing w:after="120" w:line="276" w:lineRule="auto"/>
        <w:rPr>
          <w:lang w:val="bs-Latn-BA"/>
        </w:rPr>
      </w:pPr>
      <w:r>
        <w:rPr>
          <w:lang w:val="bs-Latn-BA"/>
        </w:rPr>
        <w:t>Predložena dinamika provođenja scenarija energijske obnove predviđa energijsku obnovu 1,5 % korisne površine stambenih zgrada godišnje, te 2,5 % korisne površine javnih i komercijalnih zgrada godišnje. Ukoliko se predviđena dinamika provođenja energijske obnove ne ostvari, predstavljena je analiza različitih scenarija obnove sa manjim procentima korisne površine zgrada koje se obnavljaju. Predstavljeni podaci mogu poslužiti za korekcije ciljeva uštede energije i emisije CO</w:t>
      </w:r>
      <w:r w:rsidRPr="002C42C0">
        <w:rPr>
          <w:vertAlign w:val="subscript"/>
          <w:lang w:val="bs-Latn-BA"/>
        </w:rPr>
        <w:t>2</w:t>
      </w:r>
      <w:r>
        <w:rPr>
          <w:lang w:val="bs-Latn-BA"/>
        </w:rPr>
        <w:t xml:space="preserve"> ili troškova energijske obnove. </w:t>
      </w:r>
    </w:p>
    <w:p w14:paraId="05089810" w14:textId="61C7EE26" w:rsidR="001A4D88" w:rsidRDefault="001A4D88" w:rsidP="001A4D88">
      <w:pPr>
        <w:shd w:val="clear" w:color="auto" w:fill="FFFFFF"/>
        <w:spacing w:after="120" w:line="276" w:lineRule="auto"/>
        <w:rPr>
          <w:lang w:val="bs-Latn-BA"/>
        </w:rPr>
      </w:pPr>
      <w:r>
        <w:rPr>
          <w:lang w:val="bs-Latn-BA"/>
        </w:rPr>
        <w:t xml:space="preserve">Osim scenarija koji je detaljno predstavljen u tekstu </w:t>
      </w:r>
      <w:r w:rsidR="00A3514D">
        <w:rPr>
          <w:lang w:val="bs-Latn-BA"/>
        </w:rPr>
        <w:t>S</w:t>
      </w:r>
      <w:r>
        <w:rPr>
          <w:lang w:val="bs-Latn-BA"/>
        </w:rPr>
        <w:t>trategije, i koji predstavlja preporučeni scenarij, predstavljena su dva dodatna scenarija sa nešto nižim procentom korisne površine koja se obnavlja godišnje, što predstavlja ukupno</w:t>
      </w:r>
      <w:r w:rsidR="005835FA">
        <w:rPr>
          <w:lang w:val="bs-Latn-BA"/>
        </w:rPr>
        <w:t xml:space="preserve"> </w:t>
      </w:r>
      <w:r>
        <w:rPr>
          <w:lang w:val="bs-Latn-BA"/>
        </w:rPr>
        <w:t>3 scenarija energijske obnove stambenog fonda i 3 scenarija energijske obnove fonda javnih zgrada.</w:t>
      </w:r>
    </w:p>
    <w:p w14:paraId="35BE5B8E" w14:textId="77777777" w:rsidR="001A4D88" w:rsidRPr="008924E0" w:rsidRDefault="001A4D88" w:rsidP="001A4D88">
      <w:pPr>
        <w:pStyle w:val="Heading2"/>
        <w:numPr>
          <w:ilvl w:val="0"/>
          <w:numId w:val="0"/>
        </w:numPr>
        <w:rPr>
          <w:lang w:val="bs-Latn-BA"/>
        </w:rPr>
      </w:pPr>
      <w:bookmarkStart w:id="239" w:name="_Toc134011830"/>
      <w:r>
        <w:rPr>
          <w:lang w:val="bs-Latn-BA"/>
        </w:rPr>
        <w:t>Scenariji energijske obnove stambenog fonda</w:t>
      </w:r>
      <w:bookmarkEnd w:id="239"/>
    </w:p>
    <w:p w14:paraId="62CB23D6" w14:textId="77777777" w:rsidR="001A4D88" w:rsidRDefault="001A4D88" w:rsidP="001A4D88">
      <w:pPr>
        <w:shd w:val="clear" w:color="auto" w:fill="FFFFFF"/>
        <w:spacing w:after="120" w:line="276" w:lineRule="auto"/>
        <w:rPr>
          <w:lang w:val="bs-Latn-BA"/>
        </w:rPr>
      </w:pPr>
      <w:r w:rsidRPr="008924E0">
        <w:rPr>
          <w:lang w:val="bs-Latn-BA"/>
        </w:rPr>
        <w:t>Razmatran</w:t>
      </w:r>
      <w:r>
        <w:rPr>
          <w:lang w:val="bs-Latn-BA"/>
        </w:rPr>
        <w:t>i</w:t>
      </w:r>
      <w:r w:rsidRPr="008924E0">
        <w:rPr>
          <w:lang w:val="bs-Latn-BA"/>
        </w:rPr>
        <w:t xml:space="preserve"> </w:t>
      </w:r>
      <w:r>
        <w:rPr>
          <w:lang w:val="bs-Latn-BA"/>
        </w:rPr>
        <w:t xml:space="preserve">su sljedeći </w:t>
      </w:r>
      <w:r w:rsidRPr="008924E0">
        <w:rPr>
          <w:lang w:val="bs-Latn-BA"/>
        </w:rPr>
        <w:t>scenarij</w:t>
      </w:r>
      <w:r>
        <w:rPr>
          <w:lang w:val="bs-Latn-BA"/>
        </w:rPr>
        <w:t>i</w:t>
      </w:r>
      <w:r w:rsidRPr="008924E0">
        <w:rPr>
          <w:lang w:val="bs-Latn-BA"/>
        </w:rPr>
        <w:t xml:space="preserve"> </w:t>
      </w:r>
      <w:r>
        <w:rPr>
          <w:lang w:val="bs-Latn-BA"/>
        </w:rPr>
        <w:t>obnove stambenog fonda zgrada:</w:t>
      </w:r>
      <w:r w:rsidRPr="008924E0">
        <w:rPr>
          <w:lang w:val="bs-Latn-BA"/>
        </w:rPr>
        <w:t xml:space="preserve"> </w:t>
      </w:r>
    </w:p>
    <w:p w14:paraId="262AAD00" w14:textId="77777777" w:rsidR="001A4D88" w:rsidRPr="00163B6C" w:rsidRDefault="001A4D88" w:rsidP="00581C1C">
      <w:pPr>
        <w:pStyle w:val="ListParagraph"/>
        <w:numPr>
          <w:ilvl w:val="0"/>
          <w:numId w:val="58"/>
        </w:numPr>
        <w:shd w:val="clear" w:color="auto" w:fill="FFFFFF"/>
        <w:spacing w:after="120" w:line="276" w:lineRule="auto"/>
        <w:contextualSpacing/>
      </w:pPr>
      <w:r w:rsidRPr="00163B6C">
        <w:t>obnova 0,8</w:t>
      </w:r>
      <w:r>
        <w:t xml:space="preserve"> </w:t>
      </w:r>
      <w:r w:rsidRPr="00163B6C">
        <w:t xml:space="preserve">% korisne grijane površine stambenog fonda, </w:t>
      </w:r>
    </w:p>
    <w:p w14:paraId="4E3B8DD3" w14:textId="77777777" w:rsidR="001A4D88" w:rsidRPr="00163B6C" w:rsidRDefault="001A4D88" w:rsidP="00581C1C">
      <w:pPr>
        <w:pStyle w:val="ListParagraph"/>
        <w:numPr>
          <w:ilvl w:val="0"/>
          <w:numId w:val="58"/>
        </w:numPr>
        <w:shd w:val="clear" w:color="auto" w:fill="FFFFFF"/>
        <w:spacing w:after="120" w:line="276" w:lineRule="auto"/>
        <w:contextualSpacing/>
      </w:pPr>
      <w:r w:rsidRPr="00163B6C">
        <w:t>obnova 1</w:t>
      </w:r>
      <w:r>
        <w:t xml:space="preserve">,0 </w:t>
      </w:r>
      <w:r w:rsidRPr="00163B6C">
        <w:t>% korisne grijane površine i</w:t>
      </w:r>
    </w:p>
    <w:p w14:paraId="5DBCB3AA" w14:textId="77777777" w:rsidR="001A4D88" w:rsidRPr="00163B6C" w:rsidRDefault="001A4D88" w:rsidP="00581C1C">
      <w:pPr>
        <w:pStyle w:val="ListParagraph"/>
        <w:numPr>
          <w:ilvl w:val="0"/>
          <w:numId w:val="58"/>
        </w:numPr>
        <w:shd w:val="clear" w:color="auto" w:fill="FFFFFF"/>
        <w:spacing w:after="120" w:line="276" w:lineRule="auto"/>
        <w:contextualSpacing/>
      </w:pPr>
      <w:r w:rsidRPr="00163B6C">
        <w:t>obnova 1,5</w:t>
      </w:r>
      <w:r>
        <w:t xml:space="preserve"> </w:t>
      </w:r>
      <w:r w:rsidRPr="00163B6C">
        <w:t>% korisne grijane površine.</w:t>
      </w:r>
    </w:p>
    <w:p w14:paraId="2B455CB2" w14:textId="3A414D5B" w:rsidR="001A4D88" w:rsidRPr="008924E0" w:rsidRDefault="001A4D88" w:rsidP="001A4D88">
      <w:pPr>
        <w:shd w:val="clear" w:color="auto" w:fill="FFFFFF"/>
        <w:spacing w:after="120" w:line="276" w:lineRule="auto"/>
        <w:rPr>
          <w:lang w:val="bs-Latn-BA"/>
        </w:rPr>
      </w:pPr>
      <w:r>
        <w:rPr>
          <w:lang w:val="bs-Latn-BA"/>
        </w:rPr>
        <w:t>Korištena je metodologija proračuna ušteda energije, emisije CO</w:t>
      </w:r>
      <w:r w:rsidRPr="00163B6C">
        <w:rPr>
          <w:vertAlign w:val="subscript"/>
          <w:lang w:val="bs-Latn-BA"/>
        </w:rPr>
        <w:t>2</w:t>
      </w:r>
      <w:r>
        <w:rPr>
          <w:lang w:val="bs-Latn-BA"/>
        </w:rPr>
        <w:t xml:space="preserve"> i troškova, predstavljena u tekstu Strategije. </w:t>
      </w:r>
      <w:r w:rsidRPr="008924E0">
        <w:rPr>
          <w:lang w:val="bs-Latn-BA"/>
        </w:rPr>
        <w:t xml:space="preserve">Izračunate uštede energije su prikazane na Slici </w:t>
      </w:r>
      <w:r>
        <w:rPr>
          <w:lang w:val="bs-Latn-BA"/>
        </w:rPr>
        <w:t>11.</w:t>
      </w:r>
      <w:r w:rsidR="005835FA">
        <w:rPr>
          <w:lang w:val="bs-Latn-BA"/>
        </w:rPr>
        <w:t>2.</w:t>
      </w:r>
      <w:r>
        <w:rPr>
          <w:lang w:val="bs-Latn-BA"/>
        </w:rPr>
        <w:t>1. gdje se v</w:t>
      </w:r>
      <w:r w:rsidRPr="008924E0">
        <w:rPr>
          <w:lang w:val="bs-Latn-BA"/>
        </w:rPr>
        <w:t xml:space="preserve">idi se da se najveće uštede postižu godišnjom </w:t>
      </w:r>
      <w:r>
        <w:rPr>
          <w:lang w:val="bs-Latn-BA"/>
        </w:rPr>
        <w:t>obnovom</w:t>
      </w:r>
      <w:r w:rsidRPr="008924E0">
        <w:rPr>
          <w:lang w:val="bs-Latn-BA"/>
        </w:rPr>
        <w:t xml:space="preserve"> 1,5</w:t>
      </w:r>
      <w:r>
        <w:rPr>
          <w:lang w:val="bs-Latn-BA"/>
        </w:rPr>
        <w:t xml:space="preserve"> </w:t>
      </w:r>
      <w:r w:rsidRPr="008924E0">
        <w:rPr>
          <w:lang w:val="bs-Latn-BA"/>
        </w:rPr>
        <w:t xml:space="preserve">% korisne grijane površine stambenog fonda. </w:t>
      </w:r>
    </w:p>
    <w:p w14:paraId="633884B4" w14:textId="77777777" w:rsidR="005835FA" w:rsidRDefault="001A4D88" w:rsidP="005835FA">
      <w:pPr>
        <w:keepNext/>
        <w:pBdr>
          <w:top w:val="nil"/>
          <w:left w:val="nil"/>
          <w:bottom w:val="nil"/>
          <w:right w:val="nil"/>
          <w:between w:val="nil"/>
        </w:pBdr>
        <w:spacing w:after="200" w:line="240" w:lineRule="auto"/>
        <w:jc w:val="center"/>
      </w:pPr>
      <w:r w:rsidRPr="008924E0">
        <w:rPr>
          <w:rFonts w:eastAsia="Calibri"/>
          <w:i/>
          <w:noProof/>
          <w:color w:val="000000"/>
          <w:lang w:val="bs-Latn-BA"/>
        </w:rPr>
        <w:drawing>
          <wp:inline distT="0" distB="0" distL="0" distR="0" wp14:anchorId="66426403" wp14:editId="1C03C4BF">
            <wp:extent cx="5732145" cy="2231571"/>
            <wp:effectExtent l="0" t="0" r="0" b="0"/>
            <wp:docPr id="319468514" name="Chart 3194685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F01EDA3" w14:textId="3E7869FE" w:rsidR="001A4D88" w:rsidRPr="008924E0" w:rsidRDefault="005835FA" w:rsidP="005835FA">
      <w:pPr>
        <w:pStyle w:val="Caption"/>
        <w:jc w:val="center"/>
      </w:pPr>
      <w:bookmarkStart w:id="240" w:name="_Toc133499411"/>
      <w:r>
        <w:t>Slika 11.2.</w:t>
      </w:r>
      <w:r w:rsidR="00000000">
        <w:fldChar w:fldCharType="begin"/>
      </w:r>
      <w:r w:rsidR="00000000">
        <w:instrText xml:space="preserve"> SEQ Slika_11.2. \* ARABIC </w:instrText>
      </w:r>
      <w:r w:rsidR="00000000">
        <w:fldChar w:fldCharType="separate"/>
      </w:r>
      <w:r>
        <w:rPr>
          <w:noProof/>
        </w:rPr>
        <w:t>1</w:t>
      </w:r>
      <w:r w:rsidR="00000000">
        <w:rPr>
          <w:noProof/>
        </w:rPr>
        <w:fldChar w:fldCharType="end"/>
      </w:r>
      <w:r>
        <w:t xml:space="preserve"> </w:t>
      </w:r>
      <w:r w:rsidRPr="008924E0">
        <w:rPr>
          <w:rFonts w:eastAsia="Calibri"/>
          <w:color w:val="000000"/>
        </w:rPr>
        <w:t xml:space="preserve">Predviđanje potrošnje energije </w:t>
      </w:r>
      <w:r>
        <w:rPr>
          <w:rFonts w:eastAsia="Calibri"/>
          <w:color w:val="000000"/>
        </w:rPr>
        <w:t xml:space="preserve">stambenih </w:t>
      </w:r>
      <w:r w:rsidRPr="008924E0">
        <w:rPr>
          <w:rFonts w:eastAsia="Calibri"/>
          <w:color w:val="000000"/>
        </w:rPr>
        <w:t xml:space="preserve">zgrada za različite nivoe </w:t>
      </w:r>
      <w:r>
        <w:rPr>
          <w:rFonts w:eastAsia="Calibri"/>
          <w:color w:val="000000"/>
        </w:rPr>
        <w:t>obnova</w:t>
      </w:r>
      <w:r w:rsidRPr="008924E0">
        <w:rPr>
          <w:rFonts w:eastAsia="Calibri"/>
          <w:color w:val="000000"/>
        </w:rPr>
        <w:t xml:space="preserve"> u FBiH do 2050. godine</w:t>
      </w:r>
      <w:bookmarkEnd w:id="240"/>
    </w:p>
    <w:p w14:paraId="11C34E45" w14:textId="3C6CAF6F" w:rsidR="001A4D88" w:rsidRPr="008924E0" w:rsidRDefault="001A4D88" w:rsidP="001A4D88">
      <w:pPr>
        <w:shd w:val="clear" w:color="auto" w:fill="FFFFFF"/>
        <w:spacing w:after="120" w:line="276" w:lineRule="auto"/>
        <w:rPr>
          <w:lang w:val="bs-Latn-BA"/>
        </w:rPr>
      </w:pPr>
      <w:r w:rsidRPr="008924E0">
        <w:rPr>
          <w:lang w:val="bs-Latn-BA"/>
        </w:rPr>
        <w:t>U Tabel</w:t>
      </w:r>
      <w:r>
        <w:rPr>
          <w:lang w:val="bs-Latn-BA"/>
        </w:rPr>
        <w:t>ama</w:t>
      </w:r>
      <w:r w:rsidRPr="008924E0">
        <w:rPr>
          <w:lang w:val="bs-Latn-BA"/>
        </w:rPr>
        <w:t xml:space="preserve"> </w:t>
      </w:r>
      <w:r>
        <w:rPr>
          <w:lang w:val="bs-Latn-BA"/>
        </w:rPr>
        <w:t>11</w:t>
      </w:r>
      <w:r w:rsidRPr="008924E0">
        <w:rPr>
          <w:lang w:val="bs-Latn-BA"/>
        </w:rPr>
        <w:t>.</w:t>
      </w:r>
      <w:r w:rsidR="005835FA">
        <w:rPr>
          <w:lang w:val="bs-Latn-BA"/>
        </w:rPr>
        <w:t>2.1</w:t>
      </w:r>
      <w:r w:rsidRPr="008924E0">
        <w:rPr>
          <w:lang w:val="bs-Latn-BA"/>
        </w:rPr>
        <w:t>.-</w:t>
      </w:r>
      <w:r>
        <w:rPr>
          <w:lang w:val="bs-Latn-BA"/>
        </w:rPr>
        <w:t>11</w:t>
      </w:r>
      <w:r w:rsidRPr="008924E0">
        <w:rPr>
          <w:lang w:val="bs-Latn-BA"/>
        </w:rPr>
        <w:t>.</w:t>
      </w:r>
      <w:r w:rsidR="005835FA">
        <w:rPr>
          <w:lang w:val="bs-Latn-BA"/>
        </w:rPr>
        <w:t>2.3</w:t>
      </w:r>
      <w:r w:rsidRPr="008924E0">
        <w:rPr>
          <w:lang w:val="bs-Latn-BA"/>
        </w:rPr>
        <w:t xml:space="preserve">. je predstavljen pregled osnovnih karakteristika stambenog fonda za početnu i ciljnu godinu (2050. godina). Vidi se da je planirani porast broja novoizgrađenih zgrada uz </w:t>
      </w:r>
      <w:r>
        <w:rPr>
          <w:lang w:val="bs-Latn-BA"/>
        </w:rPr>
        <w:t>smanjenje</w:t>
      </w:r>
      <w:r w:rsidRPr="008924E0">
        <w:rPr>
          <w:lang w:val="bs-Latn-BA"/>
        </w:rPr>
        <w:t xml:space="preserve"> ukupne potrošnje stambenog fonda</w:t>
      </w:r>
      <w:r>
        <w:rPr>
          <w:lang w:val="bs-Latn-BA"/>
        </w:rPr>
        <w:t xml:space="preserve"> za sve scenarije obnove,</w:t>
      </w:r>
      <w:r w:rsidRPr="008924E0">
        <w:rPr>
          <w:lang w:val="bs-Latn-BA"/>
        </w:rPr>
        <w:t xml:space="preserve"> što je rezultat primjene mjera energijske </w:t>
      </w:r>
      <w:r>
        <w:rPr>
          <w:lang w:val="bs-Latn-BA"/>
        </w:rPr>
        <w:t>obnove</w:t>
      </w:r>
      <w:r w:rsidRPr="008924E0">
        <w:rPr>
          <w:lang w:val="bs-Latn-BA"/>
        </w:rPr>
        <w:t xml:space="preserve">. </w:t>
      </w:r>
    </w:p>
    <w:p w14:paraId="0C9E62F1" w14:textId="77777777" w:rsidR="001A4D88" w:rsidRDefault="001A4D88" w:rsidP="001A4D88">
      <w:pPr>
        <w:shd w:val="clear" w:color="auto" w:fill="FFFFFF"/>
        <w:spacing w:after="120" w:line="276" w:lineRule="auto"/>
        <w:rPr>
          <w:lang w:val="bs-Latn-BA"/>
        </w:rPr>
      </w:pPr>
      <w:r w:rsidRPr="008924E0">
        <w:rPr>
          <w:lang w:val="bs-Latn-BA"/>
        </w:rPr>
        <w:lastRenderedPageBreak/>
        <w:t xml:space="preserve">Ukupan broja zgrada obuhvaćenih programom </w:t>
      </w:r>
      <w:r>
        <w:rPr>
          <w:lang w:val="bs-Latn-BA"/>
        </w:rPr>
        <w:t>obnove</w:t>
      </w:r>
      <w:r w:rsidRPr="008924E0">
        <w:rPr>
          <w:lang w:val="bs-Latn-BA"/>
        </w:rPr>
        <w:t xml:space="preserve"> za tri razmatrana scenarija iznosi 95.173 (</w:t>
      </w:r>
      <w:r>
        <w:rPr>
          <w:lang w:val="bs-Latn-BA"/>
        </w:rPr>
        <w:t xml:space="preserve">obnova </w:t>
      </w:r>
      <w:r w:rsidRPr="008924E0">
        <w:rPr>
          <w:lang w:val="bs-Latn-BA"/>
        </w:rPr>
        <w:t xml:space="preserve">0,8% korisne grijane površine </w:t>
      </w:r>
      <w:r>
        <w:rPr>
          <w:lang w:val="bs-Latn-BA"/>
        </w:rPr>
        <w:t>godišnje</w:t>
      </w:r>
      <w:r w:rsidRPr="008924E0">
        <w:rPr>
          <w:lang w:val="bs-Latn-BA"/>
        </w:rPr>
        <w:t xml:space="preserve">) do </w:t>
      </w:r>
      <w:r>
        <w:rPr>
          <w:lang w:val="bs-Latn-BA"/>
        </w:rPr>
        <w:t>177.663</w:t>
      </w:r>
      <w:r w:rsidRPr="008924E0">
        <w:rPr>
          <w:lang w:val="bs-Latn-BA"/>
        </w:rPr>
        <w:t xml:space="preserve"> (</w:t>
      </w:r>
      <w:r>
        <w:rPr>
          <w:lang w:val="bs-Latn-BA"/>
        </w:rPr>
        <w:t>obnova 1,5</w:t>
      </w:r>
      <w:r w:rsidRPr="008924E0">
        <w:rPr>
          <w:lang w:val="bs-Latn-BA"/>
        </w:rPr>
        <w:t xml:space="preserve">% korisne grijane površine </w:t>
      </w:r>
      <w:r>
        <w:rPr>
          <w:lang w:val="bs-Latn-BA"/>
        </w:rPr>
        <w:t>godišnje</w:t>
      </w:r>
      <w:r w:rsidRPr="008924E0">
        <w:rPr>
          <w:lang w:val="bs-Latn-BA"/>
        </w:rPr>
        <w:t xml:space="preserve">).  Ukupno </w:t>
      </w:r>
      <w:r>
        <w:rPr>
          <w:lang w:val="bs-Latn-BA"/>
        </w:rPr>
        <w:t>obnovljena</w:t>
      </w:r>
      <w:r w:rsidRPr="008924E0">
        <w:rPr>
          <w:lang w:val="bs-Latn-BA"/>
        </w:rPr>
        <w:t xml:space="preserve"> korisna grijana površina zgrada iznosi 12.588.276 m</w:t>
      </w:r>
      <w:r w:rsidRPr="008924E0">
        <w:rPr>
          <w:vertAlign w:val="superscript"/>
          <w:lang w:val="bs-Latn-BA"/>
        </w:rPr>
        <w:t xml:space="preserve">2 </w:t>
      </w:r>
      <w:r w:rsidRPr="008924E0">
        <w:rPr>
          <w:lang w:val="bs-Latn-BA"/>
        </w:rPr>
        <w:t>(</w:t>
      </w:r>
      <w:r>
        <w:rPr>
          <w:lang w:val="bs-Latn-BA"/>
        </w:rPr>
        <w:t xml:space="preserve">obnova </w:t>
      </w:r>
      <w:r w:rsidRPr="008924E0">
        <w:rPr>
          <w:lang w:val="bs-Latn-BA"/>
        </w:rPr>
        <w:t>0,8</w:t>
      </w:r>
      <w:r>
        <w:rPr>
          <w:lang w:val="bs-Latn-BA"/>
        </w:rPr>
        <w:t xml:space="preserve"> </w:t>
      </w:r>
      <w:r w:rsidRPr="008924E0">
        <w:rPr>
          <w:lang w:val="bs-Latn-BA"/>
        </w:rPr>
        <w:t xml:space="preserve">% korisne grijane površine </w:t>
      </w:r>
      <w:r>
        <w:rPr>
          <w:lang w:val="bs-Latn-BA"/>
        </w:rPr>
        <w:t>godišnje</w:t>
      </w:r>
      <w:r w:rsidRPr="008924E0">
        <w:rPr>
          <w:lang w:val="bs-Latn-BA"/>
        </w:rPr>
        <w:t>)</w:t>
      </w:r>
      <w:r>
        <w:rPr>
          <w:lang w:val="bs-Latn-BA"/>
        </w:rPr>
        <w:t xml:space="preserve"> </w:t>
      </w:r>
      <w:r w:rsidRPr="008924E0">
        <w:rPr>
          <w:lang w:val="bs-Latn-BA"/>
        </w:rPr>
        <w:t xml:space="preserve">do </w:t>
      </w:r>
      <w:r w:rsidRPr="00BA5781">
        <w:rPr>
          <w:lang w:val="bs-Latn-BA"/>
        </w:rPr>
        <w:t>23.483.657</w:t>
      </w:r>
      <w:r w:rsidRPr="008924E0">
        <w:rPr>
          <w:lang w:val="bs-Latn-BA"/>
        </w:rPr>
        <w:t xml:space="preserve"> m</w:t>
      </w:r>
      <w:r w:rsidRPr="008924E0">
        <w:rPr>
          <w:vertAlign w:val="superscript"/>
          <w:lang w:val="bs-Latn-BA"/>
        </w:rPr>
        <w:t xml:space="preserve">2 </w:t>
      </w:r>
      <w:r w:rsidRPr="008924E0">
        <w:rPr>
          <w:lang w:val="bs-Latn-BA"/>
        </w:rPr>
        <w:t>(</w:t>
      </w:r>
      <w:r>
        <w:rPr>
          <w:lang w:val="bs-Latn-BA"/>
        </w:rPr>
        <w:t xml:space="preserve">obnova 1,5 </w:t>
      </w:r>
      <w:r w:rsidRPr="008924E0">
        <w:rPr>
          <w:lang w:val="bs-Latn-BA"/>
        </w:rPr>
        <w:t xml:space="preserve">% korisne grijane površine </w:t>
      </w:r>
      <w:r>
        <w:rPr>
          <w:lang w:val="bs-Latn-BA"/>
        </w:rPr>
        <w:t>godišnje</w:t>
      </w:r>
      <w:r w:rsidRPr="008924E0">
        <w:rPr>
          <w:lang w:val="bs-Latn-BA"/>
        </w:rPr>
        <w:t xml:space="preserve">). Kao rezultat primjene mjera </w:t>
      </w:r>
      <w:r>
        <w:rPr>
          <w:lang w:val="bs-Latn-BA"/>
        </w:rPr>
        <w:t>obnove</w:t>
      </w:r>
      <w:r w:rsidRPr="008924E0">
        <w:rPr>
          <w:lang w:val="bs-Latn-BA"/>
        </w:rPr>
        <w:t xml:space="preserve"> očekuje se ušteda u potrošnji energije od </w:t>
      </w:r>
      <w:r>
        <w:rPr>
          <w:lang w:val="bs-Latn-BA"/>
        </w:rPr>
        <w:t>1.893</w:t>
      </w:r>
      <w:r w:rsidRPr="008924E0">
        <w:rPr>
          <w:lang w:val="bs-Latn-BA"/>
        </w:rPr>
        <w:t xml:space="preserve"> GWh (</w:t>
      </w:r>
      <w:r>
        <w:rPr>
          <w:lang w:val="bs-Latn-BA"/>
        </w:rPr>
        <w:t>obnova 0,8</w:t>
      </w:r>
      <w:r w:rsidRPr="008924E0">
        <w:rPr>
          <w:lang w:val="bs-Latn-BA"/>
        </w:rPr>
        <w:t xml:space="preserve"> % korisne grijane površine </w:t>
      </w:r>
      <w:r>
        <w:rPr>
          <w:lang w:val="bs-Latn-BA"/>
        </w:rPr>
        <w:t>godišnje</w:t>
      </w:r>
      <w:r w:rsidRPr="008924E0">
        <w:rPr>
          <w:lang w:val="bs-Latn-BA"/>
        </w:rPr>
        <w:t xml:space="preserve">) do </w:t>
      </w:r>
      <w:r>
        <w:rPr>
          <w:lang w:val="bs-Latn-BA"/>
        </w:rPr>
        <w:t>3.532</w:t>
      </w:r>
      <w:r w:rsidRPr="008924E0">
        <w:rPr>
          <w:lang w:val="bs-Latn-BA"/>
        </w:rPr>
        <w:t xml:space="preserve"> GWh (</w:t>
      </w:r>
      <w:r>
        <w:rPr>
          <w:lang w:val="bs-Latn-BA"/>
        </w:rPr>
        <w:t xml:space="preserve">obnova 1,5 </w:t>
      </w:r>
      <w:r w:rsidRPr="008924E0">
        <w:rPr>
          <w:lang w:val="bs-Latn-BA"/>
        </w:rPr>
        <w:t xml:space="preserve">% korisne grijane površine </w:t>
      </w:r>
      <w:r>
        <w:rPr>
          <w:lang w:val="bs-Latn-BA"/>
        </w:rPr>
        <w:t>godišnje</w:t>
      </w:r>
      <w:r w:rsidRPr="008924E0">
        <w:rPr>
          <w:lang w:val="bs-Latn-BA"/>
        </w:rPr>
        <w:t>). Kumulativna ušteda emisije CO</w:t>
      </w:r>
      <w:r w:rsidRPr="008924E0">
        <w:rPr>
          <w:vertAlign w:val="subscript"/>
          <w:lang w:val="bs-Latn-BA"/>
        </w:rPr>
        <w:t>2</w:t>
      </w:r>
      <w:r w:rsidRPr="008924E0">
        <w:rPr>
          <w:lang w:val="bs-Latn-BA"/>
        </w:rPr>
        <w:t xml:space="preserve"> ima najmanje varijacije</w:t>
      </w:r>
      <w:r>
        <w:rPr>
          <w:lang w:val="bs-Latn-BA"/>
        </w:rPr>
        <w:t>,</w:t>
      </w:r>
      <w:r w:rsidRPr="008924E0">
        <w:rPr>
          <w:lang w:val="bs-Latn-BA"/>
        </w:rPr>
        <w:t xml:space="preserve"> od 1.</w:t>
      </w:r>
      <w:r>
        <w:rPr>
          <w:lang w:val="bs-Latn-BA"/>
        </w:rPr>
        <w:t>481</w:t>
      </w:r>
      <w:r w:rsidRPr="008924E0">
        <w:rPr>
          <w:lang w:val="bs-Latn-BA"/>
        </w:rPr>
        <w:t>·10</w:t>
      </w:r>
      <w:r>
        <w:rPr>
          <w:vertAlign w:val="superscript"/>
          <w:lang w:val="bs-Latn-BA"/>
        </w:rPr>
        <w:t>3</w:t>
      </w:r>
      <w:r w:rsidRPr="008924E0">
        <w:rPr>
          <w:lang w:val="bs-Latn-BA"/>
        </w:rPr>
        <w:t xml:space="preserve"> t za nivo </w:t>
      </w:r>
      <w:r>
        <w:rPr>
          <w:lang w:val="bs-Latn-BA"/>
        </w:rPr>
        <w:t>obnove</w:t>
      </w:r>
      <w:r w:rsidRPr="008924E0">
        <w:rPr>
          <w:lang w:val="bs-Latn-BA"/>
        </w:rPr>
        <w:t xml:space="preserve"> </w:t>
      </w:r>
      <w:r>
        <w:rPr>
          <w:lang w:val="bs-Latn-BA"/>
        </w:rPr>
        <w:t>od 0,8</w:t>
      </w:r>
      <w:r w:rsidRPr="008924E0">
        <w:rPr>
          <w:lang w:val="bs-Latn-BA"/>
        </w:rPr>
        <w:t xml:space="preserve"> %</w:t>
      </w:r>
      <w:r>
        <w:rPr>
          <w:lang w:val="bs-Latn-BA"/>
        </w:rPr>
        <w:t xml:space="preserve"> </w:t>
      </w:r>
      <w:r w:rsidRPr="008924E0">
        <w:rPr>
          <w:lang w:val="bs-Latn-BA"/>
        </w:rPr>
        <w:t xml:space="preserve">korisne grijane površine </w:t>
      </w:r>
      <w:r>
        <w:rPr>
          <w:lang w:val="bs-Latn-BA"/>
        </w:rPr>
        <w:t>godišnje</w:t>
      </w:r>
      <w:r w:rsidRPr="008924E0">
        <w:rPr>
          <w:lang w:val="bs-Latn-BA"/>
        </w:rPr>
        <w:t xml:space="preserve"> do 1.</w:t>
      </w:r>
      <w:r>
        <w:rPr>
          <w:lang w:val="bs-Latn-BA"/>
        </w:rPr>
        <w:t>507</w:t>
      </w:r>
      <w:r w:rsidRPr="008924E0">
        <w:rPr>
          <w:lang w:val="bs-Latn-BA"/>
        </w:rPr>
        <w:t>·10</w:t>
      </w:r>
      <w:r>
        <w:rPr>
          <w:vertAlign w:val="superscript"/>
          <w:lang w:val="bs-Latn-BA"/>
        </w:rPr>
        <w:t>3</w:t>
      </w:r>
      <w:r w:rsidRPr="008924E0">
        <w:rPr>
          <w:lang w:val="bs-Latn-BA"/>
        </w:rPr>
        <w:t xml:space="preserve"> t za nivo </w:t>
      </w:r>
      <w:r>
        <w:rPr>
          <w:lang w:val="bs-Latn-BA"/>
        </w:rPr>
        <w:t>obnove</w:t>
      </w:r>
      <w:r w:rsidRPr="008924E0">
        <w:rPr>
          <w:lang w:val="bs-Latn-BA"/>
        </w:rPr>
        <w:t xml:space="preserve"> </w:t>
      </w:r>
      <w:r>
        <w:rPr>
          <w:lang w:val="bs-Latn-BA"/>
        </w:rPr>
        <w:t xml:space="preserve">1,5 </w:t>
      </w:r>
      <w:r w:rsidRPr="008924E0">
        <w:rPr>
          <w:lang w:val="bs-Latn-BA"/>
        </w:rPr>
        <w:t xml:space="preserve">% korisne grijane površine </w:t>
      </w:r>
      <w:r>
        <w:rPr>
          <w:lang w:val="bs-Latn-BA"/>
        </w:rPr>
        <w:t>godišnje.</w:t>
      </w:r>
      <w:r w:rsidRPr="008924E0">
        <w:rPr>
          <w:lang w:val="bs-Latn-BA"/>
        </w:rPr>
        <w:t xml:space="preserve"> </w:t>
      </w:r>
    </w:p>
    <w:p w14:paraId="4245B864" w14:textId="7780376B" w:rsidR="005835FA" w:rsidRDefault="005835FA" w:rsidP="005835FA">
      <w:pPr>
        <w:pStyle w:val="Caption"/>
        <w:keepNext/>
      </w:pPr>
      <w:bookmarkStart w:id="241" w:name="_Toc133499640"/>
      <w:r>
        <w:t>Tabela 11.2.</w:t>
      </w:r>
      <w:r w:rsidR="00000000">
        <w:fldChar w:fldCharType="begin"/>
      </w:r>
      <w:r w:rsidR="00000000">
        <w:instrText xml:space="preserve"> SEQ Tabela_11.2. \* ARABIC </w:instrText>
      </w:r>
      <w:r w:rsidR="00000000">
        <w:fldChar w:fldCharType="separate"/>
      </w:r>
      <w:r>
        <w:rPr>
          <w:noProof/>
        </w:rPr>
        <w:t>1</w:t>
      </w:r>
      <w:r w:rsidR="00000000">
        <w:rPr>
          <w:noProof/>
        </w:rPr>
        <w:fldChar w:fldCharType="end"/>
      </w:r>
      <w:r>
        <w:t xml:space="preserve"> </w:t>
      </w:r>
      <w:r w:rsidRPr="00A321E1">
        <w:t>Postojeće i ciljne karakteristike stambenog fonda zgrada FBiH (godišnja obnova 0,8 % korisne grijane površine)</w:t>
      </w:r>
      <w:bookmarkEnd w:id="241"/>
    </w:p>
    <w:tbl>
      <w:tblPr>
        <w:tblStyle w:val="18"/>
        <w:tblW w:w="9072" w:type="dxa"/>
        <w:tblLayout w:type="fixed"/>
        <w:tblLook w:val="04A0" w:firstRow="1" w:lastRow="0" w:firstColumn="1" w:lastColumn="0" w:noHBand="0" w:noVBand="1"/>
      </w:tblPr>
      <w:tblGrid>
        <w:gridCol w:w="3686"/>
        <w:gridCol w:w="1276"/>
        <w:gridCol w:w="1417"/>
        <w:gridCol w:w="1418"/>
        <w:gridCol w:w="1275"/>
      </w:tblGrid>
      <w:tr w:rsidR="001A4D88" w:rsidRPr="008924E0" w14:paraId="4BDE5256" w14:textId="77777777" w:rsidTr="00122946">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686" w:type="dxa"/>
          </w:tcPr>
          <w:p w14:paraId="32F73583" w14:textId="77777777" w:rsidR="001A4D88" w:rsidRPr="008924E0" w:rsidRDefault="001A4D88" w:rsidP="00122946">
            <w:pPr>
              <w:rPr>
                <w:rFonts w:eastAsia="Calibri"/>
                <w:lang w:val="bs-Latn-BA"/>
              </w:rPr>
            </w:pPr>
            <w:r w:rsidRPr="008924E0">
              <w:rPr>
                <w:rFonts w:eastAsia="Calibri"/>
                <w:lang w:val="bs-Latn-BA"/>
              </w:rPr>
              <w:t xml:space="preserve">Karakteristike stambenog fonda </w:t>
            </w:r>
          </w:p>
        </w:tc>
        <w:tc>
          <w:tcPr>
            <w:tcW w:w="1276" w:type="dxa"/>
          </w:tcPr>
          <w:p w14:paraId="50CCBCCE"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5973F8FC"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417" w:type="dxa"/>
          </w:tcPr>
          <w:p w14:paraId="5123C6B2"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648A6AC3"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418" w:type="dxa"/>
          </w:tcPr>
          <w:p w14:paraId="2D2E9B59"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700A7D5F"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275" w:type="dxa"/>
          </w:tcPr>
          <w:p w14:paraId="5D788FC2"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752FF531"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1A4D88" w:rsidRPr="008924E0" w14:paraId="0CF5417D" w14:textId="77777777" w:rsidTr="001229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686" w:type="dxa"/>
          </w:tcPr>
          <w:p w14:paraId="2B0978B2" w14:textId="77777777" w:rsidR="001A4D88" w:rsidRPr="008924E0" w:rsidRDefault="001A4D88" w:rsidP="00122946">
            <w:pPr>
              <w:rPr>
                <w:rFonts w:eastAsia="Calibri"/>
                <w:lang w:val="bs-Latn-BA"/>
              </w:rPr>
            </w:pPr>
            <w:r w:rsidRPr="008924E0">
              <w:rPr>
                <w:lang w:val="bs-Latn-BA"/>
              </w:rPr>
              <w:t xml:space="preserve">Broj zgrada </w:t>
            </w:r>
          </w:p>
        </w:tc>
        <w:tc>
          <w:tcPr>
            <w:tcW w:w="1276" w:type="dxa"/>
            <w:vAlign w:val="center"/>
          </w:tcPr>
          <w:p w14:paraId="25681B22"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688.864</w:t>
            </w:r>
          </w:p>
        </w:tc>
        <w:tc>
          <w:tcPr>
            <w:tcW w:w="1417" w:type="dxa"/>
            <w:vAlign w:val="center"/>
          </w:tcPr>
          <w:p w14:paraId="25E5B25B"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786.600</w:t>
            </w:r>
          </w:p>
        </w:tc>
        <w:tc>
          <w:tcPr>
            <w:tcW w:w="1418" w:type="dxa"/>
            <w:vAlign w:val="center"/>
          </w:tcPr>
          <w:p w14:paraId="77F82013"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874.864</w:t>
            </w:r>
          </w:p>
        </w:tc>
        <w:tc>
          <w:tcPr>
            <w:tcW w:w="1275" w:type="dxa"/>
            <w:vAlign w:val="center"/>
          </w:tcPr>
          <w:p w14:paraId="04F38300"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990.286</w:t>
            </w:r>
          </w:p>
        </w:tc>
      </w:tr>
      <w:tr w:rsidR="001A4D88" w:rsidRPr="008924E0" w14:paraId="73F25B9F" w14:textId="77777777" w:rsidTr="00122946">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686" w:type="dxa"/>
          </w:tcPr>
          <w:p w14:paraId="37DE0B83" w14:textId="77777777" w:rsidR="001A4D88" w:rsidRPr="008924E0" w:rsidRDefault="001A4D88" w:rsidP="00122946">
            <w:pPr>
              <w:rPr>
                <w:rFonts w:eastAsia="Calibri"/>
                <w:lang w:val="bs-Latn-BA"/>
              </w:rPr>
            </w:pPr>
            <w:r w:rsidRPr="008924E0">
              <w:rPr>
                <w:lang w:val="bs-Latn-BA"/>
              </w:rPr>
              <w:t>Potrošnja energije, GWh/god.</w:t>
            </w:r>
          </w:p>
        </w:tc>
        <w:tc>
          <w:tcPr>
            <w:tcW w:w="1276" w:type="dxa"/>
          </w:tcPr>
          <w:p w14:paraId="5C6C75C8"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11.107</w:t>
            </w:r>
          </w:p>
        </w:tc>
        <w:tc>
          <w:tcPr>
            <w:tcW w:w="1417" w:type="dxa"/>
          </w:tcPr>
          <w:p w14:paraId="47EF67A7"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11.145</w:t>
            </w:r>
          </w:p>
        </w:tc>
        <w:tc>
          <w:tcPr>
            <w:tcW w:w="1418" w:type="dxa"/>
          </w:tcPr>
          <w:p w14:paraId="46683E05"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10.942</w:t>
            </w:r>
          </w:p>
        </w:tc>
        <w:tc>
          <w:tcPr>
            <w:tcW w:w="1275" w:type="dxa"/>
          </w:tcPr>
          <w:p w14:paraId="2820232E"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10.625</w:t>
            </w:r>
          </w:p>
        </w:tc>
      </w:tr>
      <w:tr w:rsidR="001A4D88" w:rsidRPr="008924E0" w14:paraId="12385D93" w14:textId="77777777" w:rsidTr="001229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686" w:type="dxa"/>
          </w:tcPr>
          <w:p w14:paraId="33B1E0A4" w14:textId="77777777" w:rsidR="001A4D88" w:rsidRPr="008924E0" w:rsidRDefault="001A4D88" w:rsidP="00122946">
            <w:pPr>
              <w:rPr>
                <w:rFonts w:eastAsia="Calibri"/>
                <w:lang w:val="bs-Latn-BA"/>
              </w:rPr>
            </w:pPr>
            <w:r w:rsidRPr="008924E0">
              <w:rPr>
                <w:lang w:val="bs-Latn-BA"/>
              </w:rPr>
              <w:t xml:space="preserve">Broj zgrada obuhvaćenih </w:t>
            </w:r>
            <w:r>
              <w:rPr>
                <w:lang w:val="bs-Latn-BA"/>
              </w:rPr>
              <w:t>obnovom</w:t>
            </w:r>
          </w:p>
        </w:tc>
        <w:tc>
          <w:tcPr>
            <w:tcW w:w="1276" w:type="dxa"/>
          </w:tcPr>
          <w:p w14:paraId="4A03D369"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0</w:t>
            </w:r>
          </w:p>
        </w:tc>
        <w:tc>
          <w:tcPr>
            <w:tcW w:w="1417" w:type="dxa"/>
          </w:tcPr>
          <w:p w14:paraId="0FD24933"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17.536</w:t>
            </w:r>
          </w:p>
        </w:tc>
        <w:tc>
          <w:tcPr>
            <w:tcW w:w="1418" w:type="dxa"/>
          </w:tcPr>
          <w:p w14:paraId="114EEC24"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56.354</w:t>
            </w:r>
          </w:p>
        </w:tc>
        <w:tc>
          <w:tcPr>
            <w:tcW w:w="1275" w:type="dxa"/>
          </w:tcPr>
          <w:p w14:paraId="1BC5E6EA"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95.173</w:t>
            </w:r>
          </w:p>
        </w:tc>
      </w:tr>
      <w:tr w:rsidR="001A4D88" w:rsidRPr="008924E0" w14:paraId="08C2ED38" w14:textId="77777777" w:rsidTr="00122946">
        <w:trPr>
          <w:cnfStyle w:val="000000010000" w:firstRow="0" w:lastRow="0" w:firstColumn="0" w:lastColumn="0" w:oddVBand="0" w:evenVBand="0" w:oddHBand="0" w:evenHBand="1"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686" w:type="dxa"/>
          </w:tcPr>
          <w:p w14:paraId="176A9D95" w14:textId="77777777" w:rsidR="001A4D88" w:rsidRPr="008924E0" w:rsidRDefault="001A4D88" w:rsidP="00122946">
            <w:pPr>
              <w:rPr>
                <w:rFonts w:eastAsia="Calibri"/>
                <w:lang w:val="bs-Latn-BA"/>
              </w:rPr>
            </w:pPr>
            <w:r>
              <w:rPr>
                <w:lang w:val="bs-Latn-BA"/>
              </w:rPr>
              <w:t>Obnovljena</w:t>
            </w:r>
            <w:r w:rsidRPr="008924E0">
              <w:rPr>
                <w:lang w:val="bs-Latn-BA"/>
              </w:rPr>
              <w:t xml:space="preserve"> korisna površina, m</w:t>
            </w:r>
            <w:r w:rsidRPr="008924E0">
              <w:rPr>
                <w:vertAlign w:val="superscript"/>
                <w:lang w:val="bs-Latn-BA"/>
              </w:rPr>
              <w:t>2</w:t>
            </w:r>
          </w:p>
        </w:tc>
        <w:tc>
          <w:tcPr>
            <w:tcW w:w="1276" w:type="dxa"/>
          </w:tcPr>
          <w:p w14:paraId="702C140C"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0</w:t>
            </w:r>
          </w:p>
        </w:tc>
        <w:tc>
          <w:tcPr>
            <w:tcW w:w="1417" w:type="dxa"/>
          </w:tcPr>
          <w:p w14:paraId="660A1608"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4.473.752</w:t>
            </w:r>
          </w:p>
        </w:tc>
        <w:tc>
          <w:tcPr>
            <w:tcW w:w="1418" w:type="dxa"/>
          </w:tcPr>
          <w:p w14:paraId="2BFC0C8C"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8.535.532</w:t>
            </w:r>
          </w:p>
        </w:tc>
        <w:tc>
          <w:tcPr>
            <w:tcW w:w="1275" w:type="dxa"/>
          </w:tcPr>
          <w:p w14:paraId="7F7A0FF4"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12.588.276</w:t>
            </w:r>
          </w:p>
        </w:tc>
      </w:tr>
      <w:tr w:rsidR="001A4D88" w:rsidRPr="008924E0" w14:paraId="2F217C9A" w14:textId="77777777" w:rsidTr="001229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686" w:type="dxa"/>
          </w:tcPr>
          <w:p w14:paraId="39132E46" w14:textId="77777777" w:rsidR="001A4D88" w:rsidRPr="008924E0" w:rsidRDefault="001A4D88" w:rsidP="00122946">
            <w:pPr>
              <w:rPr>
                <w:rFonts w:eastAsia="Calibri"/>
                <w:lang w:val="bs-Latn-BA"/>
              </w:rPr>
            </w:pPr>
            <w:r>
              <w:rPr>
                <w:lang w:val="bs-Latn-BA"/>
              </w:rPr>
              <w:t>Obnovljena</w:t>
            </w:r>
            <w:r w:rsidRPr="008924E0">
              <w:rPr>
                <w:lang w:val="bs-Latn-BA"/>
              </w:rPr>
              <w:t xml:space="preserve"> bruto površina, m</w:t>
            </w:r>
            <w:r w:rsidRPr="008924E0">
              <w:rPr>
                <w:vertAlign w:val="superscript"/>
                <w:lang w:val="bs-Latn-BA"/>
              </w:rPr>
              <w:t>2</w:t>
            </w:r>
          </w:p>
        </w:tc>
        <w:tc>
          <w:tcPr>
            <w:tcW w:w="1276" w:type="dxa"/>
          </w:tcPr>
          <w:p w14:paraId="2FE2FE5C"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0</w:t>
            </w:r>
          </w:p>
        </w:tc>
        <w:tc>
          <w:tcPr>
            <w:tcW w:w="1417" w:type="dxa"/>
          </w:tcPr>
          <w:p w14:paraId="3244DB7A"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6.867.064</w:t>
            </w:r>
          </w:p>
        </w:tc>
        <w:tc>
          <w:tcPr>
            <w:tcW w:w="1418" w:type="dxa"/>
          </w:tcPr>
          <w:p w14:paraId="16A498CF"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13.397.025</w:t>
            </w:r>
          </w:p>
        </w:tc>
        <w:tc>
          <w:tcPr>
            <w:tcW w:w="1275" w:type="dxa"/>
          </w:tcPr>
          <w:p w14:paraId="43870D99"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19.913.425</w:t>
            </w:r>
          </w:p>
        </w:tc>
      </w:tr>
      <w:tr w:rsidR="001A4D88" w:rsidRPr="008924E0" w14:paraId="416A0AEA" w14:textId="77777777" w:rsidTr="00122946">
        <w:trPr>
          <w:cnfStyle w:val="000000010000" w:firstRow="0" w:lastRow="0" w:firstColumn="0" w:lastColumn="0" w:oddVBand="0" w:evenVBand="0" w:oddHBand="0" w:evenHBand="1"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3686" w:type="dxa"/>
          </w:tcPr>
          <w:p w14:paraId="32B5E781" w14:textId="77777777" w:rsidR="001A4D88" w:rsidRPr="008924E0" w:rsidRDefault="001A4D88" w:rsidP="00122946">
            <w:pPr>
              <w:rPr>
                <w:rFonts w:eastAsia="Calibri"/>
                <w:lang w:val="bs-Latn-BA"/>
              </w:rPr>
            </w:pPr>
            <w:r w:rsidRPr="008924E0">
              <w:rPr>
                <w:rFonts w:eastAsia="Calibri"/>
                <w:lang w:val="bs-Latn-BA"/>
              </w:rPr>
              <w:t xml:space="preserve">Ušteda energije primjenom mjera energijske </w:t>
            </w:r>
            <w:r>
              <w:rPr>
                <w:rFonts w:eastAsia="Calibri"/>
                <w:lang w:val="bs-Latn-BA"/>
              </w:rPr>
              <w:t>obnove</w:t>
            </w:r>
            <w:r w:rsidRPr="008924E0">
              <w:rPr>
                <w:rFonts w:eastAsia="Calibri"/>
                <w:lang w:val="bs-Latn-BA"/>
              </w:rPr>
              <w:t>, GWh</w:t>
            </w:r>
          </w:p>
        </w:tc>
        <w:tc>
          <w:tcPr>
            <w:tcW w:w="1276" w:type="dxa"/>
            <w:vAlign w:val="center"/>
          </w:tcPr>
          <w:p w14:paraId="077F0540"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1417" w:type="dxa"/>
            <w:vAlign w:val="center"/>
          </w:tcPr>
          <w:p w14:paraId="2EF9235F"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497</w:t>
            </w:r>
          </w:p>
        </w:tc>
        <w:tc>
          <w:tcPr>
            <w:tcW w:w="1418" w:type="dxa"/>
            <w:vAlign w:val="center"/>
          </w:tcPr>
          <w:p w14:paraId="26CEB30E"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1.153</w:t>
            </w:r>
          </w:p>
        </w:tc>
        <w:tc>
          <w:tcPr>
            <w:tcW w:w="1275" w:type="dxa"/>
            <w:vAlign w:val="center"/>
          </w:tcPr>
          <w:p w14:paraId="62B7D4C2"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1.893</w:t>
            </w:r>
          </w:p>
        </w:tc>
      </w:tr>
      <w:tr w:rsidR="001A4D88" w:rsidRPr="008924E0" w14:paraId="3648C6FD" w14:textId="77777777" w:rsidTr="00122946">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686" w:type="dxa"/>
          </w:tcPr>
          <w:p w14:paraId="1C319730" w14:textId="77777777" w:rsidR="001A4D88" w:rsidRPr="008924E0" w:rsidRDefault="001A4D88" w:rsidP="00122946">
            <w:pPr>
              <w:rPr>
                <w:rFonts w:eastAsia="Calibri"/>
                <w:lang w:val="bs-Latn-BA"/>
              </w:rPr>
            </w:pPr>
            <w:r w:rsidRPr="008924E0">
              <w:rPr>
                <w:rFonts w:eastAsia="Calibri"/>
                <w:lang w:val="bs-Latn-BA"/>
              </w:rPr>
              <w:t>Ušteda emisije CO</w:t>
            </w:r>
            <w:r w:rsidRPr="008924E0">
              <w:rPr>
                <w:rFonts w:eastAsia="Calibri"/>
                <w:vertAlign w:val="subscript"/>
                <w:lang w:val="bs-Latn-BA"/>
              </w:rPr>
              <w:t>2</w:t>
            </w:r>
            <w:r w:rsidRPr="008924E0">
              <w:rPr>
                <w:rFonts w:eastAsia="Calibri"/>
                <w:lang w:val="bs-Latn-BA"/>
              </w:rPr>
              <w:t>, 10</w:t>
            </w:r>
            <w:r>
              <w:rPr>
                <w:rFonts w:eastAsia="Calibri"/>
                <w:vertAlign w:val="superscript"/>
                <w:lang w:val="bs-Latn-BA"/>
              </w:rPr>
              <w:t>3</w:t>
            </w:r>
            <w:r w:rsidRPr="008924E0">
              <w:rPr>
                <w:rFonts w:eastAsia="Calibri"/>
                <w:lang w:val="bs-Latn-BA"/>
              </w:rPr>
              <w:t>t/god.</w:t>
            </w:r>
          </w:p>
        </w:tc>
        <w:tc>
          <w:tcPr>
            <w:tcW w:w="1276" w:type="dxa"/>
            <w:vAlign w:val="center"/>
          </w:tcPr>
          <w:p w14:paraId="3581E0A8"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1417" w:type="dxa"/>
            <w:vAlign w:val="center"/>
          </w:tcPr>
          <w:p w14:paraId="52946D2A"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996</w:t>
            </w:r>
          </w:p>
        </w:tc>
        <w:tc>
          <w:tcPr>
            <w:tcW w:w="1418" w:type="dxa"/>
            <w:vAlign w:val="center"/>
          </w:tcPr>
          <w:p w14:paraId="232CBFD3"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1.349</w:t>
            </w:r>
          </w:p>
        </w:tc>
        <w:tc>
          <w:tcPr>
            <w:tcW w:w="1275" w:type="dxa"/>
            <w:vAlign w:val="center"/>
          </w:tcPr>
          <w:p w14:paraId="06C7B3C8"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1.481</w:t>
            </w:r>
          </w:p>
        </w:tc>
      </w:tr>
    </w:tbl>
    <w:p w14:paraId="186AE999" w14:textId="617943EE" w:rsidR="001A4D88" w:rsidRPr="008924E0" w:rsidRDefault="001A4D88" w:rsidP="001A4D88">
      <w:pPr>
        <w:pStyle w:val="Caption"/>
        <w:keepNext/>
      </w:pPr>
    </w:p>
    <w:p w14:paraId="751E0F29" w14:textId="6BB3063D" w:rsidR="005835FA" w:rsidRDefault="005835FA" w:rsidP="005835FA">
      <w:pPr>
        <w:pStyle w:val="Caption"/>
        <w:keepNext/>
      </w:pPr>
      <w:bookmarkStart w:id="242" w:name="_Toc133499641"/>
      <w:r>
        <w:t>Tabela 11.2.</w:t>
      </w:r>
      <w:r w:rsidR="00000000">
        <w:fldChar w:fldCharType="begin"/>
      </w:r>
      <w:r w:rsidR="00000000">
        <w:instrText xml:space="preserve"> SEQ Tabela_11.2. \* ARABIC </w:instrText>
      </w:r>
      <w:r w:rsidR="00000000">
        <w:fldChar w:fldCharType="separate"/>
      </w:r>
      <w:r>
        <w:rPr>
          <w:noProof/>
        </w:rPr>
        <w:t>2</w:t>
      </w:r>
      <w:r w:rsidR="00000000">
        <w:rPr>
          <w:noProof/>
        </w:rPr>
        <w:fldChar w:fldCharType="end"/>
      </w:r>
      <w:r>
        <w:t xml:space="preserve"> </w:t>
      </w:r>
      <w:r w:rsidRPr="008924E0">
        <w:rPr>
          <w:rFonts w:eastAsia="Calibri"/>
          <w:color w:val="000000"/>
        </w:rPr>
        <w:t xml:space="preserve">Postojeće i ciljne karakteristike stambenog fonda zgrada FBiH (godišnja </w:t>
      </w:r>
      <w:r>
        <w:rPr>
          <w:rFonts w:eastAsia="Calibri"/>
          <w:color w:val="000000"/>
        </w:rPr>
        <w:t>obnova</w:t>
      </w:r>
      <w:r w:rsidRPr="008924E0">
        <w:rPr>
          <w:rFonts w:eastAsia="Calibri"/>
          <w:color w:val="000000"/>
        </w:rPr>
        <w:t xml:space="preserve"> 1,0 % korisne grijane površine)</w:t>
      </w:r>
      <w:bookmarkEnd w:id="242"/>
    </w:p>
    <w:tbl>
      <w:tblPr>
        <w:tblStyle w:val="12"/>
        <w:tblW w:w="5000" w:type="pct"/>
        <w:tblLook w:val="04A0" w:firstRow="1" w:lastRow="0" w:firstColumn="1" w:lastColumn="0" w:noHBand="0" w:noVBand="1"/>
      </w:tblPr>
      <w:tblGrid>
        <w:gridCol w:w="4140"/>
        <w:gridCol w:w="1042"/>
        <w:gridCol w:w="1408"/>
        <w:gridCol w:w="1294"/>
        <w:gridCol w:w="1143"/>
      </w:tblGrid>
      <w:tr w:rsidR="001A4D88" w:rsidRPr="008924E0" w14:paraId="6E690F68" w14:textId="77777777" w:rsidTr="0012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589050FF" w14:textId="77777777" w:rsidR="001A4D88" w:rsidRPr="008924E0" w:rsidRDefault="001A4D88" w:rsidP="00122946">
            <w:pPr>
              <w:rPr>
                <w:rFonts w:eastAsia="Calibri"/>
                <w:lang w:val="bs-Latn-BA"/>
              </w:rPr>
            </w:pPr>
            <w:r w:rsidRPr="008924E0">
              <w:rPr>
                <w:rFonts w:eastAsia="Calibri"/>
                <w:lang w:val="bs-Latn-BA"/>
              </w:rPr>
              <w:t xml:space="preserve">Karakteristike stambenog fonda </w:t>
            </w:r>
          </w:p>
        </w:tc>
        <w:tc>
          <w:tcPr>
            <w:tcW w:w="577" w:type="pct"/>
          </w:tcPr>
          <w:p w14:paraId="33802C3E"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572E05B0"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780" w:type="pct"/>
          </w:tcPr>
          <w:p w14:paraId="1B9D0F80"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73685DD1"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717" w:type="pct"/>
          </w:tcPr>
          <w:p w14:paraId="05E3FD3C"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1676A644"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633" w:type="pct"/>
          </w:tcPr>
          <w:p w14:paraId="60D52C68"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6D158A57"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1A4D88" w:rsidRPr="008924E0" w14:paraId="6D23DC4A"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4F8106E3" w14:textId="77777777" w:rsidR="001A4D88" w:rsidRPr="008924E0" w:rsidRDefault="001A4D88" w:rsidP="00122946">
            <w:pPr>
              <w:rPr>
                <w:rFonts w:eastAsia="Calibri"/>
                <w:lang w:val="bs-Latn-BA"/>
              </w:rPr>
            </w:pPr>
            <w:r w:rsidRPr="008924E0">
              <w:rPr>
                <w:lang w:val="bs-Latn-BA"/>
              </w:rPr>
              <w:t xml:space="preserve">Broj zgrada </w:t>
            </w:r>
          </w:p>
        </w:tc>
        <w:tc>
          <w:tcPr>
            <w:tcW w:w="577" w:type="pct"/>
            <w:vAlign w:val="center"/>
          </w:tcPr>
          <w:p w14:paraId="23F200EB"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688.864</w:t>
            </w:r>
          </w:p>
        </w:tc>
        <w:tc>
          <w:tcPr>
            <w:tcW w:w="780" w:type="pct"/>
            <w:vAlign w:val="center"/>
          </w:tcPr>
          <w:p w14:paraId="1619F1AB"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786.600</w:t>
            </w:r>
          </w:p>
        </w:tc>
        <w:tc>
          <w:tcPr>
            <w:tcW w:w="717" w:type="pct"/>
            <w:vAlign w:val="center"/>
          </w:tcPr>
          <w:p w14:paraId="7C58ECBB"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874.864</w:t>
            </w:r>
          </w:p>
        </w:tc>
        <w:tc>
          <w:tcPr>
            <w:tcW w:w="633" w:type="pct"/>
            <w:vAlign w:val="center"/>
          </w:tcPr>
          <w:p w14:paraId="7A7ECA4D"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990.286</w:t>
            </w:r>
          </w:p>
        </w:tc>
      </w:tr>
      <w:tr w:rsidR="001A4D88" w:rsidRPr="008924E0" w14:paraId="7572ADB5"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13C6E784" w14:textId="77777777" w:rsidR="001A4D88" w:rsidRPr="008924E0" w:rsidRDefault="001A4D88" w:rsidP="00122946">
            <w:pPr>
              <w:rPr>
                <w:rFonts w:eastAsia="Calibri"/>
                <w:lang w:val="bs-Latn-BA"/>
              </w:rPr>
            </w:pPr>
            <w:r w:rsidRPr="008924E0">
              <w:rPr>
                <w:lang w:val="bs-Latn-BA"/>
              </w:rPr>
              <w:t>Potrošnja energije, GWh/god.</w:t>
            </w:r>
          </w:p>
        </w:tc>
        <w:tc>
          <w:tcPr>
            <w:tcW w:w="577" w:type="pct"/>
          </w:tcPr>
          <w:p w14:paraId="50AC6455"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11.116</w:t>
            </w:r>
          </w:p>
        </w:tc>
        <w:tc>
          <w:tcPr>
            <w:tcW w:w="780" w:type="pct"/>
          </w:tcPr>
          <w:p w14:paraId="0091DF42"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11.027</w:t>
            </w:r>
          </w:p>
        </w:tc>
        <w:tc>
          <w:tcPr>
            <w:tcW w:w="717" w:type="pct"/>
          </w:tcPr>
          <w:p w14:paraId="772E9A4D"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10.702</w:t>
            </w:r>
          </w:p>
        </w:tc>
        <w:tc>
          <w:tcPr>
            <w:tcW w:w="633" w:type="pct"/>
          </w:tcPr>
          <w:p w14:paraId="51E26612"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10.246</w:t>
            </w:r>
          </w:p>
        </w:tc>
      </w:tr>
      <w:tr w:rsidR="001A4D88" w:rsidRPr="008924E0" w14:paraId="4CC19391"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4B7EEB8B" w14:textId="77777777" w:rsidR="001A4D88" w:rsidRPr="008924E0" w:rsidRDefault="001A4D88" w:rsidP="00122946">
            <w:pPr>
              <w:rPr>
                <w:rFonts w:eastAsia="Calibri"/>
                <w:lang w:val="bs-Latn-BA"/>
              </w:rPr>
            </w:pPr>
            <w:r w:rsidRPr="008924E0">
              <w:rPr>
                <w:lang w:val="bs-Latn-BA"/>
              </w:rPr>
              <w:t xml:space="preserve">Broj zgrada obuhvaćenih </w:t>
            </w:r>
            <w:r>
              <w:rPr>
                <w:lang w:val="bs-Latn-BA"/>
              </w:rPr>
              <w:t>obnovom</w:t>
            </w:r>
          </w:p>
        </w:tc>
        <w:tc>
          <w:tcPr>
            <w:tcW w:w="577" w:type="pct"/>
            <w:vAlign w:val="center"/>
          </w:tcPr>
          <w:p w14:paraId="5F1F17D3"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46E1DBCF"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20.702</w:t>
            </w:r>
          </w:p>
        </w:tc>
        <w:tc>
          <w:tcPr>
            <w:tcW w:w="717" w:type="pct"/>
            <w:vAlign w:val="center"/>
          </w:tcPr>
          <w:p w14:paraId="61BA6C17"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65.150</w:t>
            </w:r>
          </w:p>
        </w:tc>
        <w:tc>
          <w:tcPr>
            <w:tcW w:w="633" w:type="pct"/>
            <w:vAlign w:val="center"/>
          </w:tcPr>
          <w:p w14:paraId="47D18AAB"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109.596</w:t>
            </w:r>
          </w:p>
        </w:tc>
      </w:tr>
      <w:tr w:rsidR="001A4D88" w:rsidRPr="008924E0" w14:paraId="2F2D11F9"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39470C86" w14:textId="77777777" w:rsidR="001A4D88" w:rsidRPr="008924E0" w:rsidRDefault="001A4D88" w:rsidP="00122946">
            <w:pPr>
              <w:rPr>
                <w:rFonts w:eastAsia="Calibri"/>
                <w:lang w:val="bs-Latn-BA"/>
              </w:rPr>
            </w:pPr>
            <w:r>
              <w:rPr>
                <w:lang w:val="bs-Latn-BA"/>
              </w:rPr>
              <w:t>Obnovljena</w:t>
            </w:r>
            <w:r w:rsidRPr="008924E0">
              <w:rPr>
                <w:lang w:val="bs-Latn-BA"/>
              </w:rPr>
              <w:t xml:space="preserve"> korisna površina, m</w:t>
            </w:r>
            <w:r w:rsidRPr="008924E0">
              <w:rPr>
                <w:vertAlign w:val="superscript"/>
                <w:lang w:val="bs-Latn-BA"/>
              </w:rPr>
              <w:t>2</w:t>
            </w:r>
          </w:p>
        </w:tc>
        <w:tc>
          <w:tcPr>
            <w:tcW w:w="577" w:type="pct"/>
            <w:vAlign w:val="center"/>
          </w:tcPr>
          <w:p w14:paraId="75B84B44"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3A2C60B2"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5.595.873</w:t>
            </w:r>
          </w:p>
        </w:tc>
        <w:tc>
          <w:tcPr>
            <w:tcW w:w="717" w:type="pct"/>
            <w:vAlign w:val="center"/>
          </w:tcPr>
          <w:p w14:paraId="53866335"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10.486.478</w:t>
            </w:r>
          </w:p>
        </w:tc>
        <w:tc>
          <w:tcPr>
            <w:tcW w:w="633" w:type="pct"/>
            <w:vAlign w:val="center"/>
          </w:tcPr>
          <w:p w14:paraId="6598BA39"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15.365.563</w:t>
            </w:r>
          </w:p>
        </w:tc>
      </w:tr>
      <w:tr w:rsidR="001A4D88" w:rsidRPr="008924E0" w14:paraId="713BE4B9"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6F173B32" w14:textId="77777777" w:rsidR="001A4D88" w:rsidRPr="008924E0" w:rsidRDefault="001A4D88" w:rsidP="00122946">
            <w:pPr>
              <w:rPr>
                <w:rFonts w:eastAsia="Calibri"/>
                <w:lang w:val="bs-Latn-BA"/>
              </w:rPr>
            </w:pPr>
            <w:r>
              <w:rPr>
                <w:lang w:val="bs-Latn-BA"/>
              </w:rPr>
              <w:t>Obnovljena</w:t>
            </w:r>
            <w:r w:rsidRPr="008924E0">
              <w:rPr>
                <w:lang w:val="bs-Latn-BA"/>
              </w:rPr>
              <w:t xml:space="preserve"> bruto površina, m</w:t>
            </w:r>
            <w:r w:rsidRPr="008924E0">
              <w:rPr>
                <w:vertAlign w:val="superscript"/>
                <w:lang w:val="bs-Latn-BA"/>
              </w:rPr>
              <w:t>2</w:t>
            </w:r>
          </w:p>
        </w:tc>
        <w:tc>
          <w:tcPr>
            <w:tcW w:w="577" w:type="pct"/>
            <w:vAlign w:val="center"/>
          </w:tcPr>
          <w:p w14:paraId="6946E0C7"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5F2A169F"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8.573.595</w:t>
            </w:r>
          </w:p>
        </w:tc>
        <w:tc>
          <w:tcPr>
            <w:tcW w:w="717" w:type="pct"/>
            <w:vAlign w:val="center"/>
          </w:tcPr>
          <w:p w14:paraId="6CB2B3EA"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16.406.457</w:t>
            </w:r>
          </w:p>
        </w:tc>
        <w:tc>
          <w:tcPr>
            <w:tcW w:w="633" w:type="pct"/>
            <w:vAlign w:val="center"/>
          </w:tcPr>
          <w:p w14:paraId="1EAD1644"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24.222.026</w:t>
            </w:r>
          </w:p>
        </w:tc>
      </w:tr>
      <w:tr w:rsidR="001A4D88" w:rsidRPr="008924E0" w14:paraId="651903FD"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21C28BFD" w14:textId="77777777" w:rsidR="001A4D88" w:rsidRPr="008924E0" w:rsidRDefault="001A4D88" w:rsidP="00122946">
            <w:pPr>
              <w:rPr>
                <w:rFonts w:eastAsia="Calibri"/>
                <w:lang w:val="bs-Latn-BA"/>
              </w:rPr>
            </w:pPr>
            <w:r w:rsidRPr="008924E0">
              <w:rPr>
                <w:rFonts w:eastAsia="Calibri"/>
                <w:lang w:val="bs-Latn-BA"/>
              </w:rPr>
              <w:t xml:space="preserve">Ušteda energije primjenom mjera energijske </w:t>
            </w:r>
            <w:r>
              <w:rPr>
                <w:rFonts w:eastAsia="Calibri"/>
                <w:lang w:val="bs-Latn-BA"/>
              </w:rPr>
              <w:t>obnove</w:t>
            </w:r>
            <w:r w:rsidRPr="008924E0">
              <w:rPr>
                <w:rFonts w:eastAsia="Calibri"/>
                <w:lang w:val="bs-Latn-BA"/>
              </w:rPr>
              <w:t>, GWh</w:t>
            </w:r>
          </w:p>
        </w:tc>
        <w:tc>
          <w:tcPr>
            <w:tcW w:w="577" w:type="pct"/>
            <w:vAlign w:val="center"/>
          </w:tcPr>
          <w:p w14:paraId="3F812946"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59193D64"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616</w:t>
            </w:r>
          </w:p>
        </w:tc>
        <w:tc>
          <w:tcPr>
            <w:tcW w:w="717" w:type="pct"/>
            <w:vAlign w:val="center"/>
          </w:tcPr>
          <w:p w14:paraId="385512CD"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1.393</w:t>
            </w:r>
          </w:p>
        </w:tc>
        <w:tc>
          <w:tcPr>
            <w:tcW w:w="633" w:type="pct"/>
            <w:vAlign w:val="center"/>
          </w:tcPr>
          <w:p w14:paraId="32BF0469"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2.272</w:t>
            </w:r>
          </w:p>
        </w:tc>
      </w:tr>
      <w:tr w:rsidR="001A4D88" w:rsidRPr="008924E0" w14:paraId="6CD1B57F"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0BBAE491" w14:textId="77777777" w:rsidR="001A4D88" w:rsidRPr="008924E0" w:rsidRDefault="001A4D88" w:rsidP="00122946">
            <w:pPr>
              <w:rPr>
                <w:rFonts w:eastAsia="Calibri"/>
                <w:lang w:val="bs-Latn-BA"/>
              </w:rPr>
            </w:pPr>
            <w:r w:rsidRPr="008924E0">
              <w:rPr>
                <w:rFonts w:eastAsia="Calibri"/>
                <w:lang w:val="bs-Latn-BA"/>
              </w:rPr>
              <w:t>Ušteda emisije CO</w:t>
            </w:r>
            <w:r w:rsidRPr="008924E0">
              <w:rPr>
                <w:rFonts w:eastAsia="Calibri"/>
                <w:vertAlign w:val="subscript"/>
                <w:lang w:val="bs-Latn-BA"/>
              </w:rPr>
              <w:t>2</w:t>
            </w:r>
            <w:r w:rsidRPr="008924E0">
              <w:rPr>
                <w:rFonts w:eastAsia="Calibri"/>
                <w:lang w:val="bs-Latn-BA"/>
              </w:rPr>
              <w:t>, 10</w:t>
            </w:r>
            <w:r>
              <w:rPr>
                <w:rFonts w:eastAsia="Calibri"/>
                <w:vertAlign w:val="superscript"/>
                <w:lang w:val="bs-Latn-BA"/>
              </w:rPr>
              <w:t>3</w:t>
            </w:r>
            <w:r w:rsidRPr="008924E0">
              <w:rPr>
                <w:rFonts w:eastAsia="Calibri"/>
                <w:lang w:val="bs-Latn-BA"/>
              </w:rPr>
              <w:t>t/god.</w:t>
            </w:r>
          </w:p>
        </w:tc>
        <w:tc>
          <w:tcPr>
            <w:tcW w:w="577" w:type="pct"/>
            <w:vAlign w:val="center"/>
          </w:tcPr>
          <w:p w14:paraId="1BDF587C"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62523D4D"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1.002</w:t>
            </w:r>
          </w:p>
        </w:tc>
        <w:tc>
          <w:tcPr>
            <w:tcW w:w="717" w:type="pct"/>
            <w:vAlign w:val="center"/>
          </w:tcPr>
          <w:p w14:paraId="08068BEB"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1.355</w:t>
            </w:r>
          </w:p>
        </w:tc>
        <w:tc>
          <w:tcPr>
            <w:tcW w:w="633" w:type="pct"/>
            <w:vAlign w:val="center"/>
          </w:tcPr>
          <w:p w14:paraId="7E325AC8"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1.486</w:t>
            </w:r>
          </w:p>
        </w:tc>
      </w:tr>
    </w:tbl>
    <w:p w14:paraId="442CB94E" w14:textId="77777777" w:rsidR="001A4D88" w:rsidRDefault="001A4D88" w:rsidP="001A4D88">
      <w:pPr>
        <w:rPr>
          <w:lang w:val="bs-Latn-BA"/>
        </w:rPr>
      </w:pPr>
    </w:p>
    <w:p w14:paraId="1D12F8DE" w14:textId="4A7EE9A6" w:rsidR="005835FA" w:rsidRDefault="005835FA" w:rsidP="005835FA">
      <w:pPr>
        <w:pStyle w:val="Caption"/>
        <w:keepNext/>
      </w:pPr>
      <w:bookmarkStart w:id="243" w:name="_Toc133499642"/>
      <w:r>
        <w:t>Tabela 11.2.</w:t>
      </w:r>
      <w:r w:rsidR="00000000">
        <w:fldChar w:fldCharType="begin"/>
      </w:r>
      <w:r w:rsidR="00000000">
        <w:instrText xml:space="preserve"> SEQ Tabela_11.2. \* ARABIC </w:instrText>
      </w:r>
      <w:r w:rsidR="00000000">
        <w:fldChar w:fldCharType="separate"/>
      </w:r>
      <w:r>
        <w:rPr>
          <w:noProof/>
        </w:rPr>
        <w:t>3</w:t>
      </w:r>
      <w:r w:rsidR="00000000">
        <w:rPr>
          <w:noProof/>
        </w:rPr>
        <w:fldChar w:fldCharType="end"/>
      </w:r>
      <w:r>
        <w:t xml:space="preserve"> </w:t>
      </w:r>
      <w:r w:rsidRPr="008924E0">
        <w:rPr>
          <w:rFonts w:eastAsia="Calibri"/>
          <w:color w:val="000000"/>
          <w:szCs w:val="22"/>
        </w:rPr>
        <w:t xml:space="preserve">Postojeće i ciljne karakteristike stambenog fonda zgrada FBiH (godišnja </w:t>
      </w:r>
      <w:r>
        <w:rPr>
          <w:rFonts w:eastAsia="Calibri"/>
          <w:color w:val="000000"/>
          <w:szCs w:val="22"/>
        </w:rPr>
        <w:t>obnova</w:t>
      </w:r>
      <w:r w:rsidRPr="008924E0">
        <w:rPr>
          <w:rFonts w:eastAsia="Calibri"/>
          <w:color w:val="000000"/>
          <w:szCs w:val="22"/>
        </w:rPr>
        <w:t xml:space="preserve"> 1,5 % korisne grijane površine)</w:t>
      </w:r>
      <w:bookmarkEnd w:id="243"/>
    </w:p>
    <w:tbl>
      <w:tblPr>
        <w:tblStyle w:val="17"/>
        <w:tblW w:w="5000" w:type="pct"/>
        <w:tblLook w:val="04A0" w:firstRow="1" w:lastRow="0" w:firstColumn="1" w:lastColumn="0" w:noHBand="0" w:noVBand="1"/>
      </w:tblPr>
      <w:tblGrid>
        <w:gridCol w:w="4140"/>
        <w:gridCol w:w="1042"/>
        <w:gridCol w:w="1408"/>
        <w:gridCol w:w="1294"/>
        <w:gridCol w:w="1143"/>
      </w:tblGrid>
      <w:tr w:rsidR="001A4D88" w:rsidRPr="008924E0" w14:paraId="12963BEF" w14:textId="77777777" w:rsidTr="0012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29B33874" w14:textId="77777777" w:rsidR="001A4D88" w:rsidRPr="008924E0" w:rsidRDefault="001A4D88" w:rsidP="00122946">
            <w:pPr>
              <w:rPr>
                <w:rFonts w:eastAsia="Calibri"/>
                <w:lang w:val="bs-Latn-BA"/>
              </w:rPr>
            </w:pPr>
            <w:r w:rsidRPr="008924E0">
              <w:rPr>
                <w:rFonts w:eastAsia="Calibri"/>
                <w:lang w:val="bs-Latn-BA"/>
              </w:rPr>
              <w:t xml:space="preserve">Karakteristike stambenog fonda </w:t>
            </w:r>
          </w:p>
        </w:tc>
        <w:tc>
          <w:tcPr>
            <w:tcW w:w="577" w:type="pct"/>
          </w:tcPr>
          <w:p w14:paraId="5B8980CD"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451F0DF7"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780" w:type="pct"/>
          </w:tcPr>
          <w:p w14:paraId="5367A03C"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497B0007"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717" w:type="pct"/>
          </w:tcPr>
          <w:p w14:paraId="0EBCEB68"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009FA69D"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633" w:type="pct"/>
          </w:tcPr>
          <w:p w14:paraId="07C7807F"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0B99491B"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1A4D88" w:rsidRPr="008924E0" w14:paraId="55818719"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2885F49D" w14:textId="77777777" w:rsidR="001A4D88" w:rsidRPr="008924E0" w:rsidRDefault="001A4D88" w:rsidP="00122946">
            <w:pPr>
              <w:rPr>
                <w:rFonts w:eastAsia="Calibri"/>
                <w:lang w:val="bs-Latn-BA"/>
              </w:rPr>
            </w:pPr>
            <w:r w:rsidRPr="008924E0">
              <w:rPr>
                <w:lang w:val="bs-Latn-BA"/>
              </w:rPr>
              <w:t xml:space="preserve">Broj zgrada </w:t>
            </w:r>
          </w:p>
        </w:tc>
        <w:tc>
          <w:tcPr>
            <w:tcW w:w="577" w:type="pct"/>
            <w:vAlign w:val="center"/>
          </w:tcPr>
          <w:p w14:paraId="3605F062"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688.864</w:t>
            </w:r>
          </w:p>
        </w:tc>
        <w:tc>
          <w:tcPr>
            <w:tcW w:w="780" w:type="pct"/>
            <w:vAlign w:val="center"/>
          </w:tcPr>
          <w:p w14:paraId="1CE3AA6C"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786.600</w:t>
            </w:r>
          </w:p>
        </w:tc>
        <w:tc>
          <w:tcPr>
            <w:tcW w:w="717" w:type="pct"/>
            <w:vAlign w:val="center"/>
          </w:tcPr>
          <w:p w14:paraId="650D9FB0"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874.864</w:t>
            </w:r>
          </w:p>
        </w:tc>
        <w:tc>
          <w:tcPr>
            <w:tcW w:w="633" w:type="pct"/>
            <w:vAlign w:val="center"/>
          </w:tcPr>
          <w:p w14:paraId="56B41474"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990.286</w:t>
            </w:r>
          </w:p>
        </w:tc>
      </w:tr>
      <w:tr w:rsidR="001A4D88" w:rsidRPr="008924E0" w14:paraId="6B8EC66E"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6528A591" w14:textId="77777777" w:rsidR="001A4D88" w:rsidRPr="008924E0" w:rsidRDefault="001A4D88" w:rsidP="00122946">
            <w:pPr>
              <w:rPr>
                <w:rFonts w:eastAsia="Calibri"/>
                <w:lang w:val="bs-Latn-BA"/>
              </w:rPr>
            </w:pPr>
            <w:r w:rsidRPr="008924E0">
              <w:rPr>
                <w:lang w:val="bs-Latn-BA"/>
              </w:rPr>
              <w:t>Potrošnja energije, GWh/god.</w:t>
            </w:r>
          </w:p>
        </w:tc>
        <w:tc>
          <w:tcPr>
            <w:tcW w:w="577" w:type="pct"/>
          </w:tcPr>
          <w:p w14:paraId="6364A38F"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11.116</w:t>
            </w:r>
          </w:p>
        </w:tc>
        <w:tc>
          <w:tcPr>
            <w:tcW w:w="780" w:type="pct"/>
          </w:tcPr>
          <w:p w14:paraId="26E396C4"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10.715</w:t>
            </w:r>
          </w:p>
        </w:tc>
        <w:tc>
          <w:tcPr>
            <w:tcW w:w="717" w:type="pct"/>
          </w:tcPr>
          <w:p w14:paraId="041BB3AD"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9.944</w:t>
            </w:r>
          </w:p>
        </w:tc>
        <w:tc>
          <w:tcPr>
            <w:tcW w:w="633" w:type="pct"/>
          </w:tcPr>
          <w:p w14:paraId="35C8987D"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eastAsia="Calibri" w:hAnsiTheme="minorHAnsi" w:cstheme="minorHAnsi"/>
                <w:lang w:val="bs-Latn-BA"/>
              </w:rPr>
              <w:t>8.986</w:t>
            </w:r>
          </w:p>
        </w:tc>
      </w:tr>
      <w:tr w:rsidR="001A4D88" w:rsidRPr="008924E0" w14:paraId="1C0C7CAF"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5F5F4DB0" w14:textId="77777777" w:rsidR="001A4D88" w:rsidRPr="008924E0" w:rsidRDefault="001A4D88" w:rsidP="00122946">
            <w:pPr>
              <w:rPr>
                <w:rFonts w:eastAsia="Calibri"/>
                <w:lang w:val="bs-Latn-BA"/>
              </w:rPr>
            </w:pPr>
            <w:r w:rsidRPr="008924E0">
              <w:rPr>
                <w:lang w:val="bs-Latn-BA"/>
              </w:rPr>
              <w:t xml:space="preserve">Broj zgrada obuhvaćenih </w:t>
            </w:r>
            <w:r>
              <w:rPr>
                <w:lang w:val="bs-Latn-BA"/>
              </w:rPr>
              <w:t>obnovom</w:t>
            </w:r>
          </w:p>
        </w:tc>
        <w:tc>
          <w:tcPr>
            <w:tcW w:w="577" w:type="pct"/>
            <w:vAlign w:val="center"/>
          </w:tcPr>
          <w:p w14:paraId="66345025"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7FF39B44"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32.722</w:t>
            </w:r>
          </w:p>
        </w:tc>
        <w:tc>
          <w:tcPr>
            <w:tcW w:w="717" w:type="pct"/>
            <w:vAlign w:val="center"/>
          </w:tcPr>
          <w:p w14:paraId="3F987B43"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105.177</w:t>
            </w:r>
          </w:p>
        </w:tc>
        <w:tc>
          <w:tcPr>
            <w:tcW w:w="633" w:type="pct"/>
            <w:vAlign w:val="center"/>
          </w:tcPr>
          <w:p w14:paraId="57BD810C"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177.633</w:t>
            </w:r>
          </w:p>
        </w:tc>
      </w:tr>
      <w:tr w:rsidR="001A4D88" w:rsidRPr="008924E0" w14:paraId="0ED036F1"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2617F874" w14:textId="77777777" w:rsidR="001A4D88" w:rsidRPr="008924E0" w:rsidRDefault="001A4D88" w:rsidP="00122946">
            <w:pPr>
              <w:rPr>
                <w:rFonts w:eastAsia="Calibri"/>
                <w:lang w:val="bs-Latn-BA"/>
              </w:rPr>
            </w:pPr>
            <w:r>
              <w:rPr>
                <w:lang w:val="bs-Latn-BA"/>
              </w:rPr>
              <w:t>Obnovljena</w:t>
            </w:r>
            <w:r w:rsidRPr="008924E0">
              <w:rPr>
                <w:lang w:val="bs-Latn-BA"/>
              </w:rPr>
              <w:t xml:space="preserve"> korisna površina, m</w:t>
            </w:r>
            <w:r w:rsidRPr="008924E0">
              <w:rPr>
                <w:vertAlign w:val="superscript"/>
                <w:lang w:val="bs-Latn-BA"/>
              </w:rPr>
              <w:t>2</w:t>
            </w:r>
          </w:p>
        </w:tc>
        <w:tc>
          <w:tcPr>
            <w:tcW w:w="577" w:type="pct"/>
            <w:vAlign w:val="center"/>
          </w:tcPr>
          <w:p w14:paraId="00A33A6F"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110561F5"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8.344.088</w:t>
            </w:r>
          </w:p>
        </w:tc>
        <w:tc>
          <w:tcPr>
            <w:tcW w:w="717" w:type="pct"/>
            <w:vAlign w:val="center"/>
          </w:tcPr>
          <w:p w14:paraId="168BBF3C"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15.922.298</w:t>
            </w:r>
          </w:p>
        </w:tc>
        <w:tc>
          <w:tcPr>
            <w:tcW w:w="633" w:type="pct"/>
            <w:vAlign w:val="center"/>
          </w:tcPr>
          <w:p w14:paraId="0A342DDD"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23.483.657</w:t>
            </w:r>
          </w:p>
        </w:tc>
      </w:tr>
      <w:tr w:rsidR="001A4D88" w:rsidRPr="008924E0" w14:paraId="3B3D5628"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64D8677F" w14:textId="77777777" w:rsidR="001A4D88" w:rsidRPr="008924E0" w:rsidRDefault="001A4D88" w:rsidP="00122946">
            <w:pPr>
              <w:rPr>
                <w:rFonts w:eastAsia="Calibri"/>
                <w:lang w:val="bs-Latn-BA"/>
              </w:rPr>
            </w:pPr>
            <w:r>
              <w:rPr>
                <w:lang w:val="bs-Latn-BA"/>
              </w:rPr>
              <w:t>Obnovljena</w:t>
            </w:r>
            <w:r w:rsidRPr="008924E0">
              <w:rPr>
                <w:lang w:val="bs-Latn-BA"/>
              </w:rPr>
              <w:t xml:space="preserve"> bruto površina, m</w:t>
            </w:r>
            <w:r w:rsidRPr="008924E0">
              <w:rPr>
                <w:vertAlign w:val="superscript"/>
                <w:lang w:val="bs-Latn-BA"/>
              </w:rPr>
              <w:t>2</w:t>
            </w:r>
          </w:p>
        </w:tc>
        <w:tc>
          <w:tcPr>
            <w:tcW w:w="577" w:type="pct"/>
            <w:vAlign w:val="center"/>
          </w:tcPr>
          <w:p w14:paraId="5D074E36"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7C505251"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12.808.112</w:t>
            </w:r>
          </w:p>
        </w:tc>
        <w:tc>
          <w:tcPr>
            <w:tcW w:w="717" w:type="pct"/>
            <w:vAlign w:val="center"/>
          </w:tcPr>
          <w:p w14:paraId="3072F26D"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24.991.685</w:t>
            </w:r>
          </w:p>
        </w:tc>
        <w:tc>
          <w:tcPr>
            <w:tcW w:w="633" w:type="pct"/>
            <w:vAlign w:val="center"/>
          </w:tcPr>
          <w:p w14:paraId="44CB02F5"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37.149.971</w:t>
            </w:r>
          </w:p>
        </w:tc>
      </w:tr>
      <w:tr w:rsidR="001A4D88" w:rsidRPr="008924E0" w14:paraId="5D142EA9"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3B1F1E9D" w14:textId="77777777" w:rsidR="001A4D88" w:rsidRPr="008924E0" w:rsidRDefault="001A4D88" w:rsidP="00122946">
            <w:pPr>
              <w:rPr>
                <w:rFonts w:eastAsia="Calibri"/>
                <w:lang w:val="bs-Latn-BA"/>
              </w:rPr>
            </w:pPr>
            <w:r w:rsidRPr="008924E0">
              <w:rPr>
                <w:rFonts w:eastAsia="Calibri"/>
                <w:lang w:val="bs-Latn-BA"/>
              </w:rPr>
              <w:t xml:space="preserve">Ušteda energije primjenom mjera energijske </w:t>
            </w:r>
            <w:r>
              <w:rPr>
                <w:rFonts w:eastAsia="Calibri"/>
                <w:lang w:val="bs-Latn-BA"/>
              </w:rPr>
              <w:t>obnove</w:t>
            </w:r>
            <w:r w:rsidRPr="008924E0">
              <w:rPr>
                <w:rFonts w:eastAsia="Calibri"/>
                <w:lang w:val="bs-Latn-BA"/>
              </w:rPr>
              <w:t>, GWh</w:t>
            </w:r>
          </w:p>
        </w:tc>
        <w:tc>
          <w:tcPr>
            <w:tcW w:w="577" w:type="pct"/>
            <w:vAlign w:val="center"/>
          </w:tcPr>
          <w:p w14:paraId="33E63DF5"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22E3C070"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928</w:t>
            </w:r>
          </w:p>
        </w:tc>
        <w:tc>
          <w:tcPr>
            <w:tcW w:w="717" w:type="pct"/>
            <w:vAlign w:val="center"/>
          </w:tcPr>
          <w:p w14:paraId="165A59C3"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2.151</w:t>
            </w:r>
          </w:p>
        </w:tc>
        <w:tc>
          <w:tcPr>
            <w:tcW w:w="633" w:type="pct"/>
            <w:vAlign w:val="center"/>
          </w:tcPr>
          <w:p w14:paraId="233255D9" w14:textId="77777777" w:rsidR="001A4D88" w:rsidRPr="006B46F2"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3.532</w:t>
            </w:r>
          </w:p>
        </w:tc>
      </w:tr>
      <w:tr w:rsidR="001A4D88" w:rsidRPr="008924E0" w14:paraId="25C506E0"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pct"/>
          </w:tcPr>
          <w:p w14:paraId="6A4EF883" w14:textId="77777777" w:rsidR="001A4D88" w:rsidRPr="008924E0" w:rsidRDefault="001A4D88" w:rsidP="00122946">
            <w:pPr>
              <w:rPr>
                <w:rFonts w:eastAsia="Calibri"/>
                <w:lang w:val="bs-Latn-BA"/>
              </w:rPr>
            </w:pPr>
            <w:r w:rsidRPr="008924E0">
              <w:rPr>
                <w:rFonts w:eastAsia="Calibri"/>
                <w:lang w:val="bs-Latn-BA"/>
              </w:rPr>
              <w:t>Ušteda emisije CO</w:t>
            </w:r>
            <w:r w:rsidRPr="008924E0">
              <w:rPr>
                <w:rFonts w:eastAsia="Calibri"/>
                <w:vertAlign w:val="subscript"/>
                <w:lang w:val="bs-Latn-BA"/>
              </w:rPr>
              <w:t>2</w:t>
            </w:r>
            <w:r w:rsidRPr="008924E0">
              <w:rPr>
                <w:rFonts w:eastAsia="Calibri"/>
                <w:lang w:val="bs-Latn-BA"/>
              </w:rPr>
              <w:t>, 10</w:t>
            </w:r>
            <w:r w:rsidRPr="00066C30">
              <w:rPr>
                <w:rFonts w:eastAsia="Calibri"/>
                <w:vertAlign w:val="superscript"/>
                <w:lang w:val="bs-Latn-BA"/>
              </w:rPr>
              <w:t>3</w:t>
            </w:r>
            <w:r w:rsidRPr="008924E0">
              <w:rPr>
                <w:rFonts w:eastAsia="Calibri"/>
                <w:lang w:val="bs-Latn-BA"/>
              </w:rPr>
              <w:t>t/god.</w:t>
            </w:r>
          </w:p>
        </w:tc>
        <w:tc>
          <w:tcPr>
            <w:tcW w:w="577" w:type="pct"/>
            <w:vAlign w:val="center"/>
          </w:tcPr>
          <w:p w14:paraId="72A0A1BD"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0</w:t>
            </w:r>
          </w:p>
        </w:tc>
        <w:tc>
          <w:tcPr>
            <w:tcW w:w="780" w:type="pct"/>
            <w:vAlign w:val="center"/>
          </w:tcPr>
          <w:p w14:paraId="1769BBEF"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1.017</w:t>
            </w:r>
          </w:p>
        </w:tc>
        <w:tc>
          <w:tcPr>
            <w:tcW w:w="717" w:type="pct"/>
            <w:vAlign w:val="center"/>
          </w:tcPr>
          <w:p w14:paraId="4E5B856F"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1.376</w:t>
            </w:r>
          </w:p>
        </w:tc>
        <w:tc>
          <w:tcPr>
            <w:tcW w:w="633" w:type="pct"/>
            <w:vAlign w:val="center"/>
          </w:tcPr>
          <w:p w14:paraId="281AC359" w14:textId="77777777" w:rsidR="001A4D88" w:rsidRPr="006B46F2"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B46F2">
              <w:rPr>
                <w:rFonts w:asciiTheme="minorHAnsi" w:hAnsiTheme="minorHAnsi" w:cstheme="minorHAnsi"/>
              </w:rPr>
              <w:t>1.507</w:t>
            </w:r>
          </w:p>
        </w:tc>
      </w:tr>
    </w:tbl>
    <w:p w14:paraId="12A5752D" w14:textId="77777777" w:rsidR="001A4D88" w:rsidRPr="008924E0" w:rsidRDefault="001A4D88" w:rsidP="001A4D88">
      <w:pPr>
        <w:rPr>
          <w:lang w:val="bs-Latn-BA"/>
        </w:rPr>
      </w:pPr>
    </w:p>
    <w:p w14:paraId="708D02DB" w14:textId="4C57CFBA" w:rsidR="001A4D88" w:rsidRPr="008924E0" w:rsidRDefault="001A4D88" w:rsidP="001A4D88">
      <w:pPr>
        <w:pBdr>
          <w:top w:val="nil"/>
          <w:left w:val="nil"/>
          <w:bottom w:val="nil"/>
          <w:right w:val="nil"/>
          <w:between w:val="nil"/>
        </w:pBdr>
        <w:spacing w:after="0" w:line="240" w:lineRule="auto"/>
        <w:rPr>
          <w:rFonts w:eastAsia="Calibri"/>
          <w:color w:val="000000"/>
          <w:lang w:val="bs-Latn-BA"/>
        </w:rPr>
      </w:pPr>
      <w:r>
        <w:rPr>
          <w:rFonts w:eastAsia="Calibri"/>
          <w:color w:val="000000"/>
          <w:lang w:val="bs-Latn-BA"/>
        </w:rPr>
        <w:lastRenderedPageBreak/>
        <w:t xml:space="preserve">Metodologija proračuna troškova obnove predstavljena je u Poglavlju 6.1. </w:t>
      </w:r>
      <w:r w:rsidRPr="008924E0">
        <w:rPr>
          <w:rFonts w:eastAsia="Calibri"/>
          <w:color w:val="000000"/>
          <w:lang w:val="bs-Latn-BA"/>
        </w:rPr>
        <w:t xml:space="preserve">Ukupni troškovi </w:t>
      </w:r>
      <w:r>
        <w:rPr>
          <w:rFonts w:eastAsia="Calibri"/>
          <w:color w:val="000000"/>
          <w:lang w:val="bs-Latn-BA"/>
        </w:rPr>
        <w:t>obnove</w:t>
      </w:r>
      <w:r w:rsidRPr="008924E0">
        <w:rPr>
          <w:rFonts w:eastAsia="Calibri"/>
          <w:color w:val="000000"/>
          <w:lang w:val="bs-Latn-BA"/>
        </w:rPr>
        <w:t xml:space="preserve"> za tri scenarija </w:t>
      </w:r>
      <w:r>
        <w:rPr>
          <w:rFonts w:eastAsia="Calibri"/>
          <w:color w:val="000000"/>
          <w:lang w:val="bs-Latn-BA"/>
        </w:rPr>
        <w:t>obnove</w:t>
      </w:r>
      <w:r w:rsidRPr="008924E0">
        <w:rPr>
          <w:rFonts w:eastAsia="Calibri"/>
          <w:color w:val="000000"/>
          <w:lang w:val="bs-Latn-BA"/>
        </w:rPr>
        <w:t xml:space="preserve"> stambenog fonda u FBIH, su prikazani u Tabeli </w:t>
      </w:r>
      <w:r>
        <w:rPr>
          <w:rFonts w:eastAsia="Calibri"/>
          <w:color w:val="000000"/>
          <w:lang w:val="bs-Latn-BA"/>
        </w:rPr>
        <w:t>11</w:t>
      </w:r>
      <w:r w:rsidR="005835FA">
        <w:rPr>
          <w:rFonts w:eastAsia="Calibri"/>
          <w:color w:val="000000"/>
          <w:lang w:val="bs-Latn-BA"/>
        </w:rPr>
        <w:t>.2</w:t>
      </w:r>
      <w:r>
        <w:rPr>
          <w:rFonts w:eastAsia="Calibri"/>
          <w:color w:val="000000"/>
          <w:lang w:val="bs-Latn-BA"/>
        </w:rPr>
        <w:t>.</w:t>
      </w:r>
      <w:r w:rsidR="005835FA">
        <w:rPr>
          <w:rFonts w:eastAsia="Calibri"/>
          <w:color w:val="000000"/>
          <w:lang w:val="bs-Latn-BA"/>
        </w:rPr>
        <w:t>4</w:t>
      </w:r>
      <w:r w:rsidRPr="008924E0">
        <w:rPr>
          <w:rFonts w:eastAsia="Calibri"/>
          <w:color w:val="000000"/>
          <w:lang w:val="bs-Latn-BA"/>
        </w:rPr>
        <w:t xml:space="preserve">. </w:t>
      </w:r>
    </w:p>
    <w:p w14:paraId="6CB37EA5" w14:textId="77777777" w:rsidR="001A4D88" w:rsidRPr="008924E0" w:rsidRDefault="001A4D88" w:rsidP="001A4D88">
      <w:pPr>
        <w:pBdr>
          <w:top w:val="nil"/>
          <w:left w:val="nil"/>
          <w:bottom w:val="nil"/>
          <w:right w:val="nil"/>
          <w:between w:val="nil"/>
        </w:pBdr>
        <w:spacing w:after="0" w:line="240" w:lineRule="auto"/>
        <w:jc w:val="left"/>
        <w:rPr>
          <w:rFonts w:eastAsia="Calibri"/>
          <w:color w:val="000000"/>
          <w:lang w:val="bs-Latn-BA"/>
        </w:rPr>
      </w:pPr>
    </w:p>
    <w:p w14:paraId="6A75F494" w14:textId="12EF1729" w:rsidR="005835FA" w:rsidRDefault="005835FA" w:rsidP="005835FA">
      <w:pPr>
        <w:pStyle w:val="Caption"/>
        <w:keepNext/>
      </w:pPr>
      <w:bookmarkStart w:id="244" w:name="_Toc133499643"/>
      <w:r>
        <w:t>Tabela 11.2.</w:t>
      </w:r>
      <w:r w:rsidR="00000000">
        <w:fldChar w:fldCharType="begin"/>
      </w:r>
      <w:r w:rsidR="00000000">
        <w:instrText xml:space="preserve"> SEQ Tabela_11.2. \* ARABIC </w:instrText>
      </w:r>
      <w:r w:rsidR="00000000">
        <w:fldChar w:fldCharType="separate"/>
      </w:r>
      <w:r>
        <w:rPr>
          <w:noProof/>
        </w:rPr>
        <w:t>4</w:t>
      </w:r>
      <w:r w:rsidR="00000000">
        <w:rPr>
          <w:noProof/>
        </w:rPr>
        <w:fldChar w:fldCharType="end"/>
      </w:r>
      <w:r>
        <w:t xml:space="preserve"> </w:t>
      </w:r>
      <w:r w:rsidRPr="008924E0">
        <w:rPr>
          <w:rFonts w:eastAsia="Calibri"/>
          <w:color w:val="000000"/>
        </w:rPr>
        <w:t xml:space="preserve">Troškovi </w:t>
      </w:r>
      <w:r>
        <w:rPr>
          <w:rFonts w:eastAsia="Calibri"/>
          <w:color w:val="000000"/>
        </w:rPr>
        <w:t>energij</w:t>
      </w:r>
      <w:r w:rsidRPr="008924E0">
        <w:rPr>
          <w:rFonts w:eastAsia="Calibri"/>
          <w:color w:val="000000"/>
        </w:rPr>
        <w:t xml:space="preserve">ske </w:t>
      </w:r>
      <w:r>
        <w:rPr>
          <w:rFonts w:eastAsia="Calibri"/>
          <w:color w:val="000000"/>
        </w:rPr>
        <w:t>obnove</w:t>
      </w:r>
      <w:r w:rsidRPr="008924E0">
        <w:rPr>
          <w:rFonts w:eastAsia="Calibri"/>
          <w:color w:val="000000"/>
        </w:rPr>
        <w:t xml:space="preserve"> stambenog fonda zgrada FBiH</w:t>
      </w:r>
      <w:bookmarkEnd w:id="244"/>
    </w:p>
    <w:tbl>
      <w:tblPr>
        <w:tblW w:w="7224"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543"/>
        <w:gridCol w:w="896"/>
        <w:gridCol w:w="853"/>
        <w:gridCol w:w="993"/>
        <w:gridCol w:w="939"/>
      </w:tblGrid>
      <w:tr w:rsidR="001A4D88" w:rsidRPr="008924E0" w14:paraId="4F705ACB" w14:textId="77777777" w:rsidTr="00122946">
        <w:trPr>
          <w:jc w:val="center"/>
        </w:trPr>
        <w:tc>
          <w:tcPr>
            <w:tcW w:w="7224" w:type="dxa"/>
            <w:gridSpan w:val="5"/>
          </w:tcPr>
          <w:p w14:paraId="7056DD30" w14:textId="77777777" w:rsidR="001A4D88" w:rsidRPr="008924E0" w:rsidRDefault="001A4D88" w:rsidP="00122946">
            <w:pPr>
              <w:spacing w:after="0" w:line="240" w:lineRule="auto"/>
              <w:jc w:val="center"/>
              <w:rPr>
                <w:rFonts w:eastAsia="Calibri"/>
                <w:b/>
                <w:sz w:val="20"/>
                <w:szCs w:val="20"/>
                <w:lang w:val="bs-Latn-BA"/>
              </w:rPr>
            </w:pPr>
            <w:r w:rsidRPr="008924E0">
              <w:rPr>
                <w:rFonts w:eastAsia="Calibri"/>
                <w:b/>
                <w:sz w:val="20"/>
                <w:szCs w:val="20"/>
                <w:lang w:val="bs-Latn-BA"/>
              </w:rPr>
              <w:t xml:space="preserve">Trošak energijske </w:t>
            </w:r>
            <w:r>
              <w:rPr>
                <w:rFonts w:eastAsia="Calibri"/>
                <w:b/>
                <w:sz w:val="20"/>
                <w:szCs w:val="20"/>
                <w:lang w:val="bs-Latn-BA"/>
              </w:rPr>
              <w:t>obnove</w:t>
            </w:r>
            <w:r w:rsidRPr="008924E0">
              <w:rPr>
                <w:rFonts w:eastAsia="Calibri"/>
                <w:b/>
                <w:sz w:val="20"/>
                <w:szCs w:val="20"/>
                <w:lang w:val="bs-Latn-BA"/>
              </w:rPr>
              <w:t>, 10</w:t>
            </w:r>
            <w:r w:rsidRPr="008924E0">
              <w:rPr>
                <w:rFonts w:eastAsia="Calibri"/>
                <w:b/>
                <w:sz w:val="20"/>
                <w:szCs w:val="20"/>
                <w:vertAlign w:val="superscript"/>
                <w:lang w:val="bs-Latn-BA"/>
              </w:rPr>
              <w:t>6</w:t>
            </w:r>
            <w:r w:rsidRPr="008924E0">
              <w:rPr>
                <w:rFonts w:eastAsia="Calibri"/>
                <w:b/>
                <w:sz w:val="20"/>
                <w:szCs w:val="20"/>
                <w:lang w:val="bs-Latn-BA"/>
              </w:rPr>
              <w:t xml:space="preserve"> BAM</w:t>
            </w:r>
          </w:p>
        </w:tc>
      </w:tr>
      <w:tr w:rsidR="001A4D88" w:rsidRPr="008924E0" w14:paraId="654E9A69" w14:textId="77777777" w:rsidTr="00122946">
        <w:trPr>
          <w:jc w:val="center"/>
        </w:trPr>
        <w:tc>
          <w:tcPr>
            <w:tcW w:w="3543" w:type="dxa"/>
            <w:shd w:val="clear" w:color="auto" w:fill="006432"/>
          </w:tcPr>
          <w:p w14:paraId="24580E5E" w14:textId="77777777" w:rsidR="001A4D88" w:rsidRPr="008924E0" w:rsidRDefault="001A4D88" w:rsidP="00122946">
            <w:pPr>
              <w:spacing w:after="0" w:line="240" w:lineRule="auto"/>
              <w:jc w:val="left"/>
              <w:rPr>
                <w:rFonts w:eastAsia="Calibri"/>
                <w:b/>
                <w:color w:val="FFFFFF"/>
                <w:sz w:val="20"/>
                <w:szCs w:val="20"/>
                <w:lang w:val="bs-Latn-BA"/>
              </w:rPr>
            </w:pPr>
            <w:r w:rsidRPr="008924E0">
              <w:rPr>
                <w:rFonts w:eastAsia="Calibri"/>
                <w:b/>
                <w:color w:val="FFFFFF"/>
                <w:sz w:val="20"/>
                <w:szCs w:val="20"/>
                <w:lang w:val="bs-Latn-BA"/>
              </w:rPr>
              <w:t xml:space="preserve">Scenarij </w:t>
            </w:r>
            <w:r>
              <w:rPr>
                <w:rFonts w:eastAsia="Calibri"/>
                <w:b/>
                <w:color w:val="FFFFFF"/>
                <w:sz w:val="20"/>
                <w:szCs w:val="20"/>
                <w:lang w:val="bs-Latn-BA"/>
              </w:rPr>
              <w:t>obnove</w:t>
            </w:r>
          </w:p>
        </w:tc>
        <w:tc>
          <w:tcPr>
            <w:tcW w:w="896" w:type="dxa"/>
            <w:shd w:val="clear" w:color="auto" w:fill="006432"/>
          </w:tcPr>
          <w:p w14:paraId="612BDFD9"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2020. </w:t>
            </w:r>
          </w:p>
          <w:p w14:paraId="6B376E68"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853" w:type="dxa"/>
            <w:shd w:val="clear" w:color="auto" w:fill="006432"/>
          </w:tcPr>
          <w:p w14:paraId="48937F2C"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2030. </w:t>
            </w:r>
          </w:p>
          <w:p w14:paraId="5D828A55"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993" w:type="dxa"/>
            <w:shd w:val="clear" w:color="auto" w:fill="006432"/>
          </w:tcPr>
          <w:p w14:paraId="7401C66D"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2040. </w:t>
            </w:r>
          </w:p>
          <w:p w14:paraId="032644DA"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939" w:type="dxa"/>
            <w:shd w:val="clear" w:color="auto" w:fill="006432"/>
          </w:tcPr>
          <w:p w14:paraId="6E2C1F68"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2050. </w:t>
            </w:r>
          </w:p>
          <w:p w14:paraId="2DBDCC2D"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godina </w:t>
            </w:r>
          </w:p>
        </w:tc>
      </w:tr>
      <w:tr w:rsidR="001A4D88" w:rsidRPr="008924E0" w14:paraId="7BF76BCC" w14:textId="77777777" w:rsidTr="00122946">
        <w:trPr>
          <w:jc w:val="center"/>
        </w:trPr>
        <w:tc>
          <w:tcPr>
            <w:tcW w:w="3543" w:type="dxa"/>
          </w:tcPr>
          <w:p w14:paraId="1386939A" w14:textId="77777777" w:rsidR="001A4D88" w:rsidRPr="008924E0" w:rsidRDefault="001A4D88" w:rsidP="00122946">
            <w:pPr>
              <w:spacing w:after="0" w:line="240" w:lineRule="auto"/>
              <w:jc w:val="left"/>
              <w:rPr>
                <w:rFonts w:eastAsia="Calibri"/>
                <w:b/>
                <w:color w:val="000000"/>
                <w:sz w:val="20"/>
                <w:szCs w:val="20"/>
                <w:lang w:val="bs-Latn-BA"/>
              </w:rPr>
            </w:pPr>
            <w:r>
              <w:rPr>
                <w:rFonts w:eastAsia="Calibri"/>
                <w:b/>
                <w:color w:val="000000"/>
                <w:sz w:val="20"/>
                <w:szCs w:val="20"/>
                <w:lang w:val="bs-Latn-BA"/>
              </w:rPr>
              <w:t>Obnova</w:t>
            </w:r>
            <w:r w:rsidRPr="008924E0">
              <w:rPr>
                <w:rFonts w:eastAsia="Calibri"/>
                <w:b/>
                <w:color w:val="000000"/>
                <w:sz w:val="20"/>
                <w:szCs w:val="20"/>
                <w:lang w:val="bs-Latn-BA"/>
              </w:rPr>
              <w:t xml:space="preserve"> 0,8 % korisne grijane površine  </w:t>
            </w:r>
          </w:p>
        </w:tc>
        <w:tc>
          <w:tcPr>
            <w:tcW w:w="896" w:type="dxa"/>
            <w:vAlign w:val="center"/>
          </w:tcPr>
          <w:p w14:paraId="2CD92C2D"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174</w:t>
            </w:r>
          </w:p>
        </w:tc>
        <w:tc>
          <w:tcPr>
            <w:tcW w:w="853" w:type="dxa"/>
            <w:vAlign w:val="center"/>
          </w:tcPr>
          <w:p w14:paraId="22807ACA"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1.879</w:t>
            </w:r>
          </w:p>
        </w:tc>
        <w:tc>
          <w:tcPr>
            <w:tcW w:w="993" w:type="dxa"/>
            <w:vAlign w:val="center"/>
          </w:tcPr>
          <w:p w14:paraId="35F352F4"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4.235</w:t>
            </w:r>
          </w:p>
        </w:tc>
        <w:tc>
          <w:tcPr>
            <w:tcW w:w="939" w:type="dxa"/>
            <w:vAlign w:val="center"/>
          </w:tcPr>
          <w:p w14:paraId="52C21DA0"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6.622</w:t>
            </w:r>
          </w:p>
        </w:tc>
      </w:tr>
      <w:tr w:rsidR="001A4D88" w:rsidRPr="008924E0" w14:paraId="14E36AF4" w14:textId="77777777" w:rsidTr="00122946">
        <w:trPr>
          <w:jc w:val="center"/>
        </w:trPr>
        <w:tc>
          <w:tcPr>
            <w:tcW w:w="3543" w:type="dxa"/>
          </w:tcPr>
          <w:p w14:paraId="5DEF67CB" w14:textId="77777777" w:rsidR="001A4D88" w:rsidRPr="008924E0" w:rsidRDefault="001A4D88" w:rsidP="00122946">
            <w:pPr>
              <w:spacing w:after="0" w:line="240" w:lineRule="auto"/>
              <w:jc w:val="left"/>
              <w:rPr>
                <w:rFonts w:eastAsia="Calibri"/>
                <w:b/>
                <w:color w:val="000000"/>
                <w:sz w:val="20"/>
                <w:szCs w:val="20"/>
                <w:lang w:val="bs-Latn-BA"/>
              </w:rPr>
            </w:pPr>
            <w:r>
              <w:rPr>
                <w:rFonts w:eastAsia="Calibri"/>
                <w:b/>
                <w:color w:val="000000"/>
                <w:sz w:val="20"/>
                <w:szCs w:val="20"/>
                <w:lang w:val="bs-Latn-BA"/>
              </w:rPr>
              <w:t>Obnova</w:t>
            </w:r>
            <w:r w:rsidRPr="008924E0">
              <w:rPr>
                <w:rFonts w:eastAsia="Calibri"/>
                <w:b/>
                <w:color w:val="000000"/>
                <w:sz w:val="20"/>
                <w:szCs w:val="20"/>
                <w:lang w:val="bs-Latn-BA"/>
              </w:rPr>
              <w:t xml:space="preserve"> 1,0 % korisne grijane površine  </w:t>
            </w:r>
          </w:p>
        </w:tc>
        <w:tc>
          <w:tcPr>
            <w:tcW w:w="896" w:type="dxa"/>
            <w:vAlign w:val="center"/>
          </w:tcPr>
          <w:p w14:paraId="446DCC29"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215</w:t>
            </w:r>
          </w:p>
        </w:tc>
        <w:tc>
          <w:tcPr>
            <w:tcW w:w="853" w:type="dxa"/>
            <w:vAlign w:val="center"/>
          </w:tcPr>
          <w:p w14:paraId="433E0C92"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2.317</w:t>
            </w:r>
          </w:p>
        </w:tc>
        <w:tc>
          <w:tcPr>
            <w:tcW w:w="993" w:type="dxa"/>
            <w:vAlign w:val="center"/>
          </w:tcPr>
          <w:p w14:paraId="3E752869"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5.085</w:t>
            </w:r>
          </w:p>
        </w:tc>
        <w:tc>
          <w:tcPr>
            <w:tcW w:w="939" w:type="dxa"/>
            <w:vAlign w:val="center"/>
          </w:tcPr>
          <w:p w14:paraId="2F9C2926"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7.885</w:t>
            </w:r>
          </w:p>
        </w:tc>
      </w:tr>
      <w:tr w:rsidR="001A4D88" w:rsidRPr="008924E0" w14:paraId="7C6B5CD2" w14:textId="77777777" w:rsidTr="00122946">
        <w:trPr>
          <w:jc w:val="center"/>
        </w:trPr>
        <w:tc>
          <w:tcPr>
            <w:tcW w:w="3543" w:type="dxa"/>
          </w:tcPr>
          <w:p w14:paraId="738AC570" w14:textId="77777777" w:rsidR="001A4D88" w:rsidRPr="008924E0" w:rsidRDefault="001A4D88" w:rsidP="00122946">
            <w:pPr>
              <w:spacing w:after="0" w:line="240" w:lineRule="auto"/>
              <w:jc w:val="left"/>
              <w:rPr>
                <w:rFonts w:eastAsia="Calibri"/>
                <w:b/>
                <w:color w:val="000000"/>
                <w:sz w:val="20"/>
                <w:szCs w:val="20"/>
                <w:lang w:val="bs-Latn-BA"/>
              </w:rPr>
            </w:pPr>
            <w:r>
              <w:rPr>
                <w:rFonts w:eastAsia="Calibri"/>
                <w:b/>
                <w:color w:val="000000"/>
                <w:sz w:val="20"/>
                <w:szCs w:val="20"/>
                <w:lang w:val="bs-Latn-BA"/>
              </w:rPr>
              <w:t>Obnova</w:t>
            </w:r>
            <w:r w:rsidRPr="008924E0">
              <w:rPr>
                <w:rFonts w:eastAsia="Calibri"/>
                <w:b/>
                <w:color w:val="000000"/>
                <w:sz w:val="20"/>
                <w:szCs w:val="20"/>
                <w:lang w:val="bs-Latn-BA"/>
              </w:rPr>
              <w:t xml:space="preserve"> 1,5 % korisne grijane površine  </w:t>
            </w:r>
          </w:p>
        </w:tc>
        <w:tc>
          <w:tcPr>
            <w:tcW w:w="896" w:type="dxa"/>
            <w:vAlign w:val="center"/>
          </w:tcPr>
          <w:p w14:paraId="2DC55FBC"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325</w:t>
            </w:r>
          </w:p>
        </w:tc>
        <w:tc>
          <w:tcPr>
            <w:tcW w:w="853" w:type="dxa"/>
            <w:vAlign w:val="center"/>
          </w:tcPr>
          <w:p w14:paraId="07F6877E"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3.504</w:t>
            </w:r>
          </w:p>
        </w:tc>
        <w:tc>
          <w:tcPr>
            <w:tcW w:w="993" w:type="dxa"/>
            <w:vAlign w:val="center"/>
          </w:tcPr>
          <w:p w14:paraId="17B8983C"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7.901</w:t>
            </w:r>
          </w:p>
        </w:tc>
        <w:tc>
          <w:tcPr>
            <w:tcW w:w="939" w:type="dxa"/>
            <w:vAlign w:val="center"/>
          </w:tcPr>
          <w:p w14:paraId="1FB4F6C3" w14:textId="77777777" w:rsidR="001A4D88" w:rsidRPr="0091474B" w:rsidRDefault="001A4D88" w:rsidP="00122946">
            <w:pPr>
              <w:spacing w:after="0" w:line="240" w:lineRule="auto"/>
              <w:jc w:val="right"/>
              <w:rPr>
                <w:rFonts w:ascii="Corbel" w:hAnsi="Corbel" w:cs="Corbel"/>
                <w:color w:val="000000"/>
                <w:sz w:val="20"/>
                <w:szCs w:val="20"/>
                <w:lang w:val="bs-Latn-BA"/>
              </w:rPr>
            </w:pPr>
            <w:r w:rsidRPr="0091474B">
              <w:rPr>
                <w:color w:val="000000"/>
                <w:sz w:val="20"/>
                <w:szCs w:val="20"/>
              </w:rPr>
              <w:t>12.355</w:t>
            </w:r>
          </w:p>
        </w:tc>
      </w:tr>
    </w:tbl>
    <w:p w14:paraId="3DD4D728" w14:textId="77777777" w:rsidR="001A4D88" w:rsidRDefault="001A4D88" w:rsidP="001A4D88"/>
    <w:p w14:paraId="294EDE8B" w14:textId="77777777" w:rsidR="001A4D88" w:rsidRPr="008924E0" w:rsidRDefault="001A4D88" w:rsidP="001A4D88">
      <w:pPr>
        <w:pStyle w:val="Heading2"/>
        <w:numPr>
          <w:ilvl w:val="0"/>
          <w:numId w:val="0"/>
        </w:numPr>
        <w:rPr>
          <w:lang w:val="bs-Latn-BA"/>
        </w:rPr>
      </w:pPr>
      <w:bookmarkStart w:id="245" w:name="_Toc134011831"/>
      <w:r>
        <w:rPr>
          <w:lang w:val="bs-Latn-BA"/>
        </w:rPr>
        <w:t>Scenariji energijske obnove fonda javnih zgrada</w:t>
      </w:r>
      <w:bookmarkEnd w:id="245"/>
    </w:p>
    <w:p w14:paraId="51BC3923" w14:textId="77777777" w:rsidR="001A4D88" w:rsidRDefault="001A4D88" w:rsidP="001A4D88">
      <w:pPr>
        <w:shd w:val="clear" w:color="auto" w:fill="FFFFFF"/>
        <w:spacing w:after="120" w:line="276" w:lineRule="auto"/>
        <w:rPr>
          <w:lang w:val="bs-Latn-BA"/>
        </w:rPr>
      </w:pPr>
      <w:r w:rsidRPr="008924E0">
        <w:rPr>
          <w:lang w:val="bs-Latn-BA"/>
        </w:rPr>
        <w:t>Razmatran</w:t>
      </w:r>
      <w:r>
        <w:rPr>
          <w:lang w:val="bs-Latn-BA"/>
        </w:rPr>
        <w:t>i</w:t>
      </w:r>
      <w:r w:rsidRPr="008924E0">
        <w:rPr>
          <w:lang w:val="bs-Latn-BA"/>
        </w:rPr>
        <w:t xml:space="preserve"> </w:t>
      </w:r>
      <w:r>
        <w:rPr>
          <w:lang w:val="bs-Latn-BA"/>
        </w:rPr>
        <w:t xml:space="preserve">su sljedeći </w:t>
      </w:r>
      <w:r w:rsidRPr="008924E0">
        <w:rPr>
          <w:lang w:val="bs-Latn-BA"/>
        </w:rPr>
        <w:t>scenarij</w:t>
      </w:r>
      <w:r>
        <w:rPr>
          <w:lang w:val="bs-Latn-BA"/>
        </w:rPr>
        <w:t>i</w:t>
      </w:r>
      <w:r w:rsidRPr="008924E0">
        <w:rPr>
          <w:lang w:val="bs-Latn-BA"/>
        </w:rPr>
        <w:t xml:space="preserve"> </w:t>
      </w:r>
      <w:r>
        <w:rPr>
          <w:lang w:val="bs-Latn-BA"/>
        </w:rPr>
        <w:t>obnove stambenog fonda zgrada:</w:t>
      </w:r>
      <w:r w:rsidRPr="008924E0">
        <w:rPr>
          <w:lang w:val="bs-Latn-BA"/>
        </w:rPr>
        <w:t xml:space="preserve"> </w:t>
      </w:r>
    </w:p>
    <w:p w14:paraId="3CE8C7DC" w14:textId="2C55576B" w:rsidR="001A4D88" w:rsidRPr="00163B6C" w:rsidRDefault="001A4D88" w:rsidP="00581C1C">
      <w:pPr>
        <w:pStyle w:val="ListParagraph"/>
        <w:numPr>
          <w:ilvl w:val="0"/>
          <w:numId w:val="58"/>
        </w:numPr>
        <w:shd w:val="clear" w:color="auto" w:fill="FFFFFF"/>
        <w:spacing w:after="120" w:line="276" w:lineRule="auto"/>
        <w:contextualSpacing/>
      </w:pPr>
      <w:r w:rsidRPr="00163B6C">
        <w:t xml:space="preserve">obnova </w:t>
      </w:r>
      <w:r>
        <w:t>1,5</w:t>
      </w:r>
      <w:r w:rsidRPr="00163B6C">
        <w:t xml:space="preserve"> % korisne grijane površine fonda</w:t>
      </w:r>
      <w:r>
        <w:t xml:space="preserve"> </w:t>
      </w:r>
      <w:r w:rsidR="005835FA">
        <w:t>javnih</w:t>
      </w:r>
      <w:r>
        <w:t xml:space="preserve"> zgrada</w:t>
      </w:r>
      <w:r w:rsidRPr="00163B6C">
        <w:t xml:space="preserve">, </w:t>
      </w:r>
    </w:p>
    <w:p w14:paraId="49481C16" w14:textId="77777777" w:rsidR="001A4D88" w:rsidRPr="00163B6C" w:rsidRDefault="001A4D88" w:rsidP="00581C1C">
      <w:pPr>
        <w:pStyle w:val="ListParagraph"/>
        <w:numPr>
          <w:ilvl w:val="0"/>
          <w:numId w:val="58"/>
        </w:numPr>
        <w:shd w:val="clear" w:color="auto" w:fill="FFFFFF"/>
        <w:spacing w:after="120" w:line="276" w:lineRule="auto"/>
        <w:contextualSpacing/>
      </w:pPr>
      <w:r w:rsidRPr="00163B6C">
        <w:t xml:space="preserve">obnova </w:t>
      </w:r>
      <w:r>
        <w:t>2,0</w:t>
      </w:r>
      <w:r w:rsidRPr="00163B6C">
        <w:t xml:space="preserve"> % korisne grijane površine i</w:t>
      </w:r>
    </w:p>
    <w:p w14:paraId="6E6A57AC" w14:textId="77777777" w:rsidR="001A4D88" w:rsidRPr="00163B6C" w:rsidRDefault="001A4D88" w:rsidP="00581C1C">
      <w:pPr>
        <w:pStyle w:val="ListParagraph"/>
        <w:numPr>
          <w:ilvl w:val="0"/>
          <w:numId w:val="58"/>
        </w:numPr>
        <w:shd w:val="clear" w:color="auto" w:fill="FFFFFF"/>
        <w:spacing w:after="120" w:line="276" w:lineRule="auto"/>
        <w:contextualSpacing/>
      </w:pPr>
      <w:r w:rsidRPr="00163B6C">
        <w:t xml:space="preserve">obnova </w:t>
      </w:r>
      <w:r>
        <w:t>2</w:t>
      </w:r>
      <w:r w:rsidRPr="00163B6C">
        <w:t>,5 % korisne grijane površine.</w:t>
      </w:r>
    </w:p>
    <w:p w14:paraId="00B25FF8" w14:textId="5DEC6FB1" w:rsidR="001A4D88" w:rsidRDefault="001A4D88" w:rsidP="001A4D88">
      <w:pPr>
        <w:shd w:val="clear" w:color="auto" w:fill="FFFFFF"/>
        <w:spacing w:after="120" w:line="276" w:lineRule="auto"/>
        <w:rPr>
          <w:lang w:val="bs-Latn-BA"/>
        </w:rPr>
      </w:pPr>
      <w:r>
        <w:rPr>
          <w:lang w:val="bs-Latn-BA"/>
        </w:rPr>
        <w:t>Korištena je metodologija proračuna ušteda energije, emisije CO</w:t>
      </w:r>
      <w:r w:rsidRPr="00163B6C">
        <w:rPr>
          <w:vertAlign w:val="subscript"/>
          <w:lang w:val="bs-Latn-BA"/>
        </w:rPr>
        <w:t>2</w:t>
      </w:r>
      <w:r>
        <w:rPr>
          <w:lang w:val="bs-Latn-BA"/>
        </w:rPr>
        <w:t xml:space="preserve"> i troškova, predstavljena u tekstu Strategije. </w:t>
      </w:r>
      <w:r w:rsidRPr="008924E0">
        <w:rPr>
          <w:lang w:val="bs-Latn-BA"/>
        </w:rPr>
        <w:t xml:space="preserve">Izračunate uštede energije su prikazane na Slici </w:t>
      </w:r>
      <w:r>
        <w:rPr>
          <w:lang w:val="bs-Latn-BA"/>
        </w:rPr>
        <w:t>11.</w:t>
      </w:r>
      <w:r w:rsidR="005835FA">
        <w:rPr>
          <w:lang w:val="bs-Latn-BA"/>
        </w:rPr>
        <w:t>2.</w:t>
      </w:r>
      <w:r>
        <w:rPr>
          <w:lang w:val="bs-Latn-BA"/>
        </w:rPr>
        <w:t>2. gdje se v</w:t>
      </w:r>
      <w:r w:rsidRPr="008924E0">
        <w:rPr>
          <w:lang w:val="bs-Latn-BA"/>
        </w:rPr>
        <w:t xml:space="preserve">idi se da se najveće uštede postižu godišnjom </w:t>
      </w:r>
      <w:r>
        <w:rPr>
          <w:lang w:val="bs-Latn-BA"/>
        </w:rPr>
        <w:t>obnovom</w:t>
      </w:r>
      <w:r w:rsidRPr="008924E0">
        <w:rPr>
          <w:lang w:val="bs-Latn-BA"/>
        </w:rPr>
        <w:t xml:space="preserve"> </w:t>
      </w:r>
      <w:r>
        <w:rPr>
          <w:lang w:val="bs-Latn-BA"/>
        </w:rPr>
        <w:t>2</w:t>
      </w:r>
      <w:r w:rsidRPr="008924E0">
        <w:rPr>
          <w:lang w:val="bs-Latn-BA"/>
        </w:rPr>
        <w:t>,5 % korisne grijane površine fonda</w:t>
      </w:r>
      <w:r>
        <w:rPr>
          <w:lang w:val="bs-Latn-BA"/>
        </w:rPr>
        <w:t xml:space="preserve"> javnih zgrada</w:t>
      </w:r>
      <w:r w:rsidRPr="008924E0">
        <w:rPr>
          <w:lang w:val="bs-Latn-BA"/>
        </w:rPr>
        <w:t>.</w:t>
      </w:r>
    </w:p>
    <w:p w14:paraId="4E2ED19B" w14:textId="77777777" w:rsidR="005835FA" w:rsidRDefault="001A4D88" w:rsidP="005835FA">
      <w:pPr>
        <w:keepNext/>
        <w:pBdr>
          <w:top w:val="nil"/>
          <w:left w:val="nil"/>
          <w:bottom w:val="nil"/>
          <w:right w:val="nil"/>
          <w:between w:val="nil"/>
        </w:pBdr>
        <w:spacing w:after="200" w:line="240" w:lineRule="auto"/>
        <w:jc w:val="center"/>
      </w:pPr>
      <w:r>
        <w:rPr>
          <w:noProof/>
        </w:rPr>
        <w:drawing>
          <wp:inline distT="0" distB="0" distL="0" distR="0" wp14:anchorId="579F9E50" wp14:editId="2189557B">
            <wp:extent cx="5732145" cy="1882775"/>
            <wp:effectExtent l="0" t="0" r="1905" b="3175"/>
            <wp:docPr id="1142666880" name="Chart 1142666880">
              <a:extLst xmlns:a="http://schemas.openxmlformats.org/drawingml/2006/main">
                <a:ext uri="{FF2B5EF4-FFF2-40B4-BE49-F238E27FC236}">
                  <a16:creationId xmlns:a16="http://schemas.microsoft.com/office/drawing/2014/main" id="{A5D420EB-3863-47F0-AF33-821FB08784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56185195" w14:textId="2EBED7CA" w:rsidR="001A4D88" w:rsidRPr="005835FA" w:rsidRDefault="005835FA" w:rsidP="005835FA">
      <w:pPr>
        <w:pStyle w:val="Caption"/>
        <w:jc w:val="center"/>
      </w:pPr>
      <w:bookmarkStart w:id="246" w:name="_Toc133499412"/>
      <w:r>
        <w:t>Slika 11.2.</w:t>
      </w:r>
      <w:r w:rsidR="00000000">
        <w:fldChar w:fldCharType="begin"/>
      </w:r>
      <w:r w:rsidR="00000000">
        <w:instrText xml:space="preserve"> SEQ Slika_11.2. \* ARABIC </w:instrText>
      </w:r>
      <w:r w:rsidR="00000000">
        <w:fldChar w:fldCharType="separate"/>
      </w:r>
      <w:r>
        <w:rPr>
          <w:noProof/>
        </w:rPr>
        <w:t>2</w:t>
      </w:r>
      <w:r w:rsidR="00000000">
        <w:rPr>
          <w:noProof/>
        </w:rPr>
        <w:fldChar w:fldCharType="end"/>
      </w:r>
      <w:r>
        <w:t xml:space="preserve"> </w:t>
      </w:r>
      <w:r w:rsidRPr="008924E0">
        <w:rPr>
          <w:rFonts w:eastAsia="Calibri"/>
          <w:color w:val="000000"/>
        </w:rPr>
        <w:t xml:space="preserve">Predviđanje potrošnje energije </w:t>
      </w:r>
      <w:r>
        <w:rPr>
          <w:rFonts w:eastAsia="Calibri"/>
          <w:color w:val="000000"/>
        </w:rPr>
        <w:t xml:space="preserve">javnih </w:t>
      </w:r>
      <w:r w:rsidRPr="008924E0">
        <w:rPr>
          <w:rFonts w:eastAsia="Calibri"/>
          <w:color w:val="000000"/>
        </w:rPr>
        <w:t xml:space="preserve">zgrada za različite nivoe </w:t>
      </w:r>
      <w:r>
        <w:rPr>
          <w:rFonts w:eastAsia="Calibri"/>
          <w:color w:val="000000"/>
        </w:rPr>
        <w:t>obnova</w:t>
      </w:r>
      <w:r w:rsidRPr="008924E0">
        <w:rPr>
          <w:rFonts w:eastAsia="Calibri"/>
          <w:color w:val="000000"/>
        </w:rPr>
        <w:t xml:space="preserve"> u FBiH do 2050. godine</w:t>
      </w:r>
      <w:bookmarkEnd w:id="246"/>
      <w:r w:rsidR="001A4D88" w:rsidRPr="008924E0">
        <w:rPr>
          <w:rFonts w:eastAsia="Calibri"/>
          <w:color w:val="000000"/>
        </w:rPr>
        <w:t xml:space="preserve"> </w:t>
      </w:r>
    </w:p>
    <w:p w14:paraId="7DFEAC93" w14:textId="0E1AFF22" w:rsidR="001A4D88" w:rsidRPr="008924E0" w:rsidRDefault="001A4D88" w:rsidP="001A4D88">
      <w:pPr>
        <w:shd w:val="clear" w:color="auto" w:fill="FFFFFF"/>
        <w:spacing w:after="120" w:line="276" w:lineRule="auto"/>
        <w:rPr>
          <w:lang w:val="bs-Latn-BA"/>
        </w:rPr>
      </w:pPr>
      <w:r w:rsidRPr="008924E0">
        <w:rPr>
          <w:lang w:val="bs-Latn-BA"/>
        </w:rPr>
        <w:t>U Tabel</w:t>
      </w:r>
      <w:r>
        <w:rPr>
          <w:lang w:val="bs-Latn-BA"/>
        </w:rPr>
        <w:t>ama</w:t>
      </w:r>
      <w:r w:rsidRPr="008924E0">
        <w:rPr>
          <w:lang w:val="bs-Latn-BA"/>
        </w:rPr>
        <w:t xml:space="preserve"> </w:t>
      </w:r>
      <w:r>
        <w:rPr>
          <w:lang w:val="bs-Latn-BA"/>
        </w:rPr>
        <w:t>11</w:t>
      </w:r>
      <w:r w:rsidRPr="008924E0">
        <w:rPr>
          <w:lang w:val="bs-Latn-BA"/>
        </w:rPr>
        <w:t>.</w:t>
      </w:r>
      <w:r w:rsidR="005835FA">
        <w:rPr>
          <w:lang w:val="bs-Latn-BA"/>
        </w:rPr>
        <w:t>2.5</w:t>
      </w:r>
      <w:r w:rsidRPr="008924E0">
        <w:rPr>
          <w:lang w:val="bs-Latn-BA"/>
        </w:rPr>
        <w:t>.-</w:t>
      </w:r>
      <w:r>
        <w:rPr>
          <w:lang w:val="bs-Latn-BA"/>
        </w:rPr>
        <w:t>11</w:t>
      </w:r>
      <w:r w:rsidRPr="008924E0">
        <w:rPr>
          <w:lang w:val="bs-Latn-BA"/>
        </w:rPr>
        <w:t>.</w:t>
      </w:r>
      <w:r w:rsidR="005835FA">
        <w:rPr>
          <w:lang w:val="bs-Latn-BA"/>
        </w:rPr>
        <w:t>2.7</w:t>
      </w:r>
      <w:r w:rsidRPr="008924E0">
        <w:rPr>
          <w:lang w:val="bs-Latn-BA"/>
        </w:rPr>
        <w:t xml:space="preserve">.  je predstavljen pregled osnovnih karakteristika fonda </w:t>
      </w:r>
      <w:r>
        <w:rPr>
          <w:lang w:val="bs-Latn-BA"/>
        </w:rPr>
        <w:t xml:space="preserve">javnih zgrada </w:t>
      </w:r>
      <w:r w:rsidRPr="008924E0">
        <w:rPr>
          <w:lang w:val="bs-Latn-BA"/>
        </w:rPr>
        <w:t xml:space="preserve">za početnu i ciljnu godinu (2050. godina). Vidi se da je planirani porast broja novoizgrađenih zgrada uz </w:t>
      </w:r>
      <w:r>
        <w:rPr>
          <w:lang w:val="bs-Latn-BA"/>
        </w:rPr>
        <w:t>smanjenje</w:t>
      </w:r>
      <w:r w:rsidRPr="008924E0">
        <w:rPr>
          <w:lang w:val="bs-Latn-BA"/>
        </w:rPr>
        <w:t xml:space="preserve"> ukupne potrošnje fonda</w:t>
      </w:r>
      <w:r>
        <w:rPr>
          <w:lang w:val="bs-Latn-BA"/>
        </w:rPr>
        <w:t xml:space="preserve"> javnih zgrada za sve scenarije obnove,</w:t>
      </w:r>
      <w:r w:rsidRPr="008924E0">
        <w:rPr>
          <w:lang w:val="bs-Latn-BA"/>
        </w:rPr>
        <w:t xml:space="preserve"> što je rezultat primjene mjera energijske </w:t>
      </w:r>
      <w:r>
        <w:rPr>
          <w:lang w:val="bs-Latn-BA"/>
        </w:rPr>
        <w:t>obnove</w:t>
      </w:r>
      <w:r w:rsidRPr="008924E0">
        <w:rPr>
          <w:lang w:val="bs-Latn-BA"/>
        </w:rPr>
        <w:t xml:space="preserve">. </w:t>
      </w:r>
    </w:p>
    <w:p w14:paraId="2E2F7AD7" w14:textId="77777777" w:rsidR="001A4D88" w:rsidRDefault="001A4D88" w:rsidP="001A4D88">
      <w:pPr>
        <w:shd w:val="clear" w:color="auto" w:fill="FFFFFF"/>
        <w:spacing w:after="120" w:line="276" w:lineRule="auto"/>
        <w:rPr>
          <w:lang w:val="bs-Latn-BA"/>
        </w:rPr>
      </w:pPr>
      <w:r w:rsidRPr="008924E0">
        <w:rPr>
          <w:lang w:val="bs-Latn-BA"/>
        </w:rPr>
        <w:t xml:space="preserve">Ukupan broja zgrada obuhvaćenih programom </w:t>
      </w:r>
      <w:r>
        <w:rPr>
          <w:lang w:val="bs-Latn-BA"/>
        </w:rPr>
        <w:t>obnove</w:t>
      </w:r>
      <w:r w:rsidRPr="008924E0">
        <w:rPr>
          <w:lang w:val="bs-Latn-BA"/>
        </w:rPr>
        <w:t xml:space="preserve"> za tri razmatrana scenarija iznosi </w:t>
      </w:r>
      <w:r>
        <w:rPr>
          <w:lang w:val="bs-Latn-BA"/>
        </w:rPr>
        <w:t>2.232</w:t>
      </w:r>
      <w:r w:rsidRPr="008924E0">
        <w:rPr>
          <w:lang w:val="bs-Latn-BA"/>
        </w:rPr>
        <w:t xml:space="preserve"> (</w:t>
      </w:r>
      <w:r>
        <w:rPr>
          <w:lang w:val="bs-Latn-BA"/>
        </w:rPr>
        <w:t xml:space="preserve">obnova 1,5 </w:t>
      </w:r>
      <w:r w:rsidRPr="008924E0">
        <w:rPr>
          <w:lang w:val="bs-Latn-BA"/>
        </w:rPr>
        <w:t xml:space="preserve">% korisne grijane površine </w:t>
      </w:r>
      <w:r>
        <w:rPr>
          <w:lang w:val="bs-Latn-BA"/>
        </w:rPr>
        <w:t>godišnje</w:t>
      </w:r>
      <w:r w:rsidRPr="008924E0">
        <w:rPr>
          <w:lang w:val="bs-Latn-BA"/>
        </w:rPr>
        <w:t xml:space="preserve">) do </w:t>
      </w:r>
      <w:r>
        <w:rPr>
          <w:lang w:val="bs-Latn-BA"/>
        </w:rPr>
        <w:t>3.689</w:t>
      </w:r>
      <w:r w:rsidRPr="008924E0">
        <w:rPr>
          <w:lang w:val="bs-Latn-BA"/>
        </w:rPr>
        <w:t xml:space="preserve"> (</w:t>
      </w:r>
      <w:r>
        <w:rPr>
          <w:lang w:val="bs-Latn-BA"/>
        </w:rPr>
        <w:t xml:space="preserve">obnova 2,5 </w:t>
      </w:r>
      <w:r w:rsidRPr="008924E0">
        <w:rPr>
          <w:lang w:val="bs-Latn-BA"/>
        </w:rPr>
        <w:t xml:space="preserve">% korisne grijane površine </w:t>
      </w:r>
      <w:r>
        <w:rPr>
          <w:lang w:val="bs-Latn-BA"/>
        </w:rPr>
        <w:t>godišnje</w:t>
      </w:r>
      <w:r w:rsidRPr="008924E0">
        <w:rPr>
          <w:lang w:val="bs-Latn-BA"/>
        </w:rPr>
        <w:t xml:space="preserve">).  Ukupno </w:t>
      </w:r>
      <w:r>
        <w:rPr>
          <w:lang w:val="bs-Latn-BA"/>
        </w:rPr>
        <w:t>obnovljena</w:t>
      </w:r>
      <w:r w:rsidRPr="008924E0">
        <w:rPr>
          <w:lang w:val="bs-Latn-BA"/>
        </w:rPr>
        <w:t xml:space="preserve"> korisna grijana površina zgrada iznosi </w:t>
      </w:r>
      <w:r w:rsidRPr="00511D83">
        <w:rPr>
          <w:lang w:val="bs-Latn-BA"/>
        </w:rPr>
        <w:t>2.636.050</w:t>
      </w:r>
      <w:r>
        <w:rPr>
          <w:lang w:val="bs-Latn-BA"/>
        </w:rPr>
        <w:t xml:space="preserve"> </w:t>
      </w:r>
      <w:r w:rsidRPr="008924E0">
        <w:rPr>
          <w:lang w:val="bs-Latn-BA"/>
        </w:rPr>
        <w:t>m</w:t>
      </w:r>
      <w:r w:rsidRPr="008924E0">
        <w:rPr>
          <w:vertAlign w:val="superscript"/>
          <w:lang w:val="bs-Latn-BA"/>
        </w:rPr>
        <w:t xml:space="preserve">2 </w:t>
      </w:r>
      <w:r w:rsidRPr="008924E0">
        <w:rPr>
          <w:lang w:val="bs-Latn-BA"/>
        </w:rPr>
        <w:t>(</w:t>
      </w:r>
      <w:r>
        <w:rPr>
          <w:lang w:val="bs-Latn-BA"/>
        </w:rPr>
        <w:t xml:space="preserve">obnova 1,5 </w:t>
      </w:r>
      <w:r w:rsidRPr="008924E0">
        <w:rPr>
          <w:lang w:val="bs-Latn-BA"/>
        </w:rPr>
        <w:t xml:space="preserve">% korisne grijane površine </w:t>
      </w:r>
      <w:r>
        <w:rPr>
          <w:lang w:val="bs-Latn-BA"/>
        </w:rPr>
        <w:t>godišnje</w:t>
      </w:r>
      <w:r w:rsidRPr="008924E0">
        <w:rPr>
          <w:lang w:val="bs-Latn-BA"/>
        </w:rPr>
        <w:t>)</w:t>
      </w:r>
      <w:r>
        <w:rPr>
          <w:lang w:val="bs-Latn-BA"/>
        </w:rPr>
        <w:t xml:space="preserve"> </w:t>
      </w:r>
      <w:r w:rsidRPr="008924E0">
        <w:rPr>
          <w:lang w:val="bs-Latn-BA"/>
        </w:rPr>
        <w:t xml:space="preserve">do </w:t>
      </w:r>
      <w:r w:rsidRPr="00B10FC0">
        <w:rPr>
          <w:lang w:val="bs-Latn-BA"/>
        </w:rPr>
        <w:t>4.364.085</w:t>
      </w:r>
      <w:r>
        <w:rPr>
          <w:lang w:val="bs-Latn-BA"/>
        </w:rPr>
        <w:t xml:space="preserve"> </w:t>
      </w:r>
      <w:r w:rsidRPr="008924E0">
        <w:rPr>
          <w:lang w:val="bs-Latn-BA"/>
        </w:rPr>
        <w:t>m</w:t>
      </w:r>
      <w:r w:rsidRPr="008924E0">
        <w:rPr>
          <w:vertAlign w:val="superscript"/>
          <w:lang w:val="bs-Latn-BA"/>
        </w:rPr>
        <w:t xml:space="preserve">2 </w:t>
      </w:r>
      <w:r w:rsidRPr="008924E0">
        <w:rPr>
          <w:lang w:val="bs-Latn-BA"/>
        </w:rPr>
        <w:t>(</w:t>
      </w:r>
      <w:r>
        <w:rPr>
          <w:lang w:val="bs-Latn-BA"/>
        </w:rPr>
        <w:t xml:space="preserve">obnova 2,5 </w:t>
      </w:r>
      <w:r w:rsidRPr="008924E0">
        <w:rPr>
          <w:lang w:val="bs-Latn-BA"/>
        </w:rPr>
        <w:t xml:space="preserve">% korisne grijane površine </w:t>
      </w:r>
      <w:r>
        <w:rPr>
          <w:lang w:val="bs-Latn-BA"/>
        </w:rPr>
        <w:t>godišnje</w:t>
      </w:r>
      <w:r w:rsidRPr="008924E0">
        <w:rPr>
          <w:lang w:val="bs-Latn-BA"/>
        </w:rPr>
        <w:t xml:space="preserve">). Kao rezultat primjene mjera </w:t>
      </w:r>
      <w:r>
        <w:rPr>
          <w:lang w:val="bs-Latn-BA"/>
        </w:rPr>
        <w:t>obnove</w:t>
      </w:r>
      <w:r w:rsidRPr="008924E0">
        <w:rPr>
          <w:lang w:val="bs-Latn-BA"/>
        </w:rPr>
        <w:t xml:space="preserve"> očekuje se ušteda u potrošnji energije od </w:t>
      </w:r>
      <w:r>
        <w:rPr>
          <w:lang w:val="bs-Latn-BA"/>
        </w:rPr>
        <w:t>509</w:t>
      </w:r>
      <w:r w:rsidRPr="008924E0">
        <w:rPr>
          <w:lang w:val="bs-Latn-BA"/>
        </w:rPr>
        <w:t xml:space="preserve"> GWh (</w:t>
      </w:r>
      <w:r>
        <w:rPr>
          <w:lang w:val="bs-Latn-BA"/>
        </w:rPr>
        <w:t>obnova 1,5</w:t>
      </w:r>
      <w:r w:rsidRPr="008924E0">
        <w:rPr>
          <w:lang w:val="bs-Latn-BA"/>
        </w:rPr>
        <w:t xml:space="preserve"> % korisne grijane površine </w:t>
      </w:r>
      <w:r>
        <w:rPr>
          <w:lang w:val="bs-Latn-BA"/>
        </w:rPr>
        <w:t>godišnje</w:t>
      </w:r>
      <w:r w:rsidRPr="008924E0">
        <w:rPr>
          <w:lang w:val="bs-Latn-BA"/>
        </w:rPr>
        <w:t xml:space="preserve">) do </w:t>
      </w:r>
      <w:r>
        <w:rPr>
          <w:lang w:val="bs-Latn-BA"/>
        </w:rPr>
        <w:t>841</w:t>
      </w:r>
      <w:r w:rsidRPr="008924E0">
        <w:rPr>
          <w:lang w:val="bs-Latn-BA"/>
        </w:rPr>
        <w:t xml:space="preserve"> GWh (</w:t>
      </w:r>
      <w:r>
        <w:rPr>
          <w:lang w:val="bs-Latn-BA"/>
        </w:rPr>
        <w:t xml:space="preserve">obnova 2,5 </w:t>
      </w:r>
      <w:r w:rsidRPr="008924E0">
        <w:rPr>
          <w:lang w:val="bs-Latn-BA"/>
        </w:rPr>
        <w:t xml:space="preserve">% korisne grijane površine </w:t>
      </w:r>
      <w:r>
        <w:rPr>
          <w:lang w:val="bs-Latn-BA"/>
        </w:rPr>
        <w:t>godišnje</w:t>
      </w:r>
      <w:r w:rsidRPr="008924E0">
        <w:rPr>
          <w:lang w:val="bs-Latn-BA"/>
        </w:rPr>
        <w:t>). Kumulativna ušteda emisije CO</w:t>
      </w:r>
      <w:r w:rsidRPr="008924E0">
        <w:rPr>
          <w:vertAlign w:val="subscript"/>
          <w:lang w:val="bs-Latn-BA"/>
        </w:rPr>
        <w:t>2</w:t>
      </w:r>
      <w:r w:rsidRPr="008924E0">
        <w:rPr>
          <w:lang w:val="bs-Latn-BA"/>
        </w:rPr>
        <w:t xml:space="preserve"> </w:t>
      </w:r>
      <w:r>
        <w:rPr>
          <w:lang w:val="bs-Latn-BA"/>
        </w:rPr>
        <w:t>iznosi</w:t>
      </w:r>
      <w:r w:rsidRPr="008924E0">
        <w:rPr>
          <w:lang w:val="bs-Latn-BA"/>
        </w:rPr>
        <w:t xml:space="preserve"> </w:t>
      </w:r>
      <w:r>
        <w:rPr>
          <w:lang w:val="bs-Latn-BA"/>
        </w:rPr>
        <w:t>379</w:t>
      </w:r>
      <w:r w:rsidRPr="008924E0">
        <w:rPr>
          <w:lang w:val="bs-Latn-BA"/>
        </w:rPr>
        <w:t>·10</w:t>
      </w:r>
      <w:r>
        <w:rPr>
          <w:vertAlign w:val="superscript"/>
          <w:lang w:val="bs-Latn-BA"/>
        </w:rPr>
        <w:t>3</w:t>
      </w:r>
      <w:r w:rsidRPr="008924E0">
        <w:rPr>
          <w:lang w:val="bs-Latn-BA"/>
        </w:rPr>
        <w:t xml:space="preserve"> t za nivo </w:t>
      </w:r>
      <w:r>
        <w:rPr>
          <w:lang w:val="bs-Latn-BA"/>
        </w:rPr>
        <w:t>obnove</w:t>
      </w:r>
      <w:r w:rsidRPr="008924E0">
        <w:rPr>
          <w:lang w:val="bs-Latn-BA"/>
        </w:rPr>
        <w:t xml:space="preserve"> </w:t>
      </w:r>
      <w:r>
        <w:rPr>
          <w:lang w:val="bs-Latn-BA"/>
        </w:rPr>
        <w:t>od 1,5</w:t>
      </w:r>
      <w:r w:rsidRPr="008924E0">
        <w:rPr>
          <w:lang w:val="bs-Latn-BA"/>
        </w:rPr>
        <w:t xml:space="preserve"> %</w:t>
      </w:r>
      <w:r>
        <w:rPr>
          <w:lang w:val="bs-Latn-BA"/>
        </w:rPr>
        <w:t xml:space="preserve"> </w:t>
      </w:r>
      <w:r w:rsidRPr="008924E0">
        <w:rPr>
          <w:lang w:val="bs-Latn-BA"/>
        </w:rPr>
        <w:t xml:space="preserve">korisne grijane površine </w:t>
      </w:r>
      <w:r>
        <w:rPr>
          <w:lang w:val="bs-Latn-BA"/>
        </w:rPr>
        <w:t>godišnje</w:t>
      </w:r>
      <w:r w:rsidRPr="008924E0">
        <w:rPr>
          <w:lang w:val="bs-Latn-BA"/>
        </w:rPr>
        <w:t xml:space="preserve"> do </w:t>
      </w:r>
      <w:r>
        <w:rPr>
          <w:lang w:val="bs-Latn-BA"/>
        </w:rPr>
        <w:t>406</w:t>
      </w:r>
      <w:r w:rsidRPr="008924E0">
        <w:rPr>
          <w:lang w:val="bs-Latn-BA"/>
        </w:rPr>
        <w:t>·10</w:t>
      </w:r>
      <w:r>
        <w:rPr>
          <w:vertAlign w:val="superscript"/>
          <w:lang w:val="bs-Latn-BA"/>
        </w:rPr>
        <w:t>3</w:t>
      </w:r>
      <w:r w:rsidRPr="008924E0">
        <w:rPr>
          <w:lang w:val="bs-Latn-BA"/>
        </w:rPr>
        <w:t xml:space="preserve"> t za nivo </w:t>
      </w:r>
      <w:r>
        <w:rPr>
          <w:lang w:val="bs-Latn-BA"/>
        </w:rPr>
        <w:t>obnove</w:t>
      </w:r>
      <w:r w:rsidRPr="008924E0">
        <w:rPr>
          <w:lang w:val="bs-Latn-BA"/>
        </w:rPr>
        <w:t xml:space="preserve"> </w:t>
      </w:r>
      <w:r>
        <w:rPr>
          <w:lang w:val="bs-Latn-BA"/>
        </w:rPr>
        <w:t xml:space="preserve">2,5 </w:t>
      </w:r>
      <w:r w:rsidRPr="008924E0">
        <w:rPr>
          <w:lang w:val="bs-Latn-BA"/>
        </w:rPr>
        <w:t xml:space="preserve">% korisne grijane površine </w:t>
      </w:r>
      <w:r>
        <w:rPr>
          <w:lang w:val="bs-Latn-BA"/>
        </w:rPr>
        <w:t>godišnje.</w:t>
      </w:r>
      <w:r w:rsidRPr="008924E0">
        <w:rPr>
          <w:lang w:val="bs-Latn-BA"/>
        </w:rPr>
        <w:t xml:space="preserve"> </w:t>
      </w:r>
    </w:p>
    <w:p w14:paraId="358DB226" w14:textId="2ECD99A5" w:rsidR="005835FA" w:rsidRDefault="005835FA" w:rsidP="005835FA">
      <w:pPr>
        <w:pStyle w:val="Caption"/>
        <w:keepNext/>
      </w:pPr>
      <w:bookmarkStart w:id="247" w:name="_Toc133499644"/>
      <w:r>
        <w:lastRenderedPageBreak/>
        <w:t>Tabela 11.2.</w:t>
      </w:r>
      <w:r w:rsidR="00000000">
        <w:fldChar w:fldCharType="begin"/>
      </w:r>
      <w:r w:rsidR="00000000">
        <w:instrText xml:space="preserve"> SEQ Tabela_11.2. \* ARABIC </w:instrText>
      </w:r>
      <w:r w:rsidR="00000000">
        <w:fldChar w:fldCharType="separate"/>
      </w:r>
      <w:r>
        <w:rPr>
          <w:noProof/>
        </w:rPr>
        <w:t>5</w:t>
      </w:r>
      <w:r w:rsidR="00000000">
        <w:rPr>
          <w:noProof/>
        </w:rPr>
        <w:fldChar w:fldCharType="end"/>
      </w:r>
      <w:r>
        <w:t xml:space="preserve"> </w:t>
      </w:r>
      <w:r w:rsidRPr="008924E0">
        <w:rPr>
          <w:rFonts w:eastAsia="Calibri"/>
          <w:color w:val="000000"/>
          <w:szCs w:val="22"/>
        </w:rPr>
        <w:t xml:space="preserve">Postojeće i ciljne karakteristike fonda </w:t>
      </w:r>
      <w:r>
        <w:rPr>
          <w:rFonts w:eastAsia="Calibri"/>
          <w:color w:val="000000"/>
          <w:szCs w:val="22"/>
        </w:rPr>
        <w:t xml:space="preserve">javnih </w:t>
      </w:r>
      <w:r w:rsidRPr="008924E0">
        <w:rPr>
          <w:rFonts w:eastAsia="Calibri"/>
          <w:color w:val="000000"/>
          <w:szCs w:val="22"/>
        </w:rPr>
        <w:t xml:space="preserve">zgrada FBiH (godišnja </w:t>
      </w:r>
      <w:r>
        <w:rPr>
          <w:rFonts w:eastAsia="Calibri"/>
          <w:color w:val="000000"/>
          <w:szCs w:val="22"/>
        </w:rPr>
        <w:t>obnova</w:t>
      </w:r>
      <w:r w:rsidRPr="008924E0">
        <w:rPr>
          <w:rFonts w:eastAsia="Calibri"/>
          <w:color w:val="000000"/>
          <w:szCs w:val="22"/>
        </w:rPr>
        <w:t xml:space="preserve"> 1,5 % korisne grijane površine)</w:t>
      </w:r>
      <w:bookmarkEnd w:id="247"/>
    </w:p>
    <w:tbl>
      <w:tblPr>
        <w:tblStyle w:val="17"/>
        <w:tblW w:w="9026" w:type="dxa"/>
        <w:tblLayout w:type="fixed"/>
        <w:tblLook w:val="04A0" w:firstRow="1" w:lastRow="0" w:firstColumn="1" w:lastColumn="0" w:noHBand="0" w:noVBand="1"/>
      </w:tblPr>
      <w:tblGrid>
        <w:gridCol w:w="4120"/>
        <w:gridCol w:w="1122"/>
        <w:gridCol w:w="1388"/>
        <w:gridCol w:w="1274"/>
        <w:gridCol w:w="1122"/>
      </w:tblGrid>
      <w:tr w:rsidR="001A4D88" w:rsidRPr="008924E0" w14:paraId="55F77A85" w14:textId="77777777" w:rsidTr="0012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7EC8AB1A" w14:textId="77777777" w:rsidR="001A4D88" w:rsidRPr="008924E0" w:rsidRDefault="001A4D88" w:rsidP="00122946">
            <w:pPr>
              <w:rPr>
                <w:rFonts w:eastAsia="Calibri"/>
                <w:lang w:val="bs-Latn-BA"/>
              </w:rPr>
            </w:pPr>
            <w:r w:rsidRPr="008924E0">
              <w:rPr>
                <w:rFonts w:eastAsia="Calibri"/>
                <w:lang w:val="bs-Latn-BA"/>
              </w:rPr>
              <w:t>Karakteristike fonda javnih zgrada</w:t>
            </w:r>
          </w:p>
        </w:tc>
        <w:tc>
          <w:tcPr>
            <w:tcW w:w="1122" w:type="dxa"/>
          </w:tcPr>
          <w:p w14:paraId="735911D5"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3B0E0F4A"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388" w:type="dxa"/>
          </w:tcPr>
          <w:p w14:paraId="256D6DEA"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721E704A"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274" w:type="dxa"/>
          </w:tcPr>
          <w:p w14:paraId="14C6AF43"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253E51DE"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122" w:type="dxa"/>
          </w:tcPr>
          <w:p w14:paraId="62D771C9"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7E351870"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1A4D88" w:rsidRPr="008924E0" w14:paraId="03149733"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122427A5" w14:textId="77777777" w:rsidR="001A4D88" w:rsidRPr="008924E0" w:rsidRDefault="001A4D88" w:rsidP="00122946">
            <w:pPr>
              <w:rPr>
                <w:rFonts w:eastAsia="Calibri"/>
                <w:lang w:val="bs-Latn-BA"/>
              </w:rPr>
            </w:pPr>
            <w:r w:rsidRPr="008924E0">
              <w:rPr>
                <w:lang w:val="bs-Latn-BA"/>
              </w:rPr>
              <w:t xml:space="preserve">Broj zgrada </w:t>
            </w:r>
          </w:p>
        </w:tc>
        <w:tc>
          <w:tcPr>
            <w:tcW w:w="1122" w:type="dxa"/>
          </w:tcPr>
          <w:p w14:paraId="1011AAED"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4.608</w:t>
            </w:r>
          </w:p>
        </w:tc>
        <w:tc>
          <w:tcPr>
            <w:tcW w:w="1388" w:type="dxa"/>
          </w:tcPr>
          <w:p w14:paraId="10D7129A"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4.949</w:t>
            </w:r>
          </w:p>
        </w:tc>
        <w:tc>
          <w:tcPr>
            <w:tcW w:w="1274" w:type="dxa"/>
          </w:tcPr>
          <w:p w14:paraId="25F162E2"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5.290</w:t>
            </w:r>
          </w:p>
        </w:tc>
        <w:tc>
          <w:tcPr>
            <w:tcW w:w="1122" w:type="dxa"/>
          </w:tcPr>
          <w:p w14:paraId="386B2FC6"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5.632</w:t>
            </w:r>
          </w:p>
        </w:tc>
      </w:tr>
      <w:tr w:rsidR="001A4D88" w:rsidRPr="008924E0" w14:paraId="6B1F6E7D"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47F931F4" w14:textId="77777777" w:rsidR="001A4D88" w:rsidRPr="008924E0" w:rsidRDefault="001A4D88" w:rsidP="00122946">
            <w:pPr>
              <w:rPr>
                <w:lang w:val="bs-Latn-BA"/>
              </w:rPr>
            </w:pPr>
            <w:r w:rsidRPr="008924E0">
              <w:rPr>
                <w:lang w:val="bs-Latn-BA"/>
              </w:rPr>
              <w:t>Korisna površina, m</w:t>
            </w:r>
            <w:r w:rsidRPr="008924E0">
              <w:rPr>
                <w:vertAlign w:val="superscript"/>
                <w:lang w:val="bs-Latn-BA"/>
              </w:rPr>
              <w:t>2</w:t>
            </w:r>
          </w:p>
        </w:tc>
        <w:tc>
          <w:tcPr>
            <w:tcW w:w="1122" w:type="dxa"/>
          </w:tcPr>
          <w:p w14:paraId="3DFE40D9"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5.384.408</w:t>
            </w:r>
          </w:p>
        </w:tc>
        <w:tc>
          <w:tcPr>
            <w:tcW w:w="1388" w:type="dxa"/>
          </w:tcPr>
          <w:p w14:paraId="5E0AA231"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5.786.242</w:t>
            </w:r>
          </w:p>
        </w:tc>
        <w:tc>
          <w:tcPr>
            <w:tcW w:w="1274" w:type="dxa"/>
          </w:tcPr>
          <w:p w14:paraId="58FD1814"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6.189.671</w:t>
            </w:r>
          </w:p>
        </w:tc>
        <w:tc>
          <w:tcPr>
            <w:tcW w:w="1122" w:type="dxa"/>
          </w:tcPr>
          <w:p w14:paraId="00918EC9"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6.589.014</w:t>
            </w:r>
          </w:p>
        </w:tc>
      </w:tr>
      <w:tr w:rsidR="001A4D88" w:rsidRPr="008924E0" w14:paraId="180407D5"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2FDE9777" w14:textId="77777777" w:rsidR="001A4D88" w:rsidRPr="008924E0" w:rsidRDefault="001A4D88" w:rsidP="00122946">
            <w:pPr>
              <w:rPr>
                <w:lang w:val="bs-Latn-BA"/>
              </w:rPr>
            </w:pPr>
            <w:r w:rsidRPr="008924E0">
              <w:rPr>
                <w:lang w:val="bs-Latn-BA"/>
              </w:rPr>
              <w:t>Bruto površina, m</w:t>
            </w:r>
            <w:r w:rsidRPr="008924E0">
              <w:rPr>
                <w:vertAlign w:val="superscript"/>
                <w:lang w:val="bs-Latn-BA"/>
              </w:rPr>
              <w:t>2</w:t>
            </w:r>
          </w:p>
        </w:tc>
        <w:tc>
          <w:tcPr>
            <w:tcW w:w="1122" w:type="dxa"/>
          </w:tcPr>
          <w:p w14:paraId="09657E62"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6.056.416</w:t>
            </w:r>
          </w:p>
        </w:tc>
        <w:tc>
          <w:tcPr>
            <w:tcW w:w="1388" w:type="dxa"/>
          </w:tcPr>
          <w:p w14:paraId="15AE3A63"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6.508.402</w:t>
            </w:r>
          </w:p>
        </w:tc>
        <w:tc>
          <w:tcPr>
            <w:tcW w:w="1274" w:type="dxa"/>
          </w:tcPr>
          <w:p w14:paraId="5802B810"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6.962.181</w:t>
            </w:r>
          </w:p>
        </w:tc>
        <w:tc>
          <w:tcPr>
            <w:tcW w:w="1122" w:type="dxa"/>
          </w:tcPr>
          <w:p w14:paraId="7B5C1E51"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bs-Latn-BA"/>
              </w:rPr>
            </w:pPr>
            <w:r w:rsidRPr="00C123E9">
              <w:rPr>
                <w:rFonts w:asciiTheme="minorHAnsi" w:hAnsiTheme="minorHAnsi" w:cstheme="minorHAnsi"/>
              </w:rPr>
              <w:t>7.411.365</w:t>
            </w:r>
          </w:p>
        </w:tc>
      </w:tr>
      <w:tr w:rsidR="001A4D88" w:rsidRPr="008924E0" w14:paraId="5DBCA892"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6DAD3A56" w14:textId="77777777" w:rsidR="001A4D88" w:rsidRPr="008924E0" w:rsidRDefault="001A4D88" w:rsidP="00122946">
            <w:pPr>
              <w:rPr>
                <w:rFonts w:eastAsia="Calibri"/>
                <w:lang w:val="bs-Latn-BA"/>
              </w:rPr>
            </w:pPr>
            <w:r w:rsidRPr="008924E0">
              <w:rPr>
                <w:lang w:val="bs-Latn-BA"/>
              </w:rPr>
              <w:t>Potrošnja energije, GWh/god.</w:t>
            </w:r>
          </w:p>
        </w:tc>
        <w:tc>
          <w:tcPr>
            <w:tcW w:w="1122" w:type="dxa"/>
          </w:tcPr>
          <w:p w14:paraId="29A3EBC8"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1.340</w:t>
            </w:r>
          </w:p>
        </w:tc>
        <w:tc>
          <w:tcPr>
            <w:tcW w:w="1388" w:type="dxa"/>
          </w:tcPr>
          <w:p w14:paraId="109918EC"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1.223</w:t>
            </w:r>
          </w:p>
        </w:tc>
        <w:tc>
          <w:tcPr>
            <w:tcW w:w="1274" w:type="dxa"/>
          </w:tcPr>
          <w:p w14:paraId="5C5DD13A"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1.080</w:t>
            </w:r>
          </w:p>
        </w:tc>
        <w:tc>
          <w:tcPr>
            <w:tcW w:w="1122" w:type="dxa"/>
          </w:tcPr>
          <w:p w14:paraId="16308074"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936</w:t>
            </w:r>
          </w:p>
        </w:tc>
      </w:tr>
      <w:tr w:rsidR="001A4D88" w:rsidRPr="008924E0" w14:paraId="5365EBC1"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299BDF5A" w14:textId="77777777" w:rsidR="001A4D88" w:rsidRPr="008924E0" w:rsidRDefault="001A4D88" w:rsidP="00122946">
            <w:pPr>
              <w:rPr>
                <w:rFonts w:eastAsia="Calibri"/>
                <w:lang w:val="bs-Latn-BA"/>
              </w:rPr>
            </w:pPr>
            <w:r w:rsidRPr="008924E0">
              <w:rPr>
                <w:lang w:val="bs-Latn-BA"/>
              </w:rPr>
              <w:t xml:space="preserve">Broj zgrada obuhvaćenih </w:t>
            </w:r>
            <w:r>
              <w:rPr>
                <w:lang w:val="bs-Latn-BA"/>
              </w:rPr>
              <w:t>obnovom</w:t>
            </w:r>
          </w:p>
        </w:tc>
        <w:tc>
          <w:tcPr>
            <w:tcW w:w="1122" w:type="dxa"/>
          </w:tcPr>
          <w:p w14:paraId="5BD45244"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0</w:t>
            </w:r>
          </w:p>
        </w:tc>
        <w:tc>
          <w:tcPr>
            <w:tcW w:w="1388" w:type="dxa"/>
          </w:tcPr>
          <w:p w14:paraId="7B64DAFC"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792</w:t>
            </w:r>
          </w:p>
        </w:tc>
        <w:tc>
          <w:tcPr>
            <w:tcW w:w="1274" w:type="dxa"/>
          </w:tcPr>
          <w:p w14:paraId="6731DF0B"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1.512</w:t>
            </w:r>
          </w:p>
        </w:tc>
        <w:tc>
          <w:tcPr>
            <w:tcW w:w="1122" w:type="dxa"/>
          </w:tcPr>
          <w:p w14:paraId="7F469F9B"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2.232</w:t>
            </w:r>
          </w:p>
        </w:tc>
      </w:tr>
      <w:tr w:rsidR="001A4D88" w:rsidRPr="008924E0" w14:paraId="6668DB3E"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08121B11" w14:textId="77777777" w:rsidR="001A4D88" w:rsidRPr="008924E0" w:rsidRDefault="001A4D88" w:rsidP="00122946">
            <w:pPr>
              <w:rPr>
                <w:rFonts w:eastAsia="Calibri"/>
                <w:lang w:val="bs-Latn-BA"/>
              </w:rPr>
            </w:pPr>
            <w:r>
              <w:rPr>
                <w:lang w:val="bs-Latn-BA"/>
              </w:rPr>
              <w:t>Obnovljena</w:t>
            </w:r>
            <w:r w:rsidRPr="008924E0">
              <w:rPr>
                <w:lang w:val="bs-Latn-BA"/>
              </w:rPr>
              <w:t xml:space="preserve"> korisna površina, m</w:t>
            </w:r>
            <w:r w:rsidRPr="008924E0">
              <w:rPr>
                <w:vertAlign w:val="superscript"/>
                <w:lang w:val="bs-Latn-BA"/>
              </w:rPr>
              <w:t>2</w:t>
            </w:r>
          </w:p>
        </w:tc>
        <w:tc>
          <w:tcPr>
            <w:tcW w:w="1122" w:type="dxa"/>
          </w:tcPr>
          <w:p w14:paraId="39A50762"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0</w:t>
            </w:r>
          </w:p>
        </w:tc>
        <w:tc>
          <w:tcPr>
            <w:tcW w:w="1388" w:type="dxa"/>
          </w:tcPr>
          <w:p w14:paraId="0B191AE3"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935.373</w:t>
            </w:r>
          </w:p>
        </w:tc>
        <w:tc>
          <w:tcPr>
            <w:tcW w:w="1274" w:type="dxa"/>
          </w:tcPr>
          <w:p w14:paraId="5D293999"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1.785.712</w:t>
            </w:r>
          </w:p>
        </w:tc>
        <w:tc>
          <w:tcPr>
            <w:tcW w:w="1122" w:type="dxa"/>
          </w:tcPr>
          <w:p w14:paraId="11939932"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2.636.050</w:t>
            </w:r>
          </w:p>
        </w:tc>
      </w:tr>
      <w:tr w:rsidR="001A4D88" w:rsidRPr="008924E0" w14:paraId="563882A0"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5FAFCFAF" w14:textId="77777777" w:rsidR="001A4D88" w:rsidRPr="008924E0" w:rsidRDefault="001A4D88" w:rsidP="00122946">
            <w:pPr>
              <w:rPr>
                <w:rFonts w:eastAsia="Calibri"/>
                <w:lang w:val="bs-Latn-BA"/>
              </w:rPr>
            </w:pPr>
            <w:r>
              <w:rPr>
                <w:lang w:val="bs-Latn-BA"/>
              </w:rPr>
              <w:t>Obnovljena</w:t>
            </w:r>
            <w:r w:rsidRPr="008924E0">
              <w:rPr>
                <w:lang w:val="bs-Latn-BA"/>
              </w:rPr>
              <w:t xml:space="preserve"> bruto površina, m</w:t>
            </w:r>
            <w:r w:rsidRPr="008924E0">
              <w:rPr>
                <w:vertAlign w:val="superscript"/>
                <w:lang w:val="bs-Latn-BA"/>
              </w:rPr>
              <w:t>2</w:t>
            </w:r>
          </w:p>
        </w:tc>
        <w:tc>
          <w:tcPr>
            <w:tcW w:w="1122" w:type="dxa"/>
          </w:tcPr>
          <w:p w14:paraId="76BF5792"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0</w:t>
            </w:r>
          </w:p>
        </w:tc>
        <w:tc>
          <w:tcPr>
            <w:tcW w:w="1388" w:type="dxa"/>
          </w:tcPr>
          <w:p w14:paraId="258F6491"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1.052.113</w:t>
            </w:r>
          </w:p>
        </w:tc>
        <w:tc>
          <w:tcPr>
            <w:tcW w:w="1274" w:type="dxa"/>
          </w:tcPr>
          <w:p w14:paraId="0911D124"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2.008.580</w:t>
            </w:r>
          </w:p>
        </w:tc>
        <w:tc>
          <w:tcPr>
            <w:tcW w:w="1122" w:type="dxa"/>
          </w:tcPr>
          <w:p w14:paraId="0B9109FA"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2.965.046</w:t>
            </w:r>
          </w:p>
        </w:tc>
      </w:tr>
      <w:tr w:rsidR="001A4D88" w:rsidRPr="008924E0" w14:paraId="5F294E84"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50F826EA" w14:textId="77777777" w:rsidR="001A4D88" w:rsidRPr="008924E0" w:rsidRDefault="001A4D88" w:rsidP="00122946">
            <w:pPr>
              <w:rPr>
                <w:rFonts w:eastAsia="Calibri"/>
                <w:lang w:val="bs-Latn-BA"/>
              </w:rPr>
            </w:pPr>
            <w:r w:rsidRPr="008924E0">
              <w:rPr>
                <w:rFonts w:eastAsia="Calibri"/>
                <w:lang w:val="bs-Latn-BA"/>
              </w:rPr>
              <w:t xml:space="preserve">Ušteda energije primjenom mjera energijske </w:t>
            </w:r>
            <w:r>
              <w:rPr>
                <w:rFonts w:eastAsia="Calibri"/>
                <w:lang w:val="bs-Latn-BA"/>
              </w:rPr>
              <w:t>obnove</w:t>
            </w:r>
            <w:r w:rsidRPr="008924E0">
              <w:rPr>
                <w:rFonts w:eastAsia="Calibri"/>
                <w:lang w:val="bs-Latn-BA"/>
              </w:rPr>
              <w:t>, GWh</w:t>
            </w:r>
          </w:p>
        </w:tc>
        <w:tc>
          <w:tcPr>
            <w:tcW w:w="1122" w:type="dxa"/>
          </w:tcPr>
          <w:p w14:paraId="5AF9C356"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0</w:t>
            </w:r>
          </w:p>
        </w:tc>
        <w:tc>
          <w:tcPr>
            <w:tcW w:w="1388" w:type="dxa"/>
          </w:tcPr>
          <w:p w14:paraId="3AC79C66"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167</w:t>
            </w:r>
          </w:p>
        </w:tc>
        <w:tc>
          <w:tcPr>
            <w:tcW w:w="1274" w:type="dxa"/>
          </w:tcPr>
          <w:p w14:paraId="16C7CCF3"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338</w:t>
            </w:r>
          </w:p>
        </w:tc>
        <w:tc>
          <w:tcPr>
            <w:tcW w:w="1122" w:type="dxa"/>
          </w:tcPr>
          <w:p w14:paraId="0A0E3C3B"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509</w:t>
            </w:r>
          </w:p>
        </w:tc>
      </w:tr>
      <w:tr w:rsidR="001A4D88" w:rsidRPr="008924E0" w14:paraId="0772C3B4"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20" w:type="dxa"/>
          </w:tcPr>
          <w:p w14:paraId="4EB608CD" w14:textId="77777777" w:rsidR="001A4D88" w:rsidRPr="008924E0" w:rsidRDefault="001A4D88" w:rsidP="00122946">
            <w:pPr>
              <w:rPr>
                <w:rFonts w:eastAsia="Calibri"/>
                <w:lang w:val="bs-Latn-BA"/>
              </w:rPr>
            </w:pPr>
            <w:r w:rsidRPr="008924E0">
              <w:rPr>
                <w:rFonts w:eastAsia="Calibri"/>
                <w:lang w:val="bs-Latn-BA"/>
              </w:rPr>
              <w:t>Ušteda emisije CO</w:t>
            </w:r>
            <w:r w:rsidRPr="008924E0">
              <w:rPr>
                <w:rFonts w:eastAsia="Calibri"/>
                <w:vertAlign w:val="subscript"/>
                <w:lang w:val="bs-Latn-BA"/>
              </w:rPr>
              <w:t>2</w:t>
            </w:r>
            <w:r w:rsidRPr="008924E0">
              <w:rPr>
                <w:rFonts w:eastAsia="Calibri"/>
                <w:lang w:val="bs-Latn-BA"/>
              </w:rPr>
              <w:t>, 10</w:t>
            </w:r>
            <w:r>
              <w:rPr>
                <w:rFonts w:eastAsia="Calibri"/>
                <w:vertAlign w:val="superscript"/>
                <w:lang w:val="bs-Latn-BA"/>
              </w:rPr>
              <w:t>3</w:t>
            </w:r>
            <w:r w:rsidRPr="008924E0">
              <w:rPr>
                <w:rFonts w:eastAsia="Calibri"/>
                <w:lang w:val="bs-Latn-BA"/>
              </w:rPr>
              <w:t>t/god.</w:t>
            </w:r>
          </w:p>
        </w:tc>
        <w:tc>
          <w:tcPr>
            <w:tcW w:w="1122" w:type="dxa"/>
          </w:tcPr>
          <w:p w14:paraId="387C7B10"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0</w:t>
            </w:r>
          </w:p>
        </w:tc>
        <w:tc>
          <w:tcPr>
            <w:tcW w:w="1388" w:type="dxa"/>
          </w:tcPr>
          <w:p w14:paraId="1A89DF72"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265</w:t>
            </w:r>
          </w:p>
        </w:tc>
        <w:tc>
          <w:tcPr>
            <w:tcW w:w="1274" w:type="dxa"/>
          </w:tcPr>
          <w:p w14:paraId="364DC898"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362</w:t>
            </w:r>
          </w:p>
        </w:tc>
        <w:tc>
          <w:tcPr>
            <w:tcW w:w="1122" w:type="dxa"/>
          </w:tcPr>
          <w:p w14:paraId="61154130"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123E9">
              <w:rPr>
                <w:rFonts w:asciiTheme="minorHAnsi" w:hAnsiTheme="minorHAnsi" w:cstheme="minorHAnsi"/>
              </w:rPr>
              <w:t>379</w:t>
            </w:r>
          </w:p>
        </w:tc>
      </w:tr>
    </w:tbl>
    <w:p w14:paraId="6DBB7B9A" w14:textId="2FFF2A1C" w:rsidR="001A4D88" w:rsidRPr="008924E0" w:rsidRDefault="001A4D88" w:rsidP="001A4D88">
      <w:pPr>
        <w:pStyle w:val="Caption"/>
        <w:keepNext/>
      </w:pPr>
    </w:p>
    <w:p w14:paraId="3D39DE5A" w14:textId="61D4664A" w:rsidR="005835FA" w:rsidRDefault="005835FA" w:rsidP="005835FA">
      <w:pPr>
        <w:pStyle w:val="Caption"/>
        <w:keepNext/>
      </w:pPr>
      <w:bookmarkStart w:id="248" w:name="_Toc133499645"/>
      <w:r>
        <w:t>Tabela 11.2.</w:t>
      </w:r>
      <w:r w:rsidR="00000000">
        <w:fldChar w:fldCharType="begin"/>
      </w:r>
      <w:r w:rsidR="00000000">
        <w:instrText xml:space="preserve"> SEQ Tabela_11.2. \* ARABIC </w:instrText>
      </w:r>
      <w:r w:rsidR="00000000">
        <w:fldChar w:fldCharType="separate"/>
      </w:r>
      <w:r>
        <w:rPr>
          <w:noProof/>
        </w:rPr>
        <w:t>6</w:t>
      </w:r>
      <w:r w:rsidR="00000000">
        <w:rPr>
          <w:noProof/>
        </w:rPr>
        <w:fldChar w:fldCharType="end"/>
      </w:r>
      <w:r>
        <w:t xml:space="preserve"> </w:t>
      </w:r>
      <w:r w:rsidRPr="008924E0">
        <w:rPr>
          <w:rFonts w:eastAsia="Calibri"/>
          <w:color w:val="000000"/>
        </w:rPr>
        <w:t xml:space="preserve">Postojeće i ciljne karakteristike fonda javnih zgrada FBiH (godišnja </w:t>
      </w:r>
      <w:r>
        <w:rPr>
          <w:rFonts w:eastAsia="Calibri"/>
          <w:color w:val="000000"/>
        </w:rPr>
        <w:t>obnova</w:t>
      </w:r>
      <w:r w:rsidRPr="008924E0">
        <w:rPr>
          <w:rFonts w:eastAsia="Calibri"/>
          <w:color w:val="000000"/>
        </w:rPr>
        <w:t xml:space="preserve"> 2,0 % korisne grijane površine)</w:t>
      </w:r>
      <w:bookmarkEnd w:id="248"/>
    </w:p>
    <w:tbl>
      <w:tblPr>
        <w:tblStyle w:val="57"/>
        <w:tblW w:w="9027" w:type="dxa"/>
        <w:tblLayout w:type="fixed"/>
        <w:tblLook w:val="04A0" w:firstRow="1" w:lastRow="0" w:firstColumn="1" w:lastColumn="0" w:noHBand="0" w:noVBand="1"/>
      </w:tblPr>
      <w:tblGrid>
        <w:gridCol w:w="4141"/>
        <w:gridCol w:w="1041"/>
        <w:gridCol w:w="1459"/>
        <w:gridCol w:w="1345"/>
        <w:gridCol w:w="1041"/>
      </w:tblGrid>
      <w:tr w:rsidR="001A4D88" w:rsidRPr="008924E0" w14:paraId="3BF6EC72" w14:textId="77777777" w:rsidTr="0012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4C81A733" w14:textId="77777777" w:rsidR="001A4D88" w:rsidRPr="008924E0" w:rsidRDefault="001A4D88" w:rsidP="00122946">
            <w:pPr>
              <w:jc w:val="left"/>
              <w:rPr>
                <w:rFonts w:eastAsia="Calibri"/>
                <w:lang w:val="bs-Latn-BA"/>
              </w:rPr>
            </w:pPr>
            <w:r w:rsidRPr="008924E0">
              <w:rPr>
                <w:rFonts w:eastAsia="Calibri"/>
                <w:lang w:val="bs-Latn-BA"/>
              </w:rPr>
              <w:t>Karakteristike fonda javnih zgrada</w:t>
            </w:r>
          </w:p>
        </w:tc>
        <w:tc>
          <w:tcPr>
            <w:tcW w:w="1041" w:type="dxa"/>
          </w:tcPr>
          <w:p w14:paraId="24F82ADE"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5F914A3B"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459" w:type="dxa"/>
          </w:tcPr>
          <w:p w14:paraId="63D9B37D"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31C7BE7E"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345" w:type="dxa"/>
          </w:tcPr>
          <w:p w14:paraId="56E3B9D2"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795C8327"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041" w:type="dxa"/>
          </w:tcPr>
          <w:p w14:paraId="6D207583"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114916A8"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1A4D88" w:rsidRPr="008924E0" w14:paraId="3A55FFAC"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0AD99AD9" w14:textId="77777777" w:rsidR="001A4D88" w:rsidRPr="008924E0" w:rsidRDefault="001A4D88" w:rsidP="00122946">
            <w:pPr>
              <w:jc w:val="left"/>
              <w:rPr>
                <w:rFonts w:eastAsia="Calibri"/>
                <w:color w:val="000000"/>
                <w:lang w:val="bs-Latn-BA"/>
              </w:rPr>
            </w:pPr>
            <w:r w:rsidRPr="008924E0">
              <w:rPr>
                <w:color w:val="000000"/>
                <w:lang w:val="bs-Latn-BA"/>
              </w:rPr>
              <w:t xml:space="preserve">Broj zgrada </w:t>
            </w:r>
          </w:p>
        </w:tc>
        <w:tc>
          <w:tcPr>
            <w:tcW w:w="1041" w:type="dxa"/>
            <w:vAlign w:val="bottom"/>
          </w:tcPr>
          <w:p w14:paraId="59162A9B"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4.608</w:t>
            </w:r>
          </w:p>
        </w:tc>
        <w:tc>
          <w:tcPr>
            <w:tcW w:w="1459" w:type="dxa"/>
            <w:vAlign w:val="bottom"/>
          </w:tcPr>
          <w:p w14:paraId="426D69DB"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4.949</w:t>
            </w:r>
          </w:p>
        </w:tc>
        <w:tc>
          <w:tcPr>
            <w:tcW w:w="1345" w:type="dxa"/>
            <w:vAlign w:val="bottom"/>
          </w:tcPr>
          <w:p w14:paraId="7A82BF76"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5.290</w:t>
            </w:r>
          </w:p>
        </w:tc>
        <w:tc>
          <w:tcPr>
            <w:tcW w:w="1041" w:type="dxa"/>
            <w:vAlign w:val="bottom"/>
          </w:tcPr>
          <w:p w14:paraId="04F807F5"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5.632</w:t>
            </w:r>
          </w:p>
        </w:tc>
      </w:tr>
      <w:tr w:rsidR="001A4D88" w:rsidRPr="008924E0" w14:paraId="259BE623"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103E2FC5" w14:textId="77777777" w:rsidR="001A4D88" w:rsidRPr="008924E0" w:rsidRDefault="001A4D88" w:rsidP="00122946">
            <w:pPr>
              <w:jc w:val="left"/>
              <w:rPr>
                <w:color w:val="000000"/>
                <w:lang w:val="bs-Latn-BA"/>
              </w:rPr>
            </w:pPr>
            <w:r w:rsidRPr="008924E0">
              <w:rPr>
                <w:color w:val="000000"/>
                <w:lang w:val="bs-Latn-BA"/>
              </w:rPr>
              <w:t>Korisna površina, m</w:t>
            </w:r>
            <w:r w:rsidRPr="008924E0">
              <w:rPr>
                <w:color w:val="000000"/>
                <w:vertAlign w:val="superscript"/>
                <w:lang w:val="bs-Latn-BA"/>
              </w:rPr>
              <w:t>2</w:t>
            </w:r>
          </w:p>
        </w:tc>
        <w:tc>
          <w:tcPr>
            <w:tcW w:w="1041" w:type="dxa"/>
            <w:vAlign w:val="bottom"/>
          </w:tcPr>
          <w:p w14:paraId="3CBB5A94"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5.384.408</w:t>
            </w:r>
          </w:p>
        </w:tc>
        <w:tc>
          <w:tcPr>
            <w:tcW w:w="1459" w:type="dxa"/>
            <w:vAlign w:val="bottom"/>
          </w:tcPr>
          <w:p w14:paraId="7A8EBA93"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5.786.242</w:t>
            </w:r>
          </w:p>
        </w:tc>
        <w:tc>
          <w:tcPr>
            <w:tcW w:w="1345" w:type="dxa"/>
            <w:vAlign w:val="bottom"/>
          </w:tcPr>
          <w:p w14:paraId="50989F4C"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6.189.671</w:t>
            </w:r>
          </w:p>
        </w:tc>
        <w:tc>
          <w:tcPr>
            <w:tcW w:w="1041" w:type="dxa"/>
            <w:vAlign w:val="bottom"/>
          </w:tcPr>
          <w:p w14:paraId="0A24173B"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6.589.014</w:t>
            </w:r>
          </w:p>
        </w:tc>
      </w:tr>
      <w:tr w:rsidR="001A4D88" w:rsidRPr="008924E0" w14:paraId="12250C77"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68D88CED" w14:textId="77777777" w:rsidR="001A4D88" w:rsidRPr="008924E0" w:rsidRDefault="001A4D88" w:rsidP="00122946">
            <w:pPr>
              <w:jc w:val="left"/>
              <w:rPr>
                <w:color w:val="000000"/>
                <w:lang w:val="bs-Latn-BA"/>
              </w:rPr>
            </w:pPr>
            <w:r w:rsidRPr="008924E0">
              <w:rPr>
                <w:color w:val="000000"/>
                <w:lang w:val="bs-Latn-BA"/>
              </w:rPr>
              <w:t>Bruto površina, m</w:t>
            </w:r>
            <w:r w:rsidRPr="008924E0">
              <w:rPr>
                <w:color w:val="000000"/>
                <w:vertAlign w:val="superscript"/>
                <w:lang w:val="bs-Latn-BA"/>
              </w:rPr>
              <w:t>2</w:t>
            </w:r>
          </w:p>
        </w:tc>
        <w:tc>
          <w:tcPr>
            <w:tcW w:w="1041" w:type="dxa"/>
            <w:vAlign w:val="bottom"/>
          </w:tcPr>
          <w:p w14:paraId="56A3537C"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6.056.416</w:t>
            </w:r>
          </w:p>
        </w:tc>
        <w:tc>
          <w:tcPr>
            <w:tcW w:w="1459" w:type="dxa"/>
            <w:vAlign w:val="bottom"/>
          </w:tcPr>
          <w:p w14:paraId="52C6B1C2"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6.508.402</w:t>
            </w:r>
          </w:p>
        </w:tc>
        <w:tc>
          <w:tcPr>
            <w:tcW w:w="1345" w:type="dxa"/>
            <w:vAlign w:val="bottom"/>
          </w:tcPr>
          <w:p w14:paraId="2B9E4707"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6.962.181</w:t>
            </w:r>
          </w:p>
        </w:tc>
        <w:tc>
          <w:tcPr>
            <w:tcW w:w="1041" w:type="dxa"/>
            <w:vAlign w:val="bottom"/>
          </w:tcPr>
          <w:p w14:paraId="7217B26E"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7.411.365</w:t>
            </w:r>
          </w:p>
        </w:tc>
      </w:tr>
      <w:tr w:rsidR="001A4D88" w:rsidRPr="008924E0" w14:paraId="037A6D5F"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325BF74A" w14:textId="77777777" w:rsidR="001A4D88" w:rsidRPr="008924E0" w:rsidRDefault="001A4D88" w:rsidP="00122946">
            <w:pPr>
              <w:jc w:val="left"/>
              <w:rPr>
                <w:rFonts w:eastAsia="Calibri"/>
                <w:color w:val="000000"/>
                <w:lang w:val="bs-Latn-BA"/>
              </w:rPr>
            </w:pPr>
            <w:r w:rsidRPr="008924E0">
              <w:rPr>
                <w:color w:val="000000"/>
                <w:lang w:val="bs-Latn-BA"/>
              </w:rPr>
              <w:t>Potrošnja energije, GWh/god.</w:t>
            </w:r>
          </w:p>
        </w:tc>
        <w:tc>
          <w:tcPr>
            <w:tcW w:w="1041" w:type="dxa"/>
            <w:vAlign w:val="bottom"/>
          </w:tcPr>
          <w:p w14:paraId="0D2AA55B"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1.335</w:t>
            </w:r>
          </w:p>
        </w:tc>
        <w:tc>
          <w:tcPr>
            <w:tcW w:w="1459" w:type="dxa"/>
            <w:vAlign w:val="bottom"/>
          </w:tcPr>
          <w:p w14:paraId="381654DF"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1.167</w:t>
            </w:r>
          </w:p>
        </w:tc>
        <w:tc>
          <w:tcPr>
            <w:tcW w:w="1345" w:type="dxa"/>
            <w:vAlign w:val="bottom"/>
          </w:tcPr>
          <w:p w14:paraId="4BC2CD6C"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967</w:t>
            </w:r>
          </w:p>
        </w:tc>
        <w:tc>
          <w:tcPr>
            <w:tcW w:w="1041" w:type="dxa"/>
            <w:vAlign w:val="bottom"/>
          </w:tcPr>
          <w:p w14:paraId="0B4F7CFB"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767</w:t>
            </w:r>
          </w:p>
        </w:tc>
      </w:tr>
      <w:tr w:rsidR="001A4D88" w:rsidRPr="008924E0" w14:paraId="74EFC731"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0AC2943B" w14:textId="77777777" w:rsidR="001A4D88" w:rsidRPr="008924E0" w:rsidRDefault="001A4D88" w:rsidP="00122946">
            <w:pPr>
              <w:rPr>
                <w:rFonts w:eastAsia="Calibri"/>
                <w:color w:val="000000"/>
                <w:lang w:val="bs-Latn-BA"/>
              </w:rPr>
            </w:pPr>
            <w:r w:rsidRPr="008924E0">
              <w:rPr>
                <w:color w:val="000000"/>
                <w:lang w:val="bs-Latn-BA"/>
              </w:rPr>
              <w:t xml:space="preserve">Broj zgrada obuhvaćenih </w:t>
            </w:r>
            <w:r>
              <w:rPr>
                <w:color w:val="000000"/>
                <w:lang w:val="bs-Latn-BA"/>
              </w:rPr>
              <w:t>obnovom</w:t>
            </w:r>
          </w:p>
        </w:tc>
        <w:tc>
          <w:tcPr>
            <w:tcW w:w="1041" w:type="dxa"/>
            <w:vAlign w:val="bottom"/>
          </w:tcPr>
          <w:p w14:paraId="65BD502E"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2AB9F01F"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1.056</w:t>
            </w:r>
          </w:p>
        </w:tc>
        <w:tc>
          <w:tcPr>
            <w:tcW w:w="1345" w:type="dxa"/>
            <w:vAlign w:val="bottom"/>
          </w:tcPr>
          <w:p w14:paraId="3A3D8EF5"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2.016</w:t>
            </w:r>
          </w:p>
        </w:tc>
        <w:tc>
          <w:tcPr>
            <w:tcW w:w="1041" w:type="dxa"/>
            <w:vAlign w:val="bottom"/>
          </w:tcPr>
          <w:p w14:paraId="66A22199"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2.976</w:t>
            </w:r>
          </w:p>
        </w:tc>
      </w:tr>
      <w:tr w:rsidR="001A4D88" w:rsidRPr="008924E0" w14:paraId="539193E0"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2DB9901F" w14:textId="77777777" w:rsidR="001A4D88" w:rsidRPr="008924E0" w:rsidRDefault="001A4D88" w:rsidP="00122946">
            <w:pPr>
              <w:jc w:val="left"/>
              <w:rPr>
                <w:rFonts w:eastAsia="Calibri"/>
                <w:color w:val="000000"/>
                <w:lang w:val="bs-Latn-BA"/>
              </w:rPr>
            </w:pPr>
            <w:r>
              <w:rPr>
                <w:color w:val="000000"/>
                <w:lang w:val="bs-Latn-BA"/>
              </w:rPr>
              <w:t>Obnovljena</w:t>
            </w:r>
            <w:r w:rsidRPr="008924E0">
              <w:rPr>
                <w:color w:val="000000"/>
                <w:lang w:val="bs-Latn-BA"/>
              </w:rPr>
              <w:t xml:space="preserve"> korisna površina, m</w:t>
            </w:r>
            <w:r w:rsidRPr="008924E0">
              <w:rPr>
                <w:color w:val="000000"/>
                <w:vertAlign w:val="superscript"/>
                <w:lang w:val="bs-Latn-BA"/>
              </w:rPr>
              <w:t>2</w:t>
            </w:r>
          </w:p>
        </w:tc>
        <w:tc>
          <w:tcPr>
            <w:tcW w:w="1041" w:type="dxa"/>
            <w:vAlign w:val="bottom"/>
          </w:tcPr>
          <w:p w14:paraId="42DACFB3"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5F5EE915"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1.244.074</w:t>
            </w:r>
          </w:p>
        </w:tc>
        <w:tc>
          <w:tcPr>
            <w:tcW w:w="1345" w:type="dxa"/>
            <w:vAlign w:val="bottom"/>
          </w:tcPr>
          <w:p w14:paraId="5720A969"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2.375.049</w:t>
            </w:r>
          </w:p>
        </w:tc>
        <w:tc>
          <w:tcPr>
            <w:tcW w:w="1041" w:type="dxa"/>
            <w:vAlign w:val="bottom"/>
          </w:tcPr>
          <w:p w14:paraId="1B1018BC"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3.506.025</w:t>
            </w:r>
          </w:p>
        </w:tc>
      </w:tr>
      <w:tr w:rsidR="001A4D88" w:rsidRPr="008924E0" w14:paraId="4205926C"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12E2DF54" w14:textId="77777777" w:rsidR="001A4D88" w:rsidRPr="008924E0" w:rsidRDefault="001A4D88" w:rsidP="00122946">
            <w:pPr>
              <w:jc w:val="left"/>
              <w:rPr>
                <w:rFonts w:eastAsia="Calibri"/>
                <w:color w:val="000000"/>
                <w:lang w:val="bs-Latn-BA"/>
              </w:rPr>
            </w:pPr>
            <w:r>
              <w:rPr>
                <w:color w:val="000000"/>
                <w:lang w:val="bs-Latn-BA"/>
              </w:rPr>
              <w:t>Obnovljena</w:t>
            </w:r>
            <w:r w:rsidRPr="008924E0">
              <w:rPr>
                <w:color w:val="000000"/>
                <w:lang w:val="bs-Latn-BA"/>
              </w:rPr>
              <w:t xml:space="preserve"> bruto površina, m</w:t>
            </w:r>
            <w:r w:rsidRPr="008924E0">
              <w:rPr>
                <w:color w:val="000000"/>
                <w:vertAlign w:val="superscript"/>
                <w:lang w:val="bs-Latn-BA"/>
              </w:rPr>
              <w:t>2</w:t>
            </w:r>
          </w:p>
        </w:tc>
        <w:tc>
          <w:tcPr>
            <w:tcW w:w="1041" w:type="dxa"/>
            <w:vAlign w:val="bottom"/>
          </w:tcPr>
          <w:p w14:paraId="249E6306"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6B4997EC"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1.399.342</w:t>
            </w:r>
          </w:p>
        </w:tc>
        <w:tc>
          <w:tcPr>
            <w:tcW w:w="1345" w:type="dxa"/>
            <w:vAlign w:val="bottom"/>
          </w:tcPr>
          <w:p w14:paraId="0156222A"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2.671.471</w:t>
            </w:r>
          </w:p>
        </w:tc>
        <w:tc>
          <w:tcPr>
            <w:tcW w:w="1041" w:type="dxa"/>
            <w:vAlign w:val="bottom"/>
          </w:tcPr>
          <w:p w14:paraId="6069483F"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3.943.599</w:t>
            </w:r>
          </w:p>
        </w:tc>
      </w:tr>
      <w:tr w:rsidR="001A4D88" w:rsidRPr="008924E0" w14:paraId="05E82AA3"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6ACF1000" w14:textId="77777777" w:rsidR="001A4D88" w:rsidRPr="008924E0" w:rsidRDefault="001A4D88" w:rsidP="00122946">
            <w:pPr>
              <w:jc w:val="left"/>
              <w:rPr>
                <w:rFonts w:eastAsia="Calibri"/>
                <w:color w:val="000000"/>
                <w:lang w:val="bs-Latn-BA"/>
              </w:rPr>
            </w:pPr>
            <w:r w:rsidRPr="008924E0">
              <w:rPr>
                <w:rFonts w:eastAsia="Calibri"/>
                <w:color w:val="000000"/>
                <w:lang w:val="bs-Latn-BA"/>
              </w:rPr>
              <w:t xml:space="preserve">Ušteda energije primjenom mjera energijske </w:t>
            </w:r>
            <w:r>
              <w:rPr>
                <w:rFonts w:eastAsia="Calibri"/>
                <w:color w:val="000000"/>
                <w:lang w:val="bs-Latn-BA"/>
              </w:rPr>
              <w:t>obnove</w:t>
            </w:r>
            <w:r w:rsidRPr="008924E0">
              <w:rPr>
                <w:rFonts w:eastAsia="Calibri"/>
                <w:color w:val="000000"/>
                <w:lang w:val="bs-Latn-BA"/>
              </w:rPr>
              <w:t>, GWh</w:t>
            </w:r>
          </w:p>
        </w:tc>
        <w:tc>
          <w:tcPr>
            <w:tcW w:w="1041" w:type="dxa"/>
            <w:vAlign w:val="bottom"/>
          </w:tcPr>
          <w:p w14:paraId="24A5B6E1"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0465985A"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223</w:t>
            </w:r>
          </w:p>
        </w:tc>
        <w:tc>
          <w:tcPr>
            <w:tcW w:w="1345" w:type="dxa"/>
            <w:vAlign w:val="bottom"/>
          </w:tcPr>
          <w:p w14:paraId="48927A87"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450</w:t>
            </w:r>
          </w:p>
        </w:tc>
        <w:tc>
          <w:tcPr>
            <w:tcW w:w="1041" w:type="dxa"/>
            <w:vAlign w:val="bottom"/>
          </w:tcPr>
          <w:p w14:paraId="367371F9"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678</w:t>
            </w:r>
          </w:p>
        </w:tc>
      </w:tr>
      <w:tr w:rsidR="001A4D88" w:rsidRPr="008924E0" w14:paraId="76375490"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36B86623" w14:textId="77777777" w:rsidR="001A4D88" w:rsidRPr="008924E0" w:rsidRDefault="001A4D88" w:rsidP="00122946">
            <w:pPr>
              <w:jc w:val="left"/>
              <w:rPr>
                <w:rFonts w:eastAsia="Calibri"/>
                <w:color w:val="000000"/>
                <w:lang w:val="bs-Latn-BA"/>
              </w:rPr>
            </w:pPr>
            <w:r w:rsidRPr="008924E0">
              <w:rPr>
                <w:rFonts w:eastAsia="Calibri"/>
                <w:color w:val="000000"/>
                <w:lang w:val="bs-Latn-BA"/>
              </w:rPr>
              <w:t>Ušteda emisije CO</w:t>
            </w:r>
            <w:r w:rsidRPr="008924E0">
              <w:rPr>
                <w:rFonts w:eastAsia="Calibri"/>
                <w:color w:val="000000"/>
                <w:vertAlign w:val="subscript"/>
                <w:lang w:val="bs-Latn-BA"/>
              </w:rPr>
              <w:t>2</w:t>
            </w:r>
            <w:r w:rsidRPr="008924E0">
              <w:rPr>
                <w:rFonts w:eastAsia="Calibri"/>
                <w:color w:val="000000"/>
                <w:lang w:val="bs-Latn-BA"/>
              </w:rPr>
              <w:t>, 10</w:t>
            </w:r>
            <w:r>
              <w:rPr>
                <w:rFonts w:eastAsia="Calibri"/>
                <w:color w:val="000000"/>
                <w:vertAlign w:val="superscript"/>
                <w:lang w:val="bs-Latn-BA"/>
              </w:rPr>
              <w:t>3</w:t>
            </w:r>
            <w:r w:rsidRPr="008924E0">
              <w:rPr>
                <w:rFonts w:eastAsia="Calibri"/>
                <w:color w:val="000000"/>
                <w:lang w:val="bs-Latn-BA"/>
              </w:rPr>
              <w:t>t/god.</w:t>
            </w:r>
          </w:p>
        </w:tc>
        <w:tc>
          <w:tcPr>
            <w:tcW w:w="1041" w:type="dxa"/>
            <w:vAlign w:val="bottom"/>
          </w:tcPr>
          <w:p w14:paraId="5B332C06"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552CBDD1"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285</w:t>
            </w:r>
          </w:p>
        </w:tc>
        <w:tc>
          <w:tcPr>
            <w:tcW w:w="1345" w:type="dxa"/>
            <w:vAlign w:val="bottom"/>
          </w:tcPr>
          <w:p w14:paraId="307ADA63"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384</w:t>
            </w:r>
          </w:p>
        </w:tc>
        <w:tc>
          <w:tcPr>
            <w:tcW w:w="1041" w:type="dxa"/>
            <w:vAlign w:val="bottom"/>
          </w:tcPr>
          <w:p w14:paraId="7418CB2C"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391</w:t>
            </w:r>
          </w:p>
        </w:tc>
      </w:tr>
    </w:tbl>
    <w:p w14:paraId="43B402A3" w14:textId="77777777" w:rsidR="001A4D88" w:rsidRPr="008924E0" w:rsidRDefault="001A4D88" w:rsidP="001A4D88">
      <w:pPr>
        <w:rPr>
          <w:lang w:val="bs-Latn-BA"/>
        </w:rPr>
      </w:pPr>
    </w:p>
    <w:p w14:paraId="47C1C4A1" w14:textId="6FA73045" w:rsidR="005835FA" w:rsidRDefault="005835FA" w:rsidP="005835FA">
      <w:pPr>
        <w:pStyle w:val="Caption"/>
        <w:keepNext/>
      </w:pPr>
      <w:bookmarkStart w:id="249" w:name="_Toc133499646"/>
      <w:r>
        <w:t>Tabela 11.2.</w:t>
      </w:r>
      <w:fldSimple w:instr=" SEQ Tabela_11.2. \* ARABIC ">
        <w:r>
          <w:rPr>
            <w:noProof/>
          </w:rPr>
          <w:t>7</w:t>
        </w:r>
      </w:fldSimple>
      <w:r>
        <w:t xml:space="preserve"> </w:t>
      </w:r>
      <w:r w:rsidRPr="008924E0">
        <w:rPr>
          <w:rFonts w:eastAsia="Calibri"/>
          <w:color w:val="000000"/>
        </w:rPr>
        <w:t xml:space="preserve">Postojeće i ciljne karakteristike fonda javnih zgrada FBiH (godišnja </w:t>
      </w:r>
      <w:r>
        <w:rPr>
          <w:rFonts w:eastAsia="Calibri"/>
          <w:color w:val="000000"/>
        </w:rPr>
        <w:t>obnova</w:t>
      </w:r>
      <w:r w:rsidRPr="008924E0">
        <w:rPr>
          <w:rFonts w:eastAsia="Calibri"/>
          <w:color w:val="000000"/>
        </w:rPr>
        <w:t xml:space="preserve"> 2,</w:t>
      </w:r>
      <w:r>
        <w:rPr>
          <w:rFonts w:eastAsia="Calibri"/>
          <w:color w:val="000000"/>
        </w:rPr>
        <w:t>5</w:t>
      </w:r>
      <w:r w:rsidRPr="008924E0">
        <w:rPr>
          <w:rFonts w:eastAsia="Calibri"/>
          <w:color w:val="000000"/>
        </w:rPr>
        <w:t xml:space="preserve"> % korisne grijane površine)</w:t>
      </w:r>
      <w:bookmarkEnd w:id="249"/>
    </w:p>
    <w:tbl>
      <w:tblPr>
        <w:tblStyle w:val="57"/>
        <w:tblW w:w="9027" w:type="dxa"/>
        <w:tblLayout w:type="fixed"/>
        <w:tblLook w:val="04A0" w:firstRow="1" w:lastRow="0" w:firstColumn="1" w:lastColumn="0" w:noHBand="0" w:noVBand="1"/>
      </w:tblPr>
      <w:tblGrid>
        <w:gridCol w:w="4141"/>
        <w:gridCol w:w="1041"/>
        <w:gridCol w:w="1459"/>
        <w:gridCol w:w="1345"/>
        <w:gridCol w:w="1041"/>
      </w:tblGrid>
      <w:tr w:rsidR="001A4D88" w:rsidRPr="008924E0" w14:paraId="5CD3150D" w14:textId="77777777" w:rsidTr="001229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0A835851" w14:textId="77777777" w:rsidR="001A4D88" w:rsidRPr="008924E0" w:rsidRDefault="001A4D88" w:rsidP="00122946">
            <w:pPr>
              <w:jc w:val="left"/>
              <w:rPr>
                <w:rFonts w:eastAsia="Calibri"/>
                <w:lang w:val="bs-Latn-BA"/>
              </w:rPr>
            </w:pPr>
            <w:r w:rsidRPr="008924E0">
              <w:rPr>
                <w:rFonts w:eastAsia="Calibri"/>
                <w:lang w:val="bs-Latn-BA"/>
              </w:rPr>
              <w:t>Karakteristike fonda javnih zgrada</w:t>
            </w:r>
          </w:p>
        </w:tc>
        <w:tc>
          <w:tcPr>
            <w:tcW w:w="1041" w:type="dxa"/>
          </w:tcPr>
          <w:p w14:paraId="6BDFC502"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2020. </w:t>
            </w:r>
          </w:p>
          <w:p w14:paraId="0295D6AA"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459" w:type="dxa"/>
          </w:tcPr>
          <w:p w14:paraId="4958F1D4"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2030. </w:t>
            </w:r>
          </w:p>
          <w:p w14:paraId="74422316"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345" w:type="dxa"/>
          </w:tcPr>
          <w:p w14:paraId="2849085E"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2040. </w:t>
            </w:r>
          </w:p>
          <w:p w14:paraId="14D2BDEA"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godina</w:t>
            </w:r>
          </w:p>
        </w:tc>
        <w:tc>
          <w:tcPr>
            <w:tcW w:w="1041" w:type="dxa"/>
          </w:tcPr>
          <w:p w14:paraId="73CC8396"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2050. </w:t>
            </w:r>
          </w:p>
          <w:p w14:paraId="07E0F992" w14:textId="77777777" w:rsidR="001A4D88" w:rsidRPr="008924E0" w:rsidRDefault="001A4D88" w:rsidP="00122946">
            <w:pPr>
              <w:jc w:val="right"/>
              <w:cnfStyle w:val="100000000000" w:firstRow="1" w:lastRow="0" w:firstColumn="0" w:lastColumn="0" w:oddVBand="0" w:evenVBand="0" w:oddHBand="0" w:evenHBand="0" w:firstRowFirstColumn="0" w:firstRowLastColumn="0" w:lastRowFirstColumn="0" w:lastRowLastColumn="0"/>
              <w:rPr>
                <w:rFonts w:eastAsia="Calibri"/>
                <w:lang w:val="bs-Latn-BA"/>
              </w:rPr>
            </w:pPr>
            <w:r w:rsidRPr="008924E0">
              <w:rPr>
                <w:rFonts w:eastAsia="Calibri"/>
                <w:lang w:val="bs-Latn-BA"/>
              </w:rPr>
              <w:t xml:space="preserve">godina </w:t>
            </w:r>
          </w:p>
        </w:tc>
      </w:tr>
      <w:tr w:rsidR="001A4D88" w:rsidRPr="008924E0" w14:paraId="6039CDEC"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28DB8AB6" w14:textId="77777777" w:rsidR="001A4D88" w:rsidRPr="008924E0" w:rsidRDefault="001A4D88" w:rsidP="00122946">
            <w:pPr>
              <w:jc w:val="left"/>
              <w:rPr>
                <w:rFonts w:eastAsia="Calibri"/>
                <w:color w:val="000000"/>
                <w:lang w:val="bs-Latn-BA"/>
              </w:rPr>
            </w:pPr>
            <w:r w:rsidRPr="008924E0">
              <w:rPr>
                <w:color w:val="000000"/>
                <w:lang w:val="bs-Latn-BA"/>
              </w:rPr>
              <w:t xml:space="preserve">Broj zgrada </w:t>
            </w:r>
          </w:p>
        </w:tc>
        <w:tc>
          <w:tcPr>
            <w:tcW w:w="1041" w:type="dxa"/>
            <w:vAlign w:val="bottom"/>
          </w:tcPr>
          <w:p w14:paraId="09652CAE"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4.608</w:t>
            </w:r>
          </w:p>
        </w:tc>
        <w:tc>
          <w:tcPr>
            <w:tcW w:w="1459" w:type="dxa"/>
            <w:vAlign w:val="bottom"/>
          </w:tcPr>
          <w:p w14:paraId="096FCA68"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4.949</w:t>
            </w:r>
          </w:p>
        </w:tc>
        <w:tc>
          <w:tcPr>
            <w:tcW w:w="1345" w:type="dxa"/>
            <w:vAlign w:val="bottom"/>
          </w:tcPr>
          <w:p w14:paraId="20B4BE4A"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5.290</w:t>
            </w:r>
          </w:p>
        </w:tc>
        <w:tc>
          <w:tcPr>
            <w:tcW w:w="1041" w:type="dxa"/>
            <w:vAlign w:val="bottom"/>
          </w:tcPr>
          <w:p w14:paraId="50F4F3CD"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5.632</w:t>
            </w:r>
          </w:p>
        </w:tc>
      </w:tr>
      <w:tr w:rsidR="001A4D88" w:rsidRPr="008924E0" w14:paraId="24482995"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249DB765" w14:textId="77777777" w:rsidR="001A4D88" w:rsidRPr="008924E0" w:rsidRDefault="001A4D88" w:rsidP="00122946">
            <w:pPr>
              <w:jc w:val="left"/>
              <w:rPr>
                <w:color w:val="000000"/>
                <w:lang w:val="bs-Latn-BA"/>
              </w:rPr>
            </w:pPr>
            <w:r w:rsidRPr="008924E0">
              <w:rPr>
                <w:color w:val="000000"/>
                <w:lang w:val="bs-Latn-BA"/>
              </w:rPr>
              <w:t>Korisna površina, m</w:t>
            </w:r>
            <w:r w:rsidRPr="008924E0">
              <w:rPr>
                <w:color w:val="000000"/>
                <w:vertAlign w:val="superscript"/>
                <w:lang w:val="bs-Latn-BA"/>
              </w:rPr>
              <w:t>2</w:t>
            </w:r>
          </w:p>
        </w:tc>
        <w:tc>
          <w:tcPr>
            <w:tcW w:w="1041" w:type="dxa"/>
            <w:vAlign w:val="bottom"/>
          </w:tcPr>
          <w:p w14:paraId="51915D4E"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5.384.408</w:t>
            </w:r>
          </w:p>
        </w:tc>
        <w:tc>
          <w:tcPr>
            <w:tcW w:w="1459" w:type="dxa"/>
            <w:vAlign w:val="bottom"/>
          </w:tcPr>
          <w:p w14:paraId="50B55B57"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5.786.242</w:t>
            </w:r>
          </w:p>
        </w:tc>
        <w:tc>
          <w:tcPr>
            <w:tcW w:w="1345" w:type="dxa"/>
            <w:vAlign w:val="bottom"/>
          </w:tcPr>
          <w:p w14:paraId="587E08EC"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6.189.671</w:t>
            </w:r>
          </w:p>
        </w:tc>
        <w:tc>
          <w:tcPr>
            <w:tcW w:w="1041" w:type="dxa"/>
            <w:vAlign w:val="bottom"/>
          </w:tcPr>
          <w:p w14:paraId="76292A49"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ascii="Corbel" w:hAnsi="Corbel" w:cs="Corbel"/>
                <w:color w:val="000000"/>
                <w:lang w:val="bs-Latn-BA"/>
              </w:rPr>
            </w:pPr>
            <w:r w:rsidRPr="00C123E9">
              <w:rPr>
                <w:color w:val="000000"/>
              </w:rPr>
              <w:t>6.589.014</w:t>
            </w:r>
          </w:p>
        </w:tc>
      </w:tr>
      <w:tr w:rsidR="001A4D88" w:rsidRPr="008924E0" w14:paraId="46B5FC60"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7F7004BA" w14:textId="77777777" w:rsidR="001A4D88" w:rsidRPr="008924E0" w:rsidRDefault="001A4D88" w:rsidP="00122946">
            <w:pPr>
              <w:jc w:val="left"/>
              <w:rPr>
                <w:color w:val="000000"/>
                <w:lang w:val="bs-Latn-BA"/>
              </w:rPr>
            </w:pPr>
            <w:r w:rsidRPr="008924E0">
              <w:rPr>
                <w:color w:val="000000"/>
                <w:lang w:val="bs-Latn-BA"/>
              </w:rPr>
              <w:t>Bruto površina, m</w:t>
            </w:r>
            <w:r w:rsidRPr="008924E0">
              <w:rPr>
                <w:color w:val="000000"/>
                <w:vertAlign w:val="superscript"/>
                <w:lang w:val="bs-Latn-BA"/>
              </w:rPr>
              <w:t>2</w:t>
            </w:r>
          </w:p>
        </w:tc>
        <w:tc>
          <w:tcPr>
            <w:tcW w:w="1041" w:type="dxa"/>
            <w:vAlign w:val="bottom"/>
          </w:tcPr>
          <w:p w14:paraId="07725E57"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6.056.416</w:t>
            </w:r>
          </w:p>
        </w:tc>
        <w:tc>
          <w:tcPr>
            <w:tcW w:w="1459" w:type="dxa"/>
            <w:vAlign w:val="bottom"/>
          </w:tcPr>
          <w:p w14:paraId="4999F25E"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6.508.402</w:t>
            </w:r>
          </w:p>
        </w:tc>
        <w:tc>
          <w:tcPr>
            <w:tcW w:w="1345" w:type="dxa"/>
            <w:vAlign w:val="bottom"/>
          </w:tcPr>
          <w:p w14:paraId="31F3D3EB"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6.962.181</w:t>
            </w:r>
          </w:p>
        </w:tc>
        <w:tc>
          <w:tcPr>
            <w:tcW w:w="1041" w:type="dxa"/>
            <w:vAlign w:val="bottom"/>
          </w:tcPr>
          <w:p w14:paraId="7215BB0E"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ascii="Corbel" w:hAnsi="Corbel" w:cs="Corbel"/>
                <w:color w:val="000000"/>
                <w:lang w:val="bs-Latn-BA"/>
              </w:rPr>
            </w:pPr>
            <w:r w:rsidRPr="00C123E9">
              <w:rPr>
                <w:color w:val="000000"/>
              </w:rPr>
              <w:t>7.411.365</w:t>
            </w:r>
          </w:p>
        </w:tc>
      </w:tr>
      <w:tr w:rsidR="001A4D88" w:rsidRPr="008924E0" w14:paraId="4EE49EEA"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4E9FC51E" w14:textId="77777777" w:rsidR="001A4D88" w:rsidRPr="008924E0" w:rsidRDefault="001A4D88" w:rsidP="00122946">
            <w:pPr>
              <w:jc w:val="left"/>
              <w:rPr>
                <w:rFonts w:eastAsia="Calibri"/>
                <w:color w:val="000000"/>
                <w:lang w:val="bs-Latn-BA"/>
              </w:rPr>
            </w:pPr>
            <w:r w:rsidRPr="008924E0">
              <w:rPr>
                <w:color w:val="000000"/>
                <w:lang w:val="bs-Latn-BA"/>
              </w:rPr>
              <w:t>Potrošnja energije, GWh/god.</w:t>
            </w:r>
          </w:p>
        </w:tc>
        <w:tc>
          <w:tcPr>
            <w:tcW w:w="1041" w:type="dxa"/>
            <w:vAlign w:val="bottom"/>
          </w:tcPr>
          <w:p w14:paraId="6259EC5C"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C123E9">
              <w:rPr>
                <w:color w:val="000000"/>
              </w:rPr>
              <w:t>1.331</w:t>
            </w:r>
          </w:p>
        </w:tc>
        <w:tc>
          <w:tcPr>
            <w:tcW w:w="1459" w:type="dxa"/>
            <w:vAlign w:val="bottom"/>
          </w:tcPr>
          <w:p w14:paraId="2ECD64CF"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C123E9">
              <w:rPr>
                <w:color w:val="000000"/>
              </w:rPr>
              <w:t>1.114</w:t>
            </w:r>
          </w:p>
        </w:tc>
        <w:tc>
          <w:tcPr>
            <w:tcW w:w="1345" w:type="dxa"/>
            <w:vAlign w:val="bottom"/>
          </w:tcPr>
          <w:p w14:paraId="18A11572"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C123E9">
              <w:rPr>
                <w:color w:val="000000"/>
              </w:rPr>
              <w:t>859</w:t>
            </w:r>
          </w:p>
        </w:tc>
        <w:tc>
          <w:tcPr>
            <w:tcW w:w="1041" w:type="dxa"/>
            <w:vAlign w:val="bottom"/>
          </w:tcPr>
          <w:p w14:paraId="76C06B63"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auto"/>
                <w:lang w:val="bs-Latn-BA"/>
              </w:rPr>
            </w:pPr>
            <w:r w:rsidRPr="00C123E9">
              <w:rPr>
                <w:color w:val="000000"/>
              </w:rPr>
              <w:t>604</w:t>
            </w:r>
          </w:p>
        </w:tc>
      </w:tr>
      <w:tr w:rsidR="001A4D88" w:rsidRPr="008924E0" w14:paraId="5C6C4162"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33B14ADB" w14:textId="77777777" w:rsidR="001A4D88" w:rsidRPr="008924E0" w:rsidRDefault="001A4D88" w:rsidP="00122946">
            <w:pPr>
              <w:rPr>
                <w:rFonts w:eastAsia="Calibri"/>
                <w:color w:val="000000"/>
                <w:lang w:val="bs-Latn-BA"/>
              </w:rPr>
            </w:pPr>
            <w:r w:rsidRPr="008924E0">
              <w:rPr>
                <w:color w:val="000000"/>
                <w:lang w:val="bs-Latn-BA"/>
              </w:rPr>
              <w:t xml:space="preserve">Broj zgrada obuhvaćenih </w:t>
            </w:r>
            <w:r>
              <w:rPr>
                <w:color w:val="000000"/>
                <w:lang w:val="bs-Latn-BA"/>
              </w:rPr>
              <w:t>obnovom</w:t>
            </w:r>
          </w:p>
        </w:tc>
        <w:tc>
          <w:tcPr>
            <w:tcW w:w="1041" w:type="dxa"/>
            <w:vAlign w:val="bottom"/>
          </w:tcPr>
          <w:p w14:paraId="339170DA"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6DA324FF"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1.309</w:t>
            </w:r>
          </w:p>
        </w:tc>
        <w:tc>
          <w:tcPr>
            <w:tcW w:w="1345" w:type="dxa"/>
            <w:vAlign w:val="bottom"/>
          </w:tcPr>
          <w:p w14:paraId="26CF479E"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2.499</w:t>
            </w:r>
          </w:p>
        </w:tc>
        <w:tc>
          <w:tcPr>
            <w:tcW w:w="1041" w:type="dxa"/>
            <w:vAlign w:val="bottom"/>
          </w:tcPr>
          <w:p w14:paraId="78FB5156"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3.689</w:t>
            </w:r>
          </w:p>
        </w:tc>
      </w:tr>
      <w:tr w:rsidR="001A4D88" w:rsidRPr="008924E0" w14:paraId="447F2A38"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4015313B" w14:textId="77777777" w:rsidR="001A4D88" w:rsidRPr="008924E0" w:rsidRDefault="001A4D88" w:rsidP="00122946">
            <w:pPr>
              <w:jc w:val="left"/>
              <w:rPr>
                <w:rFonts w:eastAsia="Calibri"/>
                <w:color w:val="000000"/>
                <w:lang w:val="bs-Latn-BA"/>
              </w:rPr>
            </w:pPr>
            <w:r>
              <w:rPr>
                <w:color w:val="000000"/>
                <w:lang w:val="bs-Latn-BA"/>
              </w:rPr>
              <w:t>Obnovljena</w:t>
            </w:r>
            <w:r w:rsidRPr="008924E0">
              <w:rPr>
                <w:color w:val="000000"/>
                <w:lang w:val="bs-Latn-BA"/>
              </w:rPr>
              <w:t xml:space="preserve"> korisna površina, m</w:t>
            </w:r>
            <w:r w:rsidRPr="008924E0">
              <w:rPr>
                <w:color w:val="000000"/>
                <w:vertAlign w:val="superscript"/>
                <w:lang w:val="bs-Latn-BA"/>
              </w:rPr>
              <w:t>2</w:t>
            </w:r>
          </w:p>
        </w:tc>
        <w:tc>
          <w:tcPr>
            <w:tcW w:w="1041" w:type="dxa"/>
            <w:vAlign w:val="bottom"/>
          </w:tcPr>
          <w:p w14:paraId="080E7C1A"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2EBBB8DA"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1.548.546</w:t>
            </w:r>
          </w:p>
        </w:tc>
        <w:tc>
          <w:tcPr>
            <w:tcW w:w="1345" w:type="dxa"/>
            <w:vAlign w:val="bottom"/>
          </w:tcPr>
          <w:p w14:paraId="72AF6101"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2.956.315</w:t>
            </w:r>
          </w:p>
        </w:tc>
        <w:tc>
          <w:tcPr>
            <w:tcW w:w="1041" w:type="dxa"/>
            <w:vAlign w:val="bottom"/>
          </w:tcPr>
          <w:p w14:paraId="4D294D16"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4.364.085</w:t>
            </w:r>
          </w:p>
        </w:tc>
      </w:tr>
      <w:tr w:rsidR="001A4D88" w:rsidRPr="008924E0" w14:paraId="7A453285"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5D838F64" w14:textId="77777777" w:rsidR="001A4D88" w:rsidRPr="008924E0" w:rsidRDefault="001A4D88" w:rsidP="00122946">
            <w:pPr>
              <w:jc w:val="left"/>
              <w:rPr>
                <w:rFonts w:eastAsia="Calibri"/>
                <w:color w:val="000000"/>
                <w:lang w:val="bs-Latn-BA"/>
              </w:rPr>
            </w:pPr>
            <w:r>
              <w:rPr>
                <w:color w:val="000000"/>
                <w:lang w:val="bs-Latn-BA"/>
              </w:rPr>
              <w:t>Obnovljena</w:t>
            </w:r>
            <w:r w:rsidRPr="008924E0">
              <w:rPr>
                <w:color w:val="000000"/>
                <w:lang w:val="bs-Latn-BA"/>
              </w:rPr>
              <w:t xml:space="preserve"> bruto površina, m</w:t>
            </w:r>
            <w:r w:rsidRPr="008924E0">
              <w:rPr>
                <w:color w:val="000000"/>
                <w:vertAlign w:val="superscript"/>
                <w:lang w:val="bs-Latn-BA"/>
              </w:rPr>
              <w:t>2</w:t>
            </w:r>
          </w:p>
        </w:tc>
        <w:tc>
          <w:tcPr>
            <w:tcW w:w="1041" w:type="dxa"/>
            <w:vAlign w:val="bottom"/>
          </w:tcPr>
          <w:p w14:paraId="1B20E27F"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579DDC94"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1.741.814</w:t>
            </w:r>
          </w:p>
        </w:tc>
        <w:tc>
          <w:tcPr>
            <w:tcW w:w="1345" w:type="dxa"/>
            <w:vAlign w:val="bottom"/>
          </w:tcPr>
          <w:p w14:paraId="5E240DAE"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3.325.282</w:t>
            </w:r>
          </w:p>
        </w:tc>
        <w:tc>
          <w:tcPr>
            <w:tcW w:w="1041" w:type="dxa"/>
            <w:vAlign w:val="bottom"/>
          </w:tcPr>
          <w:p w14:paraId="282DA5FA"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4.908.750</w:t>
            </w:r>
          </w:p>
        </w:tc>
      </w:tr>
      <w:tr w:rsidR="001A4D88" w:rsidRPr="008924E0" w14:paraId="0C5D228D" w14:textId="77777777" w:rsidTr="0012294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4BB01C31" w14:textId="77777777" w:rsidR="001A4D88" w:rsidRPr="008924E0" w:rsidRDefault="001A4D88" w:rsidP="00122946">
            <w:pPr>
              <w:jc w:val="left"/>
              <w:rPr>
                <w:rFonts w:eastAsia="Calibri"/>
                <w:color w:val="000000"/>
                <w:lang w:val="bs-Latn-BA"/>
              </w:rPr>
            </w:pPr>
            <w:r w:rsidRPr="008924E0">
              <w:rPr>
                <w:rFonts w:eastAsia="Calibri"/>
                <w:color w:val="000000"/>
                <w:lang w:val="bs-Latn-BA"/>
              </w:rPr>
              <w:t xml:space="preserve">Ušteda energije primjenom mjera energijske </w:t>
            </w:r>
            <w:r>
              <w:rPr>
                <w:rFonts w:eastAsia="Calibri"/>
                <w:color w:val="000000"/>
                <w:lang w:val="bs-Latn-BA"/>
              </w:rPr>
              <w:t>obnove</w:t>
            </w:r>
            <w:r w:rsidRPr="008924E0">
              <w:rPr>
                <w:rFonts w:eastAsia="Calibri"/>
                <w:color w:val="000000"/>
                <w:lang w:val="bs-Latn-BA"/>
              </w:rPr>
              <w:t>, GWh</w:t>
            </w:r>
          </w:p>
        </w:tc>
        <w:tc>
          <w:tcPr>
            <w:tcW w:w="1041" w:type="dxa"/>
            <w:vAlign w:val="bottom"/>
          </w:tcPr>
          <w:p w14:paraId="3E3651A7"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0</w:t>
            </w:r>
          </w:p>
        </w:tc>
        <w:tc>
          <w:tcPr>
            <w:tcW w:w="1459" w:type="dxa"/>
            <w:vAlign w:val="bottom"/>
          </w:tcPr>
          <w:p w14:paraId="44E742F1"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276</w:t>
            </w:r>
          </w:p>
        </w:tc>
        <w:tc>
          <w:tcPr>
            <w:tcW w:w="1345" w:type="dxa"/>
            <w:vAlign w:val="bottom"/>
          </w:tcPr>
          <w:p w14:paraId="76FFF821"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559</w:t>
            </w:r>
          </w:p>
        </w:tc>
        <w:tc>
          <w:tcPr>
            <w:tcW w:w="1041" w:type="dxa"/>
            <w:vAlign w:val="bottom"/>
          </w:tcPr>
          <w:p w14:paraId="54DF0F5C" w14:textId="77777777" w:rsidR="001A4D88" w:rsidRPr="00C123E9" w:rsidRDefault="001A4D88" w:rsidP="00122946">
            <w:pPr>
              <w:jc w:val="right"/>
              <w:cnfStyle w:val="000000010000" w:firstRow="0" w:lastRow="0" w:firstColumn="0" w:lastColumn="0" w:oddVBand="0" w:evenVBand="0" w:oddHBand="0" w:evenHBand="1" w:firstRowFirstColumn="0" w:firstRowLastColumn="0" w:lastRowFirstColumn="0" w:lastRowLastColumn="0"/>
              <w:rPr>
                <w:rFonts w:eastAsia="Calibri"/>
                <w:color w:val="000000"/>
                <w:lang w:val="bs-Latn-BA"/>
              </w:rPr>
            </w:pPr>
            <w:r w:rsidRPr="00C123E9">
              <w:rPr>
                <w:color w:val="000000"/>
              </w:rPr>
              <w:t>841</w:t>
            </w:r>
          </w:p>
        </w:tc>
      </w:tr>
      <w:tr w:rsidR="001A4D88" w:rsidRPr="008924E0" w14:paraId="54670E52" w14:textId="77777777" w:rsidTr="001229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1" w:type="dxa"/>
          </w:tcPr>
          <w:p w14:paraId="6C0344CD" w14:textId="77777777" w:rsidR="001A4D88" w:rsidRPr="008924E0" w:rsidRDefault="001A4D88" w:rsidP="00122946">
            <w:pPr>
              <w:jc w:val="left"/>
              <w:rPr>
                <w:rFonts w:eastAsia="Calibri"/>
                <w:color w:val="000000"/>
                <w:lang w:val="bs-Latn-BA"/>
              </w:rPr>
            </w:pPr>
            <w:r w:rsidRPr="008924E0">
              <w:rPr>
                <w:rFonts w:eastAsia="Calibri"/>
                <w:color w:val="000000"/>
                <w:lang w:val="bs-Latn-BA"/>
              </w:rPr>
              <w:t>Ušteda emisije CO</w:t>
            </w:r>
            <w:r w:rsidRPr="008924E0">
              <w:rPr>
                <w:rFonts w:eastAsia="Calibri"/>
                <w:color w:val="000000"/>
                <w:vertAlign w:val="subscript"/>
                <w:lang w:val="bs-Latn-BA"/>
              </w:rPr>
              <w:t>2</w:t>
            </w:r>
            <w:r w:rsidRPr="008924E0">
              <w:rPr>
                <w:rFonts w:eastAsia="Calibri"/>
                <w:color w:val="000000"/>
                <w:lang w:val="bs-Latn-BA"/>
              </w:rPr>
              <w:t>, 10</w:t>
            </w:r>
            <w:r>
              <w:rPr>
                <w:rFonts w:eastAsia="Calibri"/>
                <w:color w:val="000000"/>
                <w:vertAlign w:val="superscript"/>
                <w:lang w:val="bs-Latn-BA"/>
              </w:rPr>
              <w:t>3</w:t>
            </w:r>
            <w:r w:rsidRPr="008924E0">
              <w:rPr>
                <w:rFonts w:eastAsia="Calibri"/>
                <w:color w:val="000000"/>
                <w:lang w:val="bs-Latn-BA"/>
              </w:rPr>
              <w:t>t/god.</w:t>
            </w:r>
          </w:p>
        </w:tc>
        <w:tc>
          <w:tcPr>
            <w:tcW w:w="1041" w:type="dxa"/>
          </w:tcPr>
          <w:p w14:paraId="5473548C"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rFonts w:eastAsia="Calibri"/>
                <w:color w:val="000000"/>
                <w:lang w:val="bs-Latn-BA"/>
              </w:rPr>
              <w:t>0</w:t>
            </w:r>
          </w:p>
        </w:tc>
        <w:tc>
          <w:tcPr>
            <w:tcW w:w="1459" w:type="dxa"/>
            <w:vAlign w:val="bottom"/>
          </w:tcPr>
          <w:p w14:paraId="677F643C"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304</w:t>
            </w:r>
          </w:p>
        </w:tc>
        <w:tc>
          <w:tcPr>
            <w:tcW w:w="1345" w:type="dxa"/>
            <w:vAlign w:val="bottom"/>
          </w:tcPr>
          <w:p w14:paraId="1D3548C9"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404</w:t>
            </w:r>
          </w:p>
        </w:tc>
        <w:tc>
          <w:tcPr>
            <w:tcW w:w="1041" w:type="dxa"/>
            <w:vAlign w:val="bottom"/>
          </w:tcPr>
          <w:p w14:paraId="20360B95" w14:textId="77777777" w:rsidR="001A4D88" w:rsidRPr="00C123E9" w:rsidRDefault="001A4D88" w:rsidP="00122946">
            <w:pPr>
              <w:jc w:val="right"/>
              <w:cnfStyle w:val="000000100000" w:firstRow="0" w:lastRow="0" w:firstColumn="0" w:lastColumn="0" w:oddVBand="0" w:evenVBand="0" w:oddHBand="1" w:evenHBand="0" w:firstRowFirstColumn="0" w:firstRowLastColumn="0" w:lastRowFirstColumn="0" w:lastRowLastColumn="0"/>
              <w:rPr>
                <w:rFonts w:eastAsia="Calibri"/>
                <w:color w:val="000000"/>
                <w:lang w:val="bs-Latn-BA"/>
              </w:rPr>
            </w:pPr>
            <w:r w:rsidRPr="00C123E9">
              <w:rPr>
                <w:color w:val="000000"/>
              </w:rPr>
              <w:t>406</w:t>
            </w:r>
          </w:p>
        </w:tc>
      </w:tr>
    </w:tbl>
    <w:p w14:paraId="109D4CAA" w14:textId="77777777" w:rsidR="001A4D88" w:rsidRPr="008924E0" w:rsidRDefault="001A4D88" w:rsidP="001A4D88">
      <w:pPr>
        <w:rPr>
          <w:lang w:val="bs-Latn-BA"/>
        </w:rPr>
      </w:pPr>
    </w:p>
    <w:p w14:paraId="7D92C64F" w14:textId="4E081DD1" w:rsidR="001A4D88" w:rsidRPr="008924E0" w:rsidRDefault="001A4D88" w:rsidP="001A4D88">
      <w:pPr>
        <w:pBdr>
          <w:top w:val="nil"/>
          <w:left w:val="nil"/>
          <w:bottom w:val="nil"/>
          <w:right w:val="nil"/>
          <w:between w:val="nil"/>
        </w:pBdr>
        <w:spacing w:after="0" w:line="240" w:lineRule="auto"/>
        <w:rPr>
          <w:rFonts w:eastAsia="Calibri"/>
          <w:color w:val="000000"/>
          <w:lang w:val="bs-Latn-BA"/>
        </w:rPr>
      </w:pPr>
      <w:r>
        <w:rPr>
          <w:rFonts w:eastAsia="Calibri"/>
          <w:color w:val="000000"/>
          <w:lang w:val="bs-Latn-BA"/>
        </w:rPr>
        <w:t xml:space="preserve">Metodologija proračuna troškova obnove predstavljena je u Poglavlju </w:t>
      </w:r>
      <w:r w:rsidR="00A3514D">
        <w:rPr>
          <w:rFonts w:eastAsia="Calibri"/>
          <w:color w:val="000000"/>
          <w:lang w:val="bs-Latn-BA"/>
        </w:rPr>
        <w:t>6.2.1.2.</w:t>
      </w:r>
      <w:r>
        <w:rPr>
          <w:rFonts w:eastAsia="Calibri"/>
          <w:color w:val="000000"/>
          <w:lang w:val="bs-Latn-BA"/>
        </w:rPr>
        <w:t xml:space="preserve"> </w:t>
      </w:r>
      <w:r w:rsidRPr="008924E0">
        <w:rPr>
          <w:rFonts w:eastAsia="Calibri"/>
          <w:color w:val="000000"/>
          <w:lang w:val="bs-Latn-BA"/>
        </w:rPr>
        <w:t xml:space="preserve">Ukupni troškovi </w:t>
      </w:r>
      <w:r>
        <w:rPr>
          <w:rFonts w:eastAsia="Calibri"/>
          <w:color w:val="000000"/>
          <w:lang w:val="bs-Latn-BA"/>
        </w:rPr>
        <w:t>obnove</w:t>
      </w:r>
      <w:r w:rsidRPr="008924E0">
        <w:rPr>
          <w:rFonts w:eastAsia="Calibri"/>
          <w:color w:val="000000"/>
          <w:lang w:val="bs-Latn-BA"/>
        </w:rPr>
        <w:t xml:space="preserve"> za tri scenarija </w:t>
      </w:r>
      <w:r>
        <w:rPr>
          <w:rFonts w:eastAsia="Calibri"/>
          <w:color w:val="000000"/>
          <w:lang w:val="bs-Latn-BA"/>
        </w:rPr>
        <w:t>obnove</w:t>
      </w:r>
      <w:r w:rsidRPr="008924E0">
        <w:rPr>
          <w:rFonts w:eastAsia="Calibri"/>
          <w:color w:val="000000"/>
          <w:lang w:val="bs-Latn-BA"/>
        </w:rPr>
        <w:t xml:space="preserve"> fonda </w:t>
      </w:r>
      <w:r>
        <w:rPr>
          <w:rFonts w:eastAsia="Calibri"/>
          <w:color w:val="000000"/>
          <w:lang w:val="bs-Latn-BA"/>
        </w:rPr>
        <w:t xml:space="preserve">javnih zgrada </w:t>
      </w:r>
      <w:r w:rsidRPr="008924E0">
        <w:rPr>
          <w:rFonts w:eastAsia="Calibri"/>
          <w:color w:val="000000"/>
          <w:lang w:val="bs-Latn-BA"/>
        </w:rPr>
        <w:t>u FBIH, prikazani</w:t>
      </w:r>
      <w:r>
        <w:rPr>
          <w:rFonts w:eastAsia="Calibri"/>
          <w:color w:val="000000"/>
          <w:lang w:val="bs-Latn-BA"/>
        </w:rPr>
        <w:t xml:space="preserve"> su</w:t>
      </w:r>
      <w:r w:rsidRPr="008924E0">
        <w:rPr>
          <w:rFonts w:eastAsia="Calibri"/>
          <w:color w:val="000000"/>
          <w:lang w:val="bs-Latn-BA"/>
        </w:rPr>
        <w:t xml:space="preserve"> u Tabeli </w:t>
      </w:r>
      <w:r>
        <w:rPr>
          <w:rFonts w:eastAsia="Calibri"/>
          <w:color w:val="000000"/>
          <w:lang w:val="bs-Latn-BA"/>
        </w:rPr>
        <w:t>11.</w:t>
      </w:r>
      <w:r w:rsidR="005835FA">
        <w:rPr>
          <w:rFonts w:eastAsia="Calibri"/>
          <w:color w:val="000000"/>
          <w:lang w:val="bs-Latn-BA"/>
        </w:rPr>
        <w:t>2.8</w:t>
      </w:r>
      <w:r w:rsidRPr="008924E0">
        <w:rPr>
          <w:rFonts w:eastAsia="Calibri"/>
          <w:color w:val="000000"/>
          <w:lang w:val="bs-Latn-BA"/>
        </w:rPr>
        <w:t xml:space="preserve">. </w:t>
      </w:r>
    </w:p>
    <w:p w14:paraId="02CEB984" w14:textId="77777777" w:rsidR="001A4D88" w:rsidRPr="008924E0" w:rsidRDefault="001A4D88" w:rsidP="001A4D88">
      <w:pPr>
        <w:pBdr>
          <w:top w:val="nil"/>
          <w:left w:val="nil"/>
          <w:bottom w:val="nil"/>
          <w:right w:val="nil"/>
          <w:between w:val="nil"/>
        </w:pBdr>
        <w:spacing w:after="0" w:line="240" w:lineRule="auto"/>
        <w:jc w:val="left"/>
        <w:rPr>
          <w:rFonts w:eastAsia="Calibri"/>
          <w:color w:val="000000"/>
          <w:lang w:val="bs-Latn-BA"/>
        </w:rPr>
      </w:pPr>
    </w:p>
    <w:p w14:paraId="750C4CDF" w14:textId="77777777" w:rsidR="005835FA" w:rsidRDefault="005835FA">
      <w:pPr>
        <w:rPr>
          <w:i/>
          <w:iCs/>
          <w:szCs w:val="18"/>
          <w:lang w:val="bs-Latn-BA"/>
        </w:rPr>
      </w:pPr>
      <w:r w:rsidRPr="001972F5">
        <w:rPr>
          <w:lang w:val="bs-Latn-BA"/>
        </w:rPr>
        <w:br w:type="page"/>
      </w:r>
    </w:p>
    <w:p w14:paraId="60A42D30" w14:textId="20932892" w:rsidR="005835FA" w:rsidRDefault="005835FA" w:rsidP="005835FA">
      <w:pPr>
        <w:pStyle w:val="Caption"/>
        <w:keepNext/>
      </w:pPr>
      <w:bookmarkStart w:id="250" w:name="_Toc133499647"/>
      <w:r>
        <w:lastRenderedPageBreak/>
        <w:t>Tabela 11.2.</w:t>
      </w:r>
      <w:r w:rsidR="00000000">
        <w:fldChar w:fldCharType="begin"/>
      </w:r>
      <w:r w:rsidR="00000000">
        <w:instrText xml:space="preserve"> SEQ Tabela_11.2. \* ARABIC </w:instrText>
      </w:r>
      <w:r w:rsidR="00000000">
        <w:fldChar w:fldCharType="separate"/>
      </w:r>
      <w:r>
        <w:rPr>
          <w:noProof/>
        </w:rPr>
        <w:t>8</w:t>
      </w:r>
      <w:r w:rsidR="00000000">
        <w:rPr>
          <w:noProof/>
        </w:rPr>
        <w:fldChar w:fldCharType="end"/>
      </w:r>
      <w:r>
        <w:t xml:space="preserve"> </w:t>
      </w:r>
      <w:r w:rsidRPr="008924E0">
        <w:rPr>
          <w:rFonts w:eastAsia="Calibri"/>
          <w:color w:val="000000"/>
        </w:rPr>
        <w:t xml:space="preserve">Troškovi </w:t>
      </w:r>
      <w:r>
        <w:rPr>
          <w:rFonts w:eastAsia="Calibri"/>
          <w:color w:val="000000"/>
        </w:rPr>
        <w:t>energij</w:t>
      </w:r>
      <w:r w:rsidRPr="008924E0">
        <w:rPr>
          <w:rFonts w:eastAsia="Calibri"/>
          <w:color w:val="000000"/>
        </w:rPr>
        <w:t xml:space="preserve">ske </w:t>
      </w:r>
      <w:r>
        <w:rPr>
          <w:rFonts w:eastAsia="Calibri"/>
          <w:color w:val="000000"/>
        </w:rPr>
        <w:t>obnove</w:t>
      </w:r>
      <w:r w:rsidRPr="008924E0">
        <w:rPr>
          <w:rFonts w:eastAsia="Calibri"/>
          <w:color w:val="000000"/>
        </w:rPr>
        <w:t xml:space="preserve"> fonda </w:t>
      </w:r>
      <w:r>
        <w:rPr>
          <w:rFonts w:eastAsia="Calibri"/>
          <w:color w:val="000000"/>
        </w:rPr>
        <w:t xml:space="preserve">javnih </w:t>
      </w:r>
      <w:r w:rsidRPr="008924E0">
        <w:rPr>
          <w:rFonts w:eastAsia="Calibri"/>
          <w:color w:val="000000"/>
        </w:rPr>
        <w:t>zgrada FBiH</w:t>
      </w:r>
      <w:bookmarkEnd w:id="250"/>
    </w:p>
    <w:tbl>
      <w:tblPr>
        <w:tblW w:w="7224" w:type="dxa"/>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4A0" w:firstRow="1" w:lastRow="0" w:firstColumn="1" w:lastColumn="0" w:noHBand="0" w:noVBand="1"/>
      </w:tblPr>
      <w:tblGrid>
        <w:gridCol w:w="3543"/>
        <w:gridCol w:w="896"/>
        <w:gridCol w:w="853"/>
        <w:gridCol w:w="993"/>
        <w:gridCol w:w="939"/>
      </w:tblGrid>
      <w:tr w:rsidR="001A4D88" w:rsidRPr="008924E0" w14:paraId="05676E30" w14:textId="77777777" w:rsidTr="00122946">
        <w:trPr>
          <w:jc w:val="center"/>
        </w:trPr>
        <w:tc>
          <w:tcPr>
            <w:tcW w:w="7224" w:type="dxa"/>
            <w:gridSpan w:val="5"/>
          </w:tcPr>
          <w:p w14:paraId="2318B1BD" w14:textId="77777777" w:rsidR="001A4D88" w:rsidRPr="008924E0" w:rsidRDefault="001A4D88" w:rsidP="00122946">
            <w:pPr>
              <w:spacing w:after="0" w:line="240" w:lineRule="auto"/>
              <w:jc w:val="center"/>
              <w:rPr>
                <w:rFonts w:eastAsia="Calibri"/>
                <w:b/>
                <w:sz w:val="20"/>
                <w:szCs w:val="20"/>
                <w:lang w:val="bs-Latn-BA"/>
              </w:rPr>
            </w:pPr>
            <w:r w:rsidRPr="008924E0">
              <w:rPr>
                <w:rFonts w:eastAsia="Calibri"/>
                <w:b/>
                <w:sz w:val="20"/>
                <w:szCs w:val="20"/>
                <w:lang w:val="bs-Latn-BA"/>
              </w:rPr>
              <w:t xml:space="preserve">Trošak energijske </w:t>
            </w:r>
            <w:r>
              <w:rPr>
                <w:rFonts w:eastAsia="Calibri"/>
                <w:b/>
                <w:sz w:val="20"/>
                <w:szCs w:val="20"/>
                <w:lang w:val="bs-Latn-BA"/>
              </w:rPr>
              <w:t>obnove</w:t>
            </w:r>
            <w:r w:rsidRPr="008924E0">
              <w:rPr>
                <w:rFonts w:eastAsia="Calibri"/>
                <w:b/>
                <w:sz w:val="20"/>
                <w:szCs w:val="20"/>
                <w:lang w:val="bs-Latn-BA"/>
              </w:rPr>
              <w:t>, 10</w:t>
            </w:r>
            <w:r w:rsidRPr="008924E0">
              <w:rPr>
                <w:rFonts w:eastAsia="Calibri"/>
                <w:b/>
                <w:sz w:val="20"/>
                <w:szCs w:val="20"/>
                <w:vertAlign w:val="superscript"/>
                <w:lang w:val="bs-Latn-BA"/>
              </w:rPr>
              <w:t>6</w:t>
            </w:r>
            <w:r w:rsidRPr="008924E0">
              <w:rPr>
                <w:rFonts w:eastAsia="Calibri"/>
                <w:b/>
                <w:sz w:val="20"/>
                <w:szCs w:val="20"/>
                <w:lang w:val="bs-Latn-BA"/>
              </w:rPr>
              <w:t xml:space="preserve"> BAM</w:t>
            </w:r>
          </w:p>
        </w:tc>
      </w:tr>
      <w:tr w:rsidR="001A4D88" w:rsidRPr="008924E0" w14:paraId="780B0011" w14:textId="77777777" w:rsidTr="00122946">
        <w:trPr>
          <w:jc w:val="center"/>
        </w:trPr>
        <w:tc>
          <w:tcPr>
            <w:tcW w:w="3543" w:type="dxa"/>
            <w:shd w:val="clear" w:color="auto" w:fill="006432"/>
          </w:tcPr>
          <w:p w14:paraId="6BFAE8B3" w14:textId="77777777" w:rsidR="001A4D88" w:rsidRPr="008924E0" w:rsidRDefault="001A4D88" w:rsidP="00122946">
            <w:pPr>
              <w:spacing w:after="0" w:line="240" w:lineRule="auto"/>
              <w:jc w:val="left"/>
              <w:rPr>
                <w:rFonts w:eastAsia="Calibri"/>
                <w:b/>
                <w:color w:val="FFFFFF"/>
                <w:sz w:val="20"/>
                <w:szCs w:val="20"/>
                <w:lang w:val="bs-Latn-BA"/>
              </w:rPr>
            </w:pPr>
            <w:r w:rsidRPr="008924E0">
              <w:rPr>
                <w:rFonts w:eastAsia="Calibri"/>
                <w:b/>
                <w:color w:val="FFFFFF"/>
                <w:sz w:val="20"/>
                <w:szCs w:val="20"/>
                <w:lang w:val="bs-Latn-BA"/>
              </w:rPr>
              <w:t xml:space="preserve">Scenarij </w:t>
            </w:r>
            <w:r>
              <w:rPr>
                <w:rFonts w:eastAsia="Calibri"/>
                <w:b/>
                <w:color w:val="FFFFFF"/>
                <w:sz w:val="20"/>
                <w:szCs w:val="20"/>
                <w:lang w:val="bs-Latn-BA"/>
              </w:rPr>
              <w:t>obnove</w:t>
            </w:r>
          </w:p>
        </w:tc>
        <w:tc>
          <w:tcPr>
            <w:tcW w:w="896" w:type="dxa"/>
            <w:shd w:val="clear" w:color="auto" w:fill="006432"/>
          </w:tcPr>
          <w:p w14:paraId="13BDFCE3"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2020. </w:t>
            </w:r>
          </w:p>
          <w:p w14:paraId="7A9B4CA1"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853" w:type="dxa"/>
            <w:shd w:val="clear" w:color="auto" w:fill="006432"/>
          </w:tcPr>
          <w:p w14:paraId="32D7B739"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2030. </w:t>
            </w:r>
          </w:p>
          <w:p w14:paraId="189CCD91"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993" w:type="dxa"/>
            <w:shd w:val="clear" w:color="auto" w:fill="006432"/>
          </w:tcPr>
          <w:p w14:paraId="5286EE92"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2040. </w:t>
            </w:r>
          </w:p>
          <w:p w14:paraId="1D7B280A"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godina</w:t>
            </w:r>
          </w:p>
        </w:tc>
        <w:tc>
          <w:tcPr>
            <w:tcW w:w="939" w:type="dxa"/>
            <w:shd w:val="clear" w:color="auto" w:fill="006432"/>
          </w:tcPr>
          <w:p w14:paraId="18BBC8AC"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2050. </w:t>
            </w:r>
          </w:p>
          <w:p w14:paraId="770E3B6F" w14:textId="77777777" w:rsidR="001A4D88" w:rsidRPr="008924E0" w:rsidRDefault="001A4D88" w:rsidP="00122946">
            <w:pPr>
              <w:spacing w:after="0" w:line="240" w:lineRule="auto"/>
              <w:jc w:val="right"/>
              <w:rPr>
                <w:rFonts w:eastAsia="Calibri"/>
                <w:b/>
                <w:color w:val="FFFFFF"/>
                <w:sz w:val="20"/>
                <w:szCs w:val="20"/>
                <w:lang w:val="bs-Latn-BA"/>
              </w:rPr>
            </w:pPr>
            <w:r w:rsidRPr="008924E0">
              <w:rPr>
                <w:rFonts w:eastAsia="Calibri"/>
                <w:b/>
                <w:color w:val="FFFFFF"/>
                <w:sz w:val="20"/>
                <w:szCs w:val="20"/>
                <w:lang w:val="bs-Latn-BA"/>
              </w:rPr>
              <w:t xml:space="preserve">godina </w:t>
            </w:r>
          </w:p>
        </w:tc>
      </w:tr>
      <w:tr w:rsidR="001A4D88" w:rsidRPr="008924E0" w14:paraId="23D5C77F" w14:textId="77777777" w:rsidTr="00122946">
        <w:trPr>
          <w:jc w:val="center"/>
        </w:trPr>
        <w:tc>
          <w:tcPr>
            <w:tcW w:w="3543" w:type="dxa"/>
          </w:tcPr>
          <w:p w14:paraId="590E77FF" w14:textId="77777777" w:rsidR="001A4D88" w:rsidRPr="008924E0" w:rsidRDefault="001A4D88" w:rsidP="00122946">
            <w:pPr>
              <w:spacing w:after="0" w:line="240" w:lineRule="auto"/>
              <w:jc w:val="left"/>
              <w:rPr>
                <w:rFonts w:eastAsia="Calibri"/>
                <w:b/>
                <w:color w:val="000000"/>
                <w:sz w:val="20"/>
                <w:szCs w:val="20"/>
                <w:lang w:val="bs-Latn-BA"/>
              </w:rPr>
            </w:pPr>
            <w:r>
              <w:rPr>
                <w:rFonts w:eastAsia="Calibri"/>
                <w:b/>
                <w:color w:val="000000"/>
                <w:sz w:val="20"/>
                <w:szCs w:val="20"/>
                <w:lang w:val="bs-Latn-BA"/>
              </w:rPr>
              <w:t>Obnova</w:t>
            </w:r>
            <w:r w:rsidRPr="008924E0">
              <w:rPr>
                <w:rFonts w:eastAsia="Calibri"/>
                <w:b/>
                <w:color w:val="000000"/>
                <w:sz w:val="20"/>
                <w:szCs w:val="20"/>
                <w:lang w:val="bs-Latn-BA"/>
              </w:rPr>
              <w:t xml:space="preserve"> </w:t>
            </w:r>
            <w:r>
              <w:rPr>
                <w:rFonts w:eastAsia="Calibri"/>
                <w:b/>
                <w:color w:val="000000"/>
                <w:sz w:val="20"/>
                <w:szCs w:val="20"/>
                <w:lang w:val="bs-Latn-BA"/>
              </w:rPr>
              <w:t>1,5</w:t>
            </w:r>
            <w:r w:rsidRPr="008924E0">
              <w:rPr>
                <w:rFonts w:eastAsia="Calibri"/>
                <w:b/>
                <w:color w:val="000000"/>
                <w:sz w:val="20"/>
                <w:szCs w:val="20"/>
                <w:lang w:val="bs-Latn-BA"/>
              </w:rPr>
              <w:t xml:space="preserve"> % korisne grijane površine  </w:t>
            </w:r>
          </w:p>
        </w:tc>
        <w:tc>
          <w:tcPr>
            <w:tcW w:w="896" w:type="dxa"/>
            <w:vAlign w:val="center"/>
          </w:tcPr>
          <w:p w14:paraId="1B1E5A2A"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33</w:t>
            </w:r>
          </w:p>
        </w:tc>
        <w:tc>
          <w:tcPr>
            <w:tcW w:w="853" w:type="dxa"/>
            <w:vAlign w:val="center"/>
          </w:tcPr>
          <w:p w14:paraId="7675BFA4"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362</w:t>
            </w:r>
          </w:p>
        </w:tc>
        <w:tc>
          <w:tcPr>
            <w:tcW w:w="993" w:type="dxa"/>
            <w:vAlign w:val="center"/>
          </w:tcPr>
          <w:p w14:paraId="1E45F43C"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692</w:t>
            </w:r>
          </w:p>
        </w:tc>
        <w:tc>
          <w:tcPr>
            <w:tcW w:w="939" w:type="dxa"/>
            <w:vAlign w:val="center"/>
          </w:tcPr>
          <w:p w14:paraId="7CB76CCC"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1.021</w:t>
            </w:r>
          </w:p>
        </w:tc>
      </w:tr>
      <w:tr w:rsidR="001A4D88" w:rsidRPr="008924E0" w14:paraId="1284E015" w14:textId="77777777" w:rsidTr="00122946">
        <w:trPr>
          <w:jc w:val="center"/>
        </w:trPr>
        <w:tc>
          <w:tcPr>
            <w:tcW w:w="3543" w:type="dxa"/>
          </w:tcPr>
          <w:p w14:paraId="5B531080" w14:textId="77777777" w:rsidR="001A4D88" w:rsidRPr="008924E0" w:rsidRDefault="001A4D88" w:rsidP="00122946">
            <w:pPr>
              <w:spacing w:after="0" w:line="240" w:lineRule="auto"/>
              <w:jc w:val="left"/>
              <w:rPr>
                <w:rFonts w:eastAsia="Calibri"/>
                <w:b/>
                <w:color w:val="000000"/>
                <w:sz w:val="20"/>
                <w:szCs w:val="20"/>
                <w:lang w:val="bs-Latn-BA"/>
              </w:rPr>
            </w:pPr>
            <w:r>
              <w:rPr>
                <w:rFonts w:eastAsia="Calibri"/>
                <w:b/>
                <w:color w:val="000000"/>
                <w:sz w:val="20"/>
                <w:szCs w:val="20"/>
                <w:lang w:val="bs-Latn-BA"/>
              </w:rPr>
              <w:t>Obnova</w:t>
            </w:r>
            <w:r w:rsidRPr="008924E0">
              <w:rPr>
                <w:rFonts w:eastAsia="Calibri"/>
                <w:b/>
                <w:color w:val="000000"/>
                <w:sz w:val="20"/>
                <w:szCs w:val="20"/>
                <w:lang w:val="bs-Latn-BA"/>
              </w:rPr>
              <w:t xml:space="preserve"> </w:t>
            </w:r>
            <w:r>
              <w:rPr>
                <w:rFonts w:eastAsia="Calibri"/>
                <w:b/>
                <w:color w:val="000000"/>
                <w:sz w:val="20"/>
                <w:szCs w:val="20"/>
                <w:lang w:val="bs-Latn-BA"/>
              </w:rPr>
              <w:t>2</w:t>
            </w:r>
            <w:r w:rsidRPr="008924E0">
              <w:rPr>
                <w:rFonts w:eastAsia="Calibri"/>
                <w:b/>
                <w:color w:val="000000"/>
                <w:sz w:val="20"/>
                <w:szCs w:val="20"/>
                <w:lang w:val="bs-Latn-BA"/>
              </w:rPr>
              <w:t xml:space="preserve">,0 % korisne grijane površine  </w:t>
            </w:r>
          </w:p>
        </w:tc>
        <w:tc>
          <w:tcPr>
            <w:tcW w:w="896" w:type="dxa"/>
            <w:vAlign w:val="center"/>
          </w:tcPr>
          <w:p w14:paraId="1CACF5A3"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44</w:t>
            </w:r>
          </w:p>
        </w:tc>
        <w:tc>
          <w:tcPr>
            <w:tcW w:w="853" w:type="dxa"/>
            <w:vAlign w:val="center"/>
          </w:tcPr>
          <w:p w14:paraId="325840B6"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482</w:t>
            </w:r>
          </w:p>
        </w:tc>
        <w:tc>
          <w:tcPr>
            <w:tcW w:w="993" w:type="dxa"/>
            <w:vAlign w:val="center"/>
          </w:tcPr>
          <w:p w14:paraId="7EB75F6E"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920</w:t>
            </w:r>
          </w:p>
        </w:tc>
        <w:tc>
          <w:tcPr>
            <w:tcW w:w="939" w:type="dxa"/>
            <w:vAlign w:val="center"/>
          </w:tcPr>
          <w:p w14:paraId="5BD4EC94" w14:textId="77777777" w:rsidR="001A4D88" w:rsidRPr="00CD0CF2" w:rsidRDefault="001A4D88" w:rsidP="00122946">
            <w:pPr>
              <w:spacing w:after="0" w:line="240" w:lineRule="auto"/>
              <w:jc w:val="right"/>
              <w:rPr>
                <w:rFonts w:ascii="Corbel" w:hAnsi="Corbel" w:cs="Corbel"/>
                <w:color w:val="000000"/>
                <w:sz w:val="20"/>
                <w:szCs w:val="20"/>
                <w:lang w:val="bs-Latn-BA"/>
              </w:rPr>
            </w:pPr>
            <w:r w:rsidRPr="00CD0CF2">
              <w:rPr>
                <w:color w:val="000000"/>
                <w:sz w:val="20"/>
                <w:szCs w:val="20"/>
              </w:rPr>
              <w:t>1.358</w:t>
            </w:r>
          </w:p>
        </w:tc>
      </w:tr>
      <w:tr w:rsidR="001A4D88" w:rsidRPr="008924E0" w14:paraId="300C4D14" w14:textId="77777777" w:rsidTr="00122946">
        <w:trPr>
          <w:jc w:val="center"/>
        </w:trPr>
        <w:tc>
          <w:tcPr>
            <w:tcW w:w="3543" w:type="dxa"/>
          </w:tcPr>
          <w:p w14:paraId="0E9531D7" w14:textId="77777777" w:rsidR="001A4D88" w:rsidRPr="008924E0" w:rsidRDefault="001A4D88" w:rsidP="00122946">
            <w:pPr>
              <w:spacing w:after="0" w:line="240" w:lineRule="auto"/>
              <w:jc w:val="left"/>
              <w:rPr>
                <w:rFonts w:eastAsia="Calibri"/>
                <w:b/>
                <w:color w:val="000000"/>
                <w:sz w:val="20"/>
                <w:szCs w:val="20"/>
                <w:lang w:val="bs-Latn-BA"/>
              </w:rPr>
            </w:pPr>
            <w:r>
              <w:rPr>
                <w:rFonts w:eastAsia="Calibri"/>
                <w:b/>
                <w:color w:val="000000"/>
                <w:sz w:val="20"/>
                <w:szCs w:val="20"/>
                <w:lang w:val="bs-Latn-BA"/>
              </w:rPr>
              <w:t>Obnova</w:t>
            </w:r>
            <w:r w:rsidRPr="008924E0">
              <w:rPr>
                <w:rFonts w:eastAsia="Calibri"/>
                <w:b/>
                <w:color w:val="000000"/>
                <w:sz w:val="20"/>
                <w:szCs w:val="20"/>
                <w:lang w:val="bs-Latn-BA"/>
              </w:rPr>
              <w:t xml:space="preserve"> </w:t>
            </w:r>
            <w:r>
              <w:rPr>
                <w:rFonts w:eastAsia="Calibri"/>
                <w:b/>
                <w:color w:val="000000"/>
                <w:sz w:val="20"/>
                <w:szCs w:val="20"/>
                <w:lang w:val="bs-Latn-BA"/>
              </w:rPr>
              <w:t>2</w:t>
            </w:r>
            <w:r w:rsidRPr="008924E0">
              <w:rPr>
                <w:rFonts w:eastAsia="Calibri"/>
                <w:b/>
                <w:color w:val="000000"/>
                <w:sz w:val="20"/>
                <w:szCs w:val="20"/>
                <w:lang w:val="bs-Latn-BA"/>
              </w:rPr>
              <w:t xml:space="preserve">,5 % korisne grijane površine  </w:t>
            </w:r>
          </w:p>
        </w:tc>
        <w:tc>
          <w:tcPr>
            <w:tcW w:w="896" w:type="dxa"/>
            <w:vAlign w:val="center"/>
          </w:tcPr>
          <w:p w14:paraId="0CA5BF07" w14:textId="77777777" w:rsidR="001A4D88" w:rsidRPr="00B10FC0" w:rsidRDefault="001A4D88" w:rsidP="00122946">
            <w:pPr>
              <w:spacing w:after="0" w:line="240" w:lineRule="auto"/>
              <w:jc w:val="right"/>
              <w:rPr>
                <w:rFonts w:ascii="Corbel" w:hAnsi="Corbel" w:cs="Corbel"/>
                <w:color w:val="000000"/>
                <w:sz w:val="20"/>
                <w:szCs w:val="20"/>
                <w:lang w:val="bs-Latn-BA"/>
              </w:rPr>
            </w:pPr>
            <w:r w:rsidRPr="003D5603">
              <w:rPr>
                <w:color w:val="000000"/>
                <w:sz w:val="20"/>
                <w:szCs w:val="20"/>
              </w:rPr>
              <w:t>55</w:t>
            </w:r>
          </w:p>
        </w:tc>
        <w:tc>
          <w:tcPr>
            <w:tcW w:w="853" w:type="dxa"/>
            <w:vAlign w:val="center"/>
          </w:tcPr>
          <w:p w14:paraId="4D9E32AE" w14:textId="77777777" w:rsidR="001A4D88" w:rsidRPr="00B10FC0" w:rsidRDefault="001A4D88" w:rsidP="00122946">
            <w:pPr>
              <w:spacing w:after="0" w:line="240" w:lineRule="auto"/>
              <w:jc w:val="right"/>
              <w:rPr>
                <w:rFonts w:ascii="Corbel" w:hAnsi="Corbel" w:cs="Corbel"/>
                <w:color w:val="000000"/>
                <w:sz w:val="20"/>
                <w:szCs w:val="20"/>
                <w:lang w:val="bs-Latn-BA"/>
              </w:rPr>
            </w:pPr>
            <w:r w:rsidRPr="003D5603">
              <w:rPr>
                <w:color w:val="000000"/>
                <w:sz w:val="20"/>
                <w:szCs w:val="20"/>
              </w:rPr>
              <w:t>600</w:t>
            </w:r>
          </w:p>
        </w:tc>
        <w:tc>
          <w:tcPr>
            <w:tcW w:w="993" w:type="dxa"/>
            <w:vAlign w:val="center"/>
          </w:tcPr>
          <w:p w14:paraId="490B0D75" w14:textId="77777777" w:rsidR="001A4D88" w:rsidRPr="00B10FC0" w:rsidRDefault="001A4D88" w:rsidP="00122946">
            <w:pPr>
              <w:spacing w:after="0" w:line="240" w:lineRule="auto"/>
              <w:jc w:val="right"/>
              <w:rPr>
                <w:rFonts w:ascii="Corbel" w:hAnsi="Corbel" w:cs="Corbel"/>
                <w:color w:val="000000"/>
                <w:sz w:val="20"/>
                <w:szCs w:val="20"/>
                <w:lang w:val="bs-Latn-BA"/>
              </w:rPr>
            </w:pPr>
            <w:r w:rsidRPr="003D5603">
              <w:rPr>
                <w:color w:val="000000"/>
                <w:sz w:val="20"/>
                <w:szCs w:val="20"/>
              </w:rPr>
              <w:t>1.145</w:t>
            </w:r>
          </w:p>
        </w:tc>
        <w:tc>
          <w:tcPr>
            <w:tcW w:w="939" w:type="dxa"/>
            <w:vAlign w:val="center"/>
          </w:tcPr>
          <w:p w14:paraId="48102FF3" w14:textId="77777777" w:rsidR="001A4D88" w:rsidRPr="00B10FC0" w:rsidRDefault="001A4D88" w:rsidP="00122946">
            <w:pPr>
              <w:spacing w:after="0" w:line="240" w:lineRule="auto"/>
              <w:jc w:val="right"/>
              <w:rPr>
                <w:rFonts w:ascii="Corbel" w:hAnsi="Corbel" w:cs="Corbel"/>
                <w:color w:val="000000"/>
                <w:sz w:val="20"/>
                <w:szCs w:val="20"/>
                <w:lang w:val="bs-Latn-BA"/>
              </w:rPr>
            </w:pPr>
            <w:r w:rsidRPr="003D5603">
              <w:rPr>
                <w:color w:val="000000"/>
                <w:sz w:val="20"/>
                <w:szCs w:val="20"/>
              </w:rPr>
              <w:t>1.691</w:t>
            </w:r>
          </w:p>
        </w:tc>
      </w:tr>
    </w:tbl>
    <w:p w14:paraId="62F5BCE6" w14:textId="77777777" w:rsidR="001A4D88" w:rsidRDefault="001A4D88" w:rsidP="001A4D88"/>
    <w:p w14:paraId="085CAC15" w14:textId="77777777" w:rsidR="001A4D88" w:rsidRPr="008924E0" w:rsidRDefault="001A4D88" w:rsidP="001A4D88">
      <w:pPr>
        <w:jc w:val="left"/>
        <w:rPr>
          <w:lang w:val="bs-Latn-BA"/>
        </w:rPr>
      </w:pPr>
    </w:p>
    <w:p w14:paraId="036F3CAD" w14:textId="77777777" w:rsidR="001A4D88" w:rsidRDefault="001A4D88" w:rsidP="007900F2">
      <w:pPr>
        <w:pStyle w:val="Heading1"/>
        <w:numPr>
          <w:ilvl w:val="0"/>
          <w:numId w:val="0"/>
        </w:numPr>
        <w:rPr>
          <w:lang w:val="bs-Latn-BA"/>
        </w:rPr>
      </w:pPr>
    </w:p>
    <w:p w14:paraId="3B2D3C56" w14:textId="77777777" w:rsidR="001A4D88" w:rsidRDefault="001A4D88" w:rsidP="001A4D88">
      <w:pPr>
        <w:rPr>
          <w:lang w:val="bs-Latn-BA"/>
        </w:rPr>
      </w:pPr>
    </w:p>
    <w:p w14:paraId="6513FEA0" w14:textId="77777777" w:rsidR="001A4D88" w:rsidRDefault="001A4D88" w:rsidP="001A4D88">
      <w:pPr>
        <w:rPr>
          <w:lang w:val="bs-Latn-BA"/>
        </w:rPr>
      </w:pPr>
    </w:p>
    <w:p w14:paraId="1569AD5D" w14:textId="77777777" w:rsidR="001A4D88" w:rsidRDefault="001A4D88" w:rsidP="001A4D88">
      <w:pPr>
        <w:rPr>
          <w:lang w:val="bs-Latn-BA"/>
        </w:rPr>
      </w:pPr>
    </w:p>
    <w:p w14:paraId="514B9521" w14:textId="77777777" w:rsidR="001A4D88" w:rsidRDefault="001A4D88" w:rsidP="001A4D88">
      <w:pPr>
        <w:rPr>
          <w:lang w:val="bs-Latn-BA"/>
        </w:rPr>
      </w:pPr>
    </w:p>
    <w:p w14:paraId="62DEBE83" w14:textId="77777777" w:rsidR="001A4D88" w:rsidRDefault="001A4D88" w:rsidP="001A4D88">
      <w:pPr>
        <w:rPr>
          <w:lang w:val="bs-Latn-BA"/>
        </w:rPr>
      </w:pPr>
    </w:p>
    <w:p w14:paraId="1EA85B60" w14:textId="77777777" w:rsidR="001A4D88" w:rsidRDefault="001A4D88" w:rsidP="001A4D88">
      <w:pPr>
        <w:rPr>
          <w:lang w:val="bs-Latn-BA"/>
        </w:rPr>
      </w:pPr>
    </w:p>
    <w:p w14:paraId="3D5FAAAD" w14:textId="77777777" w:rsidR="001A4D88" w:rsidRDefault="001A4D88" w:rsidP="001A4D88">
      <w:pPr>
        <w:rPr>
          <w:lang w:val="bs-Latn-BA"/>
        </w:rPr>
      </w:pPr>
    </w:p>
    <w:p w14:paraId="5F1A66CD" w14:textId="77777777" w:rsidR="001A4D88" w:rsidRDefault="001A4D88" w:rsidP="001A4D88">
      <w:pPr>
        <w:rPr>
          <w:lang w:val="bs-Latn-BA"/>
        </w:rPr>
      </w:pPr>
    </w:p>
    <w:p w14:paraId="3450725B" w14:textId="77777777" w:rsidR="001A4D88" w:rsidRDefault="001A4D88" w:rsidP="001A4D88">
      <w:pPr>
        <w:rPr>
          <w:lang w:val="bs-Latn-BA"/>
        </w:rPr>
      </w:pPr>
    </w:p>
    <w:p w14:paraId="6784177C" w14:textId="77777777" w:rsidR="001A4D88" w:rsidRDefault="001A4D88" w:rsidP="001A4D88">
      <w:pPr>
        <w:rPr>
          <w:lang w:val="bs-Latn-BA"/>
        </w:rPr>
      </w:pPr>
    </w:p>
    <w:p w14:paraId="15C9CDB1" w14:textId="77777777" w:rsidR="001A4D88" w:rsidRDefault="001A4D88" w:rsidP="001A4D88">
      <w:pPr>
        <w:rPr>
          <w:lang w:val="bs-Latn-BA"/>
        </w:rPr>
      </w:pPr>
    </w:p>
    <w:p w14:paraId="549D1A1F" w14:textId="77777777" w:rsidR="001A4D88" w:rsidRDefault="001A4D88" w:rsidP="001A4D88">
      <w:pPr>
        <w:rPr>
          <w:lang w:val="bs-Latn-BA"/>
        </w:rPr>
      </w:pPr>
    </w:p>
    <w:p w14:paraId="5B4FBE6D" w14:textId="77777777" w:rsidR="001A4D88" w:rsidRDefault="001A4D88" w:rsidP="001A4D88">
      <w:pPr>
        <w:rPr>
          <w:lang w:val="bs-Latn-BA"/>
        </w:rPr>
      </w:pPr>
    </w:p>
    <w:p w14:paraId="1E150A08" w14:textId="77777777" w:rsidR="001A4D88" w:rsidRDefault="001A4D88" w:rsidP="001A4D88">
      <w:pPr>
        <w:rPr>
          <w:lang w:val="bs-Latn-BA"/>
        </w:rPr>
      </w:pPr>
    </w:p>
    <w:p w14:paraId="1F9CC1F6" w14:textId="77777777" w:rsidR="001A4D88" w:rsidRDefault="001A4D88" w:rsidP="001A4D88">
      <w:pPr>
        <w:rPr>
          <w:lang w:val="bs-Latn-BA"/>
        </w:rPr>
      </w:pPr>
    </w:p>
    <w:p w14:paraId="6507B327" w14:textId="77777777" w:rsidR="001A4D88" w:rsidRDefault="001A4D88" w:rsidP="001A4D88">
      <w:pPr>
        <w:rPr>
          <w:lang w:val="bs-Latn-BA"/>
        </w:rPr>
      </w:pPr>
    </w:p>
    <w:p w14:paraId="4AA3A34A" w14:textId="77777777" w:rsidR="001A4D88" w:rsidRDefault="001A4D88" w:rsidP="001A4D88">
      <w:pPr>
        <w:rPr>
          <w:lang w:val="bs-Latn-BA"/>
        </w:rPr>
      </w:pPr>
    </w:p>
    <w:p w14:paraId="077AB3D0" w14:textId="77777777" w:rsidR="001A4D88" w:rsidRDefault="001A4D88" w:rsidP="001A4D88">
      <w:pPr>
        <w:rPr>
          <w:lang w:val="bs-Latn-BA"/>
        </w:rPr>
      </w:pPr>
    </w:p>
    <w:p w14:paraId="0122A475" w14:textId="77777777" w:rsidR="001A4D88" w:rsidRDefault="001A4D88" w:rsidP="001A4D88">
      <w:pPr>
        <w:rPr>
          <w:lang w:val="bs-Latn-BA"/>
        </w:rPr>
      </w:pPr>
    </w:p>
    <w:p w14:paraId="4282F4FA" w14:textId="77777777" w:rsidR="001A4D88" w:rsidRDefault="001A4D88" w:rsidP="001A4D88">
      <w:pPr>
        <w:rPr>
          <w:lang w:val="bs-Latn-BA"/>
        </w:rPr>
      </w:pPr>
    </w:p>
    <w:p w14:paraId="65E418D8" w14:textId="77777777" w:rsidR="001A4D88" w:rsidRDefault="001A4D88" w:rsidP="001A4D88">
      <w:pPr>
        <w:rPr>
          <w:lang w:val="bs-Latn-BA"/>
        </w:rPr>
      </w:pPr>
    </w:p>
    <w:p w14:paraId="7F2ED229" w14:textId="77777777" w:rsidR="001A4D88" w:rsidRPr="001A4D88" w:rsidRDefault="001A4D88" w:rsidP="001A4D88">
      <w:pPr>
        <w:rPr>
          <w:lang w:val="bs-Latn-BA"/>
        </w:rPr>
      </w:pPr>
    </w:p>
    <w:p w14:paraId="407DC1DC" w14:textId="028BC643" w:rsidR="00B119A5" w:rsidRPr="008924E0" w:rsidRDefault="00B119A5" w:rsidP="007900F2">
      <w:pPr>
        <w:pStyle w:val="Heading1"/>
        <w:numPr>
          <w:ilvl w:val="0"/>
          <w:numId w:val="0"/>
        </w:numPr>
        <w:rPr>
          <w:lang w:val="bs-Latn-BA"/>
        </w:rPr>
      </w:pPr>
      <w:bookmarkStart w:id="251" w:name="_Toc134011832"/>
      <w:r w:rsidRPr="008924E0">
        <w:rPr>
          <w:lang w:val="bs-Latn-BA"/>
        </w:rPr>
        <w:lastRenderedPageBreak/>
        <w:t>Aneks</w:t>
      </w:r>
      <w:r w:rsidR="00E606B9" w:rsidRPr="008924E0">
        <w:rPr>
          <w:lang w:val="bs-Latn-BA"/>
        </w:rPr>
        <w:t xml:space="preserve"> 11.</w:t>
      </w:r>
      <w:r w:rsidR="001A4D88">
        <w:rPr>
          <w:lang w:val="bs-Latn-BA"/>
        </w:rPr>
        <w:t>3</w:t>
      </w:r>
      <w:r w:rsidR="00E606B9" w:rsidRPr="008924E0">
        <w:rPr>
          <w:lang w:val="bs-Latn-BA"/>
        </w:rPr>
        <w:t>.</w:t>
      </w:r>
      <w:bookmarkEnd w:id="251"/>
      <w:r w:rsidR="00E606B9" w:rsidRPr="008924E0">
        <w:rPr>
          <w:lang w:val="bs-Latn-BA"/>
        </w:rPr>
        <w:t xml:space="preserve">  </w:t>
      </w:r>
    </w:p>
    <w:p w14:paraId="66B2F0B0" w14:textId="379A54DC" w:rsidR="006C76A3" w:rsidRPr="008924E0" w:rsidRDefault="00E606B9" w:rsidP="007900F2">
      <w:pPr>
        <w:pStyle w:val="Heading2"/>
        <w:numPr>
          <w:ilvl w:val="0"/>
          <w:numId w:val="0"/>
        </w:numPr>
        <w:rPr>
          <w:lang w:val="bs-Latn-BA"/>
        </w:rPr>
      </w:pPr>
      <w:bookmarkStart w:id="252" w:name="_Toc134011833"/>
      <w:r w:rsidRPr="008924E0">
        <w:rPr>
          <w:lang w:val="bs-Latn-BA"/>
        </w:rPr>
        <w:t>T</w:t>
      </w:r>
      <w:r w:rsidR="009A2376" w:rsidRPr="008924E0">
        <w:rPr>
          <w:lang w:val="bs-Latn-BA"/>
        </w:rPr>
        <w:t>ehničk</w:t>
      </w:r>
      <w:r w:rsidRPr="008924E0">
        <w:rPr>
          <w:lang w:val="bs-Latn-BA"/>
        </w:rPr>
        <w:t>e</w:t>
      </w:r>
      <w:r w:rsidR="009A2376" w:rsidRPr="008924E0">
        <w:rPr>
          <w:lang w:val="bs-Latn-BA"/>
        </w:rPr>
        <w:t xml:space="preserve"> mogućnosti proširenja daljinskog grijanja u urbanim zonama uz mogućnost primjene obnovljivih izvora energije</w:t>
      </w:r>
      <w:bookmarkEnd w:id="252"/>
    </w:p>
    <w:p w14:paraId="12FFFB5F" w14:textId="0FF6F274" w:rsidR="00B9352D" w:rsidRPr="008924E0" w:rsidRDefault="00B9352D" w:rsidP="00B9352D">
      <w:pPr>
        <w:widowControl w:val="0"/>
        <w:pBdr>
          <w:top w:val="nil"/>
          <w:left w:val="nil"/>
          <w:bottom w:val="nil"/>
          <w:right w:val="nil"/>
          <w:between w:val="nil"/>
        </w:pBdr>
        <w:rPr>
          <w:lang w:val="bs-Latn-BA"/>
        </w:rPr>
      </w:pPr>
      <w:r w:rsidRPr="008924E0">
        <w:rPr>
          <w:lang w:val="bs-Latn-BA"/>
        </w:rPr>
        <w:t xml:space="preserve">Na području Federacije Bosne i Hercegovine djeluju 22 kompanije </w:t>
      </w:r>
      <w:r w:rsidR="000B7AF6">
        <w:rPr>
          <w:lang w:val="bs-Latn-BA"/>
        </w:rPr>
        <w:t xml:space="preserve">koje </w:t>
      </w:r>
      <w:r w:rsidRPr="008924E0">
        <w:rPr>
          <w:lang w:val="bs-Latn-BA"/>
        </w:rPr>
        <w:t>se bave proizvodnjom i/ili isporukom toplotne energije građanima i pravnim licima</w:t>
      </w:r>
      <w:r w:rsidRPr="008924E0">
        <w:rPr>
          <w:color w:val="000000"/>
          <w:vertAlign w:val="superscript"/>
          <w:lang w:val="bs-Latn-BA"/>
        </w:rPr>
        <w:footnoteReference w:id="119"/>
      </w:r>
      <w:r w:rsidRPr="008924E0">
        <w:rPr>
          <w:lang w:val="bs-Latn-BA"/>
        </w:rPr>
        <w:t>. Najveći</w:t>
      </w:r>
      <w:r w:rsidR="000B7AF6">
        <w:rPr>
          <w:lang w:val="bs-Latn-BA"/>
        </w:rPr>
        <w:t>m</w:t>
      </w:r>
      <w:r w:rsidRPr="008924E0">
        <w:rPr>
          <w:lang w:val="bs-Latn-BA"/>
        </w:rPr>
        <w:t xml:space="preserve"> sistem</w:t>
      </w:r>
      <w:r w:rsidR="000B7AF6">
        <w:rPr>
          <w:lang w:val="bs-Latn-BA"/>
        </w:rPr>
        <w:t>om</w:t>
      </w:r>
      <w:r w:rsidRPr="008924E0">
        <w:rPr>
          <w:lang w:val="bs-Latn-BA"/>
        </w:rPr>
        <w:t xml:space="preserve"> daljinskog grijanja (SDG) u FBiH </w:t>
      </w:r>
      <w:r w:rsidR="000B7AF6">
        <w:rPr>
          <w:lang w:val="bs-Latn-BA"/>
        </w:rPr>
        <w:t>upravlja</w:t>
      </w:r>
      <w:r w:rsidRPr="008924E0">
        <w:rPr>
          <w:lang w:val="bs-Latn-BA"/>
        </w:rPr>
        <w:t xml:space="preserve"> KJKP "Toplane - Sarajevo" d.o.o. Sarajevo sa 522,5 MW </w:t>
      </w:r>
      <w:r w:rsidR="00A3514D" w:rsidRPr="008924E0">
        <w:rPr>
          <w:lang w:val="bs-Latn-BA"/>
        </w:rPr>
        <w:t>instali</w:t>
      </w:r>
      <w:r w:rsidR="00A3514D">
        <w:rPr>
          <w:lang w:val="bs-Latn-BA"/>
        </w:rPr>
        <w:t>rane</w:t>
      </w:r>
      <w:r w:rsidR="00A3514D" w:rsidRPr="008924E0">
        <w:rPr>
          <w:lang w:val="bs-Latn-BA"/>
        </w:rPr>
        <w:t xml:space="preserve"> </w:t>
      </w:r>
      <w:r w:rsidRPr="008924E0">
        <w:rPr>
          <w:lang w:val="bs-Latn-BA"/>
        </w:rPr>
        <w:t xml:space="preserve">snage koji kao primarno gorivo koristi prirodni </w:t>
      </w:r>
      <w:r w:rsidR="001C6C64">
        <w:rPr>
          <w:lang w:val="bs-Latn-BA"/>
        </w:rPr>
        <w:t>plin</w:t>
      </w:r>
      <w:r w:rsidRPr="008924E0">
        <w:rPr>
          <w:lang w:val="bs-Latn-BA"/>
        </w:rPr>
        <w:t xml:space="preserve"> dok je alternativni energent lož ulje. Pored Sarajeva, na nivou FBiH, značajni su još SDG u gradu Tuzla gdje instalisana snaga sistema grijanja iznosi 300 MW a toplotna energija se isporučuje od strane Termoelektrane Tuzla. Od analiziranih sistema određeni broj SDG toplotnu energiju dobija iz lokalnih termoelektrana kao što je slučaj Kaknja, Tuzle i Lukavca dok neki SDG toplotnu energiju dobijaju iz obližnjih industrijskih postrojenja kao što je slučaj u Zenici. </w:t>
      </w:r>
    </w:p>
    <w:p w14:paraId="015B2237" w14:textId="5439BC82" w:rsidR="00B9352D" w:rsidRPr="008924E0" w:rsidRDefault="00B9352D" w:rsidP="00B9352D">
      <w:pPr>
        <w:rPr>
          <w:lang w:val="bs-Latn-BA"/>
        </w:rPr>
      </w:pPr>
      <w:r w:rsidRPr="008924E0">
        <w:rPr>
          <w:lang w:val="bs-Latn-BA"/>
        </w:rPr>
        <w:t xml:space="preserve">Kao primarni energent, najveći broj SDG u FBiH koristi ugalj (63%), zatim drvnu biomasu (21%), prirodni </w:t>
      </w:r>
      <w:r w:rsidR="001C6C64">
        <w:rPr>
          <w:lang w:val="bs-Latn-BA"/>
        </w:rPr>
        <w:t>plin</w:t>
      </w:r>
      <w:r w:rsidRPr="008924E0">
        <w:rPr>
          <w:lang w:val="bs-Latn-BA"/>
        </w:rPr>
        <w:t xml:space="preserve"> (11%) i mazut (5%). Kada se analizira procentualni udio energenata u ukupnoj proizvodnji toplotne energije, procenat uglja iznosi 59 %, prirodnog </w:t>
      </w:r>
      <w:r w:rsidR="000934E2">
        <w:rPr>
          <w:lang w:val="bs-Latn-BA"/>
        </w:rPr>
        <w:t>plina</w:t>
      </w:r>
      <w:r w:rsidRPr="008924E0">
        <w:rPr>
          <w:lang w:val="bs-Latn-BA"/>
        </w:rPr>
        <w:t xml:space="preserve"> 38 %, drvne biomase 2 % i mazuta 1 %. Prema dostupnim podacima, preko 6.551.218 m</w:t>
      </w:r>
      <w:r w:rsidRPr="008924E0">
        <w:rPr>
          <w:vertAlign w:val="superscript"/>
          <w:lang w:val="bs-Latn-BA"/>
        </w:rPr>
        <w:t>2</w:t>
      </w:r>
      <w:r w:rsidRPr="008924E0">
        <w:rPr>
          <w:lang w:val="bs-Latn-BA"/>
        </w:rPr>
        <w:t xml:space="preserve"> stambenog i nestambenog prostora je obuhvaćeno sistemima daljinskog grijanja, ukupne instalisane snage preko 1.300 MW, a prosječna specifična proizvodnja po m</w:t>
      </w:r>
      <w:r w:rsidRPr="008924E0">
        <w:rPr>
          <w:vertAlign w:val="superscript"/>
          <w:lang w:val="bs-Latn-BA"/>
        </w:rPr>
        <w:t>2</w:t>
      </w:r>
      <w:r w:rsidRPr="008924E0">
        <w:rPr>
          <w:lang w:val="bs-Latn-BA"/>
        </w:rPr>
        <w:t xml:space="preserve"> grijane površine iznosi preko 190 kWh/m</w:t>
      </w:r>
      <w:r w:rsidRPr="008924E0">
        <w:rPr>
          <w:vertAlign w:val="superscript"/>
          <w:lang w:val="bs-Latn-BA"/>
        </w:rPr>
        <w:t>2</w:t>
      </w:r>
      <w:r w:rsidRPr="008924E0">
        <w:rPr>
          <w:lang w:val="bs-Latn-BA"/>
        </w:rPr>
        <w:t xml:space="preserve">god. za sve SDG u FBiH, što je indikator niske efikasnosti sistema i niske energijske efikasnosti korisnika. </w:t>
      </w:r>
    </w:p>
    <w:p w14:paraId="203C3C06" w14:textId="69247B6F" w:rsidR="00B9352D" w:rsidRPr="008924E0" w:rsidRDefault="00B9352D" w:rsidP="00B9352D">
      <w:pPr>
        <w:rPr>
          <w:lang w:val="bs-Latn-BA"/>
        </w:rPr>
      </w:pPr>
      <w:r w:rsidRPr="008924E0">
        <w:rPr>
          <w:lang w:val="bs-Latn-BA"/>
        </w:rPr>
        <w:t xml:space="preserve"> Na nivou FBiH nije usvojena zakonska regulative koja </w:t>
      </w:r>
      <w:r w:rsidR="00A3514D" w:rsidRPr="008924E0">
        <w:rPr>
          <w:lang w:val="bs-Latn-BA"/>
        </w:rPr>
        <w:t>reguli</w:t>
      </w:r>
      <w:r w:rsidR="00A3514D">
        <w:rPr>
          <w:lang w:val="bs-Latn-BA"/>
        </w:rPr>
        <w:t>ra</w:t>
      </w:r>
      <w:r w:rsidR="00A3514D" w:rsidRPr="008924E0">
        <w:rPr>
          <w:lang w:val="bs-Latn-BA"/>
        </w:rPr>
        <w:t xml:space="preserve"> </w:t>
      </w:r>
      <w:r w:rsidRPr="008924E0">
        <w:rPr>
          <w:lang w:val="bs-Latn-BA"/>
        </w:rPr>
        <w:t xml:space="preserve">rad SDG, ne postoji pravilnik o tarifnim stavovima, nema poticaja za proizvodnju toplotne energije iz obnovljivih izvora energije (OIE) te ne postoji zakonska regulativa koja uređuje kvalitet korištenih goriva i kotlova. Kada je riječ o stanju tehničkih sistema, osnovi problemi su zastarjela kotlovska oprema sa niskim godišnjim stepenom efikasnosti, veliki gubici u razvodnoj mreži te, </w:t>
      </w:r>
      <w:r w:rsidR="00A3514D" w:rsidRPr="008924E0">
        <w:rPr>
          <w:lang w:val="bs-Latn-BA"/>
        </w:rPr>
        <w:t>predimenzioni</w:t>
      </w:r>
      <w:r w:rsidR="00A3514D">
        <w:rPr>
          <w:lang w:val="bs-Latn-BA"/>
        </w:rPr>
        <w:t>ranost</w:t>
      </w:r>
      <w:r w:rsidR="00A3514D" w:rsidRPr="008924E0">
        <w:rPr>
          <w:lang w:val="bs-Latn-BA"/>
        </w:rPr>
        <w:t xml:space="preserve"> </w:t>
      </w:r>
      <w:r w:rsidRPr="008924E0">
        <w:rPr>
          <w:lang w:val="bs-Latn-BA"/>
        </w:rPr>
        <w:t xml:space="preserve">sistema daljinskih grijanja. Većina postrojenja je izgrađena u periodu prije 1992. za mnogo veći broj korisnika nego što trenutno snabdijevaju. Procjena je da godišnja iskorištenost SDG iznosi oko 20%. Generalno se može zaključiti da su sistemi </w:t>
      </w:r>
      <w:r w:rsidR="00A3514D" w:rsidRPr="008924E0">
        <w:rPr>
          <w:lang w:val="bs-Latn-BA"/>
        </w:rPr>
        <w:t>predimenzi</w:t>
      </w:r>
      <w:r w:rsidR="00A3514D">
        <w:rPr>
          <w:lang w:val="bs-Latn-BA"/>
        </w:rPr>
        <w:t>onirani</w:t>
      </w:r>
      <w:r w:rsidR="00A3514D" w:rsidRPr="008924E0">
        <w:rPr>
          <w:lang w:val="bs-Latn-BA"/>
        </w:rPr>
        <w:t xml:space="preserve"> </w:t>
      </w:r>
      <w:r w:rsidRPr="008924E0">
        <w:rPr>
          <w:lang w:val="bs-Latn-BA"/>
        </w:rPr>
        <w:t xml:space="preserve">i u većini slučajeva nisu adekvatno </w:t>
      </w:r>
      <w:r w:rsidR="00A3514D" w:rsidRPr="008924E0">
        <w:rPr>
          <w:lang w:val="bs-Latn-BA"/>
        </w:rPr>
        <w:t>revitaliz</w:t>
      </w:r>
      <w:r w:rsidR="00A3514D">
        <w:rPr>
          <w:lang w:val="bs-Latn-BA"/>
        </w:rPr>
        <w:t>irani</w:t>
      </w:r>
      <w:r w:rsidR="00A3514D" w:rsidRPr="008924E0">
        <w:rPr>
          <w:lang w:val="bs-Latn-BA"/>
        </w:rPr>
        <w:t xml:space="preserve"> </w:t>
      </w:r>
      <w:r w:rsidRPr="008924E0">
        <w:rPr>
          <w:lang w:val="bs-Latn-BA"/>
        </w:rPr>
        <w:t>te je u proteklom periodu uslijed pada kvaliteta usluge i nesigurnosti u snabdijevanju toplotnom energijom došlo i do pada broja korisnika te su kapaciteti ostali neiskorišteni. U slučaju novih SDG instalisana snaga je ciljano veća budući da se planira dodatno proširenje mreže grijanja</w:t>
      </w:r>
      <w:r w:rsidR="00B271B5">
        <w:rPr>
          <w:lang w:val="bs-Latn-BA"/>
        </w:rPr>
        <w:t>,</w:t>
      </w:r>
      <w:r w:rsidRPr="008924E0">
        <w:rPr>
          <w:lang w:val="bs-Latn-BA"/>
        </w:rPr>
        <w:t xml:space="preserve"> a time i priključenje novih korisnika. Gotovo svi sistemi daljinskih grijanja s ciljem povećanja korištenja raspoloživih kapaciteta teže ka širenju mreže daljinskog grijanja uz trend prelaska sa uglja na biomasu, između ostalog, zbog strožih okolinskih standarda. </w:t>
      </w:r>
    </w:p>
    <w:p w14:paraId="41D773D1" w14:textId="77777777" w:rsidR="00B9352D" w:rsidRPr="008924E0" w:rsidRDefault="00B9352D" w:rsidP="00B9352D">
      <w:pPr>
        <w:rPr>
          <w:lang w:val="bs-Latn-BA"/>
        </w:rPr>
      </w:pPr>
      <w:r w:rsidRPr="008924E0">
        <w:rPr>
          <w:lang w:val="bs-Latn-BA"/>
        </w:rPr>
        <w:t xml:space="preserve">Osnovna prepreka za razvoj projekata daljinskog grijanja je stara infrastruktura ili potpuno odsustvo infrastrukture. Postoji potreba investiranja u SDG ulaganjem u rekonstrukciju, revitalizaciju i modernizaciju postojećih SDG i uspostave novih održivih SDG, koristeći lokalne izvore energije i povećavajući udio obnovljivih izvora energije. </w:t>
      </w:r>
    </w:p>
    <w:p w14:paraId="1ED69C5C" w14:textId="1AF48D2C" w:rsidR="00B9352D" w:rsidRPr="008924E0" w:rsidRDefault="00B9352D" w:rsidP="00B9352D">
      <w:pPr>
        <w:rPr>
          <w:lang w:val="bs-Latn-BA"/>
        </w:rPr>
      </w:pPr>
      <w:r w:rsidRPr="008924E0">
        <w:rPr>
          <w:lang w:val="bs-Latn-BA"/>
        </w:rPr>
        <w:t>Plaćanje utrošene toplotne energije se vrši paušalno po m</w:t>
      </w:r>
      <w:r w:rsidRPr="008924E0">
        <w:rPr>
          <w:vertAlign w:val="superscript"/>
          <w:lang w:val="bs-Latn-BA"/>
        </w:rPr>
        <w:t xml:space="preserve">2 </w:t>
      </w:r>
      <w:r w:rsidRPr="008924E0">
        <w:rPr>
          <w:lang w:val="bs-Latn-BA"/>
        </w:rPr>
        <w:t>grijanog prostora za 80 % stambenog fonda. Oko 20% stambenog sektora u BiH koji je</w:t>
      </w:r>
      <w:r w:rsidR="00B271B5">
        <w:rPr>
          <w:lang w:val="bs-Latn-BA"/>
        </w:rPr>
        <w:t xml:space="preserve"> priključen na sisteme</w:t>
      </w:r>
      <w:r w:rsidRPr="008924E0">
        <w:rPr>
          <w:lang w:val="bs-Latn-BA"/>
        </w:rPr>
        <w:t xml:space="preserve"> daljinsko</w:t>
      </w:r>
      <w:r w:rsidR="00B271B5">
        <w:rPr>
          <w:lang w:val="bs-Latn-BA"/>
        </w:rPr>
        <w:t>g</w:t>
      </w:r>
      <w:r w:rsidRPr="008924E0">
        <w:rPr>
          <w:lang w:val="bs-Latn-BA"/>
        </w:rPr>
        <w:t xml:space="preserve"> grijanj</w:t>
      </w:r>
      <w:r w:rsidR="00B271B5">
        <w:rPr>
          <w:lang w:val="bs-Latn-BA"/>
        </w:rPr>
        <w:t>a</w:t>
      </w:r>
      <w:r w:rsidRPr="008924E0">
        <w:rPr>
          <w:lang w:val="bs-Latn-BA"/>
        </w:rPr>
        <w:t xml:space="preserve"> </w:t>
      </w:r>
      <w:r w:rsidRPr="008924E0">
        <w:rPr>
          <w:rFonts w:eastAsia="Times New Roman"/>
          <w:color w:val="000000"/>
          <w:lang w:val="bs-Latn-BA" w:eastAsia="en-GB"/>
        </w:rPr>
        <w:t>ESCO ECO ENERGIJA d.o.o. Livno i "Eko toplane" d.o.o. Gračanica</w:t>
      </w:r>
      <w:r w:rsidRPr="008924E0">
        <w:rPr>
          <w:lang w:val="bs-Latn-BA"/>
        </w:rPr>
        <w:t xml:space="preserve">, energiju plaća prema potrošnji gdje individualni isporučioci toplotne energije imaju svoje tarifne stavove. Preduvjet za motiviranost krajnjih korisnika da štede energiju je omogućavanje plaćanja po potrošnji, što je jasno </w:t>
      </w:r>
      <w:r w:rsidR="00AB786E">
        <w:rPr>
          <w:lang w:val="bs-Latn-BA"/>
        </w:rPr>
        <w:t>definirano</w:t>
      </w:r>
      <w:r w:rsidRPr="008924E0">
        <w:rPr>
          <w:lang w:val="bs-Latn-BA"/>
        </w:rPr>
        <w:t xml:space="preserve"> EU </w:t>
      </w:r>
      <w:r w:rsidRPr="008924E0">
        <w:rPr>
          <w:lang w:val="bs-Latn-BA"/>
        </w:rPr>
        <w:lastRenderedPageBreak/>
        <w:t>direktivama.</w:t>
      </w:r>
      <w:r w:rsidR="00285AB1">
        <w:rPr>
          <w:lang w:val="bs-Latn-BA"/>
        </w:rPr>
        <w:t xml:space="preserve"> </w:t>
      </w:r>
      <w:r w:rsidRPr="008924E0">
        <w:rPr>
          <w:lang w:val="bs-Latn-BA"/>
        </w:rPr>
        <w:t xml:space="preserve">U skladu sa tim </w:t>
      </w:r>
      <w:r w:rsidRPr="008924E0">
        <w:rPr>
          <w:color w:val="000000"/>
          <w:lang w:val="bs-Latn-BA"/>
        </w:rPr>
        <w:t xml:space="preserve">potrebno je donijeti Pravilnik o mjerenju stvarne potrošnje energije u sistemima daljinskog grijanja, u cilju efikasnijeg korištenja toplotne energije te smanjenja pregrijavanja i pothlađivanja prostora, odnosno povećanja toplotnog komfora unutar objekata. </w:t>
      </w:r>
    </w:p>
    <w:p w14:paraId="2A393D2B" w14:textId="37A03607" w:rsidR="00B9352D" w:rsidRPr="008924E0" w:rsidRDefault="00A3514D" w:rsidP="00B9352D">
      <w:pPr>
        <w:rPr>
          <w:lang w:val="bs-Latn-BA"/>
        </w:rPr>
      </w:pPr>
      <w:r w:rsidRPr="008924E0">
        <w:rPr>
          <w:lang w:val="bs-Latn-BA"/>
        </w:rPr>
        <w:t>S</w:t>
      </w:r>
      <w:r>
        <w:rPr>
          <w:lang w:val="bs-Latn-BA"/>
        </w:rPr>
        <w:t>istemi daljinskih grijanja</w:t>
      </w:r>
      <w:r w:rsidRPr="008924E0">
        <w:rPr>
          <w:lang w:val="bs-Latn-BA"/>
        </w:rPr>
        <w:t xml:space="preserve"> </w:t>
      </w:r>
      <w:r w:rsidR="00B9352D" w:rsidRPr="008924E0">
        <w:rPr>
          <w:lang w:val="bs-Latn-BA"/>
        </w:rPr>
        <w:t xml:space="preserve">imaju prednosti u odnosu na pojedinačne sisteme proizvodnje toplotne energije, koje uključuju: </w:t>
      </w:r>
    </w:p>
    <w:p w14:paraId="70EC5E3E" w14:textId="77777777" w:rsidR="00B9352D" w:rsidRPr="008924E0" w:rsidRDefault="00B9352D" w:rsidP="00FF3BA1">
      <w:pPr>
        <w:pStyle w:val="ListParagraph"/>
        <w:numPr>
          <w:ilvl w:val="0"/>
          <w:numId w:val="49"/>
        </w:numPr>
        <w:spacing w:before="120" w:after="120" w:line="276" w:lineRule="auto"/>
        <w:contextualSpacing/>
      </w:pPr>
      <w:r w:rsidRPr="008924E0">
        <w:t xml:space="preserve">mogućnost iskorištavanja otpadne toplotne energije iz kogeneracijskih postrojenja (čime se znatno povećava ukupna efikasnost takvih postrojenja u odnosu na slučaj kad se otpadna toplina ne koristi) </w:t>
      </w:r>
    </w:p>
    <w:p w14:paraId="36E85AE3" w14:textId="77777777" w:rsidR="00B9352D" w:rsidRPr="008924E0" w:rsidRDefault="00B9352D" w:rsidP="00FF3BA1">
      <w:pPr>
        <w:pStyle w:val="ListParagraph"/>
        <w:numPr>
          <w:ilvl w:val="0"/>
          <w:numId w:val="49"/>
        </w:numPr>
        <w:spacing w:before="120" w:after="120" w:line="276" w:lineRule="auto"/>
        <w:contextualSpacing/>
      </w:pPr>
      <w:r w:rsidRPr="008924E0">
        <w:t>mogućnost interpolacije u druge sisteme (zbrinjavanje otpada, iskorištenje otpadne toplote iz industrije, itd.)</w:t>
      </w:r>
    </w:p>
    <w:p w14:paraId="0AF376FB" w14:textId="77777777" w:rsidR="00B9352D" w:rsidRPr="008924E0" w:rsidRDefault="00B9352D" w:rsidP="00FF3BA1">
      <w:pPr>
        <w:pStyle w:val="ListParagraph"/>
        <w:numPr>
          <w:ilvl w:val="0"/>
          <w:numId w:val="48"/>
        </w:numPr>
        <w:spacing w:before="120" w:after="120" w:line="276" w:lineRule="auto"/>
        <w:contextualSpacing/>
      </w:pPr>
      <w:r w:rsidRPr="008924E0">
        <w:t xml:space="preserve">centralizirano korištenje obnovljivih izvora energije za uključivanje obnovljivih izvora energije u zgradama kod kojih su tehničke mogućnosti na samoj lokaciji zgrade ograničene. </w:t>
      </w:r>
    </w:p>
    <w:p w14:paraId="39283DB8" w14:textId="1845892E" w:rsidR="00B9352D" w:rsidRPr="008924E0" w:rsidRDefault="00B9352D" w:rsidP="00B9352D">
      <w:pPr>
        <w:rPr>
          <w:lang w:val="bs-Latn-BA"/>
        </w:rPr>
      </w:pPr>
      <w:r w:rsidRPr="008924E0">
        <w:rPr>
          <w:color w:val="000000"/>
          <w:lang w:val="bs-Latn-BA"/>
        </w:rPr>
        <w:t xml:space="preserve">Sistemi daljinskog grijanja osim pozitivnog uticaja na energijsku efikasnost i smanjenje emisija stakleničkih </w:t>
      </w:r>
      <w:r w:rsidR="00F64EC0">
        <w:rPr>
          <w:color w:val="000000"/>
          <w:lang w:val="bs-Latn-BA"/>
        </w:rPr>
        <w:t>plinova</w:t>
      </w:r>
      <w:r w:rsidRPr="008924E0">
        <w:rPr>
          <w:color w:val="000000"/>
          <w:lang w:val="bs-Latn-BA"/>
        </w:rPr>
        <w:t>, također mogu doprinijeti i povećanju fleksibilnosti elektroenergetske mreže te time i potencijala za primjenu intermitentnih obnovljivih izvora energije poput sunca i vjetra. Fleksibilnost</w:t>
      </w:r>
      <w:r w:rsidR="00B271B5">
        <w:rPr>
          <w:color w:val="000000"/>
          <w:lang w:val="bs-Latn-BA"/>
        </w:rPr>
        <w:t>,</w:t>
      </w:r>
      <w:r w:rsidRPr="008924E0">
        <w:rPr>
          <w:color w:val="000000"/>
          <w:lang w:val="bs-Latn-BA"/>
        </w:rPr>
        <w:t xml:space="preserve"> kako na strani proizvodnje tako i na strani potrošnje energije</w:t>
      </w:r>
      <w:r w:rsidR="00B271B5">
        <w:rPr>
          <w:color w:val="000000"/>
          <w:lang w:val="bs-Latn-BA"/>
        </w:rPr>
        <w:t>,</w:t>
      </w:r>
      <w:r w:rsidRPr="008924E0">
        <w:rPr>
          <w:color w:val="000000"/>
          <w:lang w:val="bs-Latn-BA"/>
        </w:rPr>
        <w:t xml:space="preserve"> biti će jedan od ključnih faktora za postupak dekarbonizacije modernih energetskih sistema. Zbog navedenog je s</w:t>
      </w:r>
      <w:r w:rsidRPr="008924E0">
        <w:rPr>
          <w:lang w:val="bs-Latn-BA"/>
        </w:rPr>
        <w:t xml:space="preserve">trateško opredjeljenje BiH da se povećava udio daljinskih grijanja u pokrivanju toplotnih potreba, a prema Okvirnoj energetskoj strategiji BiH do 2035. godine, prvi strateški prioritet u oblasti </w:t>
      </w:r>
      <w:r w:rsidR="00285AB1">
        <w:rPr>
          <w:lang w:val="bs-Latn-BA"/>
        </w:rPr>
        <w:t>snabdijevanja toplotnom energijom</w:t>
      </w:r>
      <w:r w:rsidRPr="008924E0">
        <w:rPr>
          <w:lang w:val="bs-Latn-BA"/>
        </w:rPr>
        <w:t xml:space="preserve"> je proširenje i unapređenje sektora kroz sisteme daljinskog grijanja</w:t>
      </w:r>
      <w:r w:rsidR="00285AB1">
        <w:rPr>
          <w:lang w:val="bs-Latn-BA"/>
        </w:rPr>
        <w:t>.</w:t>
      </w:r>
    </w:p>
    <w:p w14:paraId="57D4A112" w14:textId="77777777" w:rsidR="00B9352D" w:rsidRPr="008924E0" w:rsidRDefault="00B9352D" w:rsidP="00B9352D">
      <w:pPr>
        <w:rPr>
          <w:lang w:val="bs-Latn-BA"/>
        </w:rPr>
      </w:pPr>
      <w:r w:rsidRPr="008924E0">
        <w:rPr>
          <w:lang w:val="bs-Latn-BA"/>
        </w:rPr>
        <w:t>Razvoj sistema daljinskog grijanja treba ići u pravcu</w:t>
      </w:r>
      <w:r w:rsidRPr="008924E0">
        <w:rPr>
          <w:color w:val="000000"/>
          <w:vertAlign w:val="superscript"/>
          <w:lang w:val="bs-Latn-BA"/>
        </w:rPr>
        <w:footnoteReference w:id="120"/>
      </w:r>
      <w:r w:rsidRPr="008924E0">
        <w:rPr>
          <w:lang w:val="bs-Latn-BA"/>
        </w:rPr>
        <w:t>,</w:t>
      </w:r>
      <w:r w:rsidRPr="008924E0">
        <w:rPr>
          <w:color w:val="000000"/>
          <w:vertAlign w:val="superscript"/>
          <w:lang w:val="bs-Latn-BA"/>
        </w:rPr>
        <w:footnoteReference w:id="121"/>
      </w:r>
      <w:r w:rsidRPr="008924E0">
        <w:rPr>
          <w:lang w:val="bs-Latn-BA"/>
        </w:rPr>
        <w:t xml:space="preserve">:  </w:t>
      </w:r>
    </w:p>
    <w:p w14:paraId="13341897" w14:textId="3EAC6CFF" w:rsidR="00B9352D" w:rsidRPr="008924E0" w:rsidRDefault="00B9352D" w:rsidP="00FF3BA1">
      <w:pPr>
        <w:pStyle w:val="ListParagraph"/>
        <w:numPr>
          <w:ilvl w:val="0"/>
          <w:numId w:val="47"/>
        </w:numPr>
        <w:spacing w:before="120" w:after="120" w:line="276" w:lineRule="auto"/>
        <w:contextualSpacing/>
      </w:pPr>
      <w:r w:rsidRPr="008924E0">
        <w:t xml:space="preserve">povećanje energijske efikasnosti postojećih sistema kroz zamjenu ili </w:t>
      </w:r>
      <w:r w:rsidR="00712E17">
        <w:t>obnovu</w:t>
      </w:r>
      <w:r w:rsidRPr="008924E0">
        <w:t xml:space="preserve"> zastarjelih proizvodnih sistema što stvara pred</w:t>
      </w:r>
      <w:r w:rsidR="00540A41">
        <w:t>uvjet</w:t>
      </w:r>
      <w:r w:rsidRPr="008924E0">
        <w:t xml:space="preserve"> efikasnijeg korištenja primarne energije, </w:t>
      </w:r>
    </w:p>
    <w:p w14:paraId="50A025A8" w14:textId="77777777" w:rsidR="00B9352D" w:rsidRPr="008924E0" w:rsidRDefault="00B9352D" w:rsidP="00FF3BA1">
      <w:pPr>
        <w:pStyle w:val="ListParagraph"/>
        <w:numPr>
          <w:ilvl w:val="0"/>
          <w:numId w:val="47"/>
        </w:numPr>
        <w:spacing w:before="120" w:after="120" w:line="276" w:lineRule="auto"/>
        <w:contextualSpacing/>
      </w:pPr>
      <w:r w:rsidRPr="008924E0">
        <w:t xml:space="preserve">prelazak sa fosilnih na obnovljive energente i energije </w:t>
      </w:r>
    </w:p>
    <w:p w14:paraId="2AD17ED7" w14:textId="77777777" w:rsidR="00B9352D" w:rsidRPr="008924E0" w:rsidRDefault="00B9352D" w:rsidP="00FF3BA1">
      <w:pPr>
        <w:pStyle w:val="ListParagraph"/>
        <w:numPr>
          <w:ilvl w:val="0"/>
          <w:numId w:val="47"/>
        </w:numPr>
        <w:spacing w:before="120" w:after="120" w:line="276" w:lineRule="auto"/>
        <w:contextualSpacing/>
      </w:pPr>
      <w:r w:rsidRPr="008924E0">
        <w:t>prelazak sa visokotemperaturnih na niskotemperaturna grijanja - korištenje otpadne toplote u industrijskim i drugim postrojenjima</w:t>
      </w:r>
    </w:p>
    <w:p w14:paraId="41FBCBA8" w14:textId="77777777" w:rsidR="00B9352D" w:rsidRPr="008924E0" w:rsidRDefault="00B9352D" w:rsidP="00FF3BA1">
      <w:pPr>
        <w:pStyle w:val="ListParagraph"/>
        <w:numPr>
          <w:ilvl w:val="0"/>
          <w:numId w:val="47"/>
        </w:numPr>
        <w:pBdr>
          <w:top w:val="nil"/>
          <w:left w:val="nil"/>
          <w:bottom w:val="nil"/>
          <w:right w:val="nil"/>
          <w:between w:val="nil"/>
        </w:pBdr>
        <w:spacing w:before="120" w:after="120" w:line="276" w:lineRule="auto"/>
        <w:contextualSpacing/>
      </w:pPr>
      <w:r w:rsidRPr="008924E0">
        <w:t xml:space="preserve">povećanje ukupne potražnje za toplotnom energijom. </w:t>
      </w:r>
    </w:p>
    <w:p w14:paraId="12548796" w14:textId="588232D8" w:rsidR="00C0572F" w:rsidRDefault="00B9352D" w:rsidP="00B9352D">
      <w:pPr>
        <w:rPr>
          <w:lang w:val="bs-Latn-BA"/>
        </w:rPr>
      </w:pPr>
      <w:r w:rsidRPr="008924E0">
        <w:rPr>
          <w:lang w:val="bs-Latn-BA"/>
        </w:rPr>
        <w:t>Prema prethodnom mogu se razdvojiti</w:t>
      </w:r>
      <w:r w:rsidR="00C0572F">
        <w:rPr>
          <w:lang w:val="bs-Latn-BA"/>
        </w:rPr>
        <w:t xml:space="preserve"> na:</w:t>
      </w:r>
      <w:r w:rsidRPr="008924E0">
        <w:rPr>
          <w:lang w:val="bs-Latn-BA"/>
        </w:rPr>
        <w:t xml:space="preserve"> </w:t>
      </w:r>
    </w:p>
    <w:p w14:paraId="73C0C5CB" w14:textId="6377CCAF" w:rsidR="00B9352D" w:rsidRPr="00027AE2" w:rsidRDefault="00027AE2" w:rsidP="00027AE2">
      <w:pPr>
        <w:rPr>
          <w:u w:val="single"/>
        </w:rPr>
      </w:pPr>
      <w:proofErr w:type="spellStart"/>
      <w:r w:rsidRPr="00027AE2">
        <w:rPr>
          <w:u w:val="single"/>
        </w:rPr>
        <w:t>M</w:t>
      </w:r>
      <w:r w:rsidR="00B9352D" w:rsidRPr="00027AE2">
        <w:rPr>
          <w:u w:val="single"/>
        </w:rPr>
        <w:t>jere</w:t>
      </w:r>
      <w:proofErr w:type="spellEnd"/>
      <w:r w:rsidR="00B9352D" w:rsidRPr="00027AE2">
        <w:rPr>
          <w:u w:val="single"/>
        </w:rPr>
        <w:t xml:space="preserve"> </w:t>
      </w:r>
      <w:proofErr w:type="spellStart"/>
      <w:r w:rsidR="00B9352D" w:rsidRPr="00027AE2">
        <w:rPr>
          <w:u w:val="single"/>
        </w:rPr>
        <w:t>na</w:t>
      </w:r>
      <w:proofErr w:type="spellEnd"/>
      <w:r w:rsidR="00B9352D" w:rsidRPr="00027AE2">
        <w:rPr>
          <w:u w:val="single"/>
        </w:rPr>
        <w:t xml:space="preserve"> </w:t>
      </w:r>
      <w:proofErr w:type="spellStart"/>
      <w:r w:rsidR="00B9352D" w:rsidRPr="00027AE2">
        <w:rPr>
          <w:u w:val="single"/>
        </w:rPr>
        <w:t>strani</w:t>
      </w:r>
      <w:proofErr w:type="spellEnd"/>
      <w:r w:rsidR="00B9352D" w:rsidRPr="00027AE2">
        <w:rPr>
          <w:u w:val="single"/>
        </w:rPr>
        <w:t xml:space="preserve"> </w:t>
      </w:r>
      <w:proofErr w:type="spellStart"/>
      <w:r w:rsidR="00B9352D" w:rsidRPr="00027AE2">
        <w:rPr>
          <w:u w:val="single"/>
        </w:rPr>
        <w:t>proizvodnje</w:t>
      </w:r>
      <w:proofErr w:type="spellEnd"/>
      <w:r w:rsidR="00B9352D" w:rsidRPr="00027AE2">
        <w:rPr>
          <w:u w:val="single"/>
        </w:rPr>
        <w:t xml:space="preserve"> i </w:t>
      </w:r>
      <w:proofErr w:type="spellStart"/>
      <w:r w:rsidR="00B9352D" w:rsidRPr="00027AE2">
        <w:rPr>
          <w:u w:val="single"/>
        </w:rPr>
        <w:t>distribucije</w:t>
      </w:r>
      <w:proofErr w:type="spellEnd"/>
    </w:p>
    <w:p w14:paraId="18602227" w14:textId="569B0770" w:rsidR="00B9352D" w:rsidRPr="008924E0" w:rsidRDefault="00027AE2" w:rsidP="00B9352D">
      <w:pPr>
        <w:rPr>
          <w:lang w:val="bs-Latn-BA"/>
        </w:rPr>
      </w:pPr>
      <w:r>
        <w:rPr>
          <w:lang w:val="bs-Latn-BA"/>
        </w:rPr>
        <w:t>U</w:t>
      </w:r>
      <w:r w:rsidR="00B9352D" w:rsidRPr="00027AE2">
        <w:rPr>
          <w:lang w:val="bs-Latn-BA"/>
        </w:rPr>
        <w:t xml:space="preserve">vođenje kogeneracije, povećanje energijske efikasnosti u generisanju toplotne energije, zamjena starih kotlova, prelazak sa fosilnih na obnovljive energente, korištenje otpadne toplote industrijskih postojenja, toplifikacija gradskih četvrti, širenje i </w:t>
      </w:r>
      <w:r w:rsidR="006A5773" w:rsidRPr="00027AE2">
        <w:rPr>
          <w:lang w:val="bs-Latn-BA"/>
        </w:rPr>
        <w:t>obnova</w:t>
      </w:r>
      <w:r w:rsidR="00B9352D" w:rsidRPr="00027AE2">
        <w:rPr>
          <w:lang w:val="bs-Latn-BA"/>
        </w:rPr>
        <w:t xml:space="preserve"> postojećih distributivnih vodova, povećanje iskorištenosti postojećeg kapaciteta,</w:t>
      </w:r>
      <w:r w:rsidR="00C0572F" w:rsidRPr="00027AE2">
        <w:rPr>
          <w:lang w:val="bs-Latn-BA"/>
        </w:rPr>
        <w:t xml:space="preserve"> </w:t>
      </w:r>
      <w:r w:rsidR="00B9352D" w:rsidRPr="00027AE2">
        <w:rPr>
          <w:lang w:val="bs-Latn-BA"/>
        </w:rPr>
        <w:t>povećanje kapaciteta cirkulacionih pumpi i mjere modernizacije sustava kao što su ugradnja odgovarajućih regulacionih ventila, uvođenje frekvencijske regulacije pumpi, balansiranje cijevne mreže, ugradnja</w:t>
      </w:r>
      <w:r w:rsidR="00B9352D" w:rsidRPr="008924E0">
        <w:rPr>
          <w:lang w:val="bs-Latn-BA"/>
        </w:rPr>
        <w:t xml:space="preserve"> mjerila utroška toplote energije i tako dalje. </w:t>
      </w:r>
    </w:p>
    <w:p w14:paraId="3B0AE0A0" w14:textId="6B45ACAA" w:rsidR="00B9352D" w:rsidRPr="001972F5" w:rsidRDefault="00027AE2" w:rsidP="00027AE2">
      <w:pPr>
        <w:rPr>
          <w:u w:val="single"/>
          <w:lang w:val="bs-Latn-BA"/>
        </w:rPr>
      </w:pPr>
      <w:r w:rsidRPr="001972F5">
        <w:rPr>
          <w:u w:val="single"/>
          <w:lang w:val="bs-Latn-BA"/>
        </w:rPr>
        <w:t>M</w:t>
      </w:r>
      <w:r w:rsidR="00B9352D" w:rsidRPr="001972F5">
        <w:rPr>
          <w:u w:val="single"/>
          <w:lang w:val="bs-Latn-BA"/>
        </w:rPr>
        <w:t xml:space="preserve">jere na strani potrošača </w:t>
      </w:r>
    </w:p>
    <w:p w14:paraId="2B582548" w14:textId="2A1CC3C6" w:rsidR="00B9352D" w:rsidRPr="008924E0" w:rsidRDefault="00027AE2" w:rsidP="00B9352D">
      <w:pPr>
        <w:pBdr>
          <w:top w:val="nil"/>
          <w:left w:val="nil"/>
          <w:bottom w:val="nil"/>
          <w:right w:val="nil"/>
          <w:between w:val="nil"/>
        </w:pBdr>
        <w:rPr>
          <w:lang w:val="bs-Latn-BA"/>
        </w:rPr>
      </w:pPr>
      <w:r>
        <w:rPr>
          <w:lang w:val="bs-Latn-BA"/>
        </w:rPr>
        <w:lastRenderedPageBreak/>
        <w:t>P</w:t>
      </w:r>
      <w:r w:rsidR="00B9352D" w:rsidRPr="008924E0">
        <w:rPr>
          <w:lang w:val="bs-Latn-BA"/>
        </w:rPr>
        <w:t xml:space="preserve">oboljšanje energijskih karakteristika zgrada, poticanje ugradnje termostatske regulacije kod potrošača , informisanje potrošača o mogućnostima uvođenja mjerenja i poboljšanja. </w:t>
      </w:r>
    </w:p>
    <w:p w14:paraId="6F9AF5BF" w14:textId="16B5DDF9" w:rsidR="00B9352D" w:rsidRPr="008924E0" w:rsidRDefault="00B9352D" w:rsidP="00B9352D">
      <w:pPr>
        <w:pBdr>
          <w:top w:val="nil"/>
          <w:left w:val="nil"/>
          <w:bottom w:val="nil"/>
          <w:right w:val="nil"/>
          <w:between w:val="nil"/>
        </w:pBdr>
        <w:rPr>
          <w:lang w:val="bs-Latn-BA"/>
        </w:rPr>
      </w:pPr>
      <w:r w:rsidRPr="008924E0">
        <w:rPr>
          <w:lang w:val="bs-Latn-BA"/>
        </w:rPr>
        <w:t>Za zemlje potpisnice Energetske povelje i Protokola o energijskoj efikasnosti i povezanim okolinskim aspektima udio električne energije iz kogeneracije u ukupnoj proizvodnji električne energije kreće se između 10 % i 50 % , a udio toplote iz daljinskih grijanja u ukupnoj proizvodnji toplote kreće se između 5 % i 60 %. Mnoge zemlje imaju potencijal za povećanje ukupne energijske efikasnosti kroz povećanje udjela kogeneracije i daljinskih grijanja i kroz smanjenje gubitaka energije kroz unaprjeđenje sistema daljinskih grijanja. Ukupna potrošnja toplote za grijanje u BiH u 2015. godini iznosila je 71 PJ, dok je u istoj godini udio toplote iz daljinskih grijanja iznosio oko 8 %. Obzirom na relativno mali udio toplote iz daljinskih grijanja zaključak je da postoji veliki potencijal za proširenje daljinskih grijanja na području BiH i FBiH, pa zbog toga u sektoru daljinskih grijanja postoji veliki prostor za unaprjeđenje, kako energijske efikasnosti tako i udjela obnovljivih izvora energije, a samim time i kvaliteta zraka. Smanjenje potrošnje primarne energije i emisije CO</w:t>
      </w:r>
      <w:r w:rsidRPr="008924E0">
        <w:rPr>
          <w:vertAlign w:val="subscript"/>
          <w:lang w:val="bs-Latn-BA"/>
        </w:rPr>
        <w:t>2</w:t>
      </w:r>
      <w:r w:rsidRPr="008924E0">
        <w:rPr>
          <w:lang w:val="bs-Latn-BA"/>
        </w:rPr>
        <w:t>, pri zadovoljenju istih potreba u kogeneracijskim postrojenjima u odnosu na konvencionalna postrojenja iznosi i do 40% . Kogeneracija je stoga i rješenje ka niskokarbonskoj energijskog budućnosti (IEA, 2011). Kogeneracija na biomasu je dobar primjer kako se obnovljivi izvori energije i kogeneracija mogu kombin</w:t>
      </w:r>
      <w:r w:rsidR="00C0572F">
        <w:rPr>
          <w:lang w:val="bs-Latn-BA"/>
        </w:rPr>
        <w:t>ira</w:t>
      </w:r>
      <w:r w:rsidRPr="008924E0">
        <w:rPr>
          <w:lang w:val="bs-Latn-BA"/>
        </w:rPr>
        <w:t xml:space="preserve">ti, za različite tehnologija kogeneracije. Osim ovoga, ovi sistemi se mogu kombinovati sa sistemima sa toplotnim pumpama, solarnim sistemima i geotermalnim izvorom energije, što nije primjenjivo trenutno u FBiH te ova opcija za sisteme kogeneracije nije </w:t>
      </w:r>
      <w:r w:rsidR="00C0572F" w:rsidRPr="008924E0">
        <w:rPr>
          <w:lang w:val="bs-Latn-BA"/>
        </w:rPr>
        <w:t>razmatrana</w:t>
      </w:r>
      <w:r w:rsidRPr="008924E0">
        <w:rPr>
          <w:lang w:val="bs-Latn-BA"/>
        </w:rPr>
        <w:t xml:space="preserve">.  </w:t>
      </w:r>
    </w:p>
    <w:p w14:paraId="26D2A23D" w14:textId="77777777" w:rsidR="00B9352D" w:rsidRPr="008924E0" w:rsidRDefault="00B9352D" w:rsidP="00B9352D">
      <w:pPr>
        <w:pStyle w:val="NormalWeb"/>
        <w:spacing w:before="120" w:beforeAutospacing="0" w:after="120" w:afterAutospacing="0" w:line="276" w:lineRule="auto"/>
        <w:rPr>
          <w:rFonts w:asciiTheme="minorHAnsi" w:eastAsiaTheme="minorHAnsi" w:hAnsiTheme="minorHAnsi" w:cstheme="minorBidi"/>
          <w:lang w:val="bs-Latn-BA" w:eastAsia="en-US"/>
        </w:rPr>
      </w:pPr>
      <w:r w:rsidRPr="008924E0">
        <w:rPr>
          <w:rFonts w:asciiTheme="minorHAnsi" w:eastAsiaTheme="minorHAnsi" w:hAnsiTheme="minorHAnsi" w:cstheme="minorBidi"/>
          <w:lang w:val="bs-Latn-BA" w:eastAsia="en-US"/>
        </w:rPr>
        <w:t>Dalji potencijal za širenje SDG ima korištenje otpadne toplote iz raznih industrijskih i energetskih postrojenja koja se može koristiti za potrebe grijanja i hlađenja objekata u FBiH</w:t>
      </w:r>
      <w:r w:rsidRPr="008924E0">
        <w:rPr>
          <w:rFonts w:asciiTheme="minorHAnsi" w:hAnsiTheme="minorHAnsi" w:cstheme="minorHAnsi"/>
          <w:lang w:val="bs-Latn-BA"/>
        </w:rPr>
        <w:t>. Prema</w:t>
      </w:r>
      <w:r w:rsidRPr="008924E0">
        <w:rPr>
          <w:color w:val="000000"/>
          <w:vertAlign w:val="superscript"/>
          <w:lang w:val="bs-Latn-BA"/>
        </w:rPr>
        <w:footnoteReference w:id="122"/>
      </w:r>
      <w:r w:rsidRPr="008924E0">
        <w:rPr>
          <w:rFonts w:asciiTheme="minorHAnsi" w:hAnsiTheme="minorHAnsi" w:cstheme="minorHAnsi"/>
          <w:lang w:val="bs-Latn-BA"/>
        </w:rPr>
        <w:t xml:space="preserve">, </w:t>
      </w:r>
      <w:r w:rsidRPr="008924E0">
        <w:rPr>
          <w:rFonts w:asciiTheme="minorHAnsi" w:eastAsiaTheme="minorHAnsi" w:hAnsiTheme="minorHAnsi" w:cstheme="minorBidi"/>
          <w:lang w:val="bs-Latn-BA" w:eastAsia="en-US"/>
        </w:rPr>
        <w:t xml:space="preserve"> u FBiH je za potrebe grijanja i hlađenja raspoloživo oko 11 PJ/god (bez uzimanja u obzir termoelektrana, Arcelor Mittal, Fabrike cementa Lukavac, Sisecam Soda Lukavac i Global Ispat Koksna Industrija iz Lukavca). Iz svega navedenog, slijedi da se otpadna toplota za potrebe grijanja iz industrije može razmatrati u Maglaju, Mostaru i Širokom Brijegu u FBiH. </w:t>
      </w:r>
    </w:p>
    <w:p w14:paraId="79A6CFC1" w14:textId="31E2FBD2" w:rsidR="00B9352D" w:rsidRPr="008924E0" w:rsidRDefault="00B9352D" w:rsidP="00B9352D">
      <w:pPr>
        <w:pStyle w:val="NormalWeb"/>
        <w:spacing w:before="120" w:beforeAutospacing="0" w:after="120" w:afterAutospacing="0" w:line="276" w:lineRule="auto"/>
        <w:rPr>
          <w:rFonts w:asciiTheme="minorHAnsi" w:eastAsiaTheme="minorHAnsi" w:hAnsiTheme="minorHAnsi" w:cstheme="minorBidi"/>
          <w:lang w:val="bs-Latn-BA" w:eastAsia="en-US"/>
        </w:rPr>
      </w:pPr>
      <w:r w:rsidRPr="008924E0">
        <w:rPr>
          <w:rFonts w:asciiTheme="minorHAnsi" w:eastAsiaTheme="minorHAnsi" w:hAnsiTheme="minorHAnsi" w:cstheme="minorBidi"/>
          <w:lang w:val="bs-Latn-BA" w:eastAsia="en-US"/>
        </w:rPr>
        <w:t>Takođe</w:t>
      </w:r>
      <w:r w:rsidR="00C0572F">
        <w:rPr>
          <w:rFonts w:asciiTheme="minorHAnsi" w:eastAsiaTheme="minorHAnsi" w:hAnsiTheme="minorHAnsi" w:cstheme="minorBidi"/>
          <w:lang w:val="bs-Latn-BA" w:eastAsia="en-US"/>
        </w:rPr>
        <w:t>r</w:t>
      </w:r>
      <w:r w:rsidRPr="008924E0">
        <w:rPr>
          <w:rFonts w:asciiTheme="minorHAnsi" w:eastAsiaTheme="minorHAnsi" w:hAnsiTheme="minorHAnsi" w:cstheme="minorBidi"/>
          <w:lang w:val="bs-Latn-BA" w:eastAsia="en-US"/>
        </w:rPr>
        <w:t xml:space="preserve">, veliki je potencijal daljinskih sistema grijanja za povećanje mogućnosti primjene intermitentnih obnovljivih izvora u energetskom sistemu Bosne i Hercegovine. Ovakva sinergija može rezultirati sigurnijom, jeftinijom i čišćom opskrbom kao toplotnom tako i električnom energijom. </w:t>
      </w:r>
    </w:p>
    <w:p w14:paraId="0F7D17E7" w14:textId="77DE50D2" w:rsidR="00B9352D" w:rsidRPr="008924E0" w:rsidRDefault="00B9352D" w:rsidP="00B9352D">
      <w:pPr>
        <w:pStyle w:val="NormalWeb"/>
        <w:spacing w:before="120" w:beforeAutospacing="0" w:after="120" w:afterAutospacing="0" w:line="276" w:lineRule="auto"/>
        <w:rPr>
          <w:rFonts w:asciiTheme="minorHAnsi" w:eastAsiaTheme="minorHAnsi" w:hAnsiTheme="minorHAnsi" w:cstheme="minorBidi"/>
          <w:lang w:val="bs-Latn-BA" w:eastAsia="en-US"/>
        </w:rPr>
      </w:pPr>
      <w:r w:rsidRPr="008924E0">
        <w:rPr>
          <w:rFonts w:asciiTheme="minorHAnsi" w:eastAsiaTheme="minorHAnsi" w:hAnsiTheme="minorHAnsi" w:cstheme="minorBidi"/>
          <w:lang w:val="bs-Latn-BA" w:eastAsia="en-US"/>
        </w:rPr>
        <w:t xml:space="preserve">Ekonomski potencijal širenja centraliziranih sistema određen je kroz nivelirani trošak proizvodnje energije. Najveći nivelirani trošak se dobija prilikom korištenja prirodnog </w:t>
      </w:r>
      <w:r w:rsidR="000934E2">
        <w:rPr>
          <w:rFonts w:asciiTheme="minorHAnsi" w:eastAsiaTheme="minorHAnsi" w:hAnsiTheme="minorHAnsi" w:cstheme="minorBidi"/>
          <w:lang w:val="bs-Latn-BA" w:eastAsia="en-US"/>
        </w:rPr>
        <w:t>plina</w:t>
      </w:r>
      <w:r w:rsidRPr="008924E0">
        <w:rPr>
          <w:rFonts w:asciiTheme="minorHAnsi" w:eastAsiaTheme="minorHAnsi" w:hAnsiTheme="minorHAnsi" w:cstheme="minorBidi"/>
          <w:lang w:val="bs-Latn-BA" w:eastAsia="en-US"/>
        </w:rPr>
        <w:t xml:space="preserve"> (najvećim dijelom u Kantonu Sarajevo). Sa druge strane očekivano najniži trošak je moguće postići upotrebom otpadne toplote, zatim za sredine koje već koriste toplotu iz termoelektrane, kao i za one sredine koje imaju u planu daljinsko grijanje iz termoelektrane. Kod geotermalne energije odn. potencijala korištenja u sistemu daljinskog grijanja za područje Ilidže su izračunati izuzetno povoljni troškovi proizvodnje toplotne energije zbog visokotemperaturnog grijanja. </w:t>
      </w:r>
    </w:p>
    <w:p w14:paraId="4D0AA4E7" w14:textId="77777777" w:rsidR="00B9352D" w:rsidRPr="008924E0" w:rsidRDefault="00B9352D" w:rsidP="00B9352D">
      <w:pPr>
        <w:pStyle w:val="NormalWeb"/>
        <w:spacing w:before="120" w:beforeAutospacing="0" w:after="120" w:afterAutospacing="0" w:line="276" w:lineRule="auto"/>
        <w:rPr>
          <w:rFonts w:asciiTheme="minorHAnsi" w:eastAsiaTheme="minorHAnsi" w:hAnsiTheme="minorHAnsi" w:cstheme="minorBidi"/>
          <w:lang w:val="bs-Latn-BA" w:eastAsia="en-US"/>
        </w:rPr>
      </w:pPr>
      <w:r w:rsidRPr="008924E0">
        <w:rPr>
          <w:rFonts w:asciiTheme="minorHAnsi" w:eastAsiaTheme="minorHAnsi" w:hAnsiTheme="minorHAnsi" w:cstheme="minorBidi"/>
          <w:lang w:val="bs-Latn-BA" w:eastAsia="en-US"/>
        </w:rPr>
        <w:t>Provedena analiza je pokazala da je realan scenarij da se udio SDG poveća za otprilike 3 puta u pokrivanju toplotnih potreba do 2030. godine, a da se pri tom uglavnom oslanja na biomasu i druge OIE. Uz donošenje adekvatne politike BiH bi se približila ciljevima EU u oblasti SDG (tj. udio od 30% do 2030). Trošak provođenja ove mjere za period do 2030. godine iznosi 170 mil KM godišnje</w:t>
      </w:r>
      <w:r w:rsidRPr="008924E0">
        <w:rPr>
          <w:color w:val="000000"/>
          <w:vertAlign w:val="superscript"/>
          <w:lang w:val="bs-Latn-BA"/>
        </w:rPr>
        <w:t>5</w:t>
      </w:r>
      <w:r w:rsidRPr="008924E0">
        <w:rPr>
          <w:rFonts w:asciiTheme="minorHAnsi" w:eastAsiaTheme="minorHAnsi" w:hAnsiTheme="minorHAnsi" w:cstheme="minorBidi"/>
          <w:lang w:val="bs-Latn-BA" w:eastAsia="en-US"/>
        </w:rPr>
        <w:t>.</w:t>
      </w:r>
    </w:p>
    <w:p w14:paraId="3269D250" w14:textId="12C19B5C" w:rsidR="00157888" w:rsidRPr="008924E0" w:rsidRDefault="00157888" w:rsidP="00B9352D">
      <w:pPr>
        <w:pStyle w:val="NormalWeb"/>
        <w:spacing w:before="120" w:beforeAutospacing="0" w:after="120" w:afterAutospacing="0" w:line="276" w:lineRule="auto"/>
        <w:rPr>
          <w:rFonts w:asciiTheme="minorHAnsi" w:eastAsiaTheme="minorHAnsi" w:hAnsiTheme="minorHAnsi" w:cstheme="minorBidi"/>
          <w:lang w:val="bs-Latn-BA" w:eastAsia="en-US"/>
        </w:rPr>
      </w:pPr>
    </w:p>
    <w:p w14:paraId="2871D86A" w14:textId="625E6EB1" w:rsidR="00E606B9" w:rsidRPr="008924E0" w:rsidRDefault="00E606B9" w:rsidP="007900F2">
      <w:pPr>
        <w:pStyle w:val="Heading1"/>
        <w:numPr>
          <w:ilvl w:val="0"/>
          <w:numId w:val="0"/>
        </w:numPr>
        <w:rPr>
          <w:lang w:val="bs-Latn-BA"/>
        </w:rPr>
      </w:pPr>
      <w:bookmarkStart w:id="253" w:name="_Toc134011834"/>
      <w:r w:rsidRPr="008924E0">
        <w:rPr>
          <w:lang w:val="bs-Latn-BA"/>
        </w:rPr>
        <w:lastRenderedPageBreak/>
        <w:t>Aneks 11.</w:t>
      </w:r>
      <w:r w:rsidR="001A4D88">
        <w:rPr>
          <w:lang w:val="bs-Latn-BA"/>
        </w:rPr>
        <w:t>4</w:t>
      </w:r>
      <w:r w:rsidRPr="008924E0">
        <w:rPr>
          <w:lang w:val="bs-Latn-BA"/>
        </w:rPr>
        <w:t>.</w:t>
      </w:r>
      <w:bookmarkEnd w:id="253"/>
      <w:r w:rsidRPr="008924E0">
        <w:rPr>
          <w:lang w:val="bs-Latn-BA"/>
        </w:rPr>
        <w:t xml:space="preserve">  </w:t>
      </w:r>
    </w:p>
    <w:p w14:paraId="791BAE74" w14:textId="7C8AE260" w:rsidR="00157888" w:rsidRPr="008924E0" w:rsidRDefault="00E606B9" w:rsidP="007900F2">
      <w:pPr>
        <w:pStyle w:val="Heading2"/>
        <w:numPr>
          <w:ilvl w:val="0"/>
          <w:numId w:val="0"/>
        </w:numPr>
        <w:rPr>
          <w:lang w:val="bs-Latn-BA"/>
        </w:rPr>
      </w:pPr>
      <w:bookmarkStart w:id="254" w:name="_Toc134011835"/>
      <w:r w:rsidRPr="008924E0">
        <w:rPr>
          <w:lang w:val="bs-Latn-BA"/>
        </w:rPr>
        <w:t>E</w:t>
      </w:r>
      <w:r w:rsidR="00AC2BBC" w:rsidRPr="008924E0">
        <w:rPr>
          <w:lang w:val="bs-Latn-BA"/>
        </w:rPr>
        <w:t>nerg</w:t>
      </w:r>
      <w:r w:rsidR="00501DCF" w:rsidRPr="008924E0">
        <w:rPr>
          <w:lang w:val="bs-Latn-BA"/>
        </w:rPr>
        <w:t>ijsko</w:t>
      </w:r>
      <w:r w:rsidR="00AC2BBC" w:rsidRPr="008924E0">
        <w:rPr>
          <w:lang w:val="bs-Latn-BA"/>
        </w:rPr>
        <w:t xml:space="preserve"> siromaštv</w:t>
      </w:r>
      <w:r w:rsidRPr="008924E0">
        <w:rPr>
          <w:lang w:val="bs-Latn-BA"/>
        </w:rPr>
        <w:t>o</w:t>
      </w:r>
      <w:bookmarkEnd w:id="254"/>
    </w:p>
    <w:p w14:paraId="29072350" w14:textId="591C35BE" w:rsidR="00DE711C" w:rsidRPr="008924E0" w:rsidRDefault="00DE711C" w:rsidP="00DE711C">
      <w:pPr>
        <w:rPr>
          <w:rFonts w:eastAsia="Calibri"/>
          <w:lang w:val="bs-Latn-BA" w:eastAsia="en-US"/>
        </w:rPr>
      </w:pPr>
      <w:r w:rsidRPr="008924E0">
        <w:rPr>
          <w:lang w:val="bs-Latn-BA"/>
        </w:rPr>
        <w:t>Stambeni fond FBiH se može ocijeniti kao energijski neefikasan, te spada među najlošije u E</w:t>
      </w:r>
      <w:r w:rsidR="00F311F8">
        <w:rPr>
          <w:lang w:val="bs-Latn-BA"/>
        </w:rPr>
        <w:t>u</w:t>
      </w:r>
      <w:r w:rsidRPr="008924E0">
        <w:rPr>
          <w:lang w:val="bs-Latn-BA"/>
        </w:rPr>
        <w:t>ropi</w:t>
      </w:r>
      <w:r w:rsidRPr="008924E0">
        <w:rPr>
          <w:vertAlign w:val="superscript"/>
          <w:lang w:val="bs-Latn-BA"/>
        </w:rPr>
        <w:footnoteReference w:id="123"/>
      </w:r>
      <w:r w:rsidRPr="008924E0">
        <w:rPr>
          <w:lang w:val="bs-Latn-BA"/>
        </w:rPr>
        <w:t xml:space="preserve">. Specifične potrebe za energijom postojećih zgrada su velike, što rezultira značajnim troškovima za grijanje te povećanom emisijom štetnih </w:t>
      </w:r>
      <w:r w:rsidR="00F64EC0">
        <w:rPr>
          <w:lang w:val="bs-Latn-BA"/>
        </w:rPr>
        <w:t>plinova</w:t>
      </w:r>
      <w:r w:rsidRPr="008924E0">
        <w:rPr>
          <w:lang w:val="bs-Latn-BA"/>
        </w:rPr>
        <w:t xml:space="preserve"> u atmosferu. Za grijanje i hlađenje uglavnom se koriste fosilna goriva, te stare tehnologije i energijski neefikasni uređaji. U ovakvim </w:t>
      </w:r>
      <w:r w:rsidR="00540A41">
        <w:rPr>
          <w:lang w:val="bs-Latn-BA"/>
        </w:rPr>
        <w:t>uvjet</w:t>
      </w:r>
      <w:r w:rsidRPr="008924E0">
        <w:rPr>
          <w:lang w:val="bs-Latn-BA"/>
        </w:rPr>
        <w:t xml:space="preserve">ima, posebno su pogođena domaćinstva koja spadaju u kategoriju domaćinstava u stanju socijalne potrebe i </w:t>
      </w:r>
      <w:r w:rsidR="00A3514D" w:rsidRPr="008924E0">
        <w:rPr>
          <w:lang w:val="bs-Latn-BA"/>
        </w:rPr>
        <w:t>energ</w:t>
      </w:r>
      <w:r w:rsidR="00A3514D">
        <w:rPr>
          <w:lang w:val="bs-Latn-BA"/>
        </w:rPr>
        <w:t>ijski</w:t>
      </w:r>
      <w:r w:rsidR="00A3514D" w:rsidRPr="008924E0">
        <w:rPr>
          <w:lang w:val="bs-Latn-BA"/>
        </w:rPr>
        <w:t xml:space="preserve"> </w:t>
      </w:r>
      <w:r w:rsidRPr="008924E0">
        <w:rPr>
          <w:lang w:val="bs-Latn-BA"/>
        </w:rPr>
        <w:t xml:space="preserve">siromašna domaćinstva, uz brojne negativne socijalne i zdravstvene efekte. U Strategiji zaštite okoliša FBiH, niska primanja stanovništva i korištenje najjeftinijih energenata su navedeni kao ključni razlozi prekomjernog zagađivanja zraka iz kućnih ložišta koji su najzastupljenijeg sistemi grijanja u zgradama individualnog stanovanja. U domaćinstvima kojima je priključen prirodni plin, i dalje je veliki broj onih koji koriste čvrsta goriva, zbog smanjenja troškova grijanja. U periodu post COVID-19 povećana je stopa nezaposlenosti stanovnika, dodatno su reducirani prihodi po članu domaćinstva, što, uz povećanje cijene energije i energenata, povećava opseg </w:t>
      </w:r>
      <w:r w:rsidR="0091757B">
        <w:rPr>
          <w:lang w:val="bs-Latn-BA"/>
        </w:rPr>
        <w:t>energij</w:t>
      </w:r>
      <w:r w:rsidRPr="008924E0">
        <w:rPr>
          <w:lang w:val="bs-Latn-BA"/>
        </w:rPr>
        <w:t xml:space="preserve">skog siromaštva u FBiH. </w:t>
      </w:r>
    </w:p>
    <w:p w14:paraId="11E27BD9" w14:textId="5C243939" w:rsidR="00DE711C" w:rsidRPr="008924E0" w:rsidRDefault="00AB786E" w:rsidP="00DE711C">
      <w:pPr>
        <w:rPr>
          <w:lang w:val="bs-Latn-BA"/>
        </w:rPr>
      </w:pPr>
      <w:r>
        <w:rPr>
          <w:lang w:val="bs-Latn-BA"/>
        </w:rPr>
        <w:t>Definiranje</w:t>
      </w:r>
      <w:r w:rsidR="00DE711C" w:rsidRPr="008924E0">
        <w:rPr>
          <w:lang w:val="bs-Latn-BA"/>
        </w:rPr>
        <w:t xml:space="preserve"> mjera za ublažavanje rastućeg problema </w:t>
      </w:r>
      <w:r w:rsidR="0091757B">
        <w:rPr>
          <w:lang w:val="bs-Latn-BA"/>
        </w:rPr>
        <w:t>energij</w:t>
      </w:r>
      <w:r w:rsidR="00DE711C" w:rsidRPr="008924E0">
        <w:rPr>
          <w:lang w:val="bs-Latn-BA"/>
        </w:rPr>
        <w:t xml:space="preserve">skog siromaštva je u fokusu velikog broja zakonskih akata u zemljama EU, u kontekstu socijalnih politika kao i u kontekstu smanjenja </w:t>
      </w:r>
      <w:r w:rsidR="0091757B">
        <w:rPr>
          <w:lang w:val="bs-Latn-BA"/>
        </w:rPr>
        <w:t>energij</w:t>
      </w:r>
      <w:r w:rsidR="00DE711C" w:rsidRPr="008924E0">
        <w:rPr>
          <w:lang w:val="bs-Latn-BA"/>
        </w:rPr>
        <w:t xml:space="preserve">skog siromaštva kao prepreke u postizanju zadanih nacionalnih ciljeva povećanja energijske efikasnosti i dekarbonizacije stambenog sektora. Prema članu 20 EPBD 2010/31/EU, nacionalne drugoročne strategije obnove trebaju sadržavati i opis relevantnih mjera kojima se doprinosi ublažavanju </w:t>
      </w:r>
      <w:r w:rsidR="0091757B">
        <w:rPr>
          <w:lang w:val="bs-Latn-BA"/>
        </w:rPr>
        <w:t>energij</w:t>
      </w:r>
      <w:r w:rsidR="00DE711C" w:rsidRPr="008924E0">
        <w:rPr>
          <w:lang w:val="bs-Latn-BA"/>
        </w:rPr>
        <w:t xml:space="preserve">skog siromaštva te procjenu očekivane uštede energije i koristi sistemskog ulaganja u integralnu energijsku obnovu fonda zgrada u kontektstu smanjenje </w:t>
      </w:r>
      <w:r w:rsidR="0091757B">
        <w:rPr>
          <w:lang w:val="bs-Latn-BA"/>
        </w:rPr>
        <w:t>energij</w:t>
      </w:r>
      <w:r w:rsidR="00DE711C" w:rsidRPr="008924E0">
        <w:rPr>
          <w:lang w:val="bs-Latn-BA"/>
        </w:rPr>
        <w:t xml:space="preserve">skog siromaštva. Direktiva (EU) 2018/844 o energijskim svojstvima zgrada nalaže državama članicama da u svojim dugoročnim strategijama definišu mjere kojima se doprinosi ublažavanju </w:t>
      </w:r>
      <w:r w:rsidR="0091757B">
        <w:rPr>
          <w:lang w:val="bs-Latn-BA"/>
        </w:rPr>
        <w:t>energij</w:t>
      </w:r>
      <w:r w:rsidR="00DE711C" w:rsidRPr="008924E0">
        <w:rPr>
          <w:lang w:val="bs-Latn-BA"/>
        </w:rPr>
        <w:t xml:space="preserve">skog siromaštva.  Države su u </w:t>
      </w:r>
      <w:r w:rsidR="00F03625">
        <w:rPr>
          <w:lang w:val="bs-Latn-BA"/>
        </w:rPr>
        <w:t>obvez</w:t>
      </w:r>
      <w:r w:rsidR="00DE711C" w:rsidRPr="008924E0">
        <w:rPr>
          <w:lang w:val="bs-Latn-BA"/>
        </w:rPr>
        <w:t xml:space="preserve">i da, u osmišljavanju mjera za ispunjavanje svojih </w:t>
      </w:r>
      <w:r w:rsidR="00F03625">
        <w:rPr>
          <w:lang w:val="bs-Latn-BA"/>
        </w:rPr>
        <w:t>obvez</w:t>
      </w:r>
      <w:r w:rsidR="00DE711C" w:rsidRPr="008924E0">
        <w:rPr>
          <w:lang w:val="bs-Latn-BA"/>
        </w:rPr>
        <w:t xml:space="preserve">a u pogledu uštede energije uzmu u obzir potrebu za smanjenjem </w:t>
      </w:r>
      <w:r w:rsidR="0091757B">
        <w:rPr>
          <w:lang w:val="bs-Latn-BA"/>
        </w:rPr>
        <w:t>energij</w:t>
      </w:r>
      <w:r w:rsidR="00DE711C" w:rsidRPr="008924E0">
        <w:rPr>
          <w:lang w:val="bs-Latn-BA"/>
        </w:rPr>
        <w:t>skog siromaštva, u skladu s kriterijima uspostavljenim na nivou države. Takođe</w:t>
      </w:r>
      <w:r w:rsidR="00C0572F">
        <w:rPr>
          <w:lang w:val="bs-Latn-BA"/>
        </w:rPr>
        <w:t>r</w:t>
      </w:r>
      <w:r w:rsidR="00DE711C" w:rsidRPr="008924E0">
        <w:rPr>
          <w:lang w:val="bs-Latn-BA"/>
        </w:rPr>
        <w:t xml:space="preserve">, domaćinstva koja su ocijenjena </w:t>
      </w:r>
      <w:r w:rsidR="00C0572F">
        <w:rPr>
          <w:lang w:val="bs-Latn-BA"/>
        </w:rPr>
        <w:t>kao</w:t>
      </w:r>
      <w:r w:rsidR="00DE711C" w:rsidRPr="008924E0">
        <w:rPr>
          <w:lang w:val="bs-Latn-BA"/>
        </w:rPr>
        <w:t xml:space="preserve"> </w:t>
      </w:r>
      <w:r w:rsidR="0091757B">
        <w:rPr>
          <w:lang w:val="bs-Latn-BA"/>
        </w:rPr>
        <w:t>energij</w:t>
      </w:r>
      <w:r w:rsidR="00DE711C" w:rsidRPr="008924E0">
        <w:rPr>
          <w:lang w:val="bs-Latn-BA"/>
        </w:rPr>
        <w:t xml:space="preserve">ski siromašna mogu biti </w:t>
      </w:r>
      <w:r>
        <w:rPr>
          <w:lang w:val="bs-Latn-BA"/>
        </w:rPr>
        <w:t>definirani</w:t>
      </w:r>
      <w:r w:rsidR="00DE711C" w:rsidRPr="008924E0">
        <w:rPr>
          <w:lang w:val="bs-Latn-BA"/>
        </w:rPr>
        <w:t xml:space="preserve"> kao </w:t>
      </w:r>
      <w:r w:rsidR="00C0572F" w:rsidRPr="008924E0">
        <w:rPr>
          <w:lang w:val="bs-Latn-BA"/>
        </w:rPr>
        <w:t>prioritetne</w:t>
      </w:r>
      <w:r w:rsidR="00DE711C" w:rsidRPr="008924E0">
        <w:rPr>
          <w:lang w:val="bs-Latn-BA"/>
        </w:rPr>
        <w:t xml:space="preserve"> kategorije za implementaciju mjera energijske efikasnosti ili kod </w:t>
      </w:r>
      <w:r w:rsidR="007B690C">
        <w:rPr>
          <w:lang w:val="bs-Latn-BA"/>
        </w:rPr>
        <w:t>financ</w:t>
      </w:r>
      <w:r w:rsidR="00DE711C" w:rsidRPr="008924E0">
        <w:rPr>
          <w:lang w:val="bs-Latn-BA"/>
        </w:rPr>
        <w:t xml:space="preserve">iranja programa ili mjera energijske efikasnosti iz Revolving fondova ili drugih </w:t>
      </w:r>
      <w:r w:rsidR="007B690C">
        <w:rPr>
          <w:lang w:val="bs-Latn-BA"/>
        </w:rPr>
        <w:t>financ</w:t>
      </w:r>
      <w:r w:rsidR="00DE711C" w:rsidRPr="008924E0">
        <w:rPr>
          <w:lang w:val="bs-Latn-BA"/>
        </w:rPr>
        <w:t xml:space="preserve">ijskih mehanizama. </w:t>
      </w:r>
    </w:p>
    <w:p w14:paraId="38B5E7C2" w14:textId="3BF18548" w:rsidR="00DE711C" w:rsidRPr="008924E0" w:rsidRDefault="00DE711C" w:rsidP="00DE711C">
      <w:pPr>
        <w:rPr>
          <w:lang w:val="bs-Latn-BA"/>
        </w:rPr>
      </w:pPr>
      <w:r w:rsidRPr="008924E0">
        <w:rPr>
          <w:lang w:val="bs-Latn-BA"/>
        </w:rPr>
        <w:t xml:space="preserve">Prema Uredbi (EU) 2018/1999 član 26., države članice EU su u </w:t>
      </w:r>
      <w:r w:rsidR="00F03625">
        <w:rPr>
          <w:lang w:val="bs-Latn-BA"/>
        </w:rPr>
        <w:t>obvez</w:t>
      </w:r>
      <w:r w:rsidRPr="008924E0">
        <w:rPr>
          <w:lang w:val="bs-Latn-BA"/>
        </w:rPr>
        <w:t xml:space="preserve">i da u svojim nacionalnim </w:t>
      </w:r>
      <w:r w:rsidR="0091757B">
        <w:rPr>
          <w:lang w:val="bs-Latn-BA"/>
        </w:rPr>
        <w:t>energij</w:t>
      </w:r>
      <w:r w:rsidRPr="008924E0">
        <w:rPr>
          <w:lang w:val="bs-Latn-BA"/>
        </w:rPr>
        <w:t xml:space="preserve">skim i klimatskim planovima procijene broj domaćinstava u </w:t>
      </w:r>
      <w:r w:rsidR="0091757B">
        <w:rPr>
          <w:lang w:val="bs-Latn-BA"/>
        </w:rPr>
        <w:t>energij</w:t>
      </w:r>
      <w:r w:rsidRPr="008924E0">
        <w:rPr>
          <w:lang w:val="bs-Latn-BA"/>
        </w:rPr>
        <w:t xml:space="preserve">skom siromaštvu, te ukoliko se utvrdi da postoji znatan broj domaćinstava ove kategorije, u nacionalni plan uključe nacionalni okvirni cilj smanjenja </w:t>
      </w:r>
      <w:r w:rsidR="0091757B">
        <w:rPr>
          <w:lang w:val="bs-Latn-BA"/>
        </w:rPr>
        <w:t>energij</w:t>
      </w:r>
      <w:r w:rsidRPr="008924E0">
        <w:rPr>
          <w:lang w:val="bs-Latn-BA"/>
        </w:rPr>
        <w:t xml:space="preserve">skog siromaštva. U tom slučaju je potrebno u integrirani nacionalni i klimatski izvještaj uključiti i informacije o napretku u ostvarenju nacionalnog okvirnog cilja smanjenja broja domaćinstava u </w:t>
      </w:r>
      <w:r w:rsidR="0091757B">
        <w:rPr>
          <w:lang w:val="bs-Latn-BA"/>
        </w:rPr>
        <w:t>energij</w:t>
      </w:r>
      <w:r w:rsidRPr="008924E0">
        <w:rPr>
          <w:lang w:val="bs-Latn-BA"/>
        </w:rPr>
        <w:t xml:space="preserve">skom siromaštvu, </w:t>
      </w:r>
      <w:r w:rsidR="00C0572F" w:rsidRPr="008924E0">
        <w:rPr>
          <w:lang w:val="bs-Latn-BA"/>
        </w:rPr>
        <w:t>kvantitativne</w:t>
      </w:r>
      <w:r w:rsidRPr="008924E0">
        <w:rPr>
          <w:lang w:val="bs-Latn-BA"/>
        </w:rPr>
        <w:t xml:space="preserve"> informacije o broju domaćinstava u </w:t>
      </w:r>
      <w:r w:rsidR="0091757B">
        <w:rPr>
          <w:lang w:val="bs-Latn-BA"/>
        </w:rPr>
        <w:t>energij</w:t>
      </w:r>
      <w:r w:rsidRPr="008924E0">
        <w:rPr>
          <w:lang w:val="bs-Latn-BA"/>
        </w:rPr>
        <w:t xml:space="preserve">skom siromaštvu, kao i informacije o politikama i mjerama za rješavanje problema </w:t>
      </w:r>
      <w:r w:rsidR="0091757B">
        <w:rPr>
          <w:lang w:val="bs-Latn-BA"/>
        </w:rPr>
        <w:t>energij</w:t>
      </w:r>
      <w:r w:rsidRPr="008924E0">
        <w:rPr>
          <w:lang w:val="bs-Latn-BA"/>
        </w:rPr>
        <w:t xml:space="preserve">skog siromaštva.   Potrebno je donijeti politike i mjere za zaštitu potrošača, osobito ranjivih i </w:t>
      </w:r>
      <w:r w:rsidR="0091757B">
        <w:rPr>
          <w:lang w:val="bs-Latn-BA"/>
        </w:rPr>
        <w:t>energij</w:t>
      </w:r>
      <w:r w:rsidRPr="008924E0">
        <w:rPr>
          <w:lang w:val="bs-Latn-BA"/>
        </w:rPr>
        <w:t xml:space="preserve">ski siromašnih potrošača, prema situaciji u državi, a koje mogu uključivati socijalne i </w:t>
      </w:r>
      <w:r w:rsidR="0091757B">
        <w:rPr>
          <w:lang w:val="bs-Latn-BA"/>
        </w:rPr>
        <w:t>energij</w:t>
      </w:r>
      <w:r w:rsidRPr="008924E0">
        <w:rPr>
          <w:lang w:val="bs-Latn-BA"/>
        </w:rPr>
        <w:t xml:space="preserve">ske mjere vezane za plaćanje računa, zabranu isključivanja s mreže, generalno mjere socijalne politike te investicije u energijsku efikasnost. </w:t>
      </w:r>
    </w:p>
    <w:p w14:paraId="3588D299" w14:textId="6E5C1F00" w:rsidR="00DE711C" w:rsidRPr="008924E0" w:rsidRDefault="00DE711C" w:rsidP="00DE711C">
      <w:pPr>
        <w:rPr>
          <w:lang w:val="bs-Latn-BA"/>
        </w:rPr>
      </w:pPr>
      <w:r w:rsidRPr="008924E0">
        <w:rPr>
          <w:lang w:val="bs-Latn-BA"/>
        </w:rPr>
        <w:t xml:space="preserve">Mjere koje će države članice </w:t>
      </w:r>
      <w:r w:rsidR="00AB786E">
        <w:rPr>
          <w:lang w:val="bs-Latn-BA"/>
        </w:rPr>
        <w:t>definirati</w:t>
      </w:r>
      <w:r w:rsidRPr="008924E0">
        <w:rPr>
          <w:lang w:val="bs-Latn-BA"/>
        </w:rPr>
        <w:t xml:space="preserve"> i provoditi za suzbijanje </w:t>
      </w:r>
      <w:r w:rsidR="0091757B">
        <w:rPr>
          <w:lang w:val="bs-Latn-BA"/>
        </w:rPr>
        <w:t>energij</w:t>
      </w:r>
      <w:r w:rsidRPr="008924E0">
        <w:rPr>
          <w:lang w:val="bs-Latn-BA"/>
        </w:rPr>
        <w:t xml:space="preserve">skog siromaštva trebaju biti bazirane na vlastitim definicijama </w:t>
      </w:r>
      <w:r w:rsidR="0091757B">
        <w:rPr>
          <w:lang w:val="bs-Latn-BA"/>
        </w:rPr>
        <w:t>energij</w:t>
      </w:r>
      <w:r w:rsidRPr="008924E0">
        <w:rPr>
          <w:lang w:val="bs-Latn-BA"/>
        </w:rPr>
        <w:t xml:space="preserve">skog siromaštva koje najbolje odražavaju stanje u državi. </w:t>
      </w:r>
    </w:p>
    <w:p w14:paraId="7C57595B" w14:textId="08173CC4" w:rsidR="00DE711C" w:rsidRPr="008924E0" w:rsidRDefault="00DE711C" w:rsidP="00DE711C">
      <w:pPr>
        <w:spacing w:line="240" w:lineRule="auto"/>
        <w:rPr>
          <w:b/>
          <w:lang w:val="bs-Latn-BA"/>
        </w:rPr>
      </w:pPr>
      <w:r w:rsidRPr="008924E0">
        <w:rPr>
          <w:b/>
          <w:lang w:val="bs-Latn-BA"/>
        </w:rPr>
        <w:lastRenderedPageBreak/>
        <w:t xml:space="preserve">Definicija </w:t>
      </w:r>
      <w:r w:rsidR="0091757B">
        <w:rPr>
          <w:b/>
          <w:lang w:val="bs-Latn-BA"/>
        </w:rPr>
        <w:t>energij</w:t>
      </w:r>
      <w:r w:rsidRPr="008924E0">
        <w:rPr>
          <w:b/>
          <w:lang w:val="bs-Latn-BA"/>
        </w:rPr>
        <w:t xml:space="preserve">ski siromašnog domaćinstva </w:t>
      </w:r>
    </w:p>
    <w:p w14:paraId="6CB8AEA7" w14:textId="726F4243" w:rsidR="00DE711C" w:rsidRPr="008924E0" w:rsidRDefault="00DE711C" w:rsidP="00DE711C">
      <w:pPr>
        <w:rPr>
          <w:lang w:val="bs-Latn-BA"/>
        </w:rPr>
      </w:pPr>
      <w:r w:rsidRPr="008924E0">
        <w:rPr>
          <w:lang w:val="bs-Latn-BA"/>
        </w:rPr>
        <w:t>E</w:t>
      </w:r>
      <w:r w:rsidR="00F311F8">
        <w:rPr>
          <w:lang w:val="bs-Latn-BA"/>
        </w:rPr>
        <w:t>u</w:t>
      </w:r>
      <w:r w:rsidRPr="008924E0">
        <w:rPr>
          <w:lang w:val="bs-Latn-BA"/>
        </w:rPr>
        <w:t xml:space="preserve">ropska komisija je uvela Preporuke o </w:t>
      </w:r>
      <w:r w:rsidR="0091757B">
        <w:rPr>
          <w:lang w:val="bs-Latn-BA"/>
        </w:rPr>
        <w:t>energij</w:t>
      </w:r>
      <w:r w:rsidRPr="008924E0">
        <w:rPr>
          <w:lang w:val="bs-Latn-BA"/>
        </w:rPr>
        <w:t xml:space="preserve">skom siromaštvu koje opisuje kao situaciju u kojoj domaćinstvo nema pristup osnovnim </w:t>
      </w:r>
      <w:r w:rsidR="0091757B">
        <w:rPr>
          <w:lang w:val="bs-Latn-BA"/>
        </w:rPr>
        <w:t>energij</w:t>
      </w:r>
      <w:r w:rsidRPr="008924E0">
        <w:rPr>
          <w:lang w:val="bs-Latn-BA"/>
        </w:rPr>
        <w:t xml:space="preserve">skim uslugama (odgovarajuće grijanje, hlađenje, rasvjeta i energija za pogon kućanskih uređaja). U prilogu Preporuka navode se i preporučeni pokazatelji </w:t>
      </w:r>
      <w:r w:rsidR="0091757B">
        <w:rPr>
          <w:lang w:val="bs-Latn-BA"/>
        </w:rPr>
        <w:t>energij</w:t>
      </w:r>
      <w:r w:rsidRPr="008924E0">
        <w:rPr>
          <w:lang w:val="bs-Latn-BA"/>
        </w:rPr>
        <w:t xml:space="preserve">skog siromaštva koja uključuju tri pokazatelja i to: nemogućnost adekvatnog zagrijavanja prostora, dospjele neplaćene obveze po računima za energiju i prisutnost krova koji propušta, vlažnih zidova, podova ili temelja, ili trulež u prozorskim okvirima ili podu. U zemljama EU još uvijek nema jedinstvenog stava o kriterijima za klasifikaciju domaćinstava u kategoriju </w:t>
      </w:r>
      <w:r w:rsidR="0091757B">
        <w:rPr>
          <w:lang w:val="bs-Latn-BA"/>
        </w:rPr>
        <w:t>energij</w:t>
      </w:r>
      <w:r w:rsidRPr="008924E0">
        <w:rPr>
          <w:lang w:val="bs-Latn-BA"/>
        </w:rPr>
        <w:t xml:space="preserve">ski siromašnog domaćinstva. Tako se u Francuskoj kao </w:t>
      </w:r>
      <w:r w:rsidR="0091757B">
        <w:rPr>
          <w:lang w:val="bs-Latn-BA"/>
        </w:rPr>
        <w:t>energij</w:t>
      </w:r>
      <w:r w:rsidRPr="008924E0">
        <w:rPr>
          <w:lang w:val="bs-Latn-BA"/>
        </w:rPr>
        <w:t>ski siromašna</w:t>
      </w:r>
      <w:r w:rsidR="00A3514D">
        <w:rPr>
          <w:lang w:val="bs-Latn-BA"/>
        </w:rPr>
        <w:t>,</w:t>
      </w:r>
      <w:r w:rsidRPr="008924E0">
        <w:rPr>
          <w:lang w:val="bs-Latn-BA"/>
        </w:rPr>
        <w:t xml:space="preserve"> </w:t>
      </w:r>
      <w:r w:rsidR="00A3514D" w:rsidRPr="008924E0">
        <w:rPr>
          <w:lang w:val="bs-Latn-BA"/>
        </w:rPr>
        <w:t>defini</w:t>
      </w:r>
      <w:r w:rsidR="00A3514D">
        <w:rPr>
          <w:lang w:val="bs-Latn-BA"/>
        </w:rPr>
        <w:t>ra</w:t>
      </w:r>
      <w:r w:rsidR="00A3514D" w:rsidRPr="008924E0">
        <w:rPr>
          <w:lang w:val="bs-Latn-BA"/>
        </w:rPr>
        <w:t xml:space="preserve"> </w:t>
      </w:r>
      <w:r w:rsidRPr="008924E0">
        <w:rPr>
          <w:lang w:val="bs-Latn-BA"/>
        </w:rPr>
        <w:t xml:space="preserve">osoba koja u svom smještaju ima poteškoća s opskrbom energije za zadovoljavanje svojih osnovnih potreba, zbog neraspoloživosti sredstava ili </w:t>
      </w:r>
      <w:r w:rsidR="00540A41">
        <w:rPr>
          <w:lang w:val="bs-Latn-BA"/>
        </w:rPr>
        <w:t>uvjet</w:t>
      </w:r>
      <w:r w:rsidRPr="008924E0">
        <w:rPr>
          <w:lang w:val="bs-Latn-BA"/>
        </w:rPr>
        <w:t xml:space="preserve">a stanovanja. U Austriji se domaćinstvo smatra </w:t>
      </w:r>
      <w:r w:rsidR="0091757B">
        <w:rPr>
          <w:lang w:val="bs-Latn-BA"/>
        </w:rPr>
        <w:t>energij</w:t>
      </w:r>
      <w:r w:rsidRPr="008924E0">
        <w:rPr>
          <w:lang w:val="bs-Latn-BA"/>
        </w:rPr>
        <w:t>ski siromašnim ako je njegov prihod ispod praga ugroženosti od siromaštva i ako istovremeno mora pokriti iznad prosječne troškove za energiju.</w:t>
      </w:r>
    </w:p>
    <w:p w14:paraId="04112FC3" w14:textId="0FFB411D" w:rsidR="00DE711C" w:rsidRPr="008924E0" w:rsidRDefault="00DE711C" w:rsidP="00DE711C">
      <w:pPr>
        <w:rPr>
          <w:lang w:val="bs-Latn-BA"/>
        </w:rPr>
      </w:pPr>
      <w:r w:rsidRPr="008924E0">
        <w:rPr>
          <w:lang w:val="bs-Latn-BA"/>
        </w:rPr>
        <w:t>U analizama objavljenim od strane Agencije za statistiku BiH</w:t>
      </w:r>
      <w:r w:rsidRPr="008924E0">
        <w:rPr>
          <w:color w:val="000000"/>
          <w:vertAlign w:val="superscript"/>
          <w:lang w:val="bs-Latn-BA"/>
        </w:rPr>
        <w:footnoteReference w:id="124"/>
      </w:r>
      <w:r w:rsidRPr="008924E0">
        <w:rPr>
          <w:lang w:val="bs-Latn-BA"/>
        </w:rPr>
        <w:t xml:space="preserve">, korištena je definicija </w:t>
      </w:r>
      <w:r w:rsidR="0091757B">
        <w:rPr>
          <w:lang w:val="bs-Latn-BA"/>
        </w:rPr>
        <w:t>energij</w:t>
      </w:r>
      <w:r w:rsidRPr="008924E0">
        <w:rPr>
          <w:lang w:val="bs-Latn-BA"/>
        </w:rPr>
        <w:t>skog siromaštva da domaćinstvo mora potrošiti više od 10 % svoga dohotka na grijanje, kako bi održavalo odgovarajući nivo topline. Ova klasifikacija je u skladu sa literaturom</w:t>
      </w:r>
      <w:r w:rsidRPr="008924E0">
        <w:rPr>
          <w:color w:val="000000"/>
          <w:vertAlign w:val="superscript"/>
          <w:lang w:val="bs-Latn-BA"/>
        </w:rPr>
        <w:footnoteReference w:id="125"/>
      </w:r>
      <w:r w:rsidRPr="008924E0">
        <w:rPr>
          <w:lang w:val="bs-Latn-BA"/>
        </w:rPr>
        <w:t xml:space="preserve">. Prema ovom kriteriju je utvrđeno da 17,1% populacije u FBiH živi ispod granice siromaštva, bez značajnih razlika u procentima između polova. Istraživanje se odnosi na podatke iz 2015. godine, te uzimajući u obzir rast cijena energije i energenata, ovaj procenat je sada sasvim sigurno još veći. </w:t>
      </w:r>
    </w:p>
    <w:p w14:paraId="2261FF51" w14:textId="12EFA183" w:rsidR="00DE711C" w:rsidRPr="008924E0" w:rsidRDefault="00DE711C" w:rsidP="00DE711C">
      <w:pPr>
        <w:rPr>
          <w:lang w:val="bs-Latn-BA"/>
        </w:rPr>
      </w:pPr>
      <w:r w:rsidRPr="008924E0">
        <w:rPr>
          <w:lang w:val="bs-Latn-BA"/>
        </w:rPr>
        <w:t>Prema analizi</w:t>
      </w:r>
      <w:r w:rsidRPr="008924E0">
        <w:rPr>
          <w:color w:val="000000"/>
          <w:vertAlign w:val="superscript"/>
          <w:lang w:val="bs-Latn-BA"/>
        </w:rPr>
        <w:footnoteReference w:id="126"/>
      </w:r>
      <w:r w:rsidRPr="008924E0">
        <w:rPr>
          <w:lang w:val="bs-Latn-BA"/>
        </w:rPr>
        <w:t xml:space="preserve">, za BiH nije bilo moguće prikupiti ažurirane statističke podatke o kriterijima prema Preporukama o </w:t>
      </w:r>
      <w:r w:rsidR="0091757B">
        <w:rPr>
          <w:lang w:val="bs-Latn-BA"/>
        </w:rPr>
        <w:t>energij</w:t>
      </w:r>
      <w:r w:rsidRPr="008924E0">
        <w:rPr>
          <w:lang w:val="bs-Latn-BA"/>
        </w:rPr>
        <w:t xml:space="preserve">skom siromaštvu, niti prema ostala 3 indikatora i to: procentu dohotka koje domaćinstvo mora potrošiti na grijanje (indikator 1), udjela domaćinstva koja imaju troškove za energiju značajno niža od prosjeka, a nisu visokoefikasna (indikator 2) te udio domaćinstava sa udjelom troškova za grijanje u dohotku značajno većem od prosjeka (indikator 3). Prema tome, nije bilo moguće napraviti ažuriranu procjenu broja domaćinstava koja se svrstavaju u kategoriju </w:t>
      </w:r>
      <w:r w:rsidR="0091757B">
        <w:rPr>
          <w:lang w:val="bs-Latn-BA"/>
        </w:rPr>
        <w:t>energij</w:t>
      </w:r>
      <w:r w:rsidRPr="008924E0">
        <w:rPr>
          <w:lang w:val="bs-Latn-BA"/>
        </w:rPr>
        <w:t xml:space="preserve">ski siromašnih. </w:t>
      </w:r>
    </w:p>
    <w:p w14:paraId="248C981A" w14:textId="254A478E" w:rsidR="00DE711C" w:rsidRPr="008924E0" w:rsidRDefault="00DE711C" w:rsidP="00DE711C">
      <w:pPr>
        <w:rPr>
          <w:lang w:val="bs-Latn-BA"/>
        </w:rPr>
      </w:pPr>
      <w:r w:rsidRPr="008924E0">
        <w:rPr>
          <w:lang w:val="bs-Latn-BA"/>
        </w:rPr>
        <w:t xml:space="preserve">U skladu sa prethodni, preporuka je da je nepohodno </w:t>
      </w:r>
      <w:r w:rsidR="00AB786E">
        <w:rPr>
          <w:lang w:val="bs-Latn-BA"/>
        </w:rPr>
        <w:t>definirati</w:t>
      </w:r>
      <w:r w:rsidRPr="008924E0">
        <w:rPr>
          <w:lang w:val="bs-Latn-BA"/>
        </w:rPr>
        <w:t xml:space="preserve"> jasne kriterije prema kojima se domaćinstva svrstavaju u kategoriju </w:t>
      </w:r>
      <w:r w:rsidR="0091757B">
        <w:rPr>
          <w:lang w:val="bs-Latn-BA"/>
        </w:rPr>
        <w:t>energij</w:t>
      </w:r>
      <w:r w:rsidRPr="008924E0">
        <w:rPr>
          <w:lang w:val="bs-Latn-BA"/>
        </w:rPr>
        <w:t xml:space="preserve">ski siromašnih, te ažurirati postojeće podatke za ove kategorije. Prema utvrđenim kriterijima potrebno je uvesti statističko praćenje podataka te kriterije za kandidovanje ovakvih domaćinstava u programe za ublažavanje </w:t>
      </w:r>
      <w:r w:rsidR="0091757B">
        <w:rPr>
          <w:lang w:val="bs-Latn-BA"/>
        </w:rPr>
        <w:t>energij</w:t>
      </w:r>
      <w:r w:rsidRPr="008924E0">
        <w:rPr>
          <w:lang w:val="bs-Latn-BA"/>
        </w:rPr>
        <w:t>skog siromaštva.</w:t>
      </w:r>
    </w:p>
    <w:p w14:paraId="4D51802F" w14:textId="0BCC083C" w:rsidR="00DE711C" w:rsidRPr="008924E0" w:rsidRDefault="00DE711C" w:rsidP="00DE711C">
      <w:pPr>
        <w:spacing w:line="240" w:lineRule="auto"/>
        <w:rPr>
          <w:b/>
          <w:lang w:val="bs-Latn-BA"/>
        </w:rPr>
      </w:pPr>
      <w:r w:rsidRPr="008924E0">
        <w:rPr>
          <w:b/>
          <w:lang w:val="bs-Latn-BA"/>
        </w:rPr>
        <w:t xml:space="preserve">Uzroci i posljedice života u </w:t>
      </w:r>
      <w:r w:rsidR="0091757B">
        <w:rPr>
          <w:b/>
          <w:lang w:val="bs-Latn-BA"/>
        </w:rPr>
        <w:t>energij</w:t>
      </w:r>
      <w:r w:rsidRPr="008924E0">
        <w:rPr>
          <w:b/>
          <w:lang w:val="bs-Latn-BA"/>
        </w:rPr>
        <w:t xml:space="preserve">ski siromašnom domaćinstvu </w:t>
      </w:r>
    </w:p>
    <w:p w14:paraId="43A2CEFE" w14:textId="5320C220" w:rsidR="00DE711C" w:rsidRPr="008924E0" w:rsidRDefault="0091757B" w:rsidP="00DE711C">
      <w:pPr>
        <w:rPr>
          <w:b/>
          <w:lang w:val="bs-Latn-BA"/>
        </w:rPr>
      </w:pPr>
      <w:r>
        <w:rPr>
          <w:lang w:val="bs-Latn-BA"/>
        </w:rPr>
        <w:t>Energij</w:t>
      </w:r>
      <w:r w:rsidR="00DE711C" w:rsidRPr="008924E0">
        <w:rPr>
          <w:lang w:val="bs-Latn-BA"/>
        </w:rPr>
        <w:t>sko siromaštvo može biti rezultat veoma niskih primanja članova domaćinstva, stanovanja u energijski neefikasnim zgradama koje imaju značajne potrebe za energijom kao rezultat stanja ovojnice, starosti objekta, te nemogućnosti korištenja odgovarajuće vrste energenata ili energije zbog tehničkih, pravnih ili ekonomskih barijera</w:t>
      </w:r>
      <w:r w:rsidR="00DE711C" w:rsidRPr="008924E0">
        <w:rPr>
          <w:vertAlign w:val="superscript"/>
          <w:lang w:val="bs-Latn-BA"/>
        </w:rPr>
        <w:footnoteReference w:id="127"/>
      </w:r>
      <w:r w:rsidR="00DE711C" w:rsidRPr="008924E0">
        <w:rPr>
          <w:lang w:val="bs-Latn-BA"/>
        </w:rPr>
        <w:t xml:space="preserve">. Posljedice života u </w:t>
      </w:r>
      <w:r>
        <w:rPr>
          <w:lang w:val="bs-Latn-BA"/>
        </w:rPr>
        <w:t>energij</w:t>
      </w:r>
      <w:r w:rsidR="00DE711C" w:rsidRPr="008924E0">
        <w:rPr>
          <w:lang w:val="bs-Latn-BA"/>
        </w:rPr>
        <w:t xml:space="preserve">ski siromašnom domaćinstvu su narušeno zdravlje kao rezultat izloženosti hladnom zraku, pljesni ili kondenzaciji, što može negativno uticati na zdravlje i povećati smrtnost stanovništva, posebno u periodima ekstremnih temperatura. Osim navedenih negativnih posljedica, život u </w:t>
      </w:r>
      <w:r>
        <w:rPr>
          <w:lang w:val="bs-Latn-BA"/>
        </w:rPr>
        <w:t>energij</w:t>
      </w:r>
      <w:r w:rsidR="00DE711C" w:rsidRPr="008924E0">
        <w:rPr>
          <w:lang w:val="bs-Latn-BA"/>
        </w:rPr>
        <w:t xml:space="preserve">ski siromašnim domaćinstvima </w:t>
      </w:r>
      <w:r w:rsidR="00DE711C" w:rsidRPr="008924E0">
        <w:rPr>
          <w:lang w:val="bs-Latn-BA"/>
        </w:rPr>
        <w:lastRenderedPageBreak/>
        <w:t>može imati negativne posljedice i na mentalno zdravlje, te ograničiti obrazovne i ekonomske mogućnosti. Takođe</w:t>
      </w:r>
      <w:r w:rsidR="0087301F">
        <w:rPr>
          <w:lang w:val="bs-Latn-BA"/>
        </w:rPr>
        <w:t>r</w:t>
      </w:r>
      <w:r w:rsidR="00DE711C" w:rsidRPr="008924E0">
        <w:rPr>
          <w:lang w:val="bs-Latn-BA"/>
        </w:rPr>
        <w:t xml:space="preserve">, korištenje najjeftinijih energenata ima za  posljedicu i povećano zagađenje zraka. </w:t>
      </w:r>
    </w:p>
    <w:p w14:paraId="57EBC728" w14:textId="314DFCE7" w:rsidR="00DE711C" w:rsidRPr="008924E0" w:rsidRDefault="00DE711C" w:rsidP="00DE711C">
      <w:pPr>
        <w:rPr>
          <w:lang w:val="bs-Latn-BA"/>
        </w:rPr>
      </w:pPr>
      <w:r w:rsidRPr="008924E0">
        <w:rPr>
          <w:lang w:val="bs-Latn-BA"/>
        </w:rPr>
        <w:t xml:space="preserve">Prema podacima o stambenom fondu FBiH, kategorije zgrada (individualnih i kolektivnih) izgrađenih u periodu prije 2014. godine mogu se okarakterisati kao energijski neefikasne, sa energijskim razredima u prosjeku od C do G. Posebno su loše energijske karakteristike indvidualnih stambenih kuća koje čine preko 92,6 % ukupnog broja zgrada u FBiH. Koeficijenti prolaza toplote elemenata ovojnice u prosjeku ne zadovoljavaju </w:t>
      </w:r>
      <w:r w:rsidR="00540A41">
        <w:rPr>
          <w:lang w:val="bs-Latn-BA"/>
        </w:rPr>
        <w:t>uvjet</w:t>
      </w:r>
      <w:r w:rsidRPr="008924E0">
        <w:rPr>
          <w:lang w:val="bs-Latn-BA"/>
        </w:rPr>
        <w:t>e propisane pravilnicima. Ukupan broj zgrada koje za sistem grijanja koriste sobne peći iznosi 64 %, veoma niskog stepena efikasnosti, što kao posljedicu ima povećanu potrošnju energije te značajne troškove za energiju. Prosječna efikasnost termotehničkih sistema grijanja individualnih zgrada izgrađenih u periodu prije 2014. godine iznosi 56,7%, dok je za zgrade kolektivnog st</w:t>
      </w:r>
      <w:r w:rsidR="0087301F">
        <w:rPr>
          <w:lang w:val="bs-Latn-BA"/>
        </w:rPr>
        <w:t>a</w:t>
      </w:r>
      <w:r w:rsidRPr="008924E0">
        <w:rPr>
          <w:lang w:val="bs-Latn-BA"/>
        </w:rPr>
        <w:t>novanja ona u prosjeku 69%. Kao rezultat se 30 % ukupne korisne površine zgrada uop</w:t>
      </w:r>
      <w:r w:rsidR="0087301F">
        <w:rPr>
          <w:lang w:val="bs-Latn-BA"/>
        </w:rPr>
        <w:t>ć</w:t>
      </w:r>
      <w:r w:rsidRPr="008924E0">
        <w:rPr>
          <w:lang w:val="bs-Latn-BA"/>
        </w:rPr>
        <w:t>e ne zagrijava. Takođe</w:t>
      </w:r>
      <w:r w:rsidR="0087301F">
        <w:rPr>
          <w:lang w:val="bs-Latn-BA"/>
        </w:rPr>
        <w:t>r</w:t>
      </w:r>
      <w:r w:rsidRPr="008924E0">
        <w:rPr>
          <w:lang w:val="bs-Latn-BA"/>
        </w:rPr>
        <w:t>, kod zgrada koje koriste osobe u stanju socija</w:t>
      </w:r>
      <w:r w:rsidR="0087301F">
        <w:rPr>
          <w:lang w:val="bs-Latn-BA"/>
        </w:rPr>
        <w:t>l</w:t>
      </w:r>
      <w:r w:rsidRPr="008924E0">
        <w:rPr>
          <w:lang w:val="bs-Latn-BA"/>
        </w:rPr>
        <w:t>ne potrebe, prisutne su znatno veće emisije CO</w:t>
      </w:r>
      <w:r w:rsidRPr="008924E0">
        <w:rPr>
          <w:vertAlign w:val="subscript"/>
          <w:lang w:val="bs-Latn-BA"/>
        </w:rPr>
        <w:t>2</w:t>
      </w:r>
      <w:r w:rsidRPr="008924E0">
        <w:rPr>
          <w:lang w:val="bs-Latn-BA"/>
        </w:rPr>
        <w:t xml:space="preserve"> od zgrada koje koriste ostale kategorije stanovništva</w:t>
      </w:r>
      <w:r w:rsidRPr="008924E0">
        <w:rPr>
          <w:vertAlign w:val="superscript"/>
          <w:lang w:val="bs-Latn-BA"/>
        </w:rPr>
        <w:footnoteReference w:id="128"/>
      </w:r>
      <w:r w:rsidRPr="008924E0">
        <w:rPr>
          <w:lang w:val="bs-Latn-BA"/>
        </w:rPr>
        <w:t>.  Energijski miks za 2020. godinu prema LEAP</w:t>
      </w:r>
      <w:r w:rsidRPr="008924E0">
        <w:rPr>
          <w:vertAlign w:val="superscript"/>
          <w:lang w:val="bs-Latn-BA"/>
        </w:rPr>
        <w:footnoteReference w:id="129"/>
      </w:r>
      <w:r w:rsidRPr="008924E0">
        <w:rPr>
          <w:lang w:val="bs-Latn-BA"/>
        </w:rPr>
        <w:t xml:space="preserve">, pokazuje da je manje od 8 % od finalne energije za grijanje isporučeno iz sistema daljinskog grijanja, te je procenat zgrada priključenih na daljinske sisteme veoma mali. </w:t>
      </w:r>
    </w:p>
    <w:p w14:paraId="0B441E0E" w14:textId="76763CAF" w:rsidR="00DE711C" w:rsidRPr="008924E0" w:rsidRDefault="00DE711C" w:rsidP="00DE711C">
      <w:pPr>
        <w:rPr>
          <w:lang w:val="bs-Latn-BA"/>
        </w:rPr>
      </w:pPr>
      <w:r w:rsidRPr="008924E0">
        <w:rPr>
          <w:lang w:val="bs-Latn-BA"/>
        </w:rPr>
        <w:t xml:space="preserve">Kada se napravi poređenje troškova materijala koji se ugrađuje u objekte tokom provođenja mjera energijske </w:t>
      </w:r>
      <w:r w:rsidR="006A5773">
        <w:rPr>
          <w:lang w:val="bs-Latn-BA"/>
        </w:rPr>
        <w:t>obnove</w:t>
      </w:r>
      <w:r w:rsidRPr="008924E0">
        <w:rPr>
          <w:lang w:val="bs-Latn-BA"/>
        </w:rPr>
        <w:t xml:space="preserve"> stanovništva BiH i zemalja EU</w:t>
      </w:r>
      <w:r w:rsidRPr="008924E0">
        <w:rPr>
          <w:vertAlign w:val="superscript"/>
          <w:lang w:val="bs-Latn-BA"/>
        </w:rPr>
        <w:footnoteReference w:id="130"/>
      </w:r>
      <w:r w:rsidRPr="008924E0">
        <w:rPr>
          <w:lang w:val="bs-Latn-BA"/>
        </w:rPr>
        <w:t xml:space="preserve">, kako je predstavljeno na Slici </w:t>
      </w:r>
      <w:r w:rsidR="005835FA">
        <w:rPr>
          <w:lang w:val="bs-Latn-BA"/>
        </w:rPr>
        <w:t>11.4</w:t>
      </w:r>
      <w:r w:rsidRPr="008924E0">
        <w:rPr>
          <w:lang w:val="bs-Latn-BA"/>
        </w:rPr>
        <w:t xml:space="preserve">.1 vidi se da su troškovi provođenja mjera ujednačeni. Prema tome </w:t>
      </w:r>
      <w:r w:rsidR="007B690C">
        <w:rPr>
          <w:lang w:val="bs-Latn-BA"/>
        </w:rPr>
        <w:t>financ</w:t>
      </w:r>
      <w:r w:rsidRPr="008924E0">
        <w:rPr>
          <w:lang w:val="bs-Latn-BA"/>
        </w:rPr>
        <w:t xml:space="preserve">ijsko opterećenje za provođenje mjera energijske </w:t>
      </w:r>
      <w:r w:rsidR="006A5773">
        <w:rPr>
          <w:lang w:val="bs-Latn-BA"/>
        </w:rPr>
        <w:t>obnove</w:t>
      </w:r>
      <w:r w:rsidRPr="008924E0">
        <w:rPr>
          <w:lang w:val="bs-Latn-BA"/>
        </w:rPr>
        <w:t xml:space="preserve"> građana BiH i građana EU se ne razlikuju značajno. Podaci se odnose na period 2019.-2020. godina za kategoriju individualnih zgrada (SH i TH). Kada se izrazi odnos bruto nacionalnog dohotka po glavi stanovnika (BDP) i specifični trošak investicije u mjere energijske efikasnosti (Slika 1</w:t>
      </w:r>
      <w:r w:rsidR="00F1251A">
        <w:rPr>
          <w:lang w:val="bs-Latn-BA"/>
        </w:rPr>
        <w:t>1.4</w:t>
      </w:r>
      <w:r w:rsidRPr="008924E0">
        <w:rPr>
          <w:lang w:val="bs-Latn-BA"/>
        </w:rPr>
        <w:t xml:space="preserve">.2), vidi se da u prosjeku stanovnici BiH imaju i do 4 puta manje </w:t>
      </w:r>
      <w:r w:rsidR="007B690C">
        <w:rPr>
          <w:lang w:val="bs-Latn-BA"/>
        </w:rPr>
        <w:t>financ</w:t>
      </w:r>
      <w:r w:rsidRPr="008924E0">
        <w:rPr>
          <w:lang w:val="bs-Latn-BA"/>
        </w:rPr>
        <w:t xml:space="preserve">ijske mogućnosti za provođenje mjera energijske efikasnosti, u poređenju sa stanovnicima zemalja EU. </w:t>
      </w:r>
    </w:p>
    <w:p w14:paraId="7665259A" w14:textId="77777777" w:rsidR="00F1251A" w:rsidRDefault="00DE711C" w:rsidP="00F1251A">
      <w:pPr>
        <w:keepNext/>
      </w:pPr>
      <w:r w:rsidRPr="008924E0">
        <w:rPr>
          <w:noProof/>
          <w:sz w:val="20"/>
          <w:szCs w:val="20"/>
          <w:lang w:val="bs-Latn-BA"/>
        </w:rPr>
        <w:drawing>
          <wp:inline distT="0" distB="0" distL="0" distR="0" wp14:anchorId="1B86D538" wp14:editId="7EFDA965">
            <wp:extent cx="5667375" cy="1847850"/>
            <wp:effectExtent l="0" t="0" r="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4F41AE5D" w14:textId="72751D05" w:rsidR="00DE711C" w:rsidRPr="008924E0" w:rsidRDefault="00F1251A" w:rsidP="00F1251A">
      <w:pPr>
        <w:pStyle w:val="Caption"/>
        <w:jc w:val="center"/>
      </w:pPr>
      <w:bookmarkStart w:id="255" w:name="_Toc133499426"/>
      <w:r>
        <w:t>Slika 11.4.</w:t>
      </w:r>
      <w:r w:rsidR="00000000">
        <w:fldChar w:fldCharType="begin"/>
      </w:r>
      <w:r w:rsidR="00000000">
        <w:instrText xml:space="preserve"> SEQ Slika_11.4. \* ARABIC </w:instrText>
      </w:r>
      <w:r w:rsidR="00000000">
        <w:fldChar w:fldCharType="separate"/>
      </w:r>
      <w:r>
        <w:rPr>
          <w:noProof/>
        </w:rPr>
        <w:t>1</w:t>
      </w:r>
      <w:r w:rsidR="00000000">
        <w:rPr>
          <w:noProof/>
        </w:rPr>
        <w:fldChar w:fldCharType="end"/>
      </w:r>
      <w:r>
        <w:t xml:space="preserve"> </w:t>
      </w:r>
      <w:r w:rsidRPr="008924E0">
        <w:rPr>
          <w:color w:val="000000"/>
        </w:rPr>
        <w:t xml:space="preserve">Specifični troškovi energijske </w:t>
      </w:r>
      <w:r>
        <w:rPr>
          <w:color w:val="000000"/>
        </w:rPr>
        <w:t>obnove</w:t>
      </w:r>
      <w:r w:rsidRPr="008924E0">
        <w:rPr>
          <w:color w:val="000000"/>
        </w:rPr>
        <w:t xml:space="preserve"> po jedničnoj površini elemenata ovojnice (podaci 2020. godina)</w:t>
      </w:r>
      <w:r w:rsidRPr="008924E0">
        <w:rPr>
          <w:vertAlign w:val="superscript"/>
        </w:rPr>
        <w:t xml:space="preserve"> </w:t>
      </w:r>
      <w:r w:rsidRPr="008924E0">
        <w:rPr>
          <w:vertAlign w:val="superscript"/>
        </w:rPr>
        <w:footnoteReference w:id="131"/>
      </w:r>
      <w:bookmarkEnd w:id="255"/>
    </w:p>
    <w:p w14:paraId="7AE39C62" w14:textId="77777777" w:rsidR="00F1251A" w:rsidRDefault="00DE711C" w:rsidP="00F1251A">
      <w:pPr>
        <w:keepNext/>
        <w:spacing w:after="200" w:line="240" w:lineRule="auto"/>
        <w:jc w:val="center"/>
      </w:pPr>
      <w:r w:rsidRPr="008924E0">
        <w:rPr>
          <w:noProof/>
          <w:lang w:val="bs-Latn-BA"/>
        </w:rPr>
        <w:lastRenderedPageBreak/>
        <w:drawing>
          <wp:inline distT="0" distB="0" distL="0" distR="0" wp14:anchorId="1EAE8A94" wp14:editId="6BCEC3AA">
            <wp:extent cx="5715000" cy="27051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6A38F1F2" w14:textId="08840FB4" w:rsidR="00F1251A" w:rsidRPr="008924E0" w:rsidRDefault="00F1251A" w:rsidP="00F1251A">
      <w:pPr>
        <w:spacing w:after="200" w:line="240" w:lineRule="auto"/>
        <w:jc w:val="center"/>
        <w:rPr>
          <w:i/>
          <w:color w:val="000000"/>
          <w:lang w:val="bs-Latn-BA"/>
        </w:rPr>
      </w:pPr>
      <w:bookmarkStart w:id="256" w:name="_Toc133499427"/>
      <w:proofErr w:type="spellStart"/>
      <w:r>
        <w:t>Slika</w:t>
      </w:r>
      <w:proofErr w:type="spellEnd"/>
      <w:r>
        <w:t xml:space="preserve"> 11.4.</w:t>
      </w:r>
      <w:r>
        <w:fldChar w:fldCharType="begin"/>
      </w:r>
      <w:r>
        <w:instrText xml:space="preserve"> SEQ Slika_11.4. \* ARABIC </w:instrText>
      </w:r>
      <w:r>
        <w:fldChar w:fldCharType="separate"/>
      </w:r>
      <w:r>
        <w:rPr>
          <w:noProof/>
        </w:rPr>
        <w:t>2</w:t>
      </w:r>
      <w:r>
        <w:fldChar w:fldCharType="end"/>
      </w:r>
      <w:r>
        <w:t xml:space="preserve"> </w:t>
      </w:r>
      <w:r w:rsidRPr="008924E0">
        <w:rPr>
          <w:i/>
          <w:color w:val="000000"/>
          <w:lang w:val="bs-Latn-BA"/>
        </w:rPr>
        <w:t>Odnos BDP i specifičnih troškova investicije u mjere energijske efikasnosti (podaci 2020. godina)</w:t>
      </w:r>
      <w:bookmarkEnd w:id="256"/>
      <w:r w:rsidRPr="008924E0">
        <w:rPr>
          <w:vertAlign w:val="superscript"/>
          <w:lang w:val="bs-Latn-BA"/>
        </w:rPr>
        <w:t xml:space="preserve"> </w:t>
      </w:r>
    </w:p>
    <w:p w14:paraId="69F4AD0E" w14:textId="17EBE770" w:rsidR="00DE711C" w:rsidRPr="008924E0" w:rsidRDefault="00DE711C" w:rsidP="00DE711C">
      <w:pPr>
        <w:rPr>
          <w:lang w:val="bs-Latn-BA"/>
        </w:rPr>
      </w:pPr>
      <w:r w:rsidRPr="008924E0">
        <w:rPr>
          <w:lang w:val="bs-Latn-BA"/>
        </w:rPr>
        <w:t xml:space="preserve">Prikazani pokazatelji o stambenom fondu i stanovništvu su indikatori da veliki procenat stanovništva živi u domaćinstvu u kojima nisu </w:t>
      </w:r>
      <w:r w:rsidR="00C0572F" w:rsidRPr="008924E0">
        <w:rPr>
          <w:lang w:val="bs-Latn-BA"/>
        </w:rPr>
        <w:t>ispunjeni</w:t>
      </w:r>
      <w:r w:rsidRPr="008924E0">
        <w:rPr>
          <w:lang w:val="bs-Latn-BA"/>
        </w:rPr>
        <w:t xml:space="preserve"> </w:t>
      </w:r>
      <w:r w:rsidR="00540A41">
        <w:rPr>
          <w:lang w:val="bs-Latn-BA"/>
        </w:rPr>
        <w:t>uvjet</w:t>
      </w:r>
      <w:r w:rsidRPr="008924E0">
        <w:rPr>
          <w:lang w:val="bs-Latn-BA"/>
        </w:rPr>
        <w:t xml:space="preserve">i termalnog komfora, te indikatori postojanja visokog procenta </w:t>
      </w:r>
      <w:r w:rsidR="0091757B">
        <w:rPr>
          <w:lang w:val="bs-Latn-BA"/>
        </w:rPr>
        <w:t>energij</w:t>
      </w:r>
      <w:r w:rsidRPr="008924E0">
        <w:rPr>
          <w:lang w:val="bs-Latn-BA"/>
        </w:rPr>
        <w:t xml:space="preserve">ski siromašnih domaćinstava FBiH. </w:t>
      </w:r>
    </w:p>
    <w:p w14:paraId="6A9FE998" w14:textId="4298EE1F" w:rsidR="00DE711C" w:rsidRPr="008924E0" w:rsidRDefault="00DE711C" w:rsidP="00DE711C">
      <w:pPr>
        <w:spacing w:line="240" w:lineRule="auto"/>
        <w:rPr>
          <w:b/>
          <w:lang w:val="bs-Latn-BA"/>
        </w:rPr>
      </w:pPr>
      <w:r w:rsidRPr="008924E0">
        <w:rPr>
          <w:b/>
          <w:lang w:val="bs-Latn-BA"/>
        </w:rPr>
        <w:t xml:space="preserve">Trenutno stanje u FBiH sa aspekta </w:t>
      </w:r>
      <w:r w:rsidR="0091757B">
        <w:rPr>
          <w:b/>
          <w:lang w:val="bs-Latn-BA"/>
        </w:rPr>
        <w:t>energij</w:t>
      </w:r>
      <w:r w:rsidRPr="008924E0">
        <w:rPr>
          <w:b/>
          <w:lang w:val="bs-Latn-BA"/>
        </w:rPr>
        <w:t>skog siromaštva u FBiH</w:t>
      </w:r>
    </w:p>
    <w:p w14:paraId="62986FA8" w14:textId="07322D4F" w:rsidR="00DE711C" w:rsidRPr="008924E0" w:rsidRDefault="00DE711C" w:rsidP="00DE711C">
      <w:pPr>
        <w:rPr>
          <w:color w:val="000000"/>
          <w:lang w:val="bs-Latn-BA"/>
        </w:rPr>
      </w:pPr>
      <w:r w:rsidRPr="008924E0">
        <w:rPr>
          <w:lang w:val="bs-Latn-BA"/>
        </w:rPr>
        <w:t xml:space="preserve">Programi i projekti povećanja energijske efikasnosti koji obuhvataju energijsku </w:t>
      </w:r>
      <w:r w:rsidR="00712E17">
        <w:rPr>
          <w:color w:val="000000"/>
          <w:lang w:val="bs-Latn-BA"/>
        </w:rPr>
        <w:t>obnovu</w:t>
      </w:r>
      <w:r w:rsidRPr="008924E0">
        <w:rPr>
          <w:color w:val="000000"/>
          <w:lang w:val="bs-Latn-BA"/>
        </w:rPr>
        <w:t xml:space="preserve"> javnih objekata, a koje koriste građani svih socijalnih kategorija, bilježe realizaciju na području FBiH. Projekti koji se odnose na su</w:t>
      </w:r>
      <w:r w:rsidR="007B690C">
        <w:rPr>
          <w:color w:val="000000"/>
          <w:lang w:val="bs-Latn-BA"/>
        </w:rPr>
        <w:t>financ</w:t>
      </w:r>
      <w:r w:rsidRPr="008924E0">
        <w:rPr>
          <w:color w:val="000000"/>
          <w:lang w:val="bs-Latn-BA"/>
        </w:rPr>
        <w:t xml:space="preserve">iranje mjera energijske efikasnosti za zgrade individualnog i kolektivnog stanovanja u FBiH, nisu prisutni u značajnoj mjeri niti bilježe značajne rezultate. Jedan od razloga su ograničena </w:t>
      </w:r>
      <w:r w:rsidR="007B690C">
        <w:rPr>
          <w:color w:val="000000"/>
          <w:lang w:val="bs-Latn-BA"/>
        </w:rPr>
        <w:t>financ</w:t>
      </w:r>
      <w:r w:rsidRPr="008924E0">
        <w:rPr>
          <w:color w:val="000000"/>
          <w:lang w:val="bs-Latn-BA"/>
        </w:rPr>
        <w:t xml:space="preserve">ijska sredstva kojima raspolažu domaćinstva </w:t>
      </w:r>
      <w:r w:rsidRPr="008924E0">
        <w:rPr>
          <w:lang w:val="bs-Latn-BA"/>
        </w:rPr>
        <w:t xml:space="preserve">u stanju socijalne potrebe i </w:t>
      </w:r>
      <w:r w:rsidR="0091757B">
        <w:rPr>
          <w:lang w:val="bs-Latn-BA"/>
        </w:rPr>
        <w:t>energij</w:t>
      </w:r>
      <w:r w:rsidRPr="008924E0">
        <w:rPr>
          <w:lang w:val="bs-Latn-BA"/>
        </w:rPr>
        <w:t>ski siromašna domaćinstva</w:t>
      </w:r>
      <w:r w:rsidRPr="008924E0">
        <w:rPr>
          <w:color w:val="000000"/>
          <w:lang w:val="bs-Latn-BA"/>
        </w:rPr>
        <w:t xml:space="preserve"> koja ne mogu obezb</w:t>
      </w:r>
      <w:r w:rsidR="00C0572F">
        <w:rPr>
          <w:color w:val="000000"/>
          <w:lang w:val="bs-Latn-BA"/>
        </w:rPr>
        <w:t>i</w:t>
      </w:r>
      <w:r w:rsidRPr="008924E0">
        <w:rPr>
          <w:color w:val="000000"/>
          <w:lang w:val="bs-Latn-BA"/>
        </w:rPr>
        <w:t>jediti su</w:t>
      </w:r>
      <w:r w:rsidR="007B690C">
        <w:rPr>
          <w:color w:val="000000"/>
          <w:lang w:val="bs-Latn-BA"/>
        </w:rPr>
        <w:t>financ</w:t>
      </w:r>
      <w:r w:rsidRPr="008924E0">
        <w:rPr>
          <w:color w:val="000000"/>
          <w:lang w:val="bs-Latn-BA"/>
        </w:rPr>
        <w:t xml:space="preserve">iranje za provođenje mjera energijske efikasnosti. Kada se govori o specifičnim politikama i pravnim aktima za poboljšanje energijske efikasnosti usmjerene na domaćinstva sa niskim prihodima, takve politike i mjere na nivou FBiH nisu stupile na snagu. </w:t>
      </w:r>
    </w:p>
    <w:p w14:paraId="0D006F87" w14:textId="20AF5F87" w:rsidR="00DE711C" w:rsidRPr="008924E0" w:rsidRDefault="00DE711C" w:rsidP="00DE711C">
      <w:pPr>
        <w:rPr>
          <w:lang w:val="bs-Latn-BA"/>
        </w:rPr>
      </w:pPr>
      <w:r w:rsidRPr="008924E0">
        <w:rPr>
          <w:lang w:val="bs-Latn-BA"/>
        </w:rPr>
        <w:t xml:space="preserve">Određeni pomaci u usklađivanju zakonodavstva BiH sa pravnom stečevinom EU u vezi ublažavanja </w:t>
      </w:r>
      <w:r w:rsidR="0091757B">
        <w:rPr>
          <w:lang w:val="bs-Latn-BA"/>
        </w:rPr>
        <w:t>energij</w:t>
      </w:r>
      <w:r w:rsidRPr="008924E0">
        <w:rPr>
          <w:lang w:val="bs-Latn-BA"/>
        </w:rPr>
        <w:t xml:space="preserve">skog siromaštva napravljeni su kroz uvođenje kategorija kao što su: </w:t>
      </w:r>
      <w:r w:rsidR="0091757B">
        <w:rPr>
          <w:lang w:val="bs-Latn-BA"/>
        </w:rPr>
        <w:t>energij</w:t>
      </w:r>
      <w:r w:rsidRPr="008924E0">
        <w:rPr>
          <w:lang w:val="bs-Latn-BA"/>
        </w:rPr>
        <w:t xml:space="preserve">ski ranjivi i </w:t>
      </w:r>
      <w:r w:rsidR="0091757B">
        <w:rPr>
          <w:lang w:val="bs-Latn-BA"/>
        </w:rPr>
        <w:t>energij</w:t>
      </w:r>
      <w:r w:rsidRPr="008924E0">
        <w:rPr>
          <w:lang w:val="bs-Latn-BA"/>
        </w:rPr>
        <w:t xml:space="preserve">ski zaštićeni potrošač koji se koriste naizmjenično u dokumentima na različitim nivoima vlasti, međutim definicija pojma </w:t>
      </w:r>
      <w:r w:rsidR="0091757B">
        <w:rPr>
          <w:lang w:val="bs-Latn-BA"/>
        </w:rPr>
        <w:t>energij</w:t>
      </w:r>
      <w:r w:rsidRPr="008924E0">
        <w:rPr>
          <w:lang w:val="bs-Latn-BA"/>
        </w:rPr>
        <w:t xml:space="preserve">skog siromaštva i </w:t>
      </w:r>
      <w:r w:rsidR="00540A41">
        <w:rPr>
          <w:lang w:val="bs-Latn-BA"/>
        </w:rPr>
        <w:t>uvjet</w:t>
      </w:r>
      <w:r w:rsidRPr="008924E0">
        <w:rPr>
          <w:lang w:val="bs-Latn-BA"/>
        </w:rPr>
        <w:t xml:space="preserve">i prema kojima se domaćinstvo karakteriše kao </w:t>
      </w:r>
      <w:r w:rsidR="0091757B">
        <w:rPr>
          <w:lang w:val="bs-Latn-BA"/>
        </w:rPr>
        <w:t>energij</w:t>
      </w:r>
      <w:r w:rsidRPr="008924E0">
        <w:rPr>
          <w:lang w:val="bs-Latn-BA"/>
        </w:rPr>
        <w:t xml:space="preserve">ski siromašno, nisu </w:t>
      </w:r>
      <w:r w:rsidR="00AB786E">
        <w:rPr>
          <w:lang w:val="bs-Latn-BA"/>
        </w:rPr>
        <w:t>definirani</w:t>
      </w:r>
      <w:r w:rsidRPr="008924E0">
        <w:rPr>
          <w:lang w:val="bs-Latn-BA"/>
        </w:rPr>
        <w:t>.  Na nivou FBiH, u l</w:t>
      </w:r>
      <w:r w:rsidRPr="008924E0">
        <w:rPr>
          <w:color w:val="000000"/>
          <w:highlight w:val="white"/>
          <w:lang w:val="bs-Latn-BA"/>
        </w:rPr>
        <w:t xml:space="preserve">isti prioriteta </w:t>
      </w:r>
      <w:r w:rsidRPr="008924E0">
        <w:rPr>
          <w:lang w:val="bs-Latn-BA"/>
        </w:rPr>
        <w:t>Strategije razvoja Federacije Bosne i Hercegovine</w:t>
      </w:r>
      <w:r w:rsidRPr="008924E0">
        <w:rPr>
          <w:color w:val="000000"/>
          <w:highlight w:val="white"/>
          <w:lang w:val="bs-Latn-BA"/>
        </w:rPr>
        <w:t xml:space="preserve"> 2021-2027, navedena je </w:t>
      </w:r>
      <w:r w:rsidR="00F03625">
        <w:rPr>
          <w:color w:val="000000"/>
          <w:highlight w:val="white"/>
          <w:lang w:val="bs-Latn-BA"/>
        </w:rPr>
        <w:t>obvez</w:t>
      </w:r>
      <w:r w:rsidRPr="008924E0">
        <w:rPr>
          <w:color w:val="000000"/>
          <w:highlight w:val="white"/>
          <w:lang w:val="bs-Latn-BA"/>
        </w:rPr>
        <w:t xml:space="preserve">a osiguranja socijalnih programa </w:t>
      </w:r>
      <w:r w:rsidRPr="008924E0">
        <w:rPr>
          <w:lang w:val="bs-Latn-BA"/>
        </w:rPr>
        <w:t xml:space="preserve">za smanjivanje </w:t>
      </w:r>
      <w:r w:rsidR="0091757B">
        <w:rPr>
          <w:lang w:val="bs-Latn-BA"/>
        </w:rPr>
        <w:t>energij</w:t>
      </w:r>
      <w:r w:rsidRPr="008924E0">
        <w:rPr>
          <w:lang w:val="bs-Latn-BA"/>
        </w:rPr>
        <w:t xml:space="preserve">skog siromaštva. Strategija navodi potrebu planiranja i provedbe programa socijalne zaštite za ugrožene potrošače, kao način smanjenja </w:t>
      </w:r>
      <w:r w:rsidR="0091757B">
        <w:rPr>
          <w:lang w:val="bs-Latn-BA"/>
        </w:rPr>
        <w:t>energij</w:t>
      </w:r>
      <w:r w:rsidRPr="008924E0">
        <w:rPr>
          <w:lang w:val="bs-Latn-BA"/>
        </w:rPr>
        <w:t xml:space="preserve">skog siromaštva. Ključni alati su provođenje mjera energijske efikasnosti te razmatranje, izrada i implementacija socijalnog akcionog plana u oblasti </w:t>
      </w:r>
      <w:r w:rsidR="0091757B">
        <w:rPr>
          <w:lang w:val="bs-Latn-BA"/>
        </w:rPr>
        <w:t>energet</w:t>
      </w:r>
      <w:r w:rsidR="0091757B" w:rsidRPr="008924E0">
        <w:rPr>
          <w:lang w:val="bs-Latn-BA"/>
        </w:rPr>
        <w:t>ike</w:t>
      </w:r>
      <w:r w:rsidRPr="008924E0">
        <w:rPr>
          <w:lang w:val="bs-Latn-BA"/>
        </w:rPr>
        <w:t xml:space="preserve"> u FBiH koji obuhvata identificiranje </w:t>
      </w:r>
      <w:r w:rsidR="00A3514D" w:rsidRPr="008924E0">
        <w:rPr>
          <w:lang w:val="bs-Latn-BA"/>
        </w:rPr>
        <w:t>energ</w:t>
      </w:r>
      <w:r w:rsidR="00A3514D">
        <w:rPr>
          <w:lang w:val="bs-Latn-BA"/>
        </w:rPr>
        <w:t>ijski</w:t>
      </w:r>
      <w:r w:rsidR="00A3514D" w:rsidRPr="008924E0">
        <w:rPr>
          <w:lang w:val="bs-Latn-BA"/>
        </w:rPr>
        <w:t xml:space="preserve"> </w:t>
      </w:r>
      <w:r w:rsidRPr="008924E0">
        <w:rPr>
          <w:lang w:val="bs-Latn-BA"/>
        </w:rPr>
        <w:t xml:space="preserve">siromašnih domaćinstva, donošenje i provedbu programa socijalne zaštite ugroženih kupaca električne energije, povećanje </w:t>
      </w:r>
      <w:r w:rsidR="007B690C">
        <w:rPr>
          <w:lang w:val="bs-Latn-BA"/>
        </w:rPr>
        <w:t>financ</w:t>
      </w:r>
      <w:r w:rsidRPr="008924E0">
        <w:rPr>
          <w:lang w:val="bs-Latn-BA"/>
        </w:rPr>
        <w:t>ijskih  sredstava u budžetima iz kojih bi se vršilo su</w:t>
      </w:r>
      <w:r w:rsidR="007B690C">
        <w:rPr>
          <w:lang w:val="bs-Latn-BA"/>
        </w:rPr>
        <w:t>financ</w:t>
      </w:r>
      <w:r w:rsidRPr="008924E0">
        <w:rPr>
          <w:lang w:val="bs-Latn-BA"/>
        </w:rPr>
        <w:t xml:space="preserve">iranje te veći  nivo informisanja lokalnih aktera o ciljevima i planovima </w:t>
      </w:r>
      <w:r w:rsidR="0091757B">
        <w:rPr>
          <w:lang w:val="bs-Latn-BA"/>
        </w:rPr>
        <w:t>energij</w:t>
      </w:r>
      <w:r w:rsidRPr="008924E0">
        <w:rPr>
          <w:lang w:val="bs-Latn-BA"/>
        </w:rPr>
        <w:t xml:space="preserve">ske tranzicije. Prema Strategiji razvoja FBiH, prilikom provođenja mjera </w:t>
      </w:r>
      <w:r w:rsidR="0091757B">
        <w:rPr>
          <w:lang w:val="bs-Latn-BA"/>
        </w:rPr>
        <w:t>energij</w:t>
      </w:r>
      <w:r w:rsidRPr="008924E0">
        <w:rPr>
          <w:lang w:val="bs-Latn-BA"/>
        </w:rPr>
        <w:t xml:space="preserve">ske efikasnosti prioritet  treba biti na objektima javne infrastrukture - škole, bolnice i socijalne ustanove, čime se  osigurava da socijalno ugrožene grupe imaju direktne koristi od mjera </w:t>
      </w:r>
      <w:r w:rsidR="0091757B">
        <w:rPr>
          <w:lang w:val="bs-Latn-BA"/>
        </w:rPr>
        <w:t>energij</w:t>
      </w:r>
      <w:r w:rsidRPr="008924E0">
        <w:rPr>
          <w:lang w:val="bs-Latn-BA"/>
        </w:rPr>
        <w:t>ske tranzicije.</w:t>
      </w:r>
    </w:p>
    <w:p w14:paraId="64C34C4E" w14:textId="5D486C99" w:rsidR="00DE711C" w:rsidRPr="008924E0" w:rsidRDefault="00DE711C" w:rsidP="00DE711C">
      <w:pPr>
        <w:rPr>
          <w:lang w:val="bs-Latn-BA"/>
        </w:rPr>
      </w:pPr>
      <w:r w:rsidRPr="008924E0">
        <w:rPr>
          <w:lang w:val="bs-Latn-BA"/>
        </w:rPr>
        <w:lastRenderedPageBreak/>
        <w:t xml:space="preserve">Kao mjere koje se nude građanima FBiH, a koje se mogu svrstati pod mjere za ublažavanje </w:t>
      </w:r>
      <w:r w:rsidR="0091757B">
        <w:rPr>
          <w:lang w:val="bs-Latn-BA"/>
        </w:rPr>
        <w:t>energij</w:t>
      </w:r>
      <w:r w:rsidRPr="008924E0">
        <w:rPr>
          <w:lang w:val="bs-Latn-BA"/>
        </w:rPr>
        <w:t>skog siromaštva, u FBiH su na snazi mjere subvencioniranja troškova energije i energenata. U aspektu potrošnje električne energije, u Zakonu o električnoj energiji Federacije Bosne i Hercegovine iz 2014., propisano je donošenje Programa zaštite ugroženih kupaca u okviru Elektroenergetske strategije FBiH. Vlada Federacije BiH je</w:t>
      </w:r>
      <w:r w:rsidR="00CD02E0">
        <w:rPr>
          <w:lang w:val="bs-Latn-BA"/>
        </w:rPr>
        <w:t xml:space="preserve"> </w:t>
      </w:r>
      <w:r w:rsidRPr="008924E0">
        <w:rPr>
          <w:lang w:val="bs-Latn-BA"/>
        </w:rPr>
        <w:t>2015. godine, donijela </w:t>
      </w:r>
      <w:r w:rsidR="00000000">
        <w:fldChar w:fldCharType="begin"/>
      </w:r>
      <w:r w:rsidR="00000000" w:rsidRPr="001972F5">
        <w:rPr>
          <w:lang w:val="bs-Latn-BA"/>
        </w:rPr>
        <w:instrText>HYPERLINK "http://www.fbihvlada.gov.ba/bosanski/zakoni/2015/rjesenja/60.html"</w:instrText>
      </w:r>
      <w:r w:rsidR="00000000">
        <w:fldChar w:fldCharType="separate"/>
      </w:r>
      <w:r w:rsidRPr="00A618B6">
        <w:rPr>
          <w:rStyle w:val="Hyperlink"/>
          <w:color w:val="auto"/>
          <w:u w:val="none"/>
          <w:lang w:val="bs-Latn-BA"/>
        </w:rPr>
        <w:t>Rješenje o imenovanju komisije za izradu nacrta Programa za zaštitu ugroženih kupaca električne energije iz kategorije potrošnje domaćinstava u FBiH</w:t>
      </w:r>
      <w:r w:rsidR="00000000">
        <w:rPr>
          <w:rStyle w:val="Hyperlink"/>
          <w:color w:val="auto"/>
          <w:u w:val="none"/>
          <w:lang w:val="bs-Latn-BA"/>
        </w:rPr>
        <w:fldChar w:fldCharType="end"/>
      </w:r>
      <w:r w:rsidRPr="00747835">
        <w:rPr>
          <w:lang w:val="bs-Latn-BA"/>
        </w:rPr>
        <w:t>,</w:t>
      </w:r>
      <w:r w:rsidRPr="008924E0">
        <w:rPr>
          <w:lang w:val="bs-Latn-BA"/>
        </w:rPr>
        <w:t xml:space="preserve"> međutim ovaj program još uvijek nije stupio na snagu na području FBiH. U nedostatku naprijed navedenog programa Vlada FBiH donijela je Odluku o provedbi mjera za smanjenje troškova električne energije domaćinstvima i stimulaciji primjene mjera </w:t>
      </w:r>
      <w:r w:rsidR="0091757B">
        <w:rPr>
          <w:lang w:val="bs-Latn-BA"/>
        </w:rPr>
        <w:t>energij</w:t>
      </w:r>
      <w:r w:rsidRPr="008924E0">
        <w:rPr>
          <w:lang w:val="bs-Latn-BA"/>
        </w:rPr>
        <w:t xml:space="preserve">ske efikasnosti. Prema Odluci, pravo na subvencioniranje troškova električne energije imaju određene kategorije penzionera i korisnici stalne novčane pomoći. FBiH nema organizirani program zaštite kupaca prirodnog </w:t>
      </w:r>
      <w:r w:rsidR="000934E2">
        <w:rPr>
          <w:lang w:val="bs-Latn-BA"/>
        </w:rPr>
        <w:t>plina</w:t>
      </w:r>
      <w:r w:rsidRPr="008924E0">
        <w:rPr>
          <w:lang w:val="bs-Latn-BA"/>
        </w:rPr>
        <w:t xml:space="preserve"> niti drugih energenata. Na području Kantona Sarajevo je propisano subvencioniranje troškova grijanja, za domaćinstva u stanju socijalne potrebe, prema Uredbi o subvencioniranju troškova grijanja. Prema Uredbi, pod troškovima grijanja smatraju se troškovi centralnog grijanja, prirodnog plina, električne energije i čvrstog goriva, a subvencioniraju se troškovi grijanja samo jedne vrste energenta. Navedenom Uredbom priznaje se pravo na subvencioniranje troškova grijanja u sezoni grijanja, te se uređuju </w:t>
      </w:r>
      <w:r w:rsidR="00540A41">
        <w:rPr>
          <w:lang w:val="bs-Latn-BA"/>
        </w:rPr>
        <w:t>uvjet</w:t>
      </w:r>
      <w:r w:rsidRPr="008924E0">
        <w:rPr>
          <w:lang w:val="bs-Latn-BA"/>
        </w:rPr>
        <w:t xml:space="preserve">i, način i postupak za ostvarivanje prava za dobivanje sredstava za </w:t>
      </w:r>
      <w:r w:rsidR="007B690C">
        <w:rPr>
          <w:lang w:val="bs-Latn-BA"/>
        </w:rPr>
        <w:t>financ</w:t>
      </w:r>
      <w:r w:rsidRPr="008924E0">
        <w:rPr>
          <w:lang w:val="bs-Latn-BA"/>
        </w:rPr>
        <w:t xml:space="preserve">iranje troškova grijanja. Korisnici subvencioniranja troškova grijanja su članovi zajedničkog domaćinstva u stanju socijalne potrebe. Kanton Sarajevo je 2019. godine uveo i dodatne subvencije za prirodni plin kako bi ublažio uticaj povećanih cijena plina i zadržao iste cijene za krajnje korisnike. </w:t>
      </w:r>
    </w:p>
    <w:p w14:paraId="1D58BF8F" w14:textId="2E5C7E4A" w:rsidR="00DE711C" w:rsidRPr="008924E0" w:rsidRDefault="00540A41" w:rsidP="00DE711C">
      <w:pPr>
        <w:widowControl w:val="0"/>
        <w:rPr>
          <w:lang w:val="bs-Latn-BA"/>
        </w:rPr>
      </w:pPr>
      <w:r>
        <w:rPr>
          <w:lang w:val="bs-Latn-BA"/>
        </w:rPr>
        <w:t>Uvjet</w:t>
      </w:r>
      <w:r w:rsidR="00DE711C" w:rsidRPr="008924E0">
        <w:rPr>
          <w:lang w:val="bs-Latn-BA"/>
        </w:rPr>
        <w:t xml:space="preserve">i prema kojima kupci energije i energenata u FBiH mogu pristupiti programima subvencioniranja, su pretežno bazirani na ekonomskim, a ne </w:t>
      </w:r>
      <w:r w:rsidR="0091757B">
        <w:rPr>
          <w:lang w:val="bs-Latn-BA"/>
        </w:rPr>
        <w:t>energij</w:t>
      </w:r>
      <w:r w:rsidR="00DE711C" w:rsidRPr="008924E0">
        <w:rPr>
          <w:lang w:val="bs-Latn-BA"/>
        </w:rPr>
        <w:t xml:space="preserve">skim </w:t>
      </w:r>
      <w:r>
        <w:rPr>
          <w:lang w:val="bs-Latn-BA"/>
        </w:rPr>
        <w:t>uvjet</w:t>
      </w:r>
      <w:r w:rsidR="00DE711C" w:rsidRPr="008924E0">
        <w:rPr>
          <w:lang w:val="bs-Latn-BA"/>
        </w:rPr>
        <w:t>ima, bez integri</w:t>
      </w:r>
      <w:r w:rsidR="00A3514D">
        <w:rPr>
          <w:lang w:val="bs-Latn-BA"/>
        </w:rPr>
        <w:t>ranih</w:t>
      </w:r>
      <w:r w:rsidR="00DE711C" w:rsidRPr="008924E0">
        <w:rPr>
          <w:lang w:val="bs-Latn-BA"/>
        </w:rPr>
        <w:t xml:space="preserve"> Preporuka o </w:t>
      </w:r>
      <w:r w:rsidR="0091757B">
        <w:rPr>
          <w:lang w:val="bs-Latn-BA"/>
        </w:rPr>
        <w:t>energij</w:t>
      </w:r>
      <w:r w:rsidR="00DE711C" w:rsidRPr="008924E0">
        <w:rPr>
          <w:lang w:val="bs-Latn-BA"/>
        </w:rPr>
        <w:t xml:space="preserve">skom siromaštvu. Zbog toga je neophodan razvoj metodologije kojom se određuje status </w:t>
      </w:r>
      <w:r w:rsidR="0091757B">
        <w:rPr>
          <w:lang w:val="bs-Latn-BA"/>
        </w:rPr>
        <w:t>energij</w:t>
      </w:r>
      <w:r w:rsidR="00DE711C" w:rsidRPr="008924E0">
        <w:rPr>
          <w:lang w:val="bs-Latn-BA"/>
        </w:rPr>
        <w:t>ski siromašnog kupca, te razvoj mjera i programa za odgovarajuće kategorije. Takođe</w:t>
      </w:r>
      <w:r w:rsidR="00C0572F">
        <w:rPr>
          <w:lang w:val="bs-Latn-BA"/>
        </w:rPr>
        <w:t>r</w:t>
      </w:r>
      <w:r w:rsidR="00DE711C" w:rsidRPr="008924E0">
        <w:rPr>
          <w:lang w:val="bs-Latn-BA"/>
        </w:rPr>
        <w:t xml:space="preserve">, nisu sve mjere podjednako zastupljene na području FBiH, niti predložene mjere utiču na smanjenje potreba za energijom domaćinstava, već samo na redukciju troškova za energiju i energente koje snose domaćinstva. Kao rezultat, mjere ne pridonose otklanjanju posljedica života u neadekvatnim </w:t>
      </w:r>
      <w:r>
        <w:rPr>
          <w:lang w:val="bs-Latn-BA"/>
        </w:rPr>
        <w:t>uvjet</w:t>
      </w:r>
      <w:r w:rsidR="00DE711C" w:rsidRPr="008924E0">
        <w:rPr>
          <w:lang w:val="bs-Latn-BA"/>
        </w:rPr>
        <w:t xml:space="preserve">ima stanovanja niti korištenje neadekvatnih i često nedovoljnih energetskih usluga. </w:t>
      </w:r>
    </w:p>
    <w:p w14:paraId="70B98865" w14:textId="77777777" w:rsidR="00DE711C" w:rsidRPr="008924E0" w:rsidRDefault="00DE711C" w:rsidP="00DE711C">
      <w:pPr>
        <w:spacing w:line="240" w:lineRule="auto"/>
        <w:rPr>
          <w:b/>
          <w:lang w:val="bs-Latn-BA"/>
        </w:rPr>
      </w:pPr>
      <w:r w:rsidRPr="008924E0">
        <w:rPr>
          <w:b/>
          <w:lang w:val="bs-Latn-BA"/>
        </w:rPr>
        <w:t>Efekti Strategije obnove zgrada u Federaciji Bosne i Hercegovine do 2050. godine</w:t>
      </w:r>
    </w:p>
    <w:p w14:paraId="1128EBBD" w14:textId="58D5CED4" w:rsidR="00DE711C" w:rsidRPr="008924E0" w:rsidRDefault="00DE711C" w:rsidP="00DE711C">
      <w:pPr>
        <w:rPr>
          <w:lang w:val="bs-Latn-BA"/>
        </w:rPr>
      </w:pPr>
      <w:r w:rsidRPr="008924E0">
        <w:rPr>
          <w:lang w:val="bs-Latn-BA"/>
        </w:rPr>
        <w:t xml:space="preserve">Energijska </w:t>
      </w:r>
      <w:r w:rsidR="006A5773">
        <w:rPr>
          <w:lang w:val="bs-Latn-BA"/>
        </w:rPr>
        <w:t>obnova</w:t>
      </w:r>
      <w:r w:rsidRPr="008924E0">
        <w:rPr>
          <w:lang w:val="bs-Latn-BA"/>
        </w:rPr>
        <w:t xml:space="preserve"> stambenog fonda će, osim smanjenja potrošnje energije stambenog fonda, povećanja udjela obnovljivih izvora energije u sistemu snabdijevanja, rezultirati i poboljšanjem nivoa stambenog komfora i nižim troškovima za energiju i energente. Osim energetskih i ekonomskih efekata, očekuju se i značajne društvene koristi i pozitivni efekti na zdravlje korisnika zgrada kao rezultat poboljšanja karakteristika elemenata ovojnice zgrada, smanjenja izloženosti hladnom zraku, buđi i kondenzaciji, te povećanje unutrašnje temperature unutar grijanih prostora. </w:t>
      </w:r>
    </w:p>
    <w:p w14:paraId="69E87458" w14:textId="2D659CF3" w:rsidR="00DE711C" w:rsidRPr="008924E0" w:rsidRDefault="00DE711C" w:rsidP="00DE711C">
      <w:pPr>
        <w:rPr>
          <w:lang w:val="bs-Latn-BA"/>
        </w:rPr>
      </w:pPr>
      <w:r w:rsidRPr="008924E0">
        <w:rPr>
          <w:lang w:val="bs-Latn-BA"/>
        </w:rPr>
        <w:t xml:space="preserve">Efekat energijske </w:t>
      </w:r>
      <w:r w:rsidR="006A5773">
        <w:rPr>
          <w:lang w:val="bs-Latn-BA"/>
        </w:rPr>
        <w:t>obnove</w:t>
      </w:r>
      <w:r w:rsidRPr="008924E0">
        <w:rPr>
          <w:lang w:val="bs-Latn-BA"/>
        </w:rPr>
        <w:t xml:space="preserve"> na kategoriju </w:t>
      </w:r>
      <w:r w:rsidR="0091757B">
        <w:rPr>
          <w:lang w:val="bs-Latn-BA"/>
        </w:rPr>
        <w:t>energij</w:t>
      </w:r>
      <w:r w:rsidRPr="008924E0">
        <w:rPr>
          <w:lang w:val="bs-Latn-BA"/>
        </w:rPr>
        <w:t xml:space="preserve">ski siromašnih domaćinstava u ovom trenutku nije moguće procijeniti jer u FBiH nisu </w:t>
      </w:r>
      <w:r w:rsidR="00AB786E">
        <w:rPr>
          <w:lang w:val="bs-Latn-BA"/>
        </w:rPr>
        <w:t>definirani</w:t>
      </w:r>
      <w:r w:rsidRPr="008924E0">
        <w:rPr>
          <w:lang w:val="bs-Latn-BA"/>
        </w:rPr>
        <w:t xml:space="preserve"> </w:t>
      </w:r>
      <w:r w:rsidR="00540A41">
        <w:rPr>
          <w:lang w:val="bs-Latn-BA"/>
        </w:rPr>
        <w:t>uvjet</w:t>
      </w:r>
      <w:r w:rsidRPr="008924E0">
        <w:rPr>
          <w:lang w:val="bs-Latn-BA"/>
        </w:rPr>
        <w:t xml:space="preserve">i niti metodologija kojima se domaćinstvo karakteriše kao </w:t>
      </w:r>
      <w:r w:rsidR="0091757B">
        <w:rPr>
          <w:lang w:val="bs-Latn-BA"/>
        </w:rPr>
        <w:t>energij</w:t>
      </w:r>
      <w:r w:rsidRPr="008924E0">
        <w:rPr>
          <w:lang w:val="bs-Latn-BA"/>
        </w:rPr>
        <w:t xml:space="preserve">ski siromašno, ne postoji procjena broja domaćinstava u </w:t>
      </w:r>
      <w:r w:rsidR="0091757B">
        <w:rPr>
          <w:lang w:val="bs-Latn-BA"/>
        </w:rPr>
        <w:t>energij</w:t>
      </w:r>
      <w:r w:rsidRPr="008924E0">
        <w:rPr>
          <w:lang w:val="bs-Latn-BA"/>
        </w:rPr>
        <w:t xml:space="preserve">skom siromaštva niti je moguće integrisati kriterije </w:t>
      </w:r>
      <w:r w:rsidR="0091757B">
        <w:rPr>
          <w:lang w:val="bs-Latn-BA"/>
        </w:rPr>
        <w:t>energij</w:t>
      </w:r>
      <w:r w:rsidRPr="008924E0">
        <w:rPr>
          <w:lang w:val="bs-Latn-BA"/>
        </w:rPr>
        <w:t>skog siromaštva u programe energijske obnove individualnih zgrada i zgrada kolektivnog stanovanja u FBiH.</w:t>
      </w:r>
    </w:p>
    <w:p w14:paraId="15C44723" w14:textId="0270E202" w:rsidR="00DE711C" w:rsidRPr="008924E0" w:rsidRDefault="00DE711C" w:rsidP="00DE711C">
      <w:pPr>
        <w:ind w:right="32"/>
        <w:rPr>
          <w:color w:val="000000"/>
          <w:lang w:val="bs-Latn-BA"/>
        </w:rPr>
      </w:pPr>
      <w:r w:rsidRPr="008924E0">
        <w:rPr>
          <w:lang w:val="bs-Latn-BA"/>
        </w:rPr>
        <w:t>Zbog navedenog je neophodno izraditi i usvojiti</w:t>
      </w:r>
      <w:r w:rsidRPr="008924E0">
        <w:rPr>
          <w:color w:val="000000"/>
          <w:lang w:val="bs-Latn-BA"/>
        </w:rPr>
        <w:t xml:space="preserve"> „Program suzbijanja energijskog siromaštva koji uključuje korištenje obnovljivih izvora energije u stambenim zgradama za posebno ugrožene kategorije stanovništva, za period do 2030. godine“, uz kontinuirano ažuriranje. </w:t>
      </w:r>
      <w:r w:rsidRPr="008924E0">
        <w:rPr>
          <w:lang w:val="bs-Latn-BA"/>
        </w:rPr>
        <w:t xml:space="preserve">Potrebna je provedba </w:t>
      </w:r>
      <w:r w:rsidRPr="008924E0">
        <w:rPr>
          <w:color w:val="000000"/>
          <w:highlight w:val="white"/>
          <w:lang w:val="bs-Latn-BA"/>
        </w:rPr>
        <w:t xml:space="preserve">socijalnih programa </w:t>
      </w:r>
      <w:r w:rsidRPr="008924E0">
        <w:rPr>
          <w:lang w:val="bs-Latn-BA"/>
        </w:rPr>
        <w:t xml:space="preserve">za smanjivanje </w:t>
      </w:r>
      <w:r w:rsidR="0091757B">
        <w:rPr>
          <w:lang w:val="bs-Latn-BA"/>
        </w:rPr>
        <w:t>energij</w:t>
      </w:r>
      <w:r w:rsidRPr="008924E0">
        <w:rPr>
          <w:lang w:val="bs-Latn-BA"/>
        </w:rPr>
        <w:t>skog siromaštva propisanih Strategijom razvoja Federacije Bosne i Hercegovine</w:t>
      </w:r>
      <w:r w:rsidRPr="008924E0">
        <w:rPr>
          <w:color w:val="000000"/>
          <w:highlight w:val="white"/>
          <w:lang w:val="bs-Latn-BA"/>
        </w:rPr>
        <w:t xml:space="preserve"> 2021-2027. Neoph</w:t>
      </w:r>
      <w:r w:rsidRPr="008924E0">
        <w:rPr>
          <w:highlight w:val="white"/>
          <w:lang w:val="bs-Latn-BA"/>
        </w:rPr>
        <w:t>o</w:t>
      </w:r>
      <w:r w:rsidRPr="008924E0">
        <w:rPr>
          <w:color w:val="000000"/>
          <w:highlight w:val="white"/>
          <w:lang w:val="bs-Latn-BA"/>
        </w:rPr>
        <w:t xml:space="preserve">dno je razviti i uspostaviti </w:t>
      </w:r>
      <w:r w:rsidRPr="008924E0">
        <w:rPr>
          <w:color w:val="000000"/>
          <w:lang w:val="bs-Latn-BA"/>
        </w:rPr>
        <w:t xml:space="preserve">modele </w:t>
      </w:r>
      <w:r w:rsidR="007B690C">
        <w:rPr>
          <w:color w:val="000000"/>
          <w:lang w:val="bs-Latn-BA"/>
        </w:rPr>
        <w:t>financ</w:t>
      </w:r>
      <w:r w:rsidRPr="008924E0">
        <w:rPr>
          <w:color w:val="000000"/>
          <w:lang w:val="bs-Latn-BA"/>
        </w:rPr>
        <w:t xml:space="preserve">iranja provođenja </w:t>
      </w:r>
      <w:r w:rsidRPr="008924E0">
        <w:rPr>
          <w:color w:val="000000"/>
          <w:lang w:val="bs-Latn-BA"/>
        </w:rPr>
        <w:lastRenderedPageBreak/>
        <w:t>mjera EE za posebno ugrožene kategorije stanovništva, te provedba ostalih mjera propisanih u okviru Mjere 1.</w:t>
      </w:r>
      <w:r w:rsidR="003C0473">
        <w:rPr>
          <w:color w:val="000000"/>
          <w:lang w:val="bs-Latn-BA"/>
        </w:rPr>
        <w:t>1.7.</w:t>
      </w:r>
      <w:r w:rsidRPr="008924E0">
        <w:rPr>
          <w:color w:val="000000"/>
          <w:lang w:val="bs-Latn-BA"/>
        </w:rPr>
        <w:t xml:space="preserve"> </w:t>
      </w:r>
    </w:p>
    <w:p w14:paraId="6B4CBF9F" w14:textId="77777777" w:rsidR="00AC2BBC" w:rsidRPr="008924E0" w:rsidRDefault="00AC2BBC" w:rsidP="00AC2BBC">
      <w:pPr>
        <w:rPr>
          <w:lang w:val="bs-Latn-BA"/>
        </w:rPr>
      </w:pPr>
    </w:p>
    <w:p w14:paraId="03EB68AF" w14:textId="77777777" w:rsidR="00157888" w:rsidRPr="008924E0" w:rsidRDefault="00157888" w:rsidP="00B9352D">
      <w:pPr>
        <w:pStyle w:val="NormalWeb"/>
        <w:spacing w:before="120" w:beforeAutospacing="0" w:after="120" w:afterAutospacing="0" w:line="276" w:lineRule="auto"/>
        <w:rPr>
          <w:rFonts w:asciiTheme="minorHAnsi" w:eastAsiaTheme="minorHAnsi" w:hAnsiTheme="minorHAnsi" w:cstheme="minorBidi"/>
          <w:lang w:val="bs-Latn-BA" w:eastAsia="en-US"/>
        </w:rPr>
      </w:pPr>
    </w:p>
    <w:p w14:paraId="6001BAE9" w14:textId="49C38F3A" w:rsidR="00840EE9" w:rsidRPr="008924E0" w:rsidRDefault="00840EE9" w:rsidP="00840EE9">
      <w:pPr>
        <w:tabs>
          <w:tab w:val="left" w:pos="3180"/>
        </w:tabs>
        <w:rPr>
          <w:lang w:val="bs-Latn-BA"/>
        </w:rPr>
      </w:pPr>
    </w:p>
    <w:p w14:paraId="6E5A83D3" w14:textId="21803B1A" w:rsidR="00C52AEF" w:rsidRPr="008924E0" w:rsidRDefault="00C52AEF" w:rsidP="00840EE9">
      <w:pPr>
        <w:tabs>
          <w:tab w:val="left" w:pos="3180"/>
        </w:tabs>
        <w:rPr>
          <w:lang w:val="bs-Latn-BA"/>
        </w:rPr>
      </w:pPr>
    </w:p>
    <w:p w14:paraId="4F681B40" w14:textId="67EA590A" w:rsidR="00C52AEF" w:rsidRPr="008924E0" w:rsidRDefault="00C52AEF" w:rsidP="00840EE9">
      <w:pPr>
        <w:tabs>
          <w:tab w:val="left" w:pos="3180"/>
        </w:tabs>
        <w:rPr>
          <w:lang w:val="bs-Latn-BA"/>
        </w:rPr>
      </w:pPr>
    </w:p>
    <w:p w14:paraId="2466B8F7" w14:textId="13D29787" w:rsidR="00C52AEF" w:rsidRPr="008924E0" w:rsidRDefault="00C52AEF" w:rsidP="00840EE9">
      <w:pPr>
        <w:tabs>
          <w:tab w:val="left" w:pos="3180"/>
        </w:tabs>
        <w:rPr>
          <w:lang w:val="bs-Latn-BA"/>
        </w:rPr>
      </w:pPr>
    </w:p>
    <w:p w14:paraId="110BC793" w14:textId="0BF4085B" w:rsidR="00C52AEF" w:rsidRPr="008924E0" w:rsidRDefault="00C52AEF" w:rsidP="00840EE9">
      <w:pPr>
        <w:tabs>
          <w:tab w:val="left" w:pos="3180"/>
        </w:tabs>
        <w:rPr>
          <w:lang w:val="bs-Latn-BA"/>
        </w:rPr>
      </w:pPr>
    </w:p>
    <w:p w14:paraId="2BF13625" w14:textId="5FB6EDED" w:rsidR="00C52AEF" w:rsidRPr="008924E0" w:rsidRDefault="00C52AEF" w:rsidP="00840EE9">
      <w:pPr>
        <w:tabs>
          <w:tab w:val="left" w:pos="3180"/>
        </w:tabs>
        <w:rPr>
          <w:lang w:val="bs-Latn-BA"/>
        </w:rPr>
      </w:pPr>
    </w:p>
    <w:p w14:paraId="07D277B1" w14:textId="30466591" w:rsidR="00C52AEF" w:rsidRPr="008924E0" w:rsidRDefault="00C52AEF" w:rsidP="00840EE9">
      <w:pPr>
        <w:tabs>
          <w:tab w:val="left" w:pos="3180"/>
        </w:tabs>
        <w:rPr>
          <w:lang w:val="bs-Latn-BA"/>
        </w:rPr>
      </w:pPr>
    </w:p>
    <w:p w14:paraId="17B34239" w14:textId="53003051" w:rsidR="00C52AEF" w:rsidRPr="008924E0" w:rsidRDefault="00C52AEF" w:rsidP="00840EE9">
      <w:pPr>
        <w:tabs>
          <w:tab w:val="left" w:pos="3180"/>
        </w:tabs>
        <w:rPr>
          <w:lang w:val="bs-Latn-BA"/>
        </w:rPr>
      </w:pPr>
    </w:p>
    <w:p w14:paraId="494A6253" w14:textId="45AAEE42" w:rsidR="00C52AEF" w:rsidRPr="008924E0" w:rsidRDefault="00C52AEF" w:rsidP="00840EE9">
      <w:pPr>
        <w:tabs>
          <w:tab w:val="left" w:pos="3180"/>
        </w:tabs>
        <w:rPr>
          <w:lang w:val="bs-Latn-BA"/>
        </w:rPr>
      </w:pPr>
    </w:p>
    <w:p w14:paraId="4983273A" w14:textId="4784C053" w:rsidR="00C52AEF" w:rsidRPr="008924E0" w:rsidRDefault="00C52AEF" w:rsidP="00840EE9">
      <w:pPr>
        <w:tabs>
          <w:tab w:val="left" w:pos="3180"/>
        </w:tabs>
        <w:rPr>
          <w:lang w:val="bs-Latn-BA"/>
        </w:rPr>
      </w:pPr>
    </w:p>
    <w:p w14:paraId="4AD30B57" w14:textId="1D66E49F" w:rsidR="00C52AEF" w:rsidRPr="008924E0" w:rsidRDefault="00C52AEF" w:rsidP="00840EE9">
      <w:pPr>
        <w:tabs>
          <w:tab w:val="left" w:pos="3180"/>
        </w:tabs>
        <w:rPr>
          <w:lang w:val="bs-Latn-BA"/>
        </w:rPr>
      </w:pPr>
    </w:p>
    <w:p w14:paraId="0F5D5D57" w14:textId="0BD28137" w:rsidR="00C52AEF" w:rsidRPr="008924E0" w:rsidRDefault="00C52AEF" w:rsidP="00840EE9">
      <w:pPr>
        <w:tabs>
          <w:tab w:val="left" w:pos="3180"/>
        </w:tabs>
        <w:rPr>
          <w:lang w:val="bs-Latn-BA"/>
        </w:rPr>
      </w:pPr>
    </w:p>
    <w:p w14:paraId="25B3CDB5" w14:textId="7DE77177" w:rsidR="00C52AEF" w:rsidRPr="008924E0" w:rsidRDefault="00C52AEF" w:rsidP="00840EE9">
      <w:pPr>
        <w:tabs>
          <w:tab w:val="left" w:pos="3180"/>
        </w:tabs>
        <w:rPr>
          <w:lang w:val="bs-Latn-BA"/>
        </w:rPr>
      </w:pPr>
    </w:p>
    <w:p w14:paraId="32F8E4D5" w14:textId="116F89F0" w:rsidR="00C52AEF" w:rsidRPr="008924E0" w:rsidRDefault="00C52AEF" w:rsidP="00840EE9">
      <w:pPr>
        <w:tabs>
          <w:tab w:val="left" w:pos="3180"/>
        </w:tabs>
        <w:rPr>
          <w:lang w:val="bs-Latn-BA"/>
        </w:rPr>
      </w:pPr>
    </w:p>
    <w:p w14:paraId="0400FD55" w14:textId="77777777" w:rsidR="00C207B5" w:rsidRDefault="00C207B5">
      <w:pPr>
        <w:rPr>
          <w:rFonts w:ascii="Arial" w:eastAsiaTheme="majorEastAsia" w:hAnsi="Arial" w:cstheme="majorBidi"/>
          <w:b/>
          <w:caps/>
          <w:color w:val="00592E"/>
          <w:sz w:val="28"/>
          <w:szCs w:val="32"/>
          <w:lang w:val="bs-Latn-BA"/>
        </w:rPr>
      </w:pPr>
      <w:r>
        <w:rPr>
          <w:rFonts w:ascii="Arial" w:eastAsiaTheme="majorEastAsia" w:hAnsi="Arial" w:cstheme="majorBidi"/>
          <w:b/>
          <w:caps/>
          <w:color w:val="00592E"/>
          <w:sz w:val="28"/>
          <w:szCs w:val="32"/>
          <w:lang w:val="bs-Latn-BA"/>
        </w:rPr>
        <w:br w:type="page"/>
      </w:r>
    </w:p>
    <w:p w14:paraId="0F0DE6B3" w14:textId="571707F2" w:rsidR="00C52AEF" w:rsidRPr="00CD4A0D" w:rsidRDefault="00C52AEF" w:rsidP="00CD4A0D">
      <w:pPr>
        <w:pStyle w:val="Heading1"/>
        <w:numPr>
          <w:ilvl w:val="0"/>
          <w:numId w:val="0"/>
        </w:numPr>
        <w:rPr>
          <w:lang w:val="bs-Latn-BA"/>
        </w:rPr>
      </w:pPr>
      <w:bookmarkStart w:id="257" w:name="_Toc134011836"/>
      <w:r w:rsidRPr="008924E0">
        <w:rPr>
          <w:lang w:val="bs-Latn-BA"/>
        </w:rPr>
        <w:lastRenderedPageBreak/>
        <w:t xml:space="preserve">ANEKS </w:t>
      </w:r>
      <w:r w:rsidR="00E606B9" w:rsidRPr="008924E0">
        <w:rPr>
          <w:lang w:val="bs-Latn-BA"/>
        </w:rPr>
        <w:t>11.</w:t>
      </w:r>
      <w:r w:rsidR="001A4D88">
        <w:rPr>
          <w:lang w:val="bs-Latn-BA"/>
        </w:rPr>
        <w:t>5</w:t>
      </w:r>
      <w:r w:rsidR="00E606B9" w:rsidRPr="008924E0">
        <w:rPr>
          <w:lang w:val="bs-Latn-BA"/>
        </w:rPr>
        <w:t>.</w:t>
      </w:r>
      <w:bookmarkEnd w:id="257"/>
      <w:r w:rsidRPr="008924E0">
        <w:rPr>
          <w:lang w:val="bs-Latn-BA"/>
        </w:rPr>
        <w:t xml:space="preserve"> </w:t>
      </w:r>
    </w:p>
    <w:p w14:paraId="2358194D" w14:textId="77777777" w:rsidR="00C52AEF" w:rsidRPr="00CD4A0D" w:rsidRDefault="00C52AEF" w:rsidP="00CD4A0D">
      <w:pPr>
        <w:pStyle w:val="Heading2"/>
        <w:numPr>
          <w:ilvl w:val="0"/>
          <w:numId w:val="0"/>
        </w:numPr>
        <w:rPr>
          <w:lang w:val="bs-Latn-BA"/>
        </w:rPr>
      </w:pPr>
      <w:bookmarkStart w:id="258" w:name="_Toc134011837"/>
      <w:r w:rsidRPr="00CD4A0D">
        <w:rPr>
          <w:lang w:val="bs-Latn-BA"/>
        </w:rPr>
        <w:t>Sažet pregled mjera</w:t>
      </w:r>
      <w:bookmarkEnd w:id="258"/>
    </w:p>
    <w:p w14:paraId="4235DD17" w14:textId="77777777" w:rsidR="006D442E" w:rsidRPr="008924E0" w:rsidRDefault="006D442E" w:rsidP="00122946">
      <w:pPr>
        <w:rPr>
          <w:lang w:val="bs-Latn-BA"/>
        </w:rPr>
      </w:pPr>
      <w:r w:rsidRPr="008924E0">
        <w:rPr>
          <w:lang w:val="bs-Latn-BA"/>
        </w:rPr>
        <w:t xml:space="preserve">U procesu izrade Strategije, usvojen je jedan strateški cilj, u okviru kojeg </w:t>
      </w:r>
      <w:r>
        <w:rPr>
          <w:lang w:val="bs-Latn-BA"/>
        </w:rPr>
        <w:t>su</w:t>
      </w:r>
      <w:r w:rsidRPr="008924E0">
        <w:rPr>
          <w:lang w:val="bs-Latn-BA"/>
        </w:rPr>
        <w:t xml:space="preserve"> definiran</w:t>
      </w:r>
      <w:r>
        <w:rPr>
          <w:lang w:val="bs-Latn-BA"/>
        </w:rPr>
        <w:t>a</w:t>
      </w:r>
      <w:r w:rsidRPr="008924E0">
        <w:rPr>
          <w:lang w:val="bs-Latn-BA"/>
        </w:rPr>
        <w:t xml:space="preserve"> </w:t>
      </w:r>
      <w:r>
        <w:rPr>
          <w:lang w:val="bs-Latn-BA"/>
        </w:rPr>
        <w:t>dva (2)</w:t>
      </w:r>
      <w:r w:rsidRPr="008924E0">
        <w:rPr>
          <w:lang w:val="bs-Latn-BA"/>
        </w:rPr>
        <w:t xml:space="preserve"> prioriteta i ukupno</w:t>
      </w:r>
      <w:r>
        <w:rPr>
          <w:lang w:val="bs-Latn-BA"/>
        </w:rPr>
        <w:t xml:space="preserve"> deset</w:t>
      </w:r>
      <w:r w:rsidRPr="008924E0">
        <w:rPr>
          <w:lang w:val="bs-Latn-BA"/>
        </w:rPr>
        <w:t xml:space="preserve"> </w:t>
      </w:r>
      <w:r>
        <w:rPr>
          <w:lang w:val="bs-Latn-BA"/>
        </w:rPr>
        <w:t>(10)</w:t>
      </w:r>
      <w:r w:rsidRPr="008924E0">
        <w:rPr>
          <w:lang w:val="bs-Latn-BA"/>
        </w:rPr>
        <w:t xml:space="preserve"> mjera. Detaljan opis definiranih prioriteta i mjera dat je hronološki u nastavku dokumenta, u skladu sa procijenjenom važnošću i prioritetom pri implementaciji. </w:t>
      </w:r>
    </w:p>
    <w:p w14:paraId="276F92CC" w14:textId="77777777" w:rsidR="006D442E" w:rsidRPr="008924E0" w:rsidRDefault="006D442E" w:rsidP="006D442E">
      <w:pPr>
        <w:rPr>
          <w:lang w:val="bs-Latn-BA"/>
        </w:rPr>
      </w:pPr>
      <w:r w:rsidRPr="008924E0">
        <w:rPr>
          <w:lang w:val="bs-Latn-BA"/>
        </w:rPr>
        <w:t>Kako bi pregled svih prioriteta i mjera definiranih u odnosu na prioritet bio lakši, slijedi sumarni prikaz istih u tabeli ispod.</w:t>
      </w:r>
    </w:p>
    <w:tbl>
      <w:tblPr>
        <w:tblStyle w:val="TableGrid"/>
        <w:tblW w:w="0" w:type="auto"/>
        <w:tblCellMar>
          <w:top w:w="29" w:type="dxa"/>
          <w:bottom w:w="29" w:type="dxa"/>
        </w:tblCellMar>
        <w:tblLook w:val="04A0" w:firstRow="1" w:lastRow="0" w:firstColumn="1" w:lastColumn="0" w:noHBand="0" w:noVBand="1"/>
      </w:tblPr>
      <w:tblGrid>
        <w:gridCol w:w="2245"/>
        <w:gridCol w:w="6771"/>
      </w:tblGrid>
      <w:tr w:rsidR="00A00D87" w:rsidRPr="008924E0" w14:paraId="127F529B" w14:textId="77777777" w:rsidTr="00122946">
        <w:tc>
          <w:tcPr>
            <w:tcW w:w="2245" w:type="dxa"/>
            <w:shd w:val="clear" w:color="auto" w:fill="D9D9D9" w:themeFill="background1" w:themeFillShade="D9"/>
          </w:tcPr>
          <w:p w14:paraId="5AB74E2B" w14:textId="77777777" w:rsidR="00A00D87" w:rsidRPr="008924E0" w:rsidRDefault="00A00D87" w:rsidP="00122946">
            <w:pPr>
              <w:jc w:val="left"/>
              <w:rPr>
                <w:b/>
                <w:bCs/>
                <w:lang w:val="bs-Latn-BA"/>
              </w:rPr>
            </w:pPr>
            <w:r w:rsidRPr="008924E0">
              <w:rPr>
                <w:b/>
                <w:bCs/>
                <w:lang w:val="bs-Latn-BA"/>
              </w:rPr>
              <w:t>Prioritet</w:t>
            </w:r>
          </w:p>
        </w:tc>
        <w:tc>
          <w:tcPr>
            <w:tcW w:w="6771" w:type="dxa"/>
            <w:shd w:val="clear" w:color="auto" w:fill="D9D9D9" w:themeFill="background1" w:themeFillShade="D9"/>
          </w:tcPr>
          <w:p w14:paraId="453EBA56" w14:textId="77777777" w:rsidR="00A00D87" w:rsidRPr="008924E0" w:rsidRDefault="00A00D87" w:rsidP="00122946">
            <w:pPr>
              <w:jc w:val="left"/>
              <w:rPr>
                <w:b/>
                <w:bCs/>
                <w:lang w:val="bs-Latn-BA"/>
              </w:rPr>
            </w:pPr>
            <w:r w:rsidRPr="008924E0">
              <w:rPr>
                <w:b/>
                <w:bCs/>
                <w:lang w:val="bs-Latn-BA"/>
              </w:rPr>
              <w:t>Mjera</w:t>
            </w:r>
          </w:p>
        </w:tc>
      </w:tr>
      <w:tr w:rsidR="00A00D87" w:rsidRPr="001972F5" w14:paraId="6DC3E88A" w14:textId="77777777" w:rsidTr="00122946">
        <w:tc>
          <w:tcPr>
            <w:tcW w:w="2245" w:type="dxa"/>
            <w:vMerge w:val="restart"/>
            <w:shd w:val="clear" w:color="auto" w:fill="D9D9D9" w:themeFill="background1" w:themeFillShade="D9"/>
            <w:vAlign w:val="center"/>
          </w:tcPr>
          <w:p w14:paraId="3990C439" w14:textId="77777777" w:rsidR="00A00D87" w:rsidRPr="00A40038" w:rsidRDefault="00A00D87" w:rsidP="00581C1C">
            <w:pPr>
              <w:pStyle w:val="ListParagraph"/>
              <w:numPr>
                <w:ilvl w:val="1"/>
                <w:numId w:val="88"/>
              </w:numPr>
              <w:jc w:val="left"/>
              <w:rPr>
                <w:b/>
                <w:bCs/>
              </w:rPr>
            </w:pPr>
            <w:r>
              <w:rPr>
                <w:b/>
                <w:bCs/>
              </w:rPr>
              <w:t>T</w:t>
            </w:r>
            <w:r w:rsidRPr="00A40038">
              <w:rPr>
                <w:b/>
                <w:bCs/>
              </w:rPr>
              <w:t>ransformira</w:t>
            </w:r>
            <w:r>
              <w:rPr>
                <w:b/>
                <w:bCs/>
              </w:rPr>
              <w:t>ti</w:t>
            </w:r>
            <w:r w:rsidRPr="00A40038">
              <w:rPr>
                <w:b/>
                <w:bCs/>
              </w:rPr>
              <w:t xml:space="preserve"> </w:t>
            </w:r>
            <w:r>
              <w:rPr>
                <w:b/>
                <w:bCs/>
              </w:rPr>
              <w:t xml:space="preserve">postojeći fond zgrada FBiH </w:t>
            </w:r>
            <w:r w:rsidRPr="00A40038">
              <w:rPr>
                <w:b/>
                <w:bCs/>
              </w:rPr>
              <w:t>u energijski visokoefikasan</w:t>
            </w:r>
            <w:r>
              <w:rPr>
                <w:b/>
                <w:bCs/>
              </w:rPr>
              <w:t xml:space="preserve"> </w:t>
            </w:r>
          </w:p>
        </w:tc>
        <w:tc>
          <w:tcPr>
            <w:tcW w:w="6771" w:type="dxa"/>
            <w:shd w:val="clear" w:color="auto" w:fill="FFFFFF" w:themeFill="background1"/>
            <w:vAlign w:val="center"/>
          </w:tcPr>
          <w:p w14:paraId="01C4963A" w14:textId="77777777" w:rsidR="00A00D87" w:rsidRPr="00205CD1" w:rsidRDefault="00A00D87" w:rsidP="00581C1C">
            <w:pPr>
              <w:pStyle w:val="ListParagraph"/>
              <w:numPr>
                <w:ilvl w:val="2"/>
                <w:numId w:val="88"/>
              </w:numPr>
            </w:pPr>
            <w:r w:rsidRPr="00257FBE">
              <w:t>Unaprije</w:t>
            </w:r>
            <w:r>
              <w:t>diti</w:t>
            </w:r>
            <w:r w:rsidRPr="00257FBE">
              <w:t xml:space="preserve"> regulatorn</w:t>
            </w:r>
            <w:r>
              <w:t>i</w:t>
            </w:r>
            <w:r w:rsidRPr="00257FBE">
              <w:t xml:space="preserve"> okvir </w:t>
            </w:r>
            <w:r>
              <w:t xml:space="preserve">u cilju ostvarivanja potpune harmonizacije s pravnom stečevinom EU u oblasti EE </w:t>
            </w:r>
            <w:r w:rsidRPr="00205CD1">
              <w:t>koji će omogućiti energijsku obnovu zgrada</w:t>
            </w:r>
          </w:p>
        </w:tc>
      </w:tr>
      <w:tr w:rsidR="00A00D87" w:rsidRPr="001972F5" w14:paraId="58B070B9" w14:textId="77777777" w:rsidTr="00122946">
        <w:tc>
          <w:tcPr>
            <w:tcW w:w="2245" w:type="dxa"/>
            <w:vMerge/>
            <w:shd w:val="clear" w:color="auto" w:fill="D9D9D9" w:themeFill="background1" w:themeFillShade="D9"/>
            <w:vAlign w:val="center"/>
          </w:tcPr>
          <w:p w14:paraId="0FBCDC31" w14:textId="77777777" w:rsidR="00A00D87" w:rsidRPr="008924E0" w:rsidRDefault="00A00D87" w:rsidP="00122946">
            <w:pPr>
              <w:jc w:val="left"/>
              <w:rPr>
                <w:b/>
                <w:bCs/>
                <w:lang w:val="bs-Latn-BA"/>
              </w:rPr>
            </w:pPr>
          </w:p>
        </w:tc>
        <w:tc>
          <w:tcPr>
            <w:tcW w:w="6771" w:type="dxa"/>
            <w:shd w:val="clear" w:color="auto" w:fill="FFFFFF" w:themeFill="background1"/>
            <w:vAlign w:val="center"/>
          </w:tcPr>
          <w:p w14:paraId="5B57F720" w14:textId="07D98F77" w:rsidR="00A00D87" w:rsidRPr="00257FBE" w:rsidRDefault="00A00D87" w:rsidP="00581C1C">
            <w:pPr>
              <w:pStyle w:val="ListParagraph"/>
              <w:numPr>
                <w:ilvl w:val="2"/>
                <w:numId w:val="88"/>
              </w:numPr>
            </w:pPr>
            <w:r>
              <w:t xml:space="preserve">Jačati institucionalne kapacitete na svim nivoima vlasti i međusektorsku saradnju </w:t>
            </w:r>
            <w:r w:rsidR="003C2431">
              <w:t>u cilju</w:t>
            </w:r>
            <w:r>
              <w:t xml:space="preserve"> </w:t>
            </w:r>
            <w:r w:rsidRPr="00257FBE">
              <w:t>energijsk</w:t>
            </w:r>
            <w:r w:rsidR="003C2431">
              <w:t>e</w:t>
            </w:r>
            <w:r w:rsidRPr="00257FBE">
              <w:t xml:space="preserve"> obnov</w:t>
            </w:r>
            <w:r w:rsidR="003C2431">
              <w:t>e</w:t>
            </w:r>
            <w:r w:rsidRPr="00257FBE">
              <w:t xml:space="preserve"> zgrada</w:t>
            </w:r>
            <w:r>
              <w:t xml:space="preserve"> </w:t>
            </w:r>
          </w:p>
        </w:tc>
      </w:tr>
      <w:tr w:rsidR="00A00D87" w:rsidRPr="001972F5" w14:paraId="3EC111ED" w14:textId="77777777" w:rsidTr="00122946">
        <w:tc>
          <w:tcPr>
            <w:tcW w:w="2245" w:type="dxa"/>
            <w:vMerge/>
            <w:shd w:val="clear" w:color="auto" w:fill="D9D9D9" w:themeFill="background1" w:themeFillShade="D9"/>
            <w:vAlign w:val="center"/>
          </w:tcPr>
          <w:p w14:paraId="03E14AD8" w14:textId="77777777" w:rsidR="00A00D87" w:rsidRPr="008924E0" w:rsidRDefault="00A00D87" w:rsidP="00122946">
            <w:pPr>
              <w:jc w:val="left"/>
              <w:rPr>
                <w:b/>
                <w:bCs/>
                <w:lang w:val="bs-Latn-BA"/>
              </w:rPr>
            </w:pPr>
          </w:p>
        </w:tc>
        <w:tc>
          <w:tcPr>
            <w:tcW w:w="6771" w:type="dxa"/>
            <w:shd w:val="clear" w:color="auto" w:fill="FFFFFF" w:themeFill="background1"/>
            <w:vAlign w:val="center"/>
          </w:tcPr>
          <w:p w14:paraId="7500E794" w14:textId="38D55AD6" w:rsidR="00A00D87" w:rsidRPr="00257FBE" w:rsidRDefault="00A00D87" w:rsidP="00581C1C">
            <w:pPr>
              <w:pStyle w:val="ListParagraph"/>
              <w:numPr>
                <w:ilvl w:val="2"/>
                <w:numId w:val="88"/>
              </w:numPr>
            </w:pPr>
            <w:r w:rsidRPr="00257FBE">
              <w:t>Uspostav</w:t>
            </w:r>
            <w:r>
              <w:t>iti</w:t>
            </w:r>
            <w:r w:rsidRPr="00257FBE">
              <w:t xml:space="preserve"> održiv </w:t>
            </w:r>
            <w:r w:rsidR="007B690C">
              <w:t>financ</w:t>
            </w:r>
            <w:r w:rsidRPr="00257FBE">
              <w:t>ijsk</w:t>
            </w:r>
            <w:r>
              <w:t>i</w:t>
            </w:r>
            <w:r w:rsidRPr="00257FBE">
              <w:t xml:space="preserve"> okvir koji </w:t>
            </w:r>
            <w:r>
              <w:t>će omogućiti</w:t>
            </w:r>
            <w:r w:rsidRPr="00257FBE">
              <w:t xml:space="preserve"> podsticaj i kontinuirano </w:t>
            </w:r>
            <w:r w:rsidR="007B690C">
              <w:t>financ</w:t>
            </w:r>
            <w:r w:rsidRPr="00257FBE">
              <w:t>iranje obnove sektora zgradarstva</w:t>
            </w:r>
          </w:p>
        </w:tc>
      </w:tr>
      <w:tr w:rsidR="00A00D87" w:rsidRPr="001972F5" w14:paraId="581D6F46" w14:textId="77777777" w:rsidTr="00122946">
        <w:tc>
          <w:tcPr>
            <w:tcW w:w="2245" w:type="dxa"/>
            <w:vMerge/>
            <w:shd w:val="clear" w:color="auto" w:fill="D9D9D9" w:themeFill="background1" w:themeFillShade="D9"/>
            <w:vAlign w:val="center"/>
          </w:tcPr>
          <w:p w14:paraId="0FD98000" w14:textId="77777777" w:rsidR="00A00D87" w:rsidRPr="008924E0" w:rsidRDefault="00A00D87" w:rsidP="00122946">
            <w:pPr>
              <w:jc w:val="left"/>
              <w:rPr>
                <w:b/>
                <w:bCs/>
                <w:lang w:val="bs-Latn-BA"/>
              </w:rPr>
            </w:pPr>
          </w:p>
        </w:tc>
        <w:tc>
          <w:tcPr>
            <w:tcW w:w="6771" w:type="dxa"/>
            <w:shd w:val="clear" w:color="auto" w:fill="FFFFFF" w:themeFill="background1"/>
            <w:vAlign w:val="center"/>
          </w:tcPr>
          <w:p w14:paraId="26103DBE" w14:textId="77777777" w:rsidR="00A00D87" w:rsidRPr="00205A03" w:rsidRDefault="00A00D87" w:rsidP="00581C1C">
            <w:pPr>
              <w:pStyle w:val="ListParagraph"/>
              <w:numPr>
                <w:ilvl w:val="2"/>
                <w:numId w:val="88"/>
              </w:numPr>
            </w:pPr>
            <w:r>
              <w:t>Energijski obnoviti postojeći fond zgrada</w:t>
            </w:r>
          </w:p>
        </w:tc>
      </w:tr>
      <w:tr w:rsidR="00A00D87" w:rsidRPr="001972F5" w14:paraId="6097ACED" w14:textId="77777777" w:rsidTr="00122946">
        <w:tc>
          <w:tcPr>
            <w:tcW w:w="2245" w:type="dxa"/>
            <w:vMerge/>
            <w:shd w:val="clear" w:color="auto" w:fill="D9D9D9" w:themeFill="background1" w:themeFillShade="D9"/>
            <w:vAlign w:val="center"/>
          </w:tcPr>
          <w:p w14:paraId="7C42B4AE" w14:textId="77777777" w:rsidR="00A00D87" w:rsidRPr="008924E0" w:rsidRDefault="00A00D87" w:rsidP="00122946">
            <w:pPr>
              <w:jc w:val="left"/>
              <w:rPr>
                <w:b/>
                <w:bCs/>
                <w:lang w:val="bs-Latn-BA"/>
              </w:rPr>
            </w:pPr>
          </w:p>
        </w:tc>
        <w:tc>
          <w:tcPr>
            <w:tcW w:w="6771" w:type="dxa"/>
            <w:shd w:val="clear" w:color="auto" w:fill="FFFFFF" w:themeFill="background1"/>
            <w:vAlign w:val="center"/>
          </w:tcPr>
          <w:p w14:paraId="261A78C4" w14:textId="780A1275" w:rsidR="00A00D87" w:rsidRPr="00205A03" w:rsidRDefault="00A00D87" w:rsidP="00581C1C">
            <w:pPr>
              <w:pStyle w:val="ListParagraph"/>
              <w:numPr>
                <w:ilvl w:val="2"/>
                <w:numId w:val="88"/>
              </w:numPr>
            </w:pPr>
            <w:r w:rsidRPr="00205A03">
              <w:t>Promovira</w:t>
            </w:r>
            <w:r>
              <w:t>ti</w:t>
            </w:r>
            <w:r w:rsidRPr="00205A03">
              <w:t xml:space="preserve"> izgradnj</w:t>
            </w:r>
            <w:r>
              <w:t>u</w:t>
            </w:r>
            <w:r w:rsidRPr="00205A03">
              <w:t xml:space="preserve"> novih stambenih i nestambenih zgrada prema standardima propisanim za </w:t>
            </w:r>
            <w:r>
              <w:t>(</w:t>
            </w:r>
            <w:r w:rsidRPr="00205A03">
              <w:t>nZEB</w:t>
            </w:r>
            <w:r>
              <w:t>)</w:t>
            </w:r>
            <w:r w:rsidRPr="00205A03">
              <w:t xml:space="preserve"> </w:t>
            </w:r>
          </w:p>
        </w:tc>
      </w:tr>
      <w:tr w:rsidR="00A00D87" w:rsidRPr="001972F5" w14:paraId="6ED6E714" w14:textId="77777777" w:rsidTr="00122946">
        <w:tc>
          <w:tcPr>
            <w:tcW w:w="2245" w:type="dxa"/>
            <w:vMerge/>
            <w:shd w:val="clear" w:color="auto" w:fill="D9D9D9" w:themeFill="background1" w:themeFillShade="D9"/>
            <w:vAlign w:val="center"/>
          </w:tcPr>
          <w:p w14:paraId="35D1E301" w14:textId="77777777" w:rsidR="00A00D87" w:rsidRPr="008924E0" w:rsidRDefault="00A00D87" w:rsidP="00122946">
            <w:pPr>
              <w:jc w:val="left"/>
              <w:rPr>
                <w:b/>
                <w:bCs/>
                <w:lang w:val="bs-Latn-BA"/>
              </w:rPr>
            </w:pPr>
          </w:p>
        </w:tc>
        <w:tc>
          <w:tcPr>
            <w:tcW w:w="6771" w:type="dxa"/>
            <w:shd w:val="clear" w:color="auto" w:fill="FFFFFF" w:themeFill="background1"/>
            <w:vAlign w:val="center"/>
          </w:tcPr>
          <w:p w14:paraId="4FFE6E36" w14:textId="77777777" w:rsidR="00A00D87" w:rsidRPr="00205A03" w:rsidRDefault="00A00D87" w:rsidP="00581C1C">
            <w:pPr>
              <w:pStyle w:val="ListParagraph"/>
              <w:numPr>
                <w:ilvl w:val="2"/>
                <w:numId w:val="88"/>
              </w:numPr>
            </w:pPr>
            <w:r w:rsidRPr="00205A03">
              <w:t>Po</w:t>
            </w:r>
            <w:r>
              <w:t>dsticati p</w:t>
            </w:r>
            <w:r w:rsidRPr="00205A03">
              <w:t>rimjen</w:t>
            </w:r>
            <w:r>
              <w:t>u</w:t>
            </w:r>
            <w:r w:rsidRPr="00205A03">
              <w:t xml:space="preserve"> novih tehnologija i pametnih rješenja u sektoru zgradarstva</w:t>
            </w:r>
          </w:p>
        </w:tc>
      </w:tr>
      <w:tr w:rsidR="00A00D87" w:rsidRPr="001972F5" w14:paraId="162777BF" w14:textId="77777777" w:rsidTr="00122946">
        <w:tc>
          <w:tcPr>
            <w:tcW w:w="2245" w:type="dxa"/>
            <w:vMerge/>
            <w:shd w:val="clear" w:color="auto" w:fill="D9D9D9" w:themeFill="background1" w:themeFillShade="D9"/>
            <w:vAlign w:val="center"/>
          </w:tcPr>
          <w:p w14:paraId="456BE5D3" w14:textId="77777777" w:rsidR="00A00D87" w:rsidRPr="008924E0" w:rsidRDefault="00A00D87" w:rsidP="00122946">
            <w:pPr>
              <w:jc w:val="left"/>
              <w:rPr>
                <w:b/>
                <w:bCs/>
                <w:lang w:val="bs-Latn-BA"/>
              </w:rPr>
            </w:pPr>
          </w:p>
        </w:tc>
        <w:tc>
          <w:tcPr>
            <w:tcW w:w="6771" w:type="dxa"/>
            <w:shd w:val="clear" w:color="auto" w:fill="FFFFFF" w:themeFill="background1"/>
            <w:vAlign w:val="center"/>
          </w:tcPr>
          <w:p w14:paraId="575C975C" w14:textId="77777777" w:rsidR="00A00D87" w:rsidRPr="00205A03" w:rsidRDefault="00A00D87" w:rsidP="00581C1C">
            <w:pPr>
              <w:pStyle w:val="ListParagraph"/>
              <w:numPr>
                <w:ilvl w:val="2"/>
                <w:numId w:val="88"/>
              </w:numPr>
            </w:pPr>
            <w:r w:rsidRPr="00956B73">
              <w:t>Smanj</w:t>
            </w:r>
            <w:r>
              <w:t>iti</w:t>
            </w:r>
            <w:r w:rsidRPr="00956B73">
              <w:t xml:space="preserve"> energijsko siromaštv</w:t>
            </w:r>
            <w:r>
              <w:t>o</w:t>
            </w:r>
            <w:r w:rsidRPr="00956B73">
              <w:t xml:space="preserve"> povećanje</w:t>
            </w:r>
            <w:r>
              <w:t>m</w:t>
            </w:r>
            <w:r w:rsidRPr="00956B73">
              <w:t xml:space="preserve"> </w:t>
            </w:r>
            <w:r>
              <w:t>EE</w:t>
            </w:r>
            <w:r w:rsidRPr="00956B73">
              <w:t xml:space="preserve"> i korištenje</w:t>
            </w:r>
            <w:r>
              <w:t>m</w:t>
            </w:r>
            <w:r w:rsidRPr="00956B73">
              <w:t xml:space="preserve"> </w:t>
            </w:r>
            <w:r>
              <w:t>OIE</w:t>
            </w:r>
            <w:r w:rsidRPr="00956B73">
              <w:t xml:space="preserve"> u stambenim zgradama</w:t>
            </w:r>
          </w:p>
        </w:tc>
      </w:tr>
      <w:tr w:rsidR="00A00D87" w:rsidRPr="001972F5" w14:paraId="35E0C945" w14:textId="77777777" w:rsidTr="00122946">
        <w:tc>
          <w:tcPr>
            <w:tcW w:w="2245" w:type="dxa"/>
            <w:vMerge w:val="restart"/>
            <w:shd w:val="clear" w:color="auto" w:fill="D9D9D9" w:themeFill="background1" w:themeFillShade="D9"/>
            <w:vAlign w:val="center"/>
          </w:tcPr>
          <w:p w14:paraId="03298D44" w14:textId="77777777" w:rsidR="00A00D87" w:rsidRPr="00A40038" w:rsidRDefault="00A00D87" w:rsidP="00581C1C">
            <w:pPr>
              <w:pStyle w:val="ListParagraph"/>
              <w:numPr>
                <w:ilvl w:val="1"/>
                <w:numId w:val="88"/>
              </w:numPr>
              <w:jc w:val="left"/>
              <w:rPr>
                <w:b/>
                <w:bCs/>
              </w:rPr>
            </w:pPr>
            <w:r>
              <w:rPr>
                <w:b/>
                <w:bCs/>
              </w:rPr>
              <w:t xml:space="preserve">Dekarbonizirati postojeći fond zgrada FBiH </w:t>
            </w:r>
          </w:p>
        </w:tc>
        <w:tc>
          <w:tcPr>
            <w:tcW w:w="6771" w:type="dxa"/>
            <w:shd w:val="clear" w:color="auto" w:fill="FFFFFF" w:themeFill="background1"/>
            <w:vAlign w:val="center"/>
          </w:tcPr>
          <w:p w14:paraId="6C1D29FD" w14:textId="77777777" w:rsidR="00A00D87" w:rsidRPr="00956B73" w:rsidRDefault="00A00D87" w:rsidP="00581C1C">
            <w:pPr>
              <w:pStyle w:val="ListParagraph"/>
              <w:numPr>
                <w:ilvl w:val="2"/>
                <w:numId w:val="88"/>
              </w:numPr>
            </w:pPr>
            <w:r w:rsidRPr="00791FCC">
              <w:t>Poveća</w:t>
            </w:r>
            <w:r>
              <w:t>ti</w:t>
            </w:r>
            <w:r w:rsidRPr="00791FCC">
              <w:t xml:space="preserve"> ud</w:t>
            </w:r>
            <w:r>
              <w:t>io</w:t>
            </w:r>
            <w:r w:rsidRPr="00791FCC">
              <w:t xml:space="preserve"> OIE i sigurnost snabdijevanja energentima u sektoru zgradarstva</w:t>
            </w:r>
          </w:p>
        </w:tc>
      </w:tr>
      <w:tr w:rsidR="00A00D87" w:rsidRPr="001972F5" w14:paraId="53777BC9" w14:textId="77777777" w:rsidTr="00122946">
        <w:tc>
          <w:tcPr>
            <w:tcW w:w="2245" w:type="dxa"/>
            <w:vMerge/>
            <w:shd w:val="clear" w:color="auto" w:fill="D9D9D9" w:themeFill="background1" w:themeFillShade="D9"/>
            <w:vAlign w:val="center"/>
          </w:tcPr>
          <w:p w14:paraId="0B963E4D" w14:textId="77777777" w:rsidR="00A00D87" w:rsidRPr="008924E0" w:rsidRDefault="00A00D87" w:rsidP="00122946">
            <w:pPr>
              <w:jc w:val="left"/>
              <w:rPr>
                <w:b/>
                <w:bCs/>
                <w:lang w:val="bs-Latn-BA"/>
              </w:rPr>
            </w:pPr>
            <w:bookmarkStart w:id="259" w:name="_Hlk126054989"/>
          </w:p>
        </w:tc>
        <w:tc>
          <w:tcPr>
            <w:tcW w:w="6771" w:type="dxa"/>
            <w:shd w:val="clear" w:color="auto" w:fill="auto"/>
            <w:vAlign w:val="center"/>
          </w:tcPr>
          <w:p w14:paraId="1DE0C879" w14:textId="77777777" w:rsidR="00A00D87" w:rsidRPr="00791FCC" w:rsidRDefault="00A00D87" w:rsidP="00581C1C">
            <w:pPr>
              <w:pStyle w:val="ListParagraph"/>
              <w:numPr>
                <w:ilvl w:val="2"/>
                <w:numId w:val="88"/>
              </w:numPr>
            </w:pPr>
            <w:r w:rsidRPr="00791FCC">
              <w:t>Razv</w:t>
            </w:r>
            <w:r>
              <w:t xml:space="preserve">ijati </w:t>
            </w:r>
            <w:r w:rsidRPr="00791FCC">
              <w:t>sistem</w:t>
            </w:r>
            <w:r>
              <w:t>e</w:t>
            </w:r>
            <w:r w:rsidRPr="00791FCC">
              <w:t xml:space="preserve"> daljinskih grijanja (centralizacija i modernizacije sistema grijanja), hlađenja i ventilacije te pripreme PTV uz primjenu </w:t>
            </w:r>
            <w:r>
              <w:t>OIE</w:t>
            </w:r>
          </w:p>
        </w:tc>
      </w:tr>
      <w:tr w:rsidR="00A00D87" w:rsidRPr="008924E0" w14:paraId="1F6F824F" w14:textId="77777777" w:rsidTr="00122946">
        <w:tc>
          <w:tcPr>
            <w:tcW w:w="2245" w:type="dxa"/>
            <w:vMerge/>
            <w:shd w:val="clear" w:color="auto" w:fill="D9D9D9" w:themeFill="background1" w:themeFillShade="D9"/>
            <w:vAlign w:val="center"/>
          </w:tcPr>
          <w:p w14:paraId="29D49FD8" w14:textId="77777777" w:rsidR="00A00D87" w:rsidRPr="008924E0" w:rsidRDefault="00A00D87" w:rsidP="00122946">
            <w:pPr>
              <w:jc w:val="left"/>
              <w:rPr>
                <w:b/>
                <w:bCs/>
                <w:lang w:val="bs-Latn-BA"/>
              </w:rPr>
            </w:pPr>
          </w:p>
        </w:tc>
        <w:tc>
          <w:tcPr>
            <w:tcW w:w="6771" w:type="dxa"/>
            <w:shd w:val="clear" w:color="auto" w:fill="auto"/>
            <w:vAlign w:val="center"/>
          </w:tcPr>
          <w:p w14:paraId="5D04E26E" w14:textId="77777777" w:rsidR="00A00D87" w:rsidRPr="00791FCC" w:rsidRDefault="00A00D87" w:rsidP="00581C1C">
            <w:pPr>
              <w:pStyle w:val="ListParagraph"/>
              <w:numPr>
                <w:ilvl w:val="2"/>
                <w:numId w:val="88"/>
              </w:numPr>
            </w:pPr>
            <w:r w:rsidRPr="00FC2DD8">
              <w:t>Unapr</w:t>
            </w:r>
            <w:r>
              <w:t>ij</w:t>
            </w:r>
            <w:r w:rsidRPr="00FC2DD8">
              <w:t>editi održivost urbanih područja</w:t>
            </w:r>
          </w:p>
        </w:tc>
      </w:tr>
      <w:bookmarkEnd w:id="259"/>
    </w:tbl>
    <w:p w14:paraId="13E6DD34" w14:textId="77777777" w:rsidR="00A00D87" w:rsidRDefault="00A00D87" w:rsidP="00A00D87">
      <w:pPr>
        <w:rPr>
          <w:lang w:val="bs-Latn-BA"/>
        </w:rPr>
      </w:pPr>
    </w:p>
    <w:p w14:paraId="1AC0D8D4" w14:textId="77777777" w:rsidR="00A00D87" w:rsidRDefault="00A00D87" w:rsidP="00A00D87">
      <w:pPr>
        <w:rPr>
          <w:i/>
          <w:iCs/>
          <w:u w:val="single"/>
          <w:lang w:val="bs-Latn-BA"/>
        </w:rPr>
      </w:pPr>
    </w:p>
    <w:p w14:paraId="734AF4AF" w14:textId="77777777" w:rsidR="00A00D87" w:rsidRDefault="00A00D87" w:rsidP="00A00D87">
      <w:pPr>
        <w:rPr>
          <w:lang w:val="bs-Latn-BA"/>
        </w:rPr>
      </w:pPr>
    </w:p>
    <w:p w14:paraId="1D99DC35" w14:textId="77777777" w:rsidR="00A00D87" w:rsidRDefault="00A00D87" w:rsidP="00A00D87">
      <w:pPr>
        <w:rPr>
          <w:lang w:val="bs-Latn-BA"/>
        </w:rPr>
      </w:pPr>
    </w:p>
    <w:p w14:paraId="6FE0AC02" w14:textId="77777777" w:rsidR="006D442E" w:rsidRDefault="006D442E" w:rsidP="00A00D87">
      <w:pPr>
        <w:rPr>
          <w:lang w:val="bs-Latn-BA"/>
        </w:rPr>
      </w:pPr>
    </w:p>
    <w:p w14:paraId="7B408E42" w14:textId="77777777" w:rsidR="006D442E" w:rsidRDefault="006D442E" w:rsidP="00A00D87">
      <w:pPr>
        <w:rPr>
          <w:lang w:val="bs-Latn-BA"/>
        </w:rPr>
      </w:pPr>
    </w:p>
    <w:p w14:paraId="14AD57D7" w14:textId="77777777" w:rsidR="006D442E" w:rsidRDefault="006D442E" w:rsidP="00A00D87">
      <w:pPr>
        <w:rPr>
          <w:lang w:val="bs-Latn-BA"/>
        </w:rPr>
      </w:pPr>
    </w:p>
    <w:p w14:paraId="32A18FD5" w14:textId="77777777" w:rsidR="00A00D87" w:rsidRDefault="00A00D87" w:rsidP="00A00D87">
      <w:pPr>
        <w:rPr>
          <w:lang w:val="bs-Latn-BA"/>
        </w:rPr>
      </w:pPr>
    </w:p>
    <w:p w14:paraId="56D09FD4" w14:textId="77777777" w:rsidR="00006FD7" w:rsidRDefault="00006FD7" w:rsidP="00A00D87">
      <w:pPr>
        <w:rPr>
          <w:lang w:val="bs-Latn-BA"/>
        </w:rPr>
      </w:pPr>
    </w:p>
    <w:p w14:paraId="7B17A927" w14:textId="77777777" w:rsidR="00A00D87" w:rsidRPr="008924E0" w:rsidRDefault="00A00D87" w:rsidP="00A00D87">
      <w:pPr>
        <w:rPr>
          <w:lang w:val="bs-Latn-BA"/>
        </w:rPr>
      </w:pPr>
    </w:p>
    <w:tbl>
      <w:tblPr>
        <w:tblStyle w:val="TableGrid0"/>
        <w:tblW w:w="9016" w:type="dxa"/>
        <w:tblInd w:w="198" w:type="dxa"/>
        <w:tblCellMar>
          <w:top w:w="5" w:type="dxa"/>
          <w:left w:w="107" w:type="dxa"/>
          <w:right w:w="69" w:type="dxa"/>
        </w:tblCellMar>
        <w:tblLook w:val="04A0" w:firstRow="1" w:lastRow="0" w:firstColumn="1" w:lastColumn="0" w:noHBand="0" w:noVBand="1"/>
      </w:tblPr>
      <w:tblGrid>
        <w:gridCol w:w="1663"/>
        <w:gridCol w:w="3122"/>
        <w:gridCol w:w="1983"/>
        <w:gridCol w:w="2248"/>
      </w:tblGrid>
      <w:tr w:rsidR="00A00D87" w:rsidRPr="00006FD7" w14:paraId="24CF7BCF" w14:textId="77777777" w:rsidTr="00122946">
        <w:trPr>
          <w:trHeight w:val="424"/>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5C14802"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lastRenderedPageBreak/>
              <w:t>Veza</w:t>
            </w:r>
            <w:proofErr w:type="spellEnd"/>
            <w:r w:rsidRPr="00006FD7">
              <w:rPr>
                <w:rFonts w:cstheme="minorHAnsi"/>
                <w:b/>
                <w:sz w:val="20"/>
                <w:szCs w:val="20"/>
              </w:rPr>
              <w:t xml:space="preserve"> </w:t>
            </w:r>
            <w:proofErr w:type="spellStart"/>
            <w:r w:rsidRPr="00006FD7">
              <w:rPr>
                <w:rFonts w:cstheme="minorHAnsi"/>
                <w:b/>
                <w:sz w:val="20"/>
                <w:szCs w:val="20"/>
              </w:rPr>
              <w:t>sa</w:t>
            </w:r>
            <w:proofErr w:type="spellEnd"/>
            <w:r w:rsidRPr="00006FD7">
              <w:rPr>
                <w:rFonts w:cstheme="minorHAnsi"/>
                <w:b/>
                <w:sz w:val="20"/>
                <w:szCs w:val="20"/>
              </w:rPr>
              <w:t xml:space="preserve"> </w:t>
            </w:r>
            <w:proofErr w:type="spellStart"/>
            <w:r w:rsidRPr="00006FD7">
              <w:rPr>
                <w:rFonts w:cstheme="minorHAnsi"/>
                <w:b/>
                <w:sz w:val="20"/>
                <w:szCs w:val="20"/>
              </w:rPr>
              <w:t>strateškim</w:t>
            </w:r>
            <w:proofErr w:type="spellEnd"/>
            <w:r w:rsidRPr="00006FD7">
              <w:rPr>
                <w:rFonts w:cstheme="minorHAnsi"/>
                <w:b/>
                <w:sz w:val="20"/>
                <w:szCs w:val="20"/>
              </w:rPr>
              <w:t xml:space="preserve"> </w:t>
            </w:r>
            <w:proofErr w:type="spellStart"/>
            <w:r w:rsidRPr="00006FD7">
              <w:rPr>
                <w:rFonts w:cstheme="minorHAnsi"/>
                <w:b/>
                <w:sz w:val="20"/>
                <w:szCs w:val="20"/>
              </w:rPr>
              <w:t>ciljem</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vAlign w:val="center"/>
          </w:tcPr>
          <w:p w14:paraId="72F464E4" w14:textId="77777777" w:rsidR="00A00D87" w:rsidRPr="00006FD7" w:rsidRDefault="00A00D87" w:rsidP="00122946">
            <w:pPr>
              <w:spacing w:line="259" w:lineRule="auto"/>
              <w:ind w:left="1"/>
              <w:rPr>
                <w:rFonts w:cstheme="minorHAnsi"/>
                <w:sz w:val="20"/>
                <w:szCs w:val="20"/>
              </w:rPr>
            </w:pPr>
            <w:r w:rsidRPr="00006FD7">
              <w:rPr>
                <w:rFonts w:cstheme="minorHAnsi"/>
                <w:b/>
                <w:sz w:val="20"/>
                <w:szCs w:val="20"/>
              </w:rPr>
              <w:t xml:space="preserve">1. </w:t>
            </w:r>
            <w:proofErr w:type="spellStart"/>
            <w:r w:rsidRPr="00006FD7">
              <w:rPr>
                <w:rFonts w:cstheme="minorHAnsi"/>
                <w:b/>
                <w:sz w:val="20"/>
                <w:szCs w:val="20"/>
              </w:rPr>
              <w:t>Postojeći</w:t>
            </w:r>
            <w:proofErr w:type="spellEnd"/>
            <w:r w:rsidRPr="00006FD7">
              <w:rPr>
                <w:rFonts w:cstheme="minorHAnsi"/>
                <w:b/>
                <w:sz w:val="20"/>
                <w:szCs w:val="20"/>
              </w:rPr>
              <w:t xml:space="preserve"> fond </w:t>
            </w:r>
            <w:proofErr w:type="spellStart"/>
            <w:r w:rsidRPr="00006FD7">
              <w:rPr>
                <w:rFonts w:cstheme="minorHAnsi"/>
                <w:b/>
                <w:sz w:val="20"/>
                <w:szCs w:val="20"/>
              </w:rPr>
              <w:t>zgrada</w:t>
            </w:r>
            <w:proofErr w:type="spellEnd"/>
            <w:r w:rsidRPr="00006FD7">
              <w:rPr>
                <w:rFonts w:cstheme="minorHAnsi"/>
                <w:b/>
                <w:sz w:val="20"/>
                <w:szCs w:val="20"/>
              </w:rPr>
              <w:t xml:space="preserve"> u FBiH je </w:t>
            </w:r>
            <w:proofErr w:type="spellStart"/>
            <w:r w:rsidRPr="00006FD7">
              <w:rPr>
                <w:rFonts w:cstheme="minorHAnsi"/>
                <w:b/>
                <w:sz w:val="20"/>
                <w:szCs w:val="20"/>
              </w:rPr>
              <w:t>transformiran</w:t>
            </w:r>
            <w:proofErr w:type="spellEnd"/>
            <w:r w:rsidRPr="00006FD7">
              <w:rPr>
                <w:rFonts w:cstheme="minorHAnsi"/>
                <w:b/>
                <w:sz w:val="20"/>
                <w:szCs w:val="20"/>
              </w:rPr>
              <w:t xml:space="preserve"> u </w:t>
            </w:r>
            <w:proofErr w:type="spellStart"/>
            <w:r w:rsidRPr="00006FD7">
              <w:rPr>
                <w:rFonts w:cstheme="minorHAnsi"/>
                <w:b/>
                <w:sz w:val="20"/>
                <w:szCs w:val="20"/>
              </w:rPr>
              <w:t>energijski</w:t>
            </w:r>
            <w:proofErr w:type="spellEnd"/>
            <w:r w:rsidRPr="00006FD7">
              <w:rPr>
                <w:rFonts w:cstheme="minorHAnsi"/>
                <w:b/>
                <w:sz w:val="20"/>
                <w:szCs w:val="20"/>
              </w:rPr>
              <w:t xml:space="preserve"> </w:t>
            </w:r>
            <w:proofErr w:type="spellStart"/>
            <w:r w:rsidRPr="00006FD7">
              <w:rPr>
                <w:rFonts w:cstheme="minorHAnsi"/>
                <w:b/>
                <w:sz w:val="20"/>
                <w:szCs w:val="20"/>
              </w:rPr>
              <w:t>visokoefikasan</w:t>
            </w:r>
            <w:proofErr w:type="spellEnd"/>
            <w:r w:rsidRPr="00006FD7">
              <w:rPr>
                <w:rFonts w:cstheme="minorHAnsi"/>
                <w:b/>
                <w:sz w:val="20"/>
                <w:szCs w:val="20"/>
              </w:rPr>
              <w:t xml:space="preserve"> i </w:t>
            </w:r>
            <w:proofErr w:type="spellStart"/>
            <w:r w:rsidRPr="00006FD7">
              <w:rPr>
                <w:rFonts w:cstheme="minorHAnsi"/>
                <w:b/>
                <w:sz w:val="20"/>
                <w:szCs w:val="20"/>
              </w:rPr>
              <w:t>dekarboniziran</w:t>
            </w:r>
            <w:proofErr w:type="spellEnd"/>
            <w:r w:rsidRPr="00006FD7">
              <w:rPr>
                <w:rFonts w:cstheme="minorHAnsi"/>
                <w:b/>
                <w:sz w:val="20"/>
                <w:szCs w:val="20"/>
              </w:rPr>
              <w:t xml:space="preserve"> fond </w:t>
            </w:r>
            <w:proofErr w:type="spellStart"/>
            <w:r w:rsidRPr="00006FD7">
              <w:rPr>
                <w:rFonts w:cstheme="minorHAnsi"/>
                <w:b/>
                <w:sz w:val="20"/>
                <w:szCs w:val="20"/>
              </w:rPr>
              <w:t>zgrada</w:t>
            </w:r>
            <w:proofErr w:type="spellEnd"/>
            <w:r w:rsidRPr="00006FD7">
              <w:rPr>
                <w:rFonts w:cstheme="minorHAnsi"/>
                <w:b/>
                <w:sz w:val="20"/>
                <w:szCs w:val="20"/>
              </w:rPr>
              <w:t xml:space="preserve"> do 2050. </w:t>
            </w:r>
            <w:proofErr w:type="spellStart"/>
            <w:r w:rsidRPr="00006FD7">
              <w:rPr>
                <w:rFonts w:cstheme="minorHAnsi"/>
                <w:b/>
                <w:sz w:val="20"/>
                <w:szCs w:val="20"/>
              </w:rPr>
              <w:t>godine</w:t>
            </w:r>
            <w:proofErr w:type="spellEnd"/>
          </w:p>
        </w:tc>
      </w:tr>
      <w:tr w:rsidR="00A00D87" w:rsidRPr="001972F5" w14:paraId="2F3F7E0A" w14:textId="77777777" w:rsidTr="00122946">
        <w:trPr>
          <w:trHeight w:val="216"/>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6CD8D24"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Prioritet</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tcPr>
          <w:p w14:paraId="56AC68DB" w14:textId="77777777" w:rsidR="00A00D87" w:rsidRPr="00006FD7" w:rsidRDefault="00A00D87" w:rsidP="00581C1C">
            <w:pPr>
              <w:pStyle w:val="ListParagraph"/>
              <w:numPr>
                <w:ilvl w:val="1"/>
                <w:numId w:val="89"/>
              </w:numPr>
              <w:jc w:val="both"/>
              <w:rPr>
                <w:rFonts w:cstheme="minorHAnsi"/>
                <w:sz w:val="20"/>
                <w:szCs w:val="20"/>
              </w:rPr>
            </w:pPr>
            <w:r w:rsidRPr="00006FD7">
              <w:rPr>
                <w:rFonts w:cstheme="minorHAnsi"/>
                <w:b/>
                <w:sz w:val="20"/>
                <w:szCs w:val="20"/>
              </w:rPr>
              <w:t>Transformirati postojeći fond zgrada FBiH u energijski visokoefikasan</w:t>
            </w:r>
          </w:p>
        </w:tc>
      </w:tr>
      <w:tr w:rsidR="00A00D87" w:rsidRPr="00006FD7" w14:paraId="0DF8A963" w14:textId="77777777" w:rsidTr="00122946">
        <w:trPr>
          <w:trHeight w:val="425"/>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1D30F5D"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Naziv</w:t>
            </w:r>
            <w:proofErr w:type="spellEnd"/>
            <w:r w:rsidRPr="00006FD7">
              <w:rPr>
                <w:rFonts w:cstheme="minorHAnsi"/>
                <w:b/>
                <w:sz w:val="20"/>
                <w:szCs w:val="20"/>
              </w:rPr>
              <w:t xml:space="preserve"> </w:t>
            </w:r>
            <w:proofErr w:type="spellStart"/>
            <w:r w:rsidRPr="00006FD7">
              <w:rPr>
                <w:rFonts w:cstheme="minorHAnsi"/>
                <w:b/>
                <w:sz w:val="20"/>
                <w:szCs w:val="20"/>
              </w:rPr>
              <w:t>mjere</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tcPr>
          <w:p w14:paraId="09013270" w14:textId="77777777" w:rsidR="00A00D87" w:rsidRPr="00006FD7" w:rsidRDefault="00A00D87" w:rsidP="00122946">
            <w:pPr>
              <w:ind w:left="81" w:hanging="81"/>
              <w:rPr>
                <w:rFonts w:cstheme="minorHAnsi"/>
                <w:sz w:val="20"/>
                <w:szCs w:val="20"/>
              </w:rPr>
            </w:pPr>
            <w:r w:rsidRPr="00006FD7">
              <w:rPr>
                <w:rFonts w:cstheme="minorHAnsi"/>
                <w:b/>
                <w:sz w:val="20"/>
                <w:szCs w:val="20"/>
              </w:rPr>
              <w:t xml:space="preserve">1.1.1. </w:t>
            </w:r>
            <w:proofErr w:type="spellStart"/>
            <w:r w:rsidRPr="00006FD7">
              <w:rPr>
                <w:rFonts w:cstheme="minorHAnsi"/>
                <w:b/>
                <w:sz w:val="20"/>
                <w:szCs w:val="20"/>
              </w:rPr>
              <w:t>Unaprijediti</w:t>
            </w:r>
            <w:proofErr w:type="spellEnd"/>
            <w:r w:rsidRPr="00006FD7">
              <w:rPr>
                <w:rFonts w:cstheme="minorHAnsi"/>
                <w:b/>
                <w:sz w:val="20"/>
                <w:szCs w:val="20"/>
              </w:rPr>
              <w:t xml:space="preserve"> </w:t>
            </w:r>
            <w:proofErr w:type="spellStart"/>
            <w:r w:rsidRPr="00006FD7">
              <w:rPr>
                <w:rFonts w:cstheme="minorHAnsi"/>
                <w:b/>
                <w:sz w:val="20"/>
                <w:szCs w:val="20"/>
              </w:rPr>
              <w:t>regulatorni</w:t>
            </w:r>
            <w:proofErr w:type="spellEnd"/>
            <w:r w:rsidRPr="00006FD7">
              <w:rPr>
                <w:rFonts w:cstheme="minorHAnsi"/>
                <w:b/>
                <w:sz w:val="20"/>
                <w:szCs w:val="20"/>
              </w:rPr>
              <w:t xml:space="preserve"> </w:t>
            </w:r>
            <w:proofErr w:type="spellStart"/>
            <w:r w:rsidRPr="00006FD7">
              <w:rPr>
                <w:rFonts w:cstheme="minorHAnsi"/>
                <w:b/>
                <w:sz w:val="20"/>
                <w:szCs w:val="20"/>
              </w:rPr>
              <w:t>okvir</w:t>
            </w:r>
            <w:proofErr w:type="spellEnd"/>
            <w:r w:rsidRPr="00006FD7">
              <w:rPr>
                <w:rFonts w:cstheme="minorHAnsi"/>
                <w:b/>
                <w:sz w:val="20"/>
                <w:szCs w:val="20"/>
              </w:rPr>
              <w:t xml:space="preserve"> u </w:t>
            </w:r>
            <w:proofErr w:type="spellStart"/>
            <w:r w:rsidRPr="00006FD7">
              <w:rPr>
                <w:rFonts w:cstheme="minorHAnsi"/>
                <w:b/>
                <w:sz w:val="20"/>
                <w:szCs w:val="20"/>
              </w:rPr>
              <w:t>cilju</w:t>
            </w:r>
            <w:proofErr w:type="spellEnd"/>
            <w:r w:rsidRPr="00006FD7">
              <w:rPr>
                <w:rFonts w:cstheme="minorHAnsi"/>
                <w:b/>
                <w:sz w:val="20"/>
                <w:szCs w:val="20"/>
              </w:rPr>
              <w:t xml:space="preserve"> </w:t>
            </w:r>
            <w:proofErr w:type="spellStart"/>
            <w:r w:rsidRPr="00006FD7">
              <w:rPr>
                <w:rFonts w:cstheme="minorHAnsi"/>
                <w:b/>
                <w:sz w:val="20"/>
                <w:szCs w:val="20"/>
              </w:rPr>
              <w:t>ostvarivanja</w:t>
            </w:r>
            <w:proofErr w:type="spellEnd"/>
            <w:r w:rsidRPr="00006FD7">
              <w:rPr>
                <w:rFonts w:cstheme="minorHAnsi"/>
                <w:b/>
                <w:sz w:val="20"/>
                <w:szCs w:val="20"/>
              </w:rPr>
              <w:t xml:space="preserve"> </w:t>
            </w:r>
            <w:proofErr w:type="spellStart"/>
            <w:r w:rsidRPr="00006FD7">
              <w:rPr>
                <w:rFonts w:cstheme="minorHAnsi"/>
                <w:b/>
                <w:sz w:val="20"/>
                <w:szCs w:val="20"/>
              </w:rPr>
              <w:t>potpune</w:t>
            </w:r>
            <w:proofErr w:type="spellEnd"/>
            <w:r w:rsidRPr="00006FD7">
              <w:rPr>
                <w:rFonts w:cstheme="minorHAnsi"/>
                <w:b/>
                <w:sz w:val="20"/>
                <w:szCs w:val="20"/>
              </w:rPr>
              <w:t xml:space="preserve"> </w:t>
            </w:r>
            <w:proofErr w:type="spellStart"/>
            <w:r w:rsidRPr="00006FD7">
              <w:rPr>
                <w:rFonts w:cstheme="minorHAnsi"/>
                <w:b/>
                <w:sz w:val="20"/>
                <w:szCs w:val="20"/>
              </w:rPr>
              <w:t>harmonizacije</w:t>
            </w:r>
            <w:proofErr w:type="spellEnd"/>
            <w:r w:rsidRPr="00006FD7">
              <w:rPr>
                <w:rFonts w:cstheme="minorHAnsi"/>
                <w:b/>
                <w:sz w:val="20"/>
                <w:szCs w:val="20"/>
              </w:rPr>
              <w:t xml:space="preserve"> s </w:t>
            </w:r>
            <w:proofErr w:type="spellStart"/>
            <w:r w:rsidRPr="00006FD7">
              <w:rPr>
                <w:rFonts w:cstheme="minorHAnsi"/>
                <w:b/>
                <w:sz w:val="20"/>
                <w:szCs w:val="20"/>
              </w:rPr>
              <w:t>pravnom</w:t>
            </w:r>
            <w:proofErr w:type="spellEnd"/>
            <w:r w:rsidRPr="00006FD7">
              <w:rPr>
                <w:rFonts w:cstheme="minorHAnsi"/>
                <w:b/>
                <w:sz w:val="20"/>
                <w:szCs w:val="20"/>
              </w:rPr>
              <w:t xml:space="preserve"> </w:t>
            </w:r>
            <w:proofErr w:type="spellStart"/>
            <w:r w:rsidRPr="00006FD7">
              <w:rPr>
                <w:rFonts w:cstheme="minorHAnsi"/>
                <w:b/>
                <w:sz w:val="20"/>
                <w:szCs w:val="20"/>
              </w:rPr>
              <w:t>stečevinom</w:t>
            </w:r>
            <w:proofErr w:type="spellEnd"/>
            <w:r w:rsidRPr="00006FD7">
              <w:rPr>
                <w:rFonts w:cstheme="minorHAnsi"/>
                <w:b/>
                <w:sz w:val="20"/>
                <w:szCs w:val="20"/>
              </w:rPr>
              <w:t xml:space="preserve"> EU u </w:t>
            </w:r>
            <w:proofErr w:type="spellStart"/>
            <w:r w:rsidRPr="00006FD7">
              <w:rPr>
                <w:rFonts w:cstheme="minorHAnsi"/>
                <w:b/>
                <w:sz w:val="20"/>
                <w:szCs w:val="20"/>
              </w:rPr>
              <w:t>oblasti</w:t>
            </w:r>
            <w:proofErr w:type="spellEnd"/>
            <w:r w:rsidRPr="00006FD7">
              <w:rPr>
                <w:rFonts w:cstheme="minorHAnsi"/>
                <w:b/>
                <w:sz w:val="20"/>
                <w:szCs w:val="20"/>
              </w:rPr>
              <w:t xml:space="preserve"> EE koji </w:t>
            </w:r>
            <w:proofErr w:type="spellStart"/>
            <w:r w:rsidRPr="00006FD7">
              <w:rPr>
                <w:rFonts w:cstheme="minorHAnsi"/>
                <w:b/>
                <w:sz w:val="20"/>
                <w:szCs w:val="20"/>
              </w:rPr>
              <w:t>će</w:t>
            </w:r>
            <w:proofErr w:type="spellEnd"/>
            <w:r w:rsidRPr="00006FD7">
              <w:rPr>
                <w:rFonts w:cstheme="minorHAnsi"/>
                <w:b/>
                <w:sz w:val="20"/>
                <w:szCs w:val="20"/>
              </w:rPr>
              <w:t xml:space="preserve"> </w:t>
            </w:r>
            <w:proofErr w:type="spellStart"/>
            <w:r w:rsidRPr="00006FD7">
              <w:rPr>
                <w:rFonts w:cstheme="minorHAnsi"/>
                <w:b/>
                <w:sz w:val="20"/>
                <w:szCs w:val="20"/>
              </w:rPr>
              <w:t>omogućiti</w:t>
            </w:r>
            <w:proofErr w:type="spellEnd"/>
            <w:r w:rsidRPr="00006FD7">
              <w:rPr>
                <w:rFonts w:cstheme="minorHAnsi"/>
                <w:b/>
                <w:sz w:val="20"/>
                <w:szCs w:val="20"/>
              </w:rPr>
              <w:t xml:space="preserve"> </w:t>
            </w:r>
            <w:proofErr w:type="spellStart"/>
            <w:r w:rsidRPr="00006FD7">
              <w:rPr>
                <w:rFonts w:cstheme="minorHAnsi"/>
                <w:b/>
                <w:sz w:val="20"/>
                <w:szCs w:val="20"/>
              </w:rPr>
              <w:t>energijsku</w:t>
            </w:r>
            <w:proofErr w:type="spellEnd"/>
            <w:r w:rsidRPr="00006FD7">
              <w:rPr>
                <w:rFonts w:cstheme="minorHAnsi"/>
                <w:b/>
                <w:sz w:val="20"/>
                <w:szCs w:val="20"/>
              </w:rPr>
              <w:t xml:space="preserve"> </w:t>
            </w:r>
            <w:proofErr w:type="spellStart"/>
            <w:r w:rsidRPr="00006FD7">
              <w:rPr>
                <w:rFonts w:cstheme="minorHAnsi"/>
                <w:b/>
                <w:sz w:val="20"/>
                <w:szCs w:val="20"/>
              </w:rPr>
              <w:t>obnovu</w:t>
            </w:r>
            <w:proofErr w:type="spellEnd"/>
            <w:r w:rsidRPr="00006FD7">
              <w:rPr>
                <w:rFonts w:cstheme="minorHAnsi"/>
                <w:b/>
                <w:sz w:val="20"/>
                <w:szCs w:val="20"/>
              </w:rPr>
              <w:t xml:space="preserve"> </w:t>
            </w:r>
            <w:proofErr w:type="spellStart"/>
            <w:r w:rsidRPr="00006FD7">
              <w:rPr>
                <w:rFonts w:cstheme="minorHAnsi"/>
                <w:b/>
                <w:sz w:val="20"/>
                <w:szCs w:val="20"/>
              </w:rPr>
              <w:t>zgrada</w:t>
            </w:r>
            <w:proofErr w:type="spellEnd"/>
          </w:p>
        </w:tc>
      </w:tr>
      <w:tr w:rsidR="00A00D87" w:rsidRPr="001972F5" w14:paraId="2DB23DC3" w14:textId="77777777" w:rsidTr="00122946">
        <w:trPr>
          <w:trHeight w:val="838"/>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87055F"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Opis</w:t>
            </w:r>
            <w:proofErr w:type="spellEnd"/>
            <w:r w:rsidRPr="00006FD7">
              <w:rPr>
                <w:rFonts w:cstheme="minorHAnsi"/>
                <w:b/>
                <w:sz w:val="20"/>
                <w:szCs w:val="20"/>
              </w:rPr>
              <w:t xml:space="preserve"> </w:t>
            </w:r>
            <w:proofErr w:type="spellStart"/>
            <w:r w:rsidRPr="00006FD7">
              <w:rPr>
                <w:rFonts w:cstheme="minorHAnsi"/>
                <w:b/>
                <w:sz w:val="20"/>
                <w:szCs w:val="20"/>
              </w:rPr>
              <w:t>mjere</w:t>
            </w:r>
            <w:proofErr w:type="spellEnd"/>
            <w:r w:rsidRPr="00006FD7">
              <w:rPr>
                <w:rFonts w:cstheme="minorHAnsi"/>
                <w:b/>
                <w:sz w:val="20"/>
                <w:szCs w:val="20"/>
              </w:rPr>
              <w:t xml:space="preserve"> </w:t>
            </w:r>
            <w:proofErr w:type="spellStart"/>
            <w:r w:rsidRPr="00006FD7">
              <w:rPr>
                <w:rFonts w:cstheme="minorHAnsi"/>
                <w:b/>
                <w:sz w:val="20"/>
                <w:szCs w:val="20"/>
              </w:rPr>
              <w:t>sa</w:t>
            </w:r>
            <w:proofErr w:type="spellEnd"/>
            <w:r w:rsidRPr="00006FD7">
              <w:rPr>
                <w:rFonts w:cstheme="minorHAnsi"/>
                <w:b/>
                <w:sz w:val="20"/>
                <w:szCs w:val="20"/>
              </w:rPr>
              <w:t xml:space="preserve"> </w:t>
            </w:r>
            <w:proofErr w:type="spellStart"/>
            <w:r w:rsidRPr="00006FD7">
              <w:rPr>
                <w:rFonts w:cstheme="minorHAnsi"/>
                <w:b/>
                <w:sz w:val="20"/>
                <w:szCs w:val="20"/>
              </w:rPr>
              <w:t>okvirnim</w:t>
            </w:r>
            <w:proofErr w:type="spellEnd"/>
            <w:r w:rsidRPr="00006FD7">
              <w:rPr>
                <w:rFonts w:cstheme="minorHAnsi"/>
                <w:b/>
                <w:sz w:val="20"/>
                <w:szCs w:val="20"/>
              </w:rPr>
              <w:t xml:space="preserve"> </w:t>
            </w:r>
            <w:proofErr w:type="spellStart"/>
            <w:r w:rsidRPr="00006FD7">
              <w:rPr>
                <w:rFonts w:cstheme="minorHAnsi"/>
                <w:b/>
                <w:sz w:val="20"/>
                <w:szCs w:val="20"/>
              </w:rPr>
              <w:t>područjima</w:t>
            </w:r>
            <w:proofErr w:type="spellEnd"/>
            <w:r w:rsidRPr="00006FD7">
              <w:rPr>
                <w:rFonts w:cstheme="minorHAnsi"/>
                <w:b/>
                <w:sz w:val="20"/>
                <w:szCs w:val="20"/>
              </w:rPr>
              <w:t xml:space="preserve"> </w:t>
            </w:r>
            <w:proofErr w:type="spellStart"/>
            <w:r w:rsidRPr="00006FD7">
              <w:rPr>
                <w:rFonts w:cstheme="minorHAnsi"/>
                <w:b/>
                <w:sz w:val="20"/>
                <w:szCs w:val="20"/>
              </w:rPr>
              <w:t>djelovanja</w:t>
            </w:r>
            <w:proofErr w:type="spellEnd"/>
          </w:p>
        </w:tc>
        <w:tc>
          <w:tcPr>
            <w:tcW w:w="7353" w:type="dxa"/>
            <w:gridSpan w:val="3"/>
            <w:tcBorders>
              <w:top w:val="single" w:sz="4" w:space="0" w:color="000000"/>
              <w:left w:val="single" w:sz="4" w:space="0" w:color="000000"/>
              <w:bottom w:val="single" w:sz="4" w:space="0" w:color="000000"/>
              <w:right w:val="single" w:sz="4" w:space="0" w:color="000000"/>
            </w:tcBorders>
          </w:tcPr>
          <w:p w14:paraId="31E5CF26" w14:textId="63B92787" w:rsidR="00A00D87" w:rsidRPr="00006FD7" w:rsidRDefault="00A00D87" w:rsidP="00E6560A">
            <w:pPr>
              <w:spacing w:line="259" w:lineRule="auto"/>
              <w:ind w:left="1" w:right="32"/>
              <w:jc w:val="both"/>
              <w:rPr>
                <w:rFonts w:cstheme="minorHAnsi"/>
                <w:sz w:val="20"/>
                <w:szCs w:val="20"/>
              </w:rPr>
            </w:pPr>
            <w:bookmarkStart w:id="260" w:name="_Hlk126065237"/>
            <w:proofErr w:type="spellStart"/>
            <w:r w:rsidRPr="00006FD7">
              <w:rPr>
                <w:rFonts w:cstheme="minorHAnsi"/>
                <w:sz w:val="20"/>
                <w:szCs w:val="20"/>
              </w:rPr>
              <w:t>Cilj</w:t>
            </w:r>
            <w:proofErr w:type="spellEnd"/>
            <w:r w:rsidRPr="00006FD7">
              <w:rPr>
                <w:rFonts w:cstheme="minorHAnsi"/>
                <w:sz w:val="20"/>
                <w:szCs w:val="20"/>
              </w:rPr>
              <w:t xml:space="preserve"> </w:t>
            </w:r>
            <w:proofErr w:type="spellStart"/>
            <w:r w:rsidRPr="00006FD7">
              <w:rPr>
                <w:rFonts w:cstheme="minorHAnsi"/>
                <w:sz w:val="20"/>
                <w:szCs w:val="20"/>
              </w:rPr>
              <w:t>mjere</w:t>
            </w:r>
            <w:proofErr w:type="spellEnd"/>
            <w:r w:rsidRPr="00006FD7">
              <w:rPr>
                <w:rFonts w:cstheme="minorHAnsi"/>
                <w:sz w:val="20"/>
                <w:szCs w:val="20"/>
              </w:rPr>
              <w:t xml:space="preserve"> je </w:t>
            </w:r>
            <w:proofErr w:type="spellStart"/>
            <w:r w:rsidRPr="00006FD7">
              <w:rPr>
                <w:rFonts w:cstheme="minorHAnsi"/>
                <w:sz w:val="20"/>
                <w:szCs w:val="20"/>
              </w:rPr>
              <w:t>izvršiti</w:t>
            </w:r>
            <w:proofErr w:type="spellEnd"/>
            <w:r w:rsidRPr="00006FD7">
              <w:rPr>
                <w:rFonts w:cstheme="minorHAnsi"/>
                <w:sz w:val="20"/>
                <w:szCs w:val="20"/>
              </w:rPr>
              <w:t xml:space="preserve"> </w:t>
            </w:r>
            <w:proofErr w:type="spellStart"/>
            <w:r w:rsidRPr="00006FD7">
              <w:rPr>
                <w:rFonts w:cstheme="minorHAnsi"/>
                <w:sz w:val="20"/>
                <w:szCs w:val="20"/>
              </w:rPr>
              <w:t>izmjene</w:t>
            </w:r>
            <w:proofErr w:type="spellEnd"/>
            <w:r w:rsidRPr="00006FD7">
              <w:rPr>
                <w:rFonts w:cstheme="minorHAnsi"/>
                <w:sz w:val="20"/>
                <w:szCs w:val="20"/>
              </w:rPr>
              <w:t xml:space="preserve"> i </w:t>
            </w:r>
            <w:proofErr w:type="spellStart"/>
            <w:r w:rsidRPr="00006FD7">
              <w:rPr>
                <w:rFonts w:cstheme="minorHAnsi"/>
                <w:sz w:val="20"/>
                <w:szCs w:val="20"/>
              </w:rPr>
              <w:t>dopune</w:t>
            </w:r>
            <w:proofErr w:type="spellEnd"/>
            <w:r w:rsidRPr="00006FD7">
              <w:rPr>
                <w:rFonts w:cstheme="minorHAnsi"/>
                <w:sz w:val="20"/>
                <w:szCs w:val="20"/>
              </w:rPr>
              <w:t xml:space="preserve"> </w:t>
            </w:r>
            <w:proofErr w:type="spellStart"/>
            <w:r w:rsidRPr="00006FD7">
              <w:rPr>
                <w:rFonts w:cstheme="minorHAnsi"/>
                <w:sz w:val="20"/>
                <w:szCs w:val="20"/>
              </w:rPr>
              <w:t>postojeće</w:t>
            </w:r>
            <w:proofErr w:type="spellEnd"/>
            <w:r w:rsidRPr="00006FD7">
              <w:rPr>
                <w:rFonts w:cstheme="minorHAnsi"/>
                <w:sz w:val="20"/>
                <w:szCs w:val="20"/>
              </w:rPr>
              <w:t xml:space="preserve"> legislative u </w:t>
            </w:r>
            <w:proofErr w:type="spellStart"/>
            <w:r w:rsidRPr="00006FD7">
              <w:rPr>
                <w:rFonts w:cstheme="minorHAnsi"/>
                <w:sz w:val="20"/>
                <w:szCs w:val="20"/>
              </w:rPr>
              <w:t>oblasti</w:t>
            </w:r>
            <w:proofErr w:type="spellEnd"/>
            <w:r w:rsidRPr="00006FD7">
              <w:rPr>
                <w:rFonts w:cstheme="minorHAnsi"/>
                <w:sz w:val="20"/>
                <w:szCs w:val="20"/>
              </w:rPr>
              <w:t xml:space="preserve"> EE u FBiH, </w:t>
            </w:r>
            <w:proofErr w:type="spellStart"/>
            <w:proofErr w:type="gramStart"/>
            <w:r w:rsidRPr="00006FD7">
              <w:rPr>
                <w:rFonts w:cstheme="minorHAnsi"/>
                <w:sz w:val="20"/>
                <w:szCs w:val="20"/>
              </w:rPr>
              <w:t>te</w:t>
            </w:r>
            <w:proofErr w:type="spellEnd"/>
            <w:r w:rsidRPr="00006FD7">
              <w:rPr>
                <w:rFonts w:cstheme="minorHAnsi"/>
                <w:sz w:val="20"/>
                <w:szCs w:val="20"/>
              </w:rPr>
              <w:t xml:space="preserve">  </w:t>
            </w:r>
            <w:proofErr w:type="spellStart"/>
            <w:r w:rsidRPr="00006FD7">
              <w:rPr>
                <w:rFonts w:cstheme="minorHAnsi"/>
                <w:sz w:val="20"/>
                <w:szCs w:val="20"/>
              </w:rPr>
              <w:t>izraditi</w:t>
            </w:r>
            <w:proofErr w:type="spellEnd"/>
            <w:proofErr w:type="gramEnd"/>
            <w:r w:rsidRPr="00006FD7">
              <w:rPr>
                <w:rFonts w:cstheme="minorHAnsi"/>
                <w:sz w:val="20"/>
                <w:szCs w:val="20"/>
              </w:rPr>
              <w:t xml:space="preserve"> i </w:t>
            </w:r>
            <w:proofErr w:type="spellStart"/>
            <w:r w:rsidRPr="00006FD7">
              <w:rPr>
                <w:rFonts w:cstheme="minorHAnsi"/>
                <w:sz w:val="20"/>
                <w:szCs w:val="20"/>
              </w:rPr>
              <w:t>usvojiti</w:t>
            </w:r>
            <w:proofErr w:type="spellEnd"/>
            <w:r w:rsidRPr="00006FD7">
              <w:rPr>
                <w:rFonts w:cstheme="minorHAnsi"/>
                <w:sz w:val="20"/>
                <w:szCs w:val="20"/>
              </w:rPr>
              <w:t xml:space="preserve"> </w:t>
            </w:r>
            <w:proofErr w:type="spellStart"/>
            <w:r w:rsidRPr="00006FD7">
              <w:rPr>
                <w:rFonts w:cstheme="minorHAnsi"/>
                <w:sz w:val="20"/>
                <w:szCs w:val="20"/>
              </w:rPr>
              <w:t>strateške</w:t>
            </w:r>
            <w:proofErr w:type="spellEnd"/>
            <w:r w:rsidRPr="00006FD7">
              <w:rPr>
                <w:rFonts w:cstheme="minorHAnsi"/>
                <w:sz w:val="20"/>
                <w:szCs w:val="20"/>
              </w:rPr>
              <w:t xml:space="preserve"> </w:t>
            </w:r>
            <w:proofErr w:type="spellStart"/>
            <w:r w:rsidRPr="00006FD7">
              <w:rPr>
                <w:rFonts w:cstheme="minorHAnsi"/>
                <w:sz w:val="20"/>
                <w:szCs w:val="20"/>
              </w:rPr>
              <w:t>dokumenate</w:t>
            </w:r>
            <w:proofErr w:type="spellEnd"/>
            <w:r w:rsidRPr="00006FD7">
              <w:rPr>
                <w:rFonts w:cstheme="minorHAnsi"/>
                <w:sz w:val="20"/>
                <w:szCs w:val="20"/>
              </w:rPr>
              <w:t xml:space="preserve"> </w:t>
            </w:r>
            <w:proofErr w:type="spellStart"/>
            <w:r w:rsidRPr="00006FD7">
              <w:rPr>
                <w:rFonts w:cstheme="minorHAnsi"/>
                <w:sz w:val="20"/>
                <w:szCs w:val="20"/>
              </w:rPr>
              <w:t>relevantne</w:t>
            </w:r>
            <w:proofErr w:type="spellEnd"/>
            <w:r w:rsidRPr="00006FD7">
              <w:rPr>
                <w:rFonts w:cstheme="minorHAnsi"/>
                <w:sz w:val="20"/>
                <w:szCs w:val="20"/>
              </w:rPr>
              <w:t xml:space="preserve"> za </w:t>
            </w:r>
            <w:proofErr w:type="spellStart"/>
            <w:r w:rsidRPr="00006FD7">
              <w:rPr>
                <w:rFonts w:cstheme="minorHAnsi"/>
                <w:sz w:val="20"/>
                <w:szCs w:val="20"/>
              </w:rPr>
              <w:t>obnovu</w:t>
            </w:r>
            <w:proofErr w:type="spellEnd"/>
            <w:r w:rsidRPr="00006FD7">
              <w:rPr>
                <w:rFonts w:cstheme="minorHAnsi"/>
                <w:sz w:val="20"/>
                <w:szCs w:val="20"/>
              </w:rPr>
              <w:t xml:space="preserve"> </w:t>
            </w:r>
            <w:proofErr w:type="spellStart"/>
            <w:r w:rsidRPr="00006FD7">
              <w:rPr>
                <w:rFonts w:cstheme="minorHAnsi"/>
                <w:sz w:val="20"/>
                <w:szCs w:val="20"/>
              </w:rPr>
              <w:t>zgrada</w:t>
            </w:r>
            <w:proofErr w:type="spellEnd"/>
            <w:r w:rsidRPr="00006FD7">
              <w:rPr>
                <w:rFonts w:cstheme="minorHAnsi"/>
                <w:sz w:val="20"/>
                <w:szCs w:val="20"/>
              </w:rPr>
              <w:t xml:space="preserve">. </w:t>
            </w:r>
            <w:bookmarkEnd w:id="260"/>
            <w:proofErr w:type="spellStart"/>
            <w:r w:rsidRPr="00006FD7">
              <w:rPr>
                <w:rFonts w:cstheme="minorHAnsi"/>
                <w:sz w:val="20"/>
                <w:szCs w:val="20"/>
              </w:rPr>
              <w:t>Potpisivanjem</w:t>
            </w:r>
            <w:proofErr w:type="spellEnd"/>
            <w:r w:rsidRPr="00006FD7">
              <w:rPr>
                <w:rFonts w:cstheme="minorHAnsi"/>
                <w:sz w:val="20"/>
                <w:szCs w:val="20"/>
              </w:rPr>
              <w:t xml:space="preserve"> </w:t>
            </w:r>
            <w:proofErr w:type="spellStart"/>
            <w:r w:rsidRPr="00006FD7">
              <w:rPr>
                <w:rFonts w:cstheme="minorHAnsi"/>
                <w:sz w:val="20"/>
                <w:szCs w:val="20"/>
              </w:rPr>
              <w:t>Ugovora</w:t>
            </w:r>
            <w:proofErr w:type="spellEnd"/>
            <w:r w:rsidRPr="00006FD7">
              <w:rPr>
                <w:rFonts w:cstheme="minorHAnsi"/>
                <w:sz w:val="20"/>
                <w:szCs w:val="20"/>
              </w:rPr>
              <w:t xml:space="preserve"> o </w:t>
            </w:r>
            <w:proofErr w:type="spellStart"/>
            <w:r w:rsidRPr="00006FD7">
              <w:rPr>
                <w:rFonts w:cstheme="minorHAnsi"/>
                <w:sz w:val="20"/>
                <w:szCs w:val="20"/>
              </w:rPr>
              <w:t>Energetskoj</w:t>
            </w:r>
            <w:proofErr w:type="spellEnd"/>
            <w:r w:rsidRPr="00006FD7">
              <w:rPr>
                <w:rFonts w:cstheme="minorHAnsi"/>
                <w:sz w:val="20"/>
                <w:szCs w:val="20"/>
              </w:rPr>
              <w:t xml:space="preserve"> </w:t>
            </w:r>
            <w:proofErr w:type="spellStart"/>
            <w:r w:rsidRPr="00006FD7">
              <w:rPr>
                <w:rFonts w:cstheme="minorHAnsi"/>
                <w:sz w:val="20"/>
                <w:szCs w:val="20"/>
              </w:rPr>
              <w:t>zajednici</w:t>
            </w:r>
            <w:proofErr w:type="spellEnd"/>
            <w:r w:rsidRPr="00006FD7">
              <w:rPr>
                <w:rFonts w:cstheme="minorHAnsi"/>
                <w:sz w:val="20"/>
                <w:szCs w:val="20"/>
              </w:rPr>
              <w:t xml:space="preserve">, Bosna i Hercegovina se </w:t>
            </w:r>
            <w:proofErr w:type="spellStart"/>
            <w:r w:rsidR="00F03625" w:rsidRPr="00006FD7">
              <w:rPr>
                <w:rFonts w:cstheme="minorHAnsi"/>
                <w:sz w:val="20"/>
                <w:szCs w:val="20"/>
              </w:rPr>
              <w:t>obvez</w:t>
            </w:r>
            <w:r w:rsidRPr="00006FD7">
              <w:rPr>
                <w:rFonts w:cstheme="minorHAnsi"/>
                <w:sz w:val="20"/>
                <w:szCs w:val="20"/>
              </w:rPr>
              <w:t>ala</w:t>
            </w:r>
            <w:proofErr w:type="spellEnd"/>
            <w:r w:rsidRPr="00006FD7">
              <w:rPr>
                <w:rFonts w:cstheme="minorHAnsi"/>
                <w:sz w:val="20"/>
                <w:szCs w:val="20"/>
              </w:rPr>
              <w:t xml:space="preserve"> </w:t>
            </w:r>
            <w:proofErr w:type="spellStart"/>
            <w:r w:rsidRPr="00006FD7">
              <w:rPr>
                <w:rFonts w:cstheme="minorHAnsi"/>
                <w:sz w:val="20"/>
                <w:szCs w:val="20"/>
              </w:rPr>
              <w:t>na</w:t>
            </w:r>
            <w:proofErr w:type="spellEnd"/>
            <w:r w:rsidRPr="00006FD7">
              <w:rPr>
                <w:rFonts w:cstheme="minorHAnsi"/>
                <w:sz w:val="20"/>
                <w:szCs w:val="20"/>
              </w:rPr>
              <w:t xml:space="preserve"> </w:t>
            </w:r>
            <w:proofErr w:type="spellStart"/>
            <w:r w:rsidRPr="00006FD7">
              <w:rPr>
                <w:rFonts w:cstheme="minorHAnsi"/>
                <w:sz w:val="20"/>
                <w:szCs w:val="20"/>
              </w:rPr>
              <w:t>preuzimanje</w:t>
            </w:r>
            <w:proofErr w:type="spellEnd"/>
            <w:r w:rsidRPr="00006FD7">
              <w:rPr>
                <w:rFonts w:cstheme="minorHAnsi"/>
                <w:sz w:val="20"/>
                <w:szCs w:val="20"/>
              </w:rPr>
              <w:t xml:space="preserve"> </w:t>
            </w:r>
            <w:proofErr w:type="spellStart"/>
            <w:r w:rsidRPr="00006FD7">
              <w:rPr>
                <w:rFonts w:cstheme="minorHAnsi"/>
                <w:sz w:val="20"/>
                <w:szCs w:val="20"/>
              </w:rPr>
              <w:t>temeljnih</w:t>
            </w:r>
            <w:proofErr w:type="spellEnd"/>
            <w:r w:rsidRPr="00006FD7">
              <w:rPr>
                <w:rFonts w:cstheme="minorHAnsi"/>
                <w:sz w:val="20"/>
                <w:szCs w:val="20"/>
              </w:rPr>
              <w:t xml:space="preserve"> </w:t>
            </w:r>
            <w:proofErr w:type="spellStart"/>
            <w:r w:rsidRPr="00006FD7">
              <w:rPr>
                <w:rFonts w:cstheme="minorHAnsi"/>
                <w:sz w:val="20"/>
                <w:szCs w:val="20"/>
              </w:rPr>
              <w:t>odrednica</w:t>
            </w:r>
            <w:proofErr w:type="spellEnd"/>
            <w:r w:rsidRPr="00006FD7">
              <w:rPr>
                <w:rFonts w:cstheme="minorHAnsi"/>
                <w:sz w:val="20"/>
                <w:szCs w:val="20"/>
              </w:rPr>
              <w:t xml:space="preserve"> </w:t>
            </w:r>
            <w:proofErr w:type="spellStart"/>
            <w:r w:rsidRPr="00006FD7">
              <w:rPr>
                <w:rFonts w:cstheme="minorHAnsi"/>
                <w:sz w:val="20"/>
                <w:szCs w:val="20"/>
              </w:rPr>
              <w:t>energetskog</w:t>
            </w:r>
            <w:proofErr w:type="spellEnd"/>
            <w:r w:rsidRPr="00006FD7">
              <w:rPr>
                <w:rFonts w:cstheme="minorHAnsi"/>
                <w:sz w:val="20"/>
                <w:szCs w:val="20"/>
              </w:rPr>
              <w:t xml:space="preserve"> </w:t>
            </w:r>
            <w:proofErr w:type="spellStart"/>
            <w:r w:rsidRPr="00006FD7">
              <w:rPr>
                <w:rFonts w:cstheme="minorHAnsi"/>
                <w:sz w:val="20"/>
                <w:szCs w:val="20"/>
              </w:rPr>
              <w:t>zakonodavstva</w:t>
            </w:r>
            <w:proofErr w:type="spellEnd"/>
            <w:r w:rsidRPr="00006FD7">
              <w:rPr>
                <w:rFonts w:cstheme="minorHAnsi"/>
                <w:sz w:val="20"/>
                <w:szCs w:val="20"/>
              </w:rPr>
              <w:t xml:space="preserve"> EU </w:t>
            </w:r>
            <w:proofErr w:type="spellStart"/>
            <w:r w:rsidRPr="00006FD7">
              <w:rPr>
                <w:rFonts w:cstheme="minorHAnsi"/>
                <w:sz w:val="20"/>
                <w:szCs w:val="20"/>
              </w:rPr>
              <w:t>odnosno</w:t>
            </w:r>
            <w:proofErr w:type="spellEnd"/>
            <w:r w:rsidRPr="00006FD7">
              <w:rPr>
                <w:rFonts w:cstheme="minorHAnsi"/>
                <w:sz w:val="20"/>
                <w:szCs w:val="20"/>
              </w:rPr>
              <w:t xml:space="preserve"> </w:t>
            </w:r>
            <w:proofErr w:type="spellStart"/>
            <w:r w:rsidRPr="00006FD7">
              <w:rPr>
                <w:rFonts w:cstheme="minorHAnsi"/>
                <w:sz w:val="20"/>
                <w:szCs w:val="20"/>
              </w:rPr>
              <w:t>harmoniziranje</w:t>
            </w:r>
            <w:proofErr w:type="spellEnd"/>
            <w:r w:rsidRPr="00006FD7">
              <w:rPr>
                <w:rFonts w:cstheme="minorHAnsi"/>
                <w:sz w:val="20"/>
                <w:szCs w:val="20"/>
              </w:rPr>
              <w:t xml:space="preserve"> </w:t>
            </w:r>
            <w:proofErr w:type="spellStart"/>
            <w:r w:rsidRPr="00006FD7">
              <w:rPr>
                <w:rFonts w:cstheme="minorHAnsi"/>
                <w:sz w:val="20"/>
                <w:szCs w:val="20"/>
              </w:rPr>
              <w:t>pravnog</w:t>
            </w:r>
            <w:proofErr w:type="spellEnd"/>
            <w:r w:rsidRPr="00006FD7">
              <w:rPr>
                <w:rFonts w:cstheme="minorHAnsi"/>
                <w:sz w:val="20"/>
                <w:szCs w:val="20"/>
              </w:rPr>
              <w:t xml:space="preserve"> </w:t>
            </w:r>
            <w:proofErr w:type="spellStart"/>
            <w:r w:rsidRPr="00006FD7">
              <w:rPr>
                <w:rFonts w:cstheme="minorHAnsi"/>
                <w:sz w:val="20"/>
                <w:szCs w:val="20"/>
              </w:rPr>
              <w:t>okvira</w:t>
            </w:r>
            <w:proofErr w:type="spellEnd"/>
            <w:r w:rsidRPr="00006FD7">
              <w:rPr>
                <w:rFonts w:cstheme="minorHAnsi"/>
                <w:sz w:val="20"/>
                <w:szCs w:val="20"/>
              </w:rPr>
              <w:t xml:space="preserve"> u </w:t>
            </w:r>
            <w:proofErr w:type="spellStart"/>
            <w:r w:rsidRPr="00006FD7">
              <w:rPr>
                <w:rFonts w:cstheme="minorHAnsi"/>
                <w:sz w:val="20"/>
                <w:szCs w:val="20"/>
              </w:rPr>
              <w:t>našoj</w:t>
            </w:r>
            <w:proofErr w:type="spellEnd"/>
            <w:r w:rsidRPr="00006FD7">
              <w:rPr>
                <w:rFonts w:cstheme="minorHAnsi"/>
                <w:sz w:val="20"/>
                <w:szCs w:val="20"/>
              </w:rPr>
              <w:t xml:space="preserve"> </w:t>
            </w:r>
            <w:proofErr w:type="spellStart"/>
            <w:proofErr w:type="gramStart"/>
            <w:r w:rsidRPr="00006FD7">
              <w:rPr>
                <w:rFonts w:cstheme="minorHAnsi"/>
                <w:sz w:val="20"/>
                <w:szCs w:val="20"/>
              </w:rPr>
              <w:t>državi</w:t>
            </w:r>
            <w:proofErr w:type="spellEnd"/>
            <w:r w:rsidRPr="00006FD7">
              <w:rPr>
                <w:rFonts w:cstheme="minorHAnsi"/>
                <w:sz w:val="20"/>
                <w:szCs w:val="20"/>
              </w:rPr>
              <w:t xml:space="preserve">  </w:t>
            </w:r>
            <w:proofErr w:type="spellStart"/>
            <w:r w:rsidRPr="00006FD7">
              <w:rPr>
                <w:rFonts w:cstheme="minorHAnsi"/>
                <w:sz w:val="20"/>
                <w:szCs w:val="20"/>
              </w:rPr>
              <w:t>sa</w:t>
            </w:r>
            <w:proofErr w:type="spellEnd"/>
            <w:proofErr w:type="gramEnd"/>
            <w:r w:rsidRPr="00006FD7">
              <w:rPr>
                <w:rFonts w:cstheme="minorHAnsi"/>
                <w:sz w:val="20"/>
                <w:szCs w:val="20"/>
              </w:rPr>
              <w:t xml:space="preserve"> </w:t>
            </w:r>
            <w:proofErr w:type="spellStart"/>
            <w:r w:rsidRPr="00006FD7">
              <w:rPr>
                <w:rFonts w:cstheme="minorHAnsi"/>
                <w:sz w:val="20"/>
                <w:szCs w:val="20"/>
              </w:rPr>
              <w:t>pravnom</w:t>
            </w:r>
            <w:proofErr w:type="spellEnd"/>
            <w:r w:rsidRPr="00006FD7">
              <w:rPr>
                <w:rFonts w:cstheme="minorHAnsi"/>
                <w:sz w:val="20"/>
                <w:szCs w:val="20"/>
              </w:rPr>
              <w:t xml:space="preserve"> </w:t>
            </w:r>
            <w:proofErr w:type="spellStart"/>
            <w:r w:rsidRPr="00006FD7">
              <w:rPr>
                <w:rFonts w:cstheme="minorHAnsi"/>
                <w:sz w:val="20"/>
                <w:szCs w:val="20"/>
              </w:rPr>
              <w:t>stečevinom</w:t>
            </w:r>
            <w:proofErr w:type="spellEnd"/>
            <w:r w:rsidRPr="00006FD7">
              <w:rPr>
                <w:rFonts w:cstheme="minorHAnsi"/>
                <w:sz w:val="20"/>
                <w:szCs w:val="20"/>
              </w:rPr>
              <w:t xml:space="preserve"> EU u </w:t>
            </w:r>
            <w:proofErr w:type="spellStart"/>
            <w:r w:rsidRPr="00006FD7">
              <w:rPr>
                <w:rFonts w:cstheme="minorHAnsi"/>
                <w:sz w:val="20"/>
                <w:szCs w:val="20"/>
              </w:rPr>
              <w:t>energetskom</w:t>
            </w:r>
            <w:proofErr w:type="spellEnd"/>
            <w:r w:rsidRPr="00006FD7">
              <w:rPr>
                <w:rFonts w:cstheme="minorHAnsi"/>
                <w:sz w:val="20"/>
                <w:szCs w:val="20"/>
              </w:rPr>
              <w:t xml:space="preserve"> </w:t>
            </w:r>
            <w:proofErr w:type="spellStart"/>
            <w:r w:rsidRPr="00006FD7">
              <w:rPr>
                <w:rFonts w:cstheme="minorHAnsi"/>
                <w:sz w:val="20"/>
                <w:szCs w:val="20"/>
              </w:rPr>
              <w:t>sektoru</w:t>
            </w:r>
            <w:proofErr w:type="spellEnd"/>
            <w:r w:rsidRPr="00006FD7">
              <w:rPr>
                <w:rFonts w:cstheme="minorHAnsi"/>
                <w:sz w:val="20"/>
                <w:szCs w:val="20"/>
              </w:rPr>
              <w:t xml:space="preserve">. </w:t>
            </w:r>
          </w:p>
          <w:p w14:paraId="5848C323" w14:textId="77777777" w:rsidR="00A00D87" w:rsidRPr="001972F5" w:rsidRDefault="00A00D87" w:rsidP="00E6560A">
            <w:pPr>
              <w:spacing w:line="259" w:lineRule="auto"/>
              <w:ind w:left="1" w:right="32"/>
              <w:jc w:val="both"/>
              <w:rPr>
                <w:rFonts w:cstheme="minorHAnsi"/>
                <w:sz w:val="20"/>
                <w:szCs w:val="20"/>
                <w:lang w:val="fi-FI"/>
              </w:rPr>
            </w:pPr>
            <w:r w:rsidRPr="001972F5">
              <w:rPr>
                <w:rFonts w:cstheme="minorHAnsi"/>
                <w:sz w:val="20"/>
                <w:szCs w:val="20"/>
                <w:lang w:val="fi-FI"/>
              </w:rPr>
              <w:t>Aktivnosti planirane u sklopu ove mjere su:</w:t>
            </w:r>
          </w:p>
          <w:p w14:paraId="7A7309DA" w14:textId="77777777" w:rsidR="00A00D87" w:rsidRPr="00006FD7" w:rsidRDefault="00A00D87" w:rsidP="007F1ECE">
            <w:pPr>
              <w:pStyle w:val="ListParagraph"/>
              <w:numPr>
                <w:ilvl w:val="0"/>
                <w:numId w:val="96"/>
              </w:numPr>
              <w:ind w:right="32"/>
              <w:jc w:val="both"/>
              <w:rPr>
                <w:rFonts w:cstheme="minorHAnsi"/>
                <w:sz w:val="20"/>
                <w:szCs w:val="20"/>
              </w:rPr>
            </w:pPr>
            <w:r w:rsidRPr="00006FD7">
              <w:rPr>
                <w:rFonts w:cstheme="minorHAnsi"/>
                <w:sz w:val="20"/>
                <w:szCs w:val="20"/>
              </w:rPr>
              <w:t>Izmjene i dopune postojeće legislative u oblasti EE u FBiH, kao i izrada strateških dokumenata relevantnih za obnovu zgrada, što podrazumijeva:</w:t>
            </w:r>
          </w:p>
          <w:p w14:paraId="2A4DDEDE"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Izmjene i dopune postojeće legislative u oblasti EE u FBiH, prevashodno u skladu sa direktivom 2010/31/EU o energijskim karakteristikama zgrada (EPBD), direktivom 2012/27/EU o energijskoj efikasnosti (EED) i Uredbom 2017/1369/EU o utvrđivanju okvira za označavanje energijske efikasnost;</w:t>
            </w:r>
          </w:p>
          <w:p w14:paraId="086BA911"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Donošenje svih podzakonskih akata koji reguliraju određene oblasti propisane u okviru Zakona o energijskoj efikasnosti u FBiH;</w:t>
            </w:r>
          </w:p>
          <w:p w14:paraId="2541B06B"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Donošenje pravilnika o ugovaranju i realizaciji energijskih usluga/energijskih performansi (ESCO);</w:t>
            </w:r>
          </w:p>
          <w:p w14:paraId="6419B809"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Donošenje propisa vezanih za obligacione šeme energijske efikasnosti;</w:t>
            </w:r>
          </w:p>
          <w:p w14:paraId="49B60FD4"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Donošenje pravilnika o mjerenju stvarne potrošnje energije u sistemima daljinskog grijanja, hlađenja i snabdijevanja potrošnom toplom vodom;</w:t>
            </w:r>
          </w:p>
          <w:p w14:paraId="688A1AB2"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Donošenje propisa o energijskom označavanju i ekodizajnu,</w:t>
            </w:r>
          </w:p>
          <w:p w14:paraId="152F00F9"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Izrada i usvajanje strateških dokumenata relevantnih za obnovu zgrada;</w:t>
            </w:r>
          </w:p>
          <w:p w14:paraId="47450FEC" w14:textId="77777777" w:rsidR="00A00D87" w:rsidRPr="00006FD7" w:rsidRDefault="00A00D87" w:rsidP="00581C1C">
            <w:pPr>
              <w:pStyle w:val="ListParagraph"/>
              <w:numPr>
                <w:ilvl w:val="0"/>
                <w:numId w:val="60"/>
              </w:numPr>
              <w:ind w:left="1089" w:right="32"/>
              <w:jc w:val="both"/>
              <w:rPr>
                <w:rFonts w:cstheme="minorHAnsi"/>
                <w:sz w:val="20"/>
                <w:szCs w:val="20"/>
              </w:rPr>
            </w:pPr>
            <w:r w:rsidRPr="00006FD7">
              <w:rPr>
                <w:rFonts w:cstheme="minorHAnsi"/>
                <w:sz w:val="20"/>
                <w:szCs w:val="20"/>
              </w:rPr>
              <w:t>Integriranje standarda i principa rodne ravnopravnosti, društvene jednakosti i pitanja siromaštva u ključne politike, strategije i programe u oblasti EE.</w:t>
            </w:r>
          </w:p>
          <w:p w14:paraId="3F80A4CE" w14:textId="77777777" w:rsidR="00A00D87" w:rsidRPr="00006FD7" w:rsidRDefault="00A00D87" w:rsidP="007F1ECE">
            <w:pPr>
              <w:pStyle w:val="ListParagraph"/>
              <w:numPr>
                <w:ilvl w:val="0"/>
                <w:numId w:val="96"/>
              </w:numPr>
              <w:jc w:val="both"/>
              <w:rPr>
                <w:rFonts w:cstheme="minorHAnsi"/>
                <w:sz w:val="20"/>
                <w:szCs w:val="20"/>
              </w:rPr>
            </w:pPr>
            <w:r w:rsidRPr="00006FD7">
              <w:rPr>
                <w:rFonts w:cstheme="minorHAnsi"/>
                <w:sz w:val="20"/>
                <w:szCs w:val="20"/>
              </w:rPr>
              <w:t>Kontinuirana harmonizacija propisa relevantnih za EE i obnovu zgrada na svim nivoima vlasti u FBiH, što podrazumijeva:</w:t>
            </w:r>
          </w:p>
          <w:p w14:paraId="453F4508" w14:textId="77777777" w:rsidR="00A00D87" w:rsidRPr="00006FD7" w:rsidRDefault="00A00D87" w:rsidP="00581C1C">
            <w:pPr>
              <w:pStyle w:val="ListParagraph"/>
              <w:numPr>
                <w:ilvl w:val="0"/>
                <w:numId w:val="62"/>
              </w:numPr>
              <w:ind w:left="1089" w:right="32"/>
              <w:jc w:val="both"/>
              <w:rPr>
                <w:rFonts w:cstheme="minorHAnsi"/>
                <w:sz w:val="20"/>
                <w:szCs w:val="20"/>
              </w:rPr>
            </w:pPr>
            <w:r w:rsidRPr="00006FD7">
              <w:rPr>
                <w:rFonts w:cstheme="minorHAnsi"/>
                <w:sz w:val="20"/>
                <w:szCs w:val="20"/>
              </w:rPr>
              <w:t>Uspostavljanje Agencije EE na nivou FBiH;</w:t>
            </w:r>
          </w:p>
          <w:p w14:paraId="274827B6" w14:textId="77777777" w:rsidR="00A00D87" w:rsidRPr="00006FD7" w:rsidRDefault="00A00D87" w:rsidP="00581C1C">
            <w:pPr>
              <w:pStyle w:val="ListParagraph"/>
              <w:numPr>
                <w:ilvl w:val="0"/>
                <w:numId w:val="62"/>
              </w:numPr>
              <w:ind w:left="1089" w:right="32"/>
              <w:jc w:val="both"/>
              <w:rPr>
                <w:rFonts w:cstheme="minorHAnsi"/>
                <w:sz w:val="20"/>
                <w:szCs w:val="20"/>
              </w:rPr>
            </w:pPr>
            <w:r w:rsidRPr="00006FD7">
              <w:rPr>
                <w:rFonts w:cstheme="minorHAnsi"/>
                <w:sz w:val="20"/>
                <w:szCs w:val="20"/>
              </w:rPr>
              <w:t>Usvajanje novog zakona o prostornom uređenju u nadležnosti FBiH koji će tretirati oblast energijske efikasnosti u skladu sa Zakonom o EE u FBiH;</w:t>
            </w:r>
          </w:p>
          <w:p w14:paraId="162848DC" w14:textId="77777777" w:rsidR="00A00D87" w:rsidRPr="00006FD7" w:rsidRDefault="00A00D87" w:rsidP="00581C1C">
            <w:pPr>
              <w:pStyle w:val="ListParagraph"/>
              <w:numPr>
                <w:ilvl w:val="0"/>
                <w:numId w:val="62"/>
              </w:numPr>
              <w:ind w:left="1089" w:right="32"/>
              <w:jc w:val="both"/>
              <w:rPr>
                <w:rFonts w:cstheme="minorHAnsi"/>
                <w:sz w:val="20"/>
                <w:szCs w:val="20"/>
              </w:rPr>
            </w:pPr>
            <w:r w:rsidRPr="00006FD7">
              <w:rPr>
                <w:rFonts w:cstheme="minorHAnsi"/>
                <w:sz w:val="20"/>
                <w:szCs w:val="20"/>
              </w:rPr>
              <w:t>Uvođenje odredbi Zakona o EE u FBiH u kantonalne zakone o građenju;</w:t>
            </w:r>
          </w:p>
          <w:p w14:paraId="227FEE4D" w14:textId="77777777" w:rsidR="00A00D87" w:rsidRPr="00006FD7" w:rsidRDefault="00A00D87" w:rsidP="00581C1C">
            <w:pPr>
              <w:pStyle w:val="ListParagraph"/>
              <w:numPr>
                <w:ilvl w:val="0"/>
                <w:numId w:val="62"/>
              </w:numPr>
              <w:ind w:left="1089" w:right="32"/>
              <w:jc w:val="both"/>
              <w:rPr>
                <w:rFonts w:cstheme="minorHAnsi"/>
                <w:sz w:val="20"/>
                <w:szCs w:val="20"/>
              </w:rPr>
            </w:pPr>
            <w:r w:rsidRPr="00006FD7">
              <w:rPr>
                <w:rFonts w:cstheme="minorHAnsi"/>
                <w:sz w:val="20"/>
                <w:szCs w:val="20"/>
              </w:rPr>
              <w:t>Usaglašavanje Zakona o obligacionim odnosima sa Zakonom o EE;</w:t>
            </w:r>
          </w:p>
          <w:p w14:paraId="20E5B34D" w14:textId="77777777" w:rsidR="00A00D87" w:rsidRPr="00006FD7" w:rsidRDefault="00A00D87" w:rsidP="00581C1C">
            <w:pPr>
              <w:pStyle w:val="ListParagraph"/>
              <w:numPr>
                <w:ilvl w:val="0"/>
                <w:numId w:val="62"/>
              </w:numPr>
              <w:ind w:left="1089" w:right="32"/>
              <w:jc w:val="both"/>
              <w:rPr>
                <w:rFonts w:cstheme="minorHAnsi"/>
                <w:sz w:val="20"/>
                <w:szCs w:val="20"/>
              </w:rPr>
            </w:pPr>
            <w:r w:rsidRPr="00006FD7">
              <w:rPr>
                <w:rFonts w:cstheme="minorHAnsi"/>
                <w:sz w:val="20"/>
                <w:szCs w:val="20"/>
              </w:rPr>
              <w:t>Usaglašavanje Zakona o stvarnim pravima sa Zakonom o EE;</w:t>
            </w:r>
          </w:p>
          <w:p w14:paraId="271C54B6" w14:textId="7A382606" w:rsidR="00A00D87" w:rsidRPr="00006FD7" w:rsidRDefault="00A00D87" w:rsidP="00581C1C">
            <w:pPr>
              <w:pStyle w:val="ListParagraph"/>
              <w:numPr>
                <w:ilvl w:val="0"/>
                <w:numId w:val="62"/>
              </w:numPr>
              <w:ind w:left="1089" w:right="32"/>
              <w:jc w:val="both"/>
              <w:rPr>
                <w:rFonts w:cstheme="minorHAnsi"/>
                <w:sz w:val="20"/>
                <w:szCs w:val="20"/>
              </w:rPr>
            </w:pPr>
            <w:r w:rsidRPr="00006FD7">
              <w:rPr>
                <w:rFonts w:cstheme="minorHAnsi"/>
                <w:sz w:val="20"/>
                <w:szCs w:val="20"/>
              </w:rPr>
              <w:t xml:space="preserve">Uspostavljanje registra nelegalno izgrađenih zgrada na nivou općina (adresa, namjena, period gradnje, površina, spratnost, arhitektonsko-građevinske i energijske karakteristike, energent koji se koristi za grijanje), sa </w:t>
            </w:r>
            <w:r w:rsidR="00F03625" w:rsidRPr="00006FD7">
              <w:rPr>
                <w:rFonts w:cstheme="minorHAnsi"/>
                <w:sz w:val="20"/>
                <w:szCs w:val="20"/>
              </w:rPr>
              <w:t>obvez</w:t>
            </w:r>
            <w:r w:rsidRPr="00006FD7">
              <w:rPr>
                <w:rFonts w:cstheme="minorHAnsi"/>
                <w:sz w:val="20"/>
                <w:szCs w:val="20"/>
              </w:rPr>
              <w:t>om dostavljanja podataka kantonalnim ministarstvima prostornog uređenja u svrhu objedinjavanja istih;</w:t>
            </w:r>
          </w:p>
          <w:p w14:paraId="04EA8564" w14:textId="77777777" w:rsidR="00A00D87" w:rsidRPr="00006FD7" w:rsidRDefault="00A00D87" w:rsidP="00581C1C">
            <w:pPr>
              <w:pStyle w:val="ListParagraph"/>
              <w:numPr>
                <w:ilvl w:val="0"/>
                <w:numId w:val="61"/>
              </w:numPr>
              <w:ind w:left="1089" w:right="32"/>
              <w:jc w:val="both"/>
              <w:rPr>
                <w:rFonts w:cstheme="minorHAnsi"/>
                <w:sz w:val="20"/>
                <w:szCs w:val="20"/>
              </w:rPr>
            </w:pPr>
            <w:r w:rsidRPr="00006FD7">
              <w:rPr>
                <w:rFonts w:cstheme="minorHAnsi"/>
                <w:sz w:val="20"/>
                <w:szCs w:val="20"/>
              </w:rPr>
              <w:t>Usvajanje procedure za legalizaciju nelegalno izgrađenih zgrada na nivou svih kantona u FBiH;</w:t>
            </w:r>
          </w:p>
          <w:p w14:paraId="340BF471" w14:textId="77777777" w:rsidR="00A00D87" w:rsidRPr="00006FD7" w:rsidRDefault="00A00D87" w:rsidP="00581C1C">
            <w:pPr>
              <w:pStyle w:val="ListParagraph"/>
              <w:numPr>
                <w:ilvl w:val="0"/>
                <w:numId w:val="61"/>
              </w:numPr>
              <w:ind w:left="1089" w:right="32"/>
              <w:jc w:val="both"/>
              <w:rPr>
                <w:rFonts w:cstheme="minorHAnsi"/>
                <w:sz w:val="20"/>
                <w:szCs w:val="20"/>
              </w:rPr>
            </w:pPr>
            <w:r w:rsidRPr="00006FD7">
              <w:rPr>
                <w:rFonts w:cstheme="minorHAnsi"/>
                <w:sz w:val="20"/>
                <w:szCs w:val="20"/>
              </w:rPr>
              <w:t xml:space="preserve">Donošenje zakona o upraviteljima za zgrade kolektivnog stanovanja na nivou svih kantona; </w:t>
            </w:r>
          </w:p>
          <w:p w14:paraId="49AD65D9" w14:textId="77777777" w:rsidR="00A00D87" w:rsidRPr="00006FD7" w:rsidRDefault="00A00D87" w:rsidP="00581C1C">
            <w:pPr>
              <w:pStyle w:val="ListParagraph"/>
              <w:numPr>
                <w:ilvl w:val="0"/>
                <w:numId w:val="61"/>
              </w:numPr>
              <w:ind w:left="1089" w:right="32"/>
              <w:jc w:val="both"/>
              <w:rPr>
                <w:rFonts w:cstheme="minorHAnsi"/>
                <w:sz w:val="20"/>
                <w:szCs w:val="20"/>
              </w:rPr>
            </w:pPr>
            <w:r w:rsidRPr="00006FD7">
              <w:rPr>
                <w:rFonts w:cstheme="minorHAnsi"/>
                <w:sz w:val="20"/>
                <w:szCs w:val="20"/>
              </w:rPr>
              <w:t xml:space="preserve">Donošenje zakona o javno-privatnom partnerstvu na nivou FBiH; </w:t>
            </w:r>
          </w:p>
          <w:p w14:paraId="1C2904A9" w14:textId="77777777" w:rsidR="00A00D87" w:rsidRPr="00006FD7" w:rsidRDefault="00A00D87" w:rsidP="00581C1C">
            <w:pPr>
              <w:pStyle w:val="ListParagraph"/>
              <w:numPr>
                <w:ilvl w:val="0"/>
                <w:numId w:val="61"/>
              </w:numPr>
              <w:ind w:left="1089" w:right="32"/>
              <w:jc w:val="both"/>
              <w:rPr>
                <w:rFonts w:cstheme="minorHAnsi"/>
                <w:sz w:val="20"/>
                <w:szCs w:val="20"/>
              </w:rPr>
            </w:pPr>
            <w:r w:rsidRPr="00006FD7">
              <w:rPr>
                <w:rFonts w:cstheme="minorHAnsi"/>
                <w:sz w:val="20"/>
                <w:szCs w:val="20"/>
              </w:rPr>
              <w:t>Usaglašavanje akcionih planova na nivou kantona i programa poboljšanja energijske efikasnosti na nivou svih općina/gradova;</w:t>
            </w:r>
          </w:p>
          <w:p w14:paraId="6CA47E2A" w14:textId="77777777" w:rsidR="00A00D87" w:rsidRPr="00006FD7" w:rsidRDefault="00A00D87" w:rsidP="00581C1C">
            <w:pPr>
              <w:pStyle w:val="ListParagraph"/>
              <w:numPr>
                <w:ilvl w:val="0"/>
                <w:numId w:val="61"/>
              </w:numPr>
              <w:ind w:left="1089" w:right="32"/>
              <w:jc w:val="both"/>
              <w:rPr>
                <w:rFonts w:cstheme="minorHAnsi"/>
                <w:sz w:val="20"/>
                <w:szCs w:val="20"/>
              </w:rPr>
            </w:pPr>
            <w:r w:rsidRPr="00006FD7">
              <w:rPr>
                <w:rFonts w:cstheme="minorHAnsi"/>
                <w:sz w:val="20"/>
                <w:szCs w:val="20"/>
              </w:rPr>
              <w:t>Uspostavljanje procedure za sprovođenje analize korištenja alternativnih energijskih sistema pri izdavanju građevinskih dozvola za objekte;</w:t>
            </w:r>
          </w:p>
          <w:p w14:paraId="7D8908FD" w14:textId="77777777" w:rsidR="00A00D87" w:rsidRPr="00006FD7" w:rsidRDefault="00A00D87" w:rsidP="00E6560A">
            <w:pPr>
              <w:pStyle w:val="ListParagraph"/>
              <w:ind w:left="1089" w:right="32"/>
              <w:jc w:val="both"/>
              <w:rPr>
                <w:rFonts w:cstheme="minorHAnsi"/>
                <w:sz w:val="20"/>
                <w:szCs w:val="20"/>
              </w:rPr>
            </w:pPr>
            <w:r w:rsidRPr="00006FD7">
              <w:rPr>
                <w:rFonts w:cstheme="minorHAnsi"/>
                <w:sz w:val="20"/>
                <w:szCs w:val="20"/>
              </w:rPr>
              <w:t>Usaglašavanje sistema za prikupljanje i obradu podataka, osiguranje kvaliteta i kontrolu ulaznih podataka, sistem izvještavanja i praćenja i donošenje odgovarajuće legislative;.</w:t>
            </w:r>
          </w:p>
          <w:p w14:paraId="0D2ADC4E" w14:textId="77777777" w:rsidR="00A00D87" w:rsidRPr="00006FD7" w:rsidRDefault="00A00D87" w:rsidP="00581C1C">
            <w:pPr>
              <w:pStyle w:val="ListParagraph"/>
              <w:numPr>
                <w:ilvl w:val="0"/>
                <w:numId w:val="61"/>
              </w:numPr>
              <w:ind w:left="1089" w:right="32"/>
              <w:jc w:val="both"/>
              <w:rPr>
                <w:rFonts w:cstheme="minorHAnsi"/>
                <w:sz w:val="20"/>
                <w:szCs w:val="20"/>
              </w:rPr>
            </w:pPr>
            <w:r w:rsidRPr="00006FD7">
              <w:rPr>
                <w:rFonts w:cstheme="minorHAnsi"/>
                <w:sz w:val="20"/>
                <w:szCs w:val="20"/>
              </w:rPr>
              <w:t>Integriranje kriterija EE u postupke javnih nabavki.</w:t>
            </w:r>
          </w:p>
          <w:p w14:paraId="405262B2" w14:textId="77777777" w:rsidR="00A00D87" w:rsidRPr="00006FD7" w:rsidRDefault="00A00D87" w:rsidP="007F1ECE">
            <w:pPr>
              <w:pStyle w:val="ListParagraph"/>
              <w:numPr>
                <w:ilvl w:val="0"/>
                <w:numId w:val="96"/>
              </w:numPr>
              <w:ind w:right="32"/>
              <w:jc w:val="both"/>
              <w:rPr>
                <w:rFonts w:cstheme="minorHAnsi"/>
                <w:sz w:val="20"/>
                <w:szCs w:val="20"/>
              </w:rPr>
            </w:pPr>
            <w:r w:rsidRPr="00006FD7">
              <w:rPr>
                <w:rFonts w:cstheme="minorHAnsi"/>
                <w:sz w:val="20"/>
                <w:szCs w:val="20"/>
              </w:rPr>
              <w:lastRenderedPageBreak/>
              <w:t>Potpuna primjena važećih propisa u oblasti EE u FBiH, što podrazumijeva:</w:t>
            </w:r>
          </w:p>
          <w:p w14:paraId="50AEE8E2" w14:textId="4267713F" w:rsidR="00CD56C4" w:rsidRPr="00006FD7" w:rsidRDefault="00F03625" w:rsidP="00581C1C">
            <w:pPr>
              <w:pStyle w:val="ListParagraph"/>
              <w:numPr>
                <w:ilvl w:val="0"/>
                <w:numId w:val="63"/>
              </w:numPr>
              <w:ind w:left="1089"/>
              <w:jc w:val="both"/>
              <w:rPr>
                <w:rFonts w:cstheme="minorHAnsi"/>
                <w:sz w:val="20"/>
                <w:szCs w:val="20"/>
              </w:rPr>
            </w:pPr>
            <w:r w:rsidRPr="00006FD7">
              <w:rPr>
                <w:rFonts w:cstheme="minorHAnsi"/>
                <w:sz w:val="20"/>
                <w:szCs w:val="20"/>
              </w:rPr>
              <w:t>Obvez</w:t>
            </w:r>
            <w:r w:rsidR="00A00D87" w:rsidRPr="00006FD7">
              <w:rPr>
                <w:rFonts w:cstheme="minorHAnsi"/>
                <w:sz w:val="20"/>
                <w:szCs w:val="20"/>
              </w:rPr>
              <w:t>u pribavljanja EC i provođenja DEA za stambene i nestambene zgrade (u skladu sa važećim propisima u oblasti EE u FBiH);</w:t>
            </w:r>
          </w:p>
          <w:p w14:paraId="44E203A2" w14:textId="122FE8C1" w:rsidR="00A00D87" w:rsidRPr="00006FD7" w:rsidRDefault="00F03625" w:rsidP="00581C1C">
            <w:pPr>
              <w:pStyle w:val="ListParagraph"/>
              <w:numPr>
                <w:ilvl w:val="0"/>
                <w:numId w:val="63"/>
              </w:numPr>
              <w:ind w:left="1089"/>
              <w:jc w:val="both"/>
              <w:rPr>
                <w:rFonts w:cstheme="minorHAnsi"/>
                <w:sz w:val="20"/>
                <w:szCs w:val="20"/>
              </w:rPr>
            </w:pPr>
            <w:r w:rsidRPr="00006FD7">
              <w:rPr>
                <w:rFonts w:cstheme="minorHAnsi"/>
                <w:sz w:val="20"/>
                <w:szCs w:val="20"/>
              </w:rPr>
              <w:t>Obvez</w:t>
            </w:r>
            <w:r w:rsidR="00A00D87" w:rsidRPr="00006FD7">
              <w:rPr>
                <w:rFonts w:cstheme="minorHAnsi"/>
                <w:sz w:val="20"/>
                <w:szCs w:val="20"/>
              </w:rPr>
              <w:t>u provođenja redovnog EA sistema grijanja i sistema klimatizacije (u skladu sa važećim propisima u oblasti EE u FBiH).</w:t>
            </w:r>
          </w:p>
        </w:tc>
      </w:tr>
      <w:tr w:rsidR="00A00D87" w:rsidRPr="00006FD7" w14:paraId="3432FA7B" w14:textId="77777777" w:rsidTr="00122946">
        <w:trPr>
          <w:trHeight w:val="217"/>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F82880"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lastRenderedPageBreak/>
              <w:t>Strateški</w:t>
            </w:r>
            <w:proofErr w:type="spellEnd"/>
            <w:r w:rsidRPr="00006FD7">
              <w:rPr>
                <w:rFonts w:cstheme="minorHAnsi"/>
                <w:b/>
                <w:sz w:val="20"/>
                <w:szCs w:val="20"/>
              </w:rPr>
              <w:t xml:space="preserve"> </w:t>
            </w:r>
            <w:proofErr w:type="spellStart"/>
            <w:r w:rsidRPr="00006FD7">
              <w:rPr>
                <w:rFonts w:cstheme="minorHAnsi"/>
                <w:b/>
                <w:sz w:val="20"/>
                <w:szCs w:val="20"/>
              </w:rPr>
              <w:t>projekti</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tcPr>
          <w:p w14:paraId="303674FE" w14:textId="77777777" w:rsidR="00A00D87" w:rsidRPr="00006FD7" w:rsidRDefault="00A00D87" w:rsidP="00122946">
            <w:pPr>
              <w:spacing w:line="259" w:lineRule="auto"/>
              <w:ind w:left="1"/>
              <w:rPr>
                <w:rFonts w:cstheme="minorHAnsi"/>
                <w:sz w:val="20"/>
                <w:szCs w:val="20"/>
              </w:rPr>
            </w:pPr>
            <w:r w:rsidRPr="00006FD7">
              <w:rPr>
                <w:rFonts w:cstheme="minorHAnsi"/>
                <w:sz w:val="20"/>
                <w:szCs w:val="20"/>
              </w:rPr>
              <w:t xml:space="preserve"> -</w:t>
            </w:r>
          </w:p>
        </w:tc>
      </w:tr>
      <w:tr w:rsidR="00A00D87" w:rsidRPr="00006FD7" w14:paraId="0B0AD85E" w14:textId="77777777" w:rsidTr="00122946">
        <w:trPr>
          <w:trHeight w:val="423"/>
        </w:trPr>
        <w:tc>
          <w:tcPr>
            <w:tcW w:w="1663"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22C02218"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Indikatori</w:t>
            </w:r>
            <w:proofErr w:type="spellEnd"/>
            <w:r w:rsidRPr="00006FD7">
              <w:rPr>
                <w:rFonts w:cstheme="minorHAnsi"/>
                <w:b/>
                <w:sz w:val="20"/>
                <w:szCs w:val="20"/>
              </w:rPr>
              <w:t xml:space="preserve"> za </w:t>
            </w:r>
            <w:proofErr w:type="spellStart"/>
            <w:r w:rsidRPr="00006FD7">
              <w:rPr>
                <w:rFonts w:cstheme="minorHAnsi"/>
                <w:b/>
                <w:sz w:val="20"/>
                <w:szCs w:val="20"/>
              </w:rPr>
              <w:t>praćenje</w:t>
            </w:r>
            <w:proofErr w:type="spellEnd"/>
            <w:r w:rsidRPr="00006FD7">
              <w:rPr>
                <w:rFonts w:cstheme="minorHAnsi"/>
                <w:b/>
                <w:sz w:val="20"/>
                <w:szCs w:val="20"/>
              </w:rPr>
              <w:t xml:space="preserve"> </w:t>
            </w:r>
            <w:proofErr w:type="spellStart"/>
            <w:r w:rsidRPr="00006FD7">
              <w:rPr>
                <w:rFonts w:cstheme="minorHAnsi"/>
                <w:b/>
                <w:sz w:val="20"/>
                <w:szCs w:val="20"/>
              </w:rPr>
              <w:t>rezultata</w:t>
            </w:r>
            <w:proofErr w:type="spellEnd"/>
            <w:r w:rsidRPr="00006FD7">
              <w:rPr>
                <w:rFonts w:cstheme="minorHAnsi"/>
                <w:b/>
                <w:sz w:val="20"/>
                <w:szCs w:val="20"/>
              </w:rPr>
              <w:t xml:space="preserve"> </w:t>
            </w:r>
            <w:proofErr w:type="spellStart"/>
            <w:r w:rsidRPr="00006FD7">
              <w:rPr>
                <w:rFonts w:cstheme="minorHAnsi"/>
                <w:b/>
                <w:sz w:val="20"/>
                <w:szCs w:val="20"/>
              </w:rPr>
              <w:t>mjere</w:t>
            </w:r>
            <w:proofErr w:type="spellEnd"/>
            <w:r w:rsidRPr="00006FD7">
              <w:rPr>
                <w:rFonts w:cstheme="minorHAnsi"/>
                <w:b/>
                <w:sz w:val="20"/>
                <w:szCs w:val="20"/>
              </w:rPr>
              <w:t xml:space="preserve"> </w:t>
            </w:r>
          </w:p>
        </w:tc>
        <w:tc>
          <w:tcPr>
            <w:tcW w:w="31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FE8AB4A" w14:textId="77777777" w:rsidR="00A00D87" w:rsidRPr="00006FD7" w:rsidRDefault="00A00D87" w:rsidP="00122946">
            <w:pPr>
              <w:spacing w:line="259" w:lineRule="auto"/>
              <w:ind w:right="39"/>
              <w:jc w:val="center"/>
              <w:rPr>
                <w:rFonts w:cstheme="minorHAnsi"/>
                <w:sz w:val="20"/>
                <w:szCs w:val="20"/>
              </w:rPr>
            </w:pPr>
            <w:proofErr w:type="spellStart"/>
            <w:r w:rsidRPr="00006FD7">
              <w:rPr>
                <w:rFonts w:cstheme="minorHAnsi"/>
                <w:b/>
                <w:sz w:val="20"/>
                <w:szCs w:val="20"/>
              </w:rPr>
              <w:t>Indikatori</w:t>
            </w:r>
            <w:proofErr w:type="spellEnd"/>
            <w:r w:rsidRPr="00006FD7">
              <w:rPr>
                <w:rFonts w:cstheme="minorHAnsi"/>
                <w:b/>
                <w:sz w:val="20"/>
                <w:szCs w:val="20"/>
              </w:rPr>
              <w:t xml:space="preserve"> </w:t>
            </w:r>
          </w:p>
        </w:tc>
        <w:tc>
          <w:tcPr>
            <w:tcW w:w="1983"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C00150A" w14:textId="77777777" w:rsidR="00A00D87" w:rsidRPr="00006FD7" w:rsidRDefault="00A00D87" w:rsidP="00122946">
            <w:pPr>
              <w:spacing w:line="259" w:lineRule="auto"/>
              <w:jc w:val="center"/>
              <w:rPr>
                <w:rFonts w:cstheme="minorHAnsi"/>
                <w:sz w:val="20"/>
                <w:szCs w:val="20"/>
              </w:rPr>
            </w:pPr>
            <w:proofErr w:type="spellStart"/>
            <w:r w:rsidRPr="00006FD7">
              <w:rPr>
                <w:rFonts w:cstheme="minorHAnsi"/>
                <w:b/>
                <w:sz w:val="20"/>
                <w:szCs w:val="20"/>
              </w:rPr>
              <w:t>Polazne</w:t>
            </w:r>
            <w:proofErr w:type="spellEnd"/>
            <w:r w:rsidRPr="00006FD7">
              <w:rPr>
                <w:rFonts w:cstheme="minorHAnsi"/>
                <w:b/>
                <w:sz w:val="20"/>
                <w:szCs w:val="20"/>
              </w:rPr>
              <w:t xml:space="preserve"> </w:t>
            </w:r>
            <w:proofErr w:type="spellStart"/>
            <w:r w:rsidRPr="00006FD7">
              <w:rPr>
                <w:rFonts w:cstheme="minorHAnsi"/>
                <w:b/>
                <w:sz w:val="20"/>
                <w:szCs w:val="20"/>
              </w:rPr>
              <w:t>vrijednosti</w:t>
            </w:r>
            <w:proofErr w:type="spellEnd"/>
            <w:r w:rsidRPr="00006FD7">
              <w:rPr>
                <w:rFonts w:cstheme="minorHAnsi"/>
                <w:b/>
                <w:sz w:val="20"/>
                <w:szCs w:val="20"/>
              </w:rPr>
              <w:t xml:space="preserve">**  </w:t>
            </w:r>
          </w:p>
        </w:tc>
        <w:tc>
          <w:tcPr>
            <w:tcW w:w="224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3414B3" w14:textId="77777777" w:rsidR="00A00D87" w:rsidRPr="00006FD7" w:rsidRDefault="00A00D87" w:rsidP="00122946">
            <w:pPr>
              <w:spacing w:line="259" w:lineRule="auto"/>
              <w:jc w:val="center"/>
              <w:rPr>
                <w:rFonts w:cstheme="minorHAnsi"/>
                <w:sz w:val="20"/>
                <w:szCs w:val="20"/>
              </w:rPr>
            </w:pPr>
            <w:proofErr w:type="spellStart"/>
            <w:r w:rsidRPr="00006FD7">
              <w:rPr>
                <w:rFonts w:cstheme="minorHAnsi"/>
                <w:b/>
                <w:sz w:val="20"/>
                <w:szCs w:val="20"/>
              </w:rPr>
              <w:t>Ciljne</w:t>
            </w:r>
            <w:proofErr w:type="spellEnd"/>
            <w:r w:rsidRPr="00006FD7">
              <w:rPr>
                <w:rFonts w:cstheme="minorHAnsi"/>
                <w:b/>
                <w:sz w:val="20"/>
                <w:szCs w:val="20"/>
              </w:rPr>
              <w:t xml:space="preserve"> </w:t>
            </w:r>
            <w:proofErr w:type="spellStart"/>
            <w:r w:rsidRPr="00006FD7">
              <w:rPr>
                <w:rFonts w:cstheme="minorHAnsi"/>
                <w:b/>
                <w:sz w:val="20"/>
                <w:szCs w:val="20"/>
              </w:rPr>
              <w:t>vrijednosti</w:t>
            </w:r>
            <w:proofErr w:type="spellEnd"/>
            <w:r w:rsidRPr="00006FD7">
              <w:rPr>
                <w:rFonts w:cstheme="minorHAnsi"/>
                <w:b/>
                <w:sz w:val="20"/>
                <w:szCs w:val="20"/>
              </w:rPr>
              <w:t xml:space="preserve">***  </w:t>
            </w:r>
          </w:p>
        </w:tc>
      </w:tr>
      <w:tr w:rsidR="00A00D87" w:rsidRPr="00006FD7" w14:paraId="39A4841F"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3A1B509C" w14:textId="77777777" w:rsidR="00A00D87" w:rsidRPr="00006FD7" w:rsidRDefault="00A00D87" w:rsidP="00122946">
            <w:pPr>
              <w:spacing w:after="160" w:line="259" w:lineRule="auto"/>
              <w:rPr>
                <w:rFonts w:cstheme="minorHAnsi"/>
                <w:sz w:val="20"/>
                <w:szCs w:val="20"/>
              </w:rPr>
            </w:pPr>
          </w:p>
        </w:tc>
        <w:tc>
          <w:tcPr>
            <w:tcW w:w="3122" w:type="dxa"/>
            <w:tcBorders>
              <w:top w:val="single" w:sz="4" w:space="0" w:color="000000"/>
              <w:left w:val="single" w:sz="4" w:space="0" w:color="000000"/>
              <w:bottom w:val="single" w:sz="4" w:space="0" w:color="000000"/>
              <w:right w:val="single" w:sz="4" w:space="0" w:color="auto"/>
            </w:tcBorders>
          </w:tcPr>
          <w:p w14:paraId="44F04EEF" w14:textId="77777777" w:rsidR="00A00D87" w:rsidRPr="00006FD7" w:rsidRDefault="00A00D87" w:rsidP="00122946">
            <w:pPr>
              <w:spacing w:line="259" w:lineRule="auto"/>
              <w:ind w:left="1"/>
              <w:rPr>
                <w:rFonts w:cstheme="minorHAnsi"/>
                <w:sz w:val="20"/>
                <w:szCs w:val="20"/>
              </w:rPr>
            </w:pPr>
            <w:r w:rsidRPr="00006FD7">
              <w:rPr>
                <w:rFonts w:cstheme="minorHAnsi"/>
                <w:sz w:val="20"/>
                <w:szCs w:val="20"/>
              </w:rPr>
              <w:t xml:space="preserve">Status </w:t>
            </w:r>
            <w:proofErr w:type="spellStart"/>
            <w:r w:rsidRPr="00006FD7">
              <w:rPr>
                <w:rFonts w:cstheme="minorHAnsi"/>
                <w:sz w:val="20"/>
                <w:szCs w:val="20"/>
              </w:rPr>
              <w:t>usklađenosti</w:t>
            </w:r>
            <w:proofErr w:type="spellEnd"/>
            <w:r w:rsidRPr="00006FD7">
              <w:rPr>
                <w:rFonts w:cstheme="minorHAnsi"/>
                <w:sz w:val="20"/>
                <w:szCs w:val="20"/>
              </w:rPr>
              <w:t xml:space="preserve"> </w:t>
            </w:r>
            <w:proofErr w:type="spellStart"/>
            <w:r w:rsidRPr="00006FD7">
              <w:rPr>
                <w:rFonts w:cstheme="minorHAnsi"/>
                <w:sz w:val="20"/>
                <w:szCs w:val="20"/>
              </w:rPr>
              <w:t>postojeće</w:t>
            </w:r>
            <w:proofErr w:type="spellEnd"/>
            <w:r w:rsidRPr="00006FD7">
              <w:rPr>
                <w:rFonts w:cstheme="minorHAnsi"/>
                <w:sz w:val="20"/>
                <w:szCs w:val="20"/>
              </w:rPr>
              <w:t xml:space="preserve"> legislative u </w:t>
            </w:r>
            <w:proofErr w:type="spellStart"/>
            <w:r w:rsidRPr="00006FD7">
              <w:rPr>
                <w:rFonts w:cstheme="minorHAnsi"/>
                <w:sz w:val="20"/>
                <w:szCs w:val="20"/>
              </w:rPr>
              <w:t>oblasti</w:t>
            </w:r>
            <w:proofErr w:type="spellEnd"/>
            <w:r w:rsidRPr="00006FD7">
              <w:rPr>
                <w:rFonts w:cstheme="minorHAnsi"/>
                <w:sz w:val="20"/>
                <w:szCs w:val="20"/>
              </w:rPr>
              <w:t xml:space="preserve"> EE u FBiH </w:t>
            </w:r>
            <w:proofErr w:type="spellStart"/>
            <w:r w:rsidRPr="00006FD7">
              <w:rPr>
                <w:rFonts w:cstheme="minorHAnsi"/>
                <w:sz w:val="20"/>
                <w:szCs w:val="20"/>
              </w:rPr>
              <w:t>sa</w:t>
            </w:r>
            <w:proofErr w:type="spellEnd"/>
            <w:r w:rsidRPr="00006FD7">
              <w:rPr>
                <w:rFonts w:cstheme="minorHAnsi"/>
                <w:sz w:val="20"/>
                <w:szCs w:val="20"/>
              </w:rPr>
              <w:t xml:space="preserve"> EU </w:t>
            </w:r>
            <w:proofErr w:type="spellStart"/>
            <w:r w:rsidRPr="00006FD7">
              <w:rPr>
                <w:rFonts w:cstheme="minorHAnsi"/>
                <w:sz w:val="20"/>
                <w:szCs w:val="20"/>
              </w:rPr>
              <w:t>direktivama</w:t>
            </w:r>
            <w:proofErr w:type="spellEnd"/>
            <w:r w:rsidRPr="00006FD7">
              <w:rPr>
                <w:rFonts w:cstheme="minorHAnsi"/>
                <w:sz w:val="20"/>
                <w:szCs w:val="20"/>
              </w:rPr>
              <w:t xml:space="preserve"> </w:t>
            </w:r>
          </w:p>
        </w:tc>
        <w:tc>
          <w:tcPr>
            <w:tcW w:w="1983" w:type="dxa"/>
            <w:tcBorders>
              <w:top w:val="single" w:sz="4" w:space="0" w:color="auto"/>
              <w:left w:val="single" w:sz="4" w:space="0" w:color="auto"/>
              <w:bottom w:val="single" w:sz="4" w:space="0" w:color="auto"/>
              <w:right w:val="single" w:sz="4" w:space="0" w:color="auto"/>
            </w:tcBorders>
            <w:vAlign w:val="center"/>
          </w:tcPr>
          <w:p w14:paraId="5210EDA1" w14:textId="77777777" w:rsidR="00A00D87" w:rsidRPr="00006FD7"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006FD7">
              <w:rPr>
                <w:rFonts w:cstheme="minorHAnsi"/>
                <w:sz w:val="20"/>
                <w:szCs w:val="20"/>
              </w:rPr>
              <w:t>Djelomična</w:t>
            </w:r>
            <w:proofErr w:type="spellEnd"/>
            <w:r w:rsidRPr="00006FD7">
              <w:rPr>
                <w:rFonts w:cstheme="minorHAnsi"/>
                <w:sz w:val="20"/>
                <w:szCs w:val="20"/>
              </w:rPr>
              <w:t xml:space="preserve"> </w:t>
            </w:r>
            <w:proofErr w:type="spellStart"/>
            <w:r w:rsidRPr="00006FD7">
              <w:rPr>
                <w:rFonts w:cstheme="minorHAnsi"/>
                <w:sz w:val="20"/>
                <w:szCs w:val="20"/>
              </w:rPr>
              <w:t>usklađenost</w:t>
            </w:r>
            <w:proofErr w:type="spellEnd"/>
            <w:r w:rsidRPr="00006FD7">
              <w:rPr>
                <w:rFonts w:cstheme="minorHAnsi"/>
                <w:sz w:val="20"/>
                <w:szCs w:val="20"/>
              </w:rPr>
              <w:t xml:space="preserve"> (60%)</w:t>
            </w:r>
          </w:p>
        </w:tc>
        <w:tc>
          <w:tcPr>
            <w:tcW w:w="2248" w:type="dxa"/>
            <w:tcBorders>
              <w:top w:val="single" w:sz="4" w:space="0" w:color="000000"/>
              <w:left w:val="single" w:sz="4" w:space="0" w:color="auto"/>
              <w:bottom w:val="single" w:sz="4" w:space="0" w:color="000000"/>
              <w:right w:val="single" w:sz="4" w:space="0" w:color="000000"/>
            </w:tcBorders>
            <w:vAlign w:val="center"/>
          </w:tcPr>
          <w:p w14:paraId="6E792C47" w14:textId="77777777" w:rsidR="00A00D87" w:rsidRPr="00006FD7" w:rsidRDefault="00A00D87" w:rsidP="00122946">
            <w:pPr>
              <w:spacing w:line="259" w:lineRule="auto"/>
              <w:jc w:val="center"/>
              <w:rPr>
                <w:rFonts w:cstheme="minorHAnsi"/>
                <w:sz w:val="20"/>
                <w:szCs w:val="20"/>
              </w:rPr>
            </w:pPr>
            <w:proofErr w:type="spellStart"/>
            <w:r w:rsidRPr="00006FD7">
              <w:rPr>
                <w:rFonts w:cstheme="minorHAnsi"/>
                <w:sz w:val="20"/>
                <w:szCs w:val="20"/>
              </w:rPr>
              <w:t>Potpuna</w:t>
            </w:r>
            <w:proofErr w:type="spellEnd"/>
            <w:r w:rsidRPr="00006FD7">
              <w:rPr>
                <w:rFonts w:cstheme="minorHAnsi"/>
                <w:sz w:val="20"/>
                <w:szCs w:val="20"/>
              </w:rPr>
              <w:t xml:space="preserve"> </w:t>
            </w:r>
            <w:proofErr w:type="spellStart"/>
            <w:r w:rsidRPr="00006FD7">
              <w:rPr>
                <w:rFonts w:cstheme="minorHAnsi"/>
                <w:sz w:val="20"/>
                <w:szCs w:val="20"/>
              </w:rPr>
              <w:t>usklađenost</w:t>
            </w:r>
            <w:proofErr w:type="spellEnd"/>
            <w:r w:rsidRPr="00006FD7">
              <w:rPr>
                <w:rFonts w:cstheme="minorHAnsi"/>
                <w:sz w:val="20"/>
                <w:szCs w:val="20"/>
              </w:rPr>
              <w:t xml:space="preserve"> (100%)</w:t>
            </w:r>
          </w:p>
        </w:tc>
      </w:tr>
      <w:tr w:rsidR="00A00D87" w:rsidRPr="00006FD7" w14:paraId="57388200" w14:textId="77777777" w:rsidTr="00122946">
        <w:trPr>
          <w:trHeight w:val="425"/>
        </w:trPr>
        <w:tc>
          <w:tcPr>
            <w:tcW w:w="0" w:type="auto"/>
            <w:vMerge/>
            <w:tcBorders>
              <w:left w:val="single" w:sz="4" w:space="0" w:color="000000"/>
              <w:right w:val="single" w:sz="4" w:space="0" w:color="000000"/>
            </w:tcBorders>
            <w:shd w:val="clear" w:color="auto" w:fill="D9D9D9" w:themeFill="background1" w:themeFillShade="D9"/>
          </w:tcPr>
          <w:p w14:paraId="776D7B7D" w14:textId="77777777" w:rsidR="00A00D87" w:rsidRPr="00006FD7" w:rsidRDefault="00A00D87" w:rsidP="00122946">
            <w:pPr>
              <w:spacing w:after="160" w:line="259" w:lineRule="auto"/>
              <w:rPr>
                <w:rFonts w:cstheme="minorHAnsi"/>
                <w:sz w:val="20"/>
                <w:szCs w:val="20"/>
              </w:rPr>
            </w:pPr>
          </w:p>
        </w:tc>
        <w:tc>
          <w:tcPr>
            <w:tcW w:w="3122" w:type="dxa"/>
            <w:tcBorders>
              <w:top w:val="single" w:sz="4" w:space="0" w:color="000000"/>
              <w:left w:val="single" w:sz="4" w:space="0" w:color="000000"/>
              <w:bottom w:val="single" w:sz="4" w:space="0" w:color="BFBFBF"/>
              <w:right w:val="single" w:sz="4" w:space="0" w:color="000000"/>
            </w:tcBorders>
          </w:tcPr>
          <w:p w14:paraId="3E276FA2" w14:textId="77777777" w:rsidR="00A00D87" w:rsidRPr="001972F5" w:rsidRDefault="00A00D87" w:rsidP="00122946">
            <w:pPr>
              <w:spacing w:line="259" w:lineRule="auto"/>
              <w:ind w:left="1"/>
              <w:rPr>
                <w:rFonts w:cstheme="minorHAnsi"/>
                <w:sz w:val="20"/>
                <w:szCs w:val="20"/>
                <w:lang w:val="fi-FI"/>
              </w:rPr>
            </w:pPr>
            <w:r w:rsidRPr="001972F5">
              <w:rPr>
                <w:rFonts w:cstheme="minorHAnsi"/>
                <w:sz w:val="20"/>
                <w:szCs w:val="20"/>
                <w:lang w:val="fi-FI"/>
              </w:rPr>
              <w:t xml:space="preserve">Status usklađenosti postojeće legislative u oblasti EE na svim nivoima vlasti u FBiH </w:t>
            </w:r>
          </w:p>
        </w:tc>
        <w:tc>
          <w:tcPr>
            <w:tcW w:w="1983" w:type="dxa"/>
            <w:tcBorders>
              <w:top w:val="single" w:sz="4" w:space="0" w:color="auto"/>
              <w:left w:val="single" w:sz="4" w:space="0" w:color="000000"/>
              <w:bottom w:val="single" w:sz="4" w:space="0" w:color="BFBFBF"/>
              <w:right w:val="single" w:sz="4" w:space="0" w:color="000000"/>
            </w:tcBorders>
            <w:vAlign w:val="center"/>
          </w:tcPr>
          <w:p w14:paraId="09F27232" w14:textId="77777777" w:rsidR="00A00D87" w:rsidRPr="00006FD7"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006FD7">
              <w:rPr>
                <w:rFonts w:cstheme="minorHAnsi"/>
                <w:sz w:val="20"/>
                <w:szCs w:val="20"/>
              </w:rPr>
              <w:t>Djelomična</w:t>
            </w:r>
            <w:proofErr w:type="spellEnd"/>
            <w:r w:rsidRPr="00006FD7">
              <w:rPr>
                <w:rFonts w:cstheme="minorHAnsi"/>
                <w:sz w:val="20"/>
                <w:szCs w:val="20"/>
              </w:rPr>
              <w:t xml:space="preserve"> </w:t>
            </w:r>
            <w:proofErr w:type="spellStart"/>
            <w:r w:rsidRPr="00006FD7">
              <w:rPr>
                <w:rFonts w:cstheme="minorHAnsi"/>
                <w:sz w:val="20"/>
                <w:szCs w:val="20"/>
              </w:rPr>
              <w:t>usklađenost</w:t>
            </w:r>
            <w:proofErr w:type="spellEnd"/>
          </w:p>
          <w:p w14:paraId="3513A18F" w14:textId="77777777" w:rsidR="00A00D87" w:rsidRPr="00006FD7" w:rsidRDefault="00A00D87" w:rsidP="00122946">
            <w:pPr>
              <w:spacing w:line="259" w:lineRule="auto"/>
              <w:ind w:right="40"/>
              <w:jc w:val="center"/>
              <w:rPr>
                <w:rFonts w:cstheme="minorHAnsi"/>
                <w:sz w:val="20"/>
                <w:szCs w:val="20"/>
              </w:rPr>
            </w:pPr>
            <w:r w:rsidRPr="00006FD7">
              <w:rPr>
                <w:rFonts w:cstheme="minorHAnsi"/>
                <w:sz w:val="20"/>
                <w:szCs w:val="20"/>
              </w:rPr>
              <w:t>(40%)</w:t>
            </w:r>
          </w:p>
        </w:tc>
        <w:tc>
          <w:tcPr>
            <w:tcW w:w="2248" w:type="dxa"/>
            <w:tcBorders>
              <w:top w:val="single" w:sz="4" w:space="0" w:color="000000"/>
              <w:left w:val="single" w:sz="4" w:space="0" w:color="000000"/>
              <w:bottom w:val="single" w:sz="4" w:space="0" w:color="BFBFBF"/>
              <w:right w:val="single" w:sz="4" w:space="0" w:color="000000"/>
            </w:tcBorders>
            <w:vAlign w:val="center"/>
          </w:tcPr>
          <w:p w14:paraId="4D29CA08" w14:textId="77777777" w:rsidR="00A00D87" w:rsidRPr="00006FD7" w:rsidRDefault="00A00D87" w:rsidP="00122946">
            <w:pPr>
              <w:spacing w:line="259" w:lineRule="auto"/>
              <w:jc w:val="center"/>
              <w:rPr>
                <w:rFonts w:cstheme="minorHAnsi"/>
                <w:sz w:val="20"/>
                <w:szCs w:val="20"/>
              </w:rPr>
            </w:pPr>
            <w:proofErr w:type="spellStart"/>
            <w:r w:rsidRPr="00006FD7">
              <w:rPr>
                <w:rFonts w:cstheme="minorHAnsi"/>
                <w:sz w:val="20"/>
                <w:szCs w:val="20"/>
              </w:rPr>
              <w:t>Potpuna</w:t>
            </w:r>
            <w:proofErr w:type="spellEnd"/>
            <w:r w:rsidRPr="00006FD7">
              <w:rPr>
                <w:rFonts w:cstheme="minorHAnsi"/>
                <w:sz w:val="20"/>
                <w:szCs w:val="20"/>
              </w:rPr>
              <w:t xml:space="preserve"> </w:t>
            </w:r>
            <w:proofErr w:type="spellStart"/>
            <w:r w:rsidRPr="00006FD7">
              <w:rPr>
                <w:rFonts w:cstheme="minorHAnsi"/>
                <w:sz w:val="20"/>
                <w:szCs w:val="20"/>
              </w:rPr>
              <w:t>usklađenost</w:t>
            </w:r>
            <w:proofErr w:type="spellEnd"/>
          </w:p>
        </w:tc>
      </w:tr>
      <w:tr w:rsidR="00A00D87" w:rsidRPr="00006FD7" w14:paraId="5760F098" w14:textId="77777777" w:rsidTr="00122946">
        <w:trPr>
          <w:trHeight w:val="425"/>
        </w:trPr>
        <w:tc>
          <w:tcPr>
            <w:tcW w:w="0" w:type="auto"/>
            <w:vMerge/>
            <w:tcBorders>
              <w:left w:val="single" w:sz="4" w:space="0" w:color="000000"/>
              <w:right w:val="single" w:sz="4" w:space="0" w:color="000000"/>
            </w:tcBorders>
            <w:shd w:val="clear" w:color="auto" w:fill="D9D9D9" w:themeFill="background1" w:themeFillShade="D9"/>
          </w:tcPr>
          <w:p w14:paraId="2DE025D3" w14:textId="77777777" w:rsidR="00A00D87" w:rsidRPr="00006FD7" w:rsidRDefault="00A00D87" w:rsidP="00122946">
            <w:pPr>
              <w:rPr>
                <w:rFonts w:cstheme="minorHAnsi"/>
                <w:sz w:val="20"/>
                <w:szCs w:val="20"/>
              </w:rPr>
            </w:pPr>
          </w:p>
        </w:tc>
        <w:tc>
          <w:tcPr>
            <w:tcW w:w="3122" w:type="dxa"/>
            <w:tcBorders>
              <w:top w:val="single" w:sz="4" w:space="0" w:color="000000"/>
              <w:left w:val="single" w:sz="4" w:space="0" w:color="000000"/>
              <w:bottom w:val="single" w:sz="4" w:space="0" w:color="BFBFBF"/>
              <w:right w:val="single" w:sz="4" w:space="0" w:color="000000"/>
            </w:tcBorders>
          </w:tcPr>
          <w:p w14:paraId="0B17D1BE" w14:textId="77777777" w:rsidR="00A00D87" w:rsidRPr="00006FD7" w:rsidRDefault="00A00D87" w:rsidP="00122946">
            <w:pPr>
              <w:ind w:left="1"/>
              <w:rPr>
                <w:rFonts w:cstheme="minorHAnsi"/>
                <w:sz w:val="20"/>
                <w:szCs w:val="20"/>
              </w:rPr>
            </w:pPr>
            <w:r w:rsidRPr="00006FD7">
              <w:rPr>
                <w:rFonts w:cstheme="minorHAnsi"/>
                <w:sz w:val="20"/>
                <w:szCs w:val="20"/>
              </w:rPr>
              <w:t xml:space="preserve">Status </w:t>
            </w:r>
            <w:proofErr w:type="spellStart"/>
            <w:r w:rsidRPr="00006FD7">
              <w:rPr>
                <w:rFonts w:cstheme="minorHAnsi"/>
                <w:sz w:val="20"/>
                <w:szCs w:val="20"/>
              </w:rPr>
              <w:t>usklađenosti</w:t>
            </w:r>
            <w:proofErr w:type="spellEnd"/>
            <w:r w:rsidRPr="00006FD7">
              <w:rPr>
                <w:rFonts w:cstheme="minorHAnsi"/>
                <w:sz w:val="20"/>
                <w:szCs w:val="20"/>
              </w:rPr>
              <w:t xml:space="preserve"> </w:t>
            </w:r>
            <w:proofErr w:type="spellStart"/>
            <w:r w:rsidRPr="00006FD7">
              <w:rPr>
                <w:rFonts w:cstheme="minorHAnsi"/>
                <w:sz w:val="20"/>
                <w:szCs w:val="20"/>
              </w:rPr>
              <w:t>strateških</w:t>
            </w:r>
            <w:proofErr w:type="spellEnd"/>
            <w:r w:rsidRPr="00006FD7">
              <w:rPr>
                <w:rFonts w:cstheme="minorHAnsi"/>
                <w:sz w:val="20"/>
                <w:szCs w:val="20"/>
              </w:rPr>
              <w:t xml:space="preserve"> </w:t>
            </w:r>
            <w:proofErr w:type="spellStart"/>
            <w:r w:rsidRPr="00006FD7">
              <w:rPr>
                <w:rFonts w:cstheme="minorHAnsi"/>
                <w:sz w:val="20"/>
                <w:szCs w:val="20"/>
              </w:rPr>
              <w:t>dokumenata</w:t>
            </w:r>
            <w:proofErr w:type="spellEnd"/>
            <w:r w:rsidRPr="00006FD7">
              <w:rPr>
                <w:rFonts w:cstheme="minorHAnsi"/>
                <w:sz w:val="20"/>
                <w:szCs w:val="20"/>
              </w:rPr>
              <w:t xml:space="preserve"> </w:t>
            </w:r>
            <w:proofErr w:type="spellStart"/>
            <w:r w:rsidRPr="00006FD7">
              <w:rPr>
                <w:rFonts w:cstheme="minorHAnsi"/>
                <w:sz w:val="20"/>
                <w:szCs w:val="20"/>
              </w:rPr>
              <w:t>relevantnih</w:t>
            </w:r>
            <w:proofErr w:type="spellEnd"/>
            <w:r w:rsidRPr="00006FD7">
              <w:rPr>
                <w:rFonts w:cstheme="minorHAnsi"/>
                <w:sz w:val="20"/>
                <w:szCs w:val="20"/>
              </w:rPr>
              <w:t xml:space="preserve"> za </w:t>
            </w:r>
            <w:proofErr w:type="spellStart"/>
            <w:r w:rsidRPr="00006FD7">
              <w:rPr>
                <w:rFonts w:cstheme="minorHAnsi"/>
                <w:sz w:val="20"/>
                <w:szCs w:val="20"/>
              </w:rPr>
              <w:t>obnovu</w:t>
            </w:r>
            <w:proofErr w:type="spellEnd"/>
            <w:r w:rsidRPr="00006FD7">
              <w:rPr>
                <w:rFonts w:cstheme="minorHAnsi"/>
                <w:sz w:val="20"/>
                <w:szCs w:val="20"/>
              </w:rPr>
              <w:t xml:space="preserve"> </w:t>
            </w:r>
            <w:proofErr w:type="spellStart"/>
            <w:r w:rsidRPr="00006FD7">
              <w:rPr>
                <w:rFonts w:cstheme="minorHAnsi"/>
                <w:sz w:val="20"/>
                <w:szCs w:val="20"/>
              </w:rPr>
              <w:t>zgrada</w:t>
            </w:r>
            <w:proofErr w:type="spellEnd"/>
            <w:r w:rsidRPr="00006FD7">
              <w:rPr>
                <w:rFonts w:cstheme="minorHAnsi"/>
                <w:sz w:val="20"/>
                <w:szCs w:val="20"/>
              </w:rPr>
              <w:t xml:space="preserve"> u FBiH </w:t>
            </w:r>
            <w:proofErr w:type="spellStart"/>
            <w:r w:rsidRPr="00006FD7">
              <w:rPr>
                <w:rFonts w:cstheme="minorHAnsi"/>
                <w:sz w:val="20"/>
                <w:szCs w:val="20"/>
              </w:rPr>
              <w:t>sa</w:t>
            </w:r>
            <w:proofErr w:type="spellEnd"/>
            <w:r w:rsidRPr="00006FD7">
              <w:rPr>
                <w:rFonts w:cstheme="minorHAnsi"/>
                <w:sz w:val="20"/>
                <w:szCs w:val="20"/>
              </w:rPr>
              <w:t xml:space="preserve"> </w:t>
            </w:r>
            <w:proofErr w:type="spellStart"/>
            <w:r w:rsidRPr="00006FD7">
              <w:rPr>
                <w:rFonts w:cstheme="minorHAnsi"/>
                <w:sz w:val="20"/>
                <w:szCs w:val="20"/>
              </w:rPr>
              <w:t>strateškim</w:t>
            </w:r>
            <w:proofErr w:type="spellEnd"/>
            <w:r w:rsidRPr="00006FD7">
              <w:rPr>
                <w:rFonts w:cstheme="minorHAnsi"/>
                <w:sz w:val="20"/>
                <w:szCs w:val="20"/>
              </w:rPr>
              <w:t xml:space="preserve"> </w:t>
            </w:r>
            <w:proofErr w:type="spellStart"/>
            <w:r w:rsidRPr="00006FD7">
              <w:rPr>
                <w:rFonts w:cstheme="minorHAnsi"/>
                <w:sz w:val="20"/>
                <w:szCs w:val="20"/>
              </w:rPr>
              <w:t>dokumentima</w:t>
            </w:r>
            <w:proofErr w:type="spellEnd"/>
            <w:r w:rsidRPr="00006FD7">
              <w:rPr>
                <w:rFonts w:cstheme="minorHAnsi"/>
                <w:sz w:val="20"/>
                <w:szCs w:val="20"/>
              </w:rPr>
              <w:t xml:space="preserve"> </w:t>
            </w:r>
            <w:proofErr w:type="spellStart"/>
            <w:r w:rsidRPr="00006FD7">
              <w:rPr>
                <w:rFonts w:cstheme="minorHAnsi"/>
                <w:sz w:val="20"/>
                <w:szCs w:val="20"/>
              </w:rPr>
              <w:t>na</w:t>
            </w:r>
            <w:proofErr w:type="spellEnd"/>
            <w:r w:rsidRPr="00006FD7">
              <w:rPr>
                <w:rFonts w:cstheme="minorHAnsi"/>
                <w:sz w:val="20"/>
                <w:szCs w:val="20"/>
              </w:rPr>
              <w:t xml:space="preserve"> </w:t>
            </w:r>
            <w:proofErr w:type="spellStart"/>
            <w:r w:rsidRPr="00006FD7">
              <w:rPr>
                <w:rFonts w:cstheme="minorHAnsi"/>
                <w:sz w:val="20"/>
                <w:szCs w:val="20"/>
              </w:rPr>
              <w:t>nivou</w:t>
            </w:r>
            <w:proofErr w:type="spellEnd"/>
            <w:r w:rsidRPr="00006FD7">
              <w:rPr>
                <w:rFonts w:cstheme="minorHAnsi"/>
                <w:sz w:val="20"/>
                <w:szCs w:val="20"/>
              </w:rPr>
              <w:t xml:space="preserve"> BiH </w:t>
            </w:r>
          </w:p>
        </w:tc>
        <w:tc>
          <w:tcPr>
            <w:tcW w:w="1983" w:type="dxa"/>
            <w:tcBorders>
              <w:top w:val="single" w:sz="4" w:space="0" w:color="auto"/>
              <w:left w:val="single" w:sz="4" w:space="0" w:color="000000"/>
              <w:bottom w:val="single" w:sz="4" w:space="0" w:color="BFBFBF"/>
              <w:right w:val="single" w:sz="4" w:space="0" w:color="000000"/>
            </w:tcBorders>
            <w:vAlign w:val="center"/>
          </w:tcPr>
          <w:p w14:paraId="2BD62171" w14:textId="77777777" w:rsidR="00A00D87" w:rsidRPr="00006FD7" w:rsidRDefault="00A00D87" w:rsidP="00122946">
            <w:pPr>
              <w:spacing w:line="259" w:lineRule="auto"/>
              <w:ind w:right="40"/>
              <w:jc w:val="center"/>
              <w:rPr>
                <w:rFonts w:cstheme="minorHAnsi"/>
                <w:sz w:val="20"/>
                <w:szCs w:val="20"/>
              </w:rPr>
            </w:pPr>
            <w:proofErr w:type="spellStart"/>
            <w:r w:rsidRPr="00006FD7">
              <w:rPr>
                <w:rFonts w:cstheme="minorHAnsi"/>
                <w:sz w:val="20"/>
                <w:szCs w:val="20"/>
              </w:rPr>
              <w:t>Djelomična</w:t>
            </w:r>
            <w:proofErr w:type="spellEnd"/>
            <w:r w:rsidRPr="00006FD7">
              <w:rPr>
                <w:rFonts w:cstheme="minorHAnsi"/>
                <w:sz w:val="20"/>
                <w:szCs w:val="20"/>
              </w:rPr>
              <w:t xml:space="preserve"> </w:t>
            </w:r>
            <w:proofErr w:type="spellStart"/>
            <w:r w:rsidRPr="00006FD7">
              <w:rPr>
                <w:rFonts w:cstheme="minorHAnsi"/>
                <w:sz w:val="20"/>
                <w:szCs w:val="20"/>
              </w:rPr>
              <w:t>usklađenost</w:t>
            </w:r>
            <w:proofErr w:type="spellEnd"/>
          </w:p>
          <w:p w14:paraId="50CDC776" w14:textId="77777777" w:rsidR="00A00D87" w:rsidRPr="00006FD7" w:rsidRDefault="00A00D87" w:rsidP="00122946">
            <w:pPr>
              <w:widowControl w:val="0"/>
              <w:pBdr>
                <w:top w:val="nil"/>
                <w:left w:val="nil"/>
                <w:bottom w:val="nil"/>
                <w:right w:val="nil"/>
                <w:between w:val="nil"/>
              </w:pBdr>
              <w:ind w:right="447"/>
              <w:jc w:val="center"/>
              <w:rPr>
                <w:rFonts w:cstheme="minorHAnsi"/>
                <w:sz w:val="20"/>
                <w:szCs w:val="20"/>
              </w:rPr>
            </w:pPr>
            <w:r w:rsidRPr="00006FD7">
              <w:rPr>
                <w:rFonts w:cstheme="minorHAnsi"/>
                <w:sz w:val="20"/>
                <w:szCs w:val="20"/>
              </w:rPr>
              <w:t>(50%)</w:t>
            </w:r>
          </w:p>
        </w:tc>
        <w:tc>
          <w:tcPr>
            <w:tcW w:w="2248" w:type="dxa"/>
            <w:tcBorders>
              <w:top w:val="single" w:sz="4" w:space="0" w:color="000000"/>
              <w:left w:val="single" w:sz="4" w:space="0" w:color="000000"/>
              <w:bottom w:val="single" w:sz="4" w:space="0" w:color="BFBFBF"/>
              <w:right w:val="single" w:sz="4" w:space="0" w:color="000000"/>
            </w:tcBorders>
            <w:vAlign w:val="center"/>
          </w:tcPr>
          <w:p w14:paraId="0169EACA" w14:textId="77777777" w:rsidR="00A00D87" w:rsidRPr="00006FD7" w:rsidRDefault="00A00D87" w:rsidP="00122946">
            <w:pPr>
              <w:jc w:val="center"/>
              <w:rPr>
                <w:rFonts w:cstheme="minorHAnsi"/>
                <w:sz w:val="20"/>
                <w:szCs w:val="20"/>
              </w:rPr>
            </w:pPr>
            <w:proofErr w:type="spellStart"/>
            <w:r w:rsidRPr="00006FD7">
              <w:rPr>
                <w:rFonts w:cstheme="minorHAnsi"/>
                <w:sz w:val="20"/>
                <w:szCs w:val="20"/>
              </w:rPr>
              <w:t>Potpuna</w:t>
            </w:r>
            <w:proofErr w:type="spellEnd"/>
            <w:r w:rsidRPr="00006FD7">
              <w:rPr>
                <w:rFonts w:cstheme="minorHAnsi"/>
                <w:sz w:val="20"/>
                <w:szCs w:val="20"/>
              </w:rPr>
              <w:t xml:space="preserve"> </w:t>
            </w:r>
            <w:proofErr w:type="spellStart"/>
            <w:r w:rsidRPr="00006FD7">
              <w:rPr>
                <w:rFonts w:cstheme="minorHAnsi"/>
                <w:sz w:val="20"/>
                <w:szCs w:val="20"/>
              </w:rPr>
              <w:t>usklađenost</w:t>
            </w:r>
            <w:proofErr w:type="spellEnd"/>
          </w:p>
        </w:tc>
      </w:tr>
      <w:tr w:rsidR="00A00D87" w:rsidRPr="00006FD7" w14:paraId="2042E255" w14:textId="77777777" w:rsidTr="00122946">
        <w:trPr>
          <w:trHeight w:val="838"/>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FACD50"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Razvojni</w:t>
            </w:r>
            <w:proofErr w:type="spellEnd"/>
            <w:r w:rsidRPr="00006FD7">
              <w:rPr>
                <w:rFonts w:cstheme="minorHAnsi"/>
                <w:b/>
                <w:sz w:val="20"/>
                <w:szCs w:val="20"/>
              </w:rPr>
              <w:t xml:space="preserve"> </w:t>
            </w:r>
            <w:proofErr w:type="spellStart"/>
            <w:r w:rsidRPr="00006FD7">
              <w:rPr>
                <w:rFonts w:cstheme="minorHAnsi"/>
                <w:b/>
                <w:sz w:val="20"/>
                <w:szCs w:val="20"/>
              </w:rPr>
              <w:t>efekat</w:t>
            </w:r>
            <w:proofErr w:type="spellEnd"/>
            <w:r w:rsidRPr="00006FD7">
              <w:rPr>
                <w:rFonts w:cstheme="minorHAnsi"/>
                <w:b/>
                <w:sz w:val="20"/>
                <w:szCs w:val="20"/>
              </w:rPr>
              <w:t xml:space="preserve"> i </w:t>
            </w:r>
            <w:proofErr w:type="spellStart"/>
            <w:r w:rsidRPr="00006FD7">
              <w:rPr>
                <w:rFonts w:cstheme="minorHAnsi"/>
                <w:b/>
                <w:sz w:val="20"/>
                <w:szCs w:val="20"/>
              </w:rPr>
              <w:t>doprinos</w:t>
            </w:r>
            <w:proofErr w:type="spellEnd"/>
            <w:r w:rsidRPr="00006FD7">
              <w:rPr>
                <w:rFonts w:cstheme="minorHAnsi"/>
                <w:b/>
                <w:sz w:val="20"/>
                <w:szCs w:val="20"/>
              </w:rPr>
              <w:t xml:space="preserve"> </w:t>
            </w:r>
            <w:proofErr w:type="spellStart"/>
            <w:r w:rsidRPr="00006FD7">
              <w:rPr>
                <w:rFonts w:cstheme="minorHAnsi"/>
                <w:b/>
                <w:sz w:val="20"/>
                <w:szCs w:val="20"/>
              </w:rPr>
              <w:t>mjere</w:t>
            </w:r>
            <w:proofErr w:type="spellEnd"/>
            <w:r w:rsidRPr="00006FD7">
              <w:rPr>
                <w:rFonts w:cstheme="minorHAnsi"/>
                <w:b/>
                <w:sz w:val="20"/>
                <w:szCs w:val="20"/>
              </w:rPr>
              <w:t xml:space="preserve"> </w:t>
            </w:r>
            <w:proofErr w:type="spellStart"/>
            <w:r w:rsidRPr="00006FD7">
              <w:rPr>
                <w:rFonts w:cstheme="minorHAnsi"/>
                <w:b/>
                <w:sz w:val="20"/>
                <w:szCs w:val="20"/>
              </w:rPr>
              <w:t>ostvarenju</w:t>
            </w:r>
            <w:proofErr w:type="spellEnd"/>
            <w:r w:rsidRPr="00006FD7">
              <w:rPr>
                <w:rFonts w:cstheme="minorHAnsi"/>
                <w:b/>
                <w:sz w:val="20"/>
                <w:szCs w:val="20"/>
              </w:rPr>
              <w:t xml:space="preserve"> </w:t>
            </w:r>
            <w:proofErr w:type="spellStart"/>
            <w:r w:rsidRPr="00006FD7">
              <w:rPr>
                <w:rFonts w:cstheme="minorHAnsi"/>
                <w:b/>
                <w:sz w:val="20"/>
                <w:szCs w:val="20"/>
              </w:rPr>
              <w:t>prioriteta</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vAlign w:val="center"/>
          </w:tcPr>
          <w:p w14:paraId="7CA3500C" w14:textId="3572FB2E" w:rsidR="00A00D87" w:rsidRPr="00006FD7" w:rsidRDefault="00A00D87" w:rsidP="00E6560A">
            <w:pPr>
              <w:spacing w:line="259" w:lineRule="auto"/>
              <w:ind w:left="1"/>
              <w:jc w:val="both"/>
              <w:rPr>
                <w:rFonts w:cstheme="minorHAnsi"/>
                <w:sz w:val="20"/>
                <w:szCs w:val="20"/>
              </w:rPr>
            </w:pPr>
            <w:proofErr w:type="spellStart"/>
            <w:r w:rsidRPr="00006FD7">
              <w:rPr>
                <w:rFonts w:cstheme="minorHAnsi"/>
                <w:sz w:val="20"/>
                <w:szCs w:val="20"/>
              </w:rPr>
              <w:t>Unaprijeđene</w:t>
            </w:r>
            <w:proofErr w:type="spellEnd"/>
            <w:r w:rsidRPr="00006FD7">
              <w:rPr>
                <w:rFonts w:cstheme="minorHAnsi"/>
                <w:sz w:val="20"/>
                <w:szCs w:val="20"/>
              </w:rPr>
              <w:t xml:space="preserve"> </w:t>
            </w:r>
            <w:proofErr w:type="spellStart"/>
            <w:r w:rsidRPr="00006FD7">
              <w:rPr>
                <w:rFonts w:cstheme="minorHAnsi"/>
                <w:sz w:val="20"/>
                <w:szCs w:val="20"/>
              </w:rPr>
              <w:t>regulatornog</w:t>
            </w:r>
            <w:proofErr w:type="spellEnd"/>
            <w:r w:rsidRPr="00006FD7">
              <w:rPr>
                <w:rFonts w:cstheme="minorHAnsi"/>
                <w:sz w:val="20"/>
                <w:szCs w:val="20"/>
              </w:rPr>
              <w:t xml:space="preserve"> </w:t>
            </w:r>
            <w:proofErr w:type="spellStart"/>
            <w:r w:rsidRPr="00006FD7">
              <w:rPr>
                <w:rFonts w:cstheme="minorHAnsi"/>
                <w:sz w:val="20"/>
                <w:szCs w:val="20"/>
              </w:rPr>
              <w:t>okvira</w:t>
            </w:r>
            <w:proofErr w:type="spellEnd"/>
            <w:r w:rsidRPr="00006FD7">
              <w:rPr>
                <w:rFonts w:cstheme="minorHAnsi"/>
                <w:sz w:val="20"/>
                <w:szCs w:val="20"/>
              </w:rPr>
              <w:t xml:space="preserve"> </w:t>
            </w:r>
            <w:proofErr w:type="spellStart"/>
            <w:r w:rsidRPr="00006FD7">
              <w:rPr>
                <w:rFonts w:cstheme="minorHAnsi"/>
                <w:sz w:val="20"/>
                <w:szCs w:val="20"/>
              </w:rPr>
              <w:t>će</w:t>
            </w:r>
            <w:proofErr w:type="spellEnd"/>
            <w:r w:rsidRPr="00006FD7">
              <w:rPr>
                <w:rFonts w:cstheme="minorHAnsi"/>
                <w:sz w:val="20"/>
                <w:szCs w:val="20"/>
              </w:rPr>
              <w:t xml:space="preserve"> </w:t>
            </w:r>
            <w:proofErr w:type="spellStart"/>
            <w:r w:rsidRPr="00006FD7">
              <w:rPr>
                <w:rFonts w:cstheme="minorHAnsi"/>
                <w:sz w:val="20"/>
                <w:szCs w:val="20"/>
              </w:rPr>
              <w:t>omogućiti</w:t>
            </w:r>
            <w:proofErr w:type="spellEnd"/>
            <w:r w:rsidRPr="00006FD7">
              <w:rPr>
                <w:rFonts w:cstheme="minorHAnsi"/>
                <w:sz w:val="20"/>
                <w:szCs w:val="20"/>
              </w:rPr>
              <w:t xml:space="preserve"> FBiH da </w:t>
            </w:r>
            <w:proofErr w:type="spellStart"/>
            <w:r w:rsidRPr="00006FD7">
              <w:rPr>
                <w:rFonts w:cstheme="minorHAnsi"/>
                <w:sz w:val="20"/>
                <w:szCs w:val="20"/>
              </w:rPr>
              <w:t>obezbijedi</w:t>
            </w:r>
            <w:proofErr w:type="spellEnd"/>
            <w:r w:rsidRPr="00006FD7">
              <w:rPr>
                <w:rFonts w:cstheme="minorHAnsi"/>
                <w:sz w:val="20"/>
                <w:szCs w:val="20"/>
              </w:rPr>
              <w:t xml:space="preserve"> </w:t>
            </w:r>
            <w:proofErr w:type="spellStart"/>
            <w:r w:rsidR="007B690C" w:rsidRPr="00006FD7">
              <w:rPr>
                <w:rFonts w:cstheme="minorHAnsi"/>
                <w:sz w:val="20"/>
                <w:szCs w:val="20"/>
              </w:rPr>
              <w:t>financ</w:t>
            </w:r>
            <w:r w:rsidRPr="00006FD7">
              <w:rPr>
                <w:rFonts w:cstheme="minorHAnsi"/>
                <w:sz w:val="20"/>
                <w:szCs w:val="20"/>
              </w:rPr>
              <w:t>ijska</w:t>
            </w:r>
            <w:proofErr w:type="spellEnd"/>
            <w:r w:rsidRPr="00006FD7">
              <w:rPr>
                <w:rFonts w:cstheme="minorHAnsi"/>
                <w:sz w:val="20"/>
                <w:szCs w:val="20"/>
              </w:rPr>
              <w:t xml:space="preserve"> </w:t>
            </w:r>
            <w:proofErr w:type="spellStart"/>
            <w:r w:rsidRPr="00006FD7">
              <w:rPr>
                <w:rFonts w:cstheme="minorHAnsi"/>
                <w:sz w:val="20"/>
                <w:szCs w:val="20"/>
              </w:rPr>
              <w:t>sredstva</w:t>
            </w:r>
            <w:proofErr w:type="spellEnd"/>
            <w:r w:rsidRPr="00006FD7">
              <w:rPr>
                <w:rFonts w:cstheme="minorHAnsi"/>
                <w:sz w:val="20"/>
                <w:szCs w:val="20"/>
              </w:rPr>
              <w:t xml:space="preserve"> za </w:t>
            </w:r>
            <w:proofErr w:type="spellStart"/>
            <w:r w:rsidRPr="00006FD7">
              <w:rPr>
                <w:rFonts w:cstheme="minorHAnsi"/>
                <w:sz w:val="20"/>
                <w:szCs w:val="20"/>
              </w:rPr>
              <w:t>energijsku</w:t>
            </w:r>
            <w:proofErr w:type="spellEnd"/>
            <w:r w:rsidRPr="00006FD7">
              <w:rPr>
                <w:rFonts w:cstheme="minorHAnsi"/>
                <w:sz w:val="20"/>
                <w:szCs w:val="20"/>
              </w:rPr>
              <w:t xml:space="preserve"> </w:t>
            </w:r>
            <w:proofErr w:type="spellStart"/>
            <w:r w:rsidRPr="00006FD7">
              <w:rPr>
                <w:rFonts w:cstheme="minorHAnsi"/>
                <w:sz w:val="20"/>
                <w:szCs w:val="20"/>
              </w:rPr>
              <w:t>obnovu</w:t>
            </w:r>
            <w:proofErr w:type="spellEnd"/>
            <w:r w:rsidRPr="00006FD7">
              <w:rPr>
                <w:rFonts w:cstheme="minorHAnsi"/>
                <w:sz w:val="20"/>
                <w:szCs w:val="20"/>
              </w:rPr>
              <w:t xml:space="preserve"> </w:t>
            </w:r>
            <w:proofErr w:type="spellStart"/>
            <w:r w:rsidRPr="00006FD7">
              <w:rPr>
                <w:rFonts w:cstheme="minorHAnsi"/>
                <w:sz w:val="20"/>
                <w:szCs w:val="20"/>
              </w:rPr>
              <w:t>zgrada</w:t>
            </w:r>
            <w:proofErr w:type="spellEnd"/>
            <w:r w:rsidRPr="00006FD7">
              <w:rPr>
                <w:rFonts w:cstheme="minorHAnsi"/>
                <w:sz w:val="20"/>
                <w:szCs w:val="20"/>
              </w:rPr>
              <w:t xml:space="preserve"> </w:t>
            </w:r>
            <w:proofErr w:type="spellStart"/>
            <w:r w:rsidRPr="00006FD7">
              <w:rPr>
                <w:rFonts w:cstheme="minorHAnsi"/>
                <w:sz w:val="20"/>
                <w:szCs w:val="20"/>
              </w:rPr>
              <w:t>kroz</w:t>
            </w:r>
            <w:proofErr w:type="spellEnd"/>
            <w:r w:rsidRPr="00006FD7">
              <w:rPr>
                <w:rFonts w:cstheme="minorHAnsi"/>
                <w:sz w:val="20"/>
                <w:szCs w:val="20"/>
              </w:rPr>
              <w:t xml:space="preserve"> EU </w:t>
            </w:r>
            <w:proofErr w:type="spellStart"/>
            <w:r w:rsidRPr="00006FD7">
              <w:rPr>
                <w:rFonts w:cstheme="minorHAnsi"/>
                <w:sz w:val="20"/>
                <w:szCs w:val="20"/>
              </w:rPr>
              <w:t>programe</w:t>
            </w:r>
            <w:proofErr w:type="spellEnd"/>
            <w:r w:rsidRPr="00006FD7">
              <w:rPr>
                <w:rFonts w:cstheme="minorHAnsi"/>
                <w:sz w:val="20"/>
                <w:szCs w:val="20"/>
              </w:rPr>
              <w:t xml:space="preserve"> </w:t>
            </w:r>
            <w:proofErr w:type="spellStart"/>
            <w:r w:rsidRPr="00006FD7">
              <w:rPr>
                <w:rFonts w:cstheme="minorHAnsi"/>
                <w:sz w:val="20"/>
                <w:szCs w:val="20"/>
              </w:rPr>
              <w:t>namijenjene</w:t>
            </w:r>
            <w:proofErr w:type="spellEnd"/>
            <w:r w:rsidRPr="00006FD7">
              <w:rPr>
                <w:rFonts w:cstheme="minorHAnsi"/>
                <w:sz w:val="20"/>
                <w:szCs w:val="20"/>
              </w:rPr>
              <w:t xml:space="preserve"> EE u </w:t>
            </w:r>
            <w:proofErr w:type="spellStart"/>
            <w:r w:rsidRPr="00006FD7">
              <w:rPr>
                <w:rFonts w:cstheme="minorHAnsi"/>
                <w:sz w:val="20"/>
                <w:szCs w:val="20"/>
              </w:rPr>
              <w:t>zgradarstvu</w:t>
            </w:r>
            <w:proofErr w:type="spellEnd"/>
            <w:r w:rsidRPr="00006FD7">
              <w:rPr>
                <w:rFonts w:cstheme="minorHAnsi"/>
                <w:sz w:val="20"/>
                <w:szCs w:val="20"/>
              </w:rPr>
              <w:t xml:space="preserve"> </w:t>
            </w:r>
            <w:proofErr w:type="spellStart"/>
            <w:r w:rsidRPr="00006FD7">
              <w:rPr>
                <w:rFonts w:cstheme="minorHAnsi"/>
                <w:sz w:val="20"/>
                <w:szCs w:val="20"/>
              </w:rPr>
              <w:t>dostupne</w:t>
            </w:r>
            <w:proofErr w:type="spellEnd"/>
            <w:r w:rsidRPr="00006FD7">
              <w:rPr>
                <w:rFonts w:cstheme="minorHAnsi"/>
                <w:sz w:val="20"/>
                <w:szCs w:val="20"/>
              </w:rPr>
              <w:t xml:space="preserve"> za BiH, </w:t>
            </w:r>
            <w:proofErr w:type="spellStart"/>
            <w:r w:rsidRPr="00006FD7">
              <w:rPr>
                <w:rFonts w:cstheme="minorHAnsi"/>
                <w:sz w:val="20"/>
                <w:szCs w:val="20"/>
              </w:rPr>
              <w:t>te</w:t>
            </w:r>
            <w:proofErr w:type="spellEnd"/>
            <w:r w:rsidRPr="00006FD7">
              <w:rPr>
                <w:rFonts w:cstheme="minorHAnsi"/>
                <w:sz w:val="20"/>
                <w:szCs w:val="20"/>
              </w:rPr>
              <w:t xml:space="preserve"> </w:t>
            </w:r>
            <w:proofErr w:type="spellStart"/>
            <w:r w:rsidRPr="00006FD7">
              <w:rPr>
                <w:rFonts w:cstheme="minorHAnsi"/>
                <w:sz w:val="20"/>
                <w:szCs w:val="20"/>
              </w:rPr>
              <w:t>ubrza</w:t>
            </w:r>
            <w:proofErr w:type="spellEnd"/>
            <w:r w:rsidRPr="00006FD7">
              <w:rPr>
                <w:rFonts w:cstheme="minorHAnsi"/>
                <w:sz w:val="20"/>
                <w:szCs w:val="20"/>
              </w:rPr>
              <w:t xml:space="preserve"> </w:t>
            </w:r>
            <w:proofErr w:type="spellStart"/>
            <w:r w:rsidRPr="00006FD7">
              <w:rPr>
                <w:rFonts w:cstheme="minorHAnsi"/>
                <w:sz w:val="20"/>
                <w:szCs w:val="20"/>
              </w:rPr>
              <w:t>proces</w:t>
            </w:r>
            <w:proofErr w:type="spellEnd"/>
            <w:r w:rsidRPr="00006FD7">
              <w:rPr>
                <w:rFonts w:cstheme="minorHAnsi"/>
                <w:sz w:val="20"/>
                <w:szCs w:val="20"/>
              </w:rPr>
              <w:t xml:space="preserve"> </w:t>
            </w:r>
            <w:proofErr w:type="spellStart"/>
            <w:r w:rsidRPr="00006FD7">
              <w:rPr>
                <w:rFonts w:cstheme="minorHAnsi"/>
                <w:sz w:val="20"/>
                <w:szCs w:val="20"/>
              </w:rPr>
              <w:t>obnove</w:t>
            </w:r>
            <w:proofErr w:type="spellEnd"/>
            <w:r w:rsidRPr="00006FD7">
              <w:rPr>
                <w:rFonts w:cstheme="minorHAnsi"/>
                <w:sz w:val="20"/>
                <w:szCs w:val="20"/>
              </w:rPr>
              <w:t xml:space="preserve">. </w:t>
            </w:r>
            <w:proofErr w:type="spellStart"/>
            <w:r w:rsidRPr="00006FD7">
              <w:rPr>
                <w:rFonts w:cstheme="minorHAnsi"/>
                <w:sz w:val="20"/>
                <w:szCs w:val="20"/>
              </w:rPr>
              <w:t>Dodatno</w:t>
            </w:r>
            <w:proofErr w:type="spellEnd"/>
            <w:r w:rsidRPr="00006FD7">
              <w:rPr>
                <w:rFonts w:cstheme="minorHAnsi"/>
                <w:sz w:val="20"/>
                <w:szCs w:val="20"/>
              </w:rPr>
              <w:t xml:space="preserve">, </w:t>
            </w:r>
            <w:proofErr w:type="spellStart"/>
            <w:r w:rsidRPr="00006FD7">
              <w:rPr>
                <w:rFonts w:cstheme="minorHAnsi"/>
                <w:sz w:val="20"/>
                <w:szCs w:val="20"/>
              </w:rPr>
              <w:t>ovom</w:t>
            </w:r>
            <w:proofErr w:type="spellEnd"/>
            <w:r w:rsidRPr="00006FD7">
              <w:rPr>
                <w:rFonts w:cstheme="minorHAnsi"/>
                <w:sz w:val="20"/>
                <w:szCs w:val="20"/>
              </w:rPr>
              <w:t xml:space="preserve"> </w:t>
            </w:r>
            <w:proofErr w:type="spellStart"/>
            <w:r w:rsidRPr="00006FD7">
              <w:rPr>
                <w:rFonts w:cstheme="minorHAnsi"/>
                <w:sz w:val="20"/>
                <w:szCs w:val="20"/>
              </w:rPr>
              <w:t>mjerom</w:t>
            </w:r>
            <w:proofErr w:type="spellEnd"/>
            <w:r w:rsidRPr="00006FD7">
              <w:rPr>
                <w:rFonts w:cstheme="minorHAnsi"/>
                <w:sz w:val="20"/>
                <w:szCs w:val="20"/>
              </w:rPr>
              <w:t xml:space="preserve"> </w:t>
            </w:r>
            <w:proofErr w:type="spellStart"/>
            <w:r w:rsidRPr="00006FD7">
              <w:rPr>
                <w:rFonts w:cstheme="minorHAnsi"/>
                <w:sz w:val="20"/>
                <w:szCs w:val="20"/>
              </w:rPr>
              <w:t>će</w:t>
            </w:r>
            <w:proofErr w:type="spellEnd"/>
            <w:r w:rsidRPr="00006FD7">
              <w:rPr>
                <w:rFonts w:cstheme="minorHAnsi"/>
                <w:sz w:val="20"/>
                <w:szCs w:val="20"/>
              </w:rPr>
              <w:t xml:space="preserve"> se </w:t>
            </w:r>
            <w:proofErr w:type="spellStart"/>
            <w:r w:rsidRPr="00006FD7">
              <w:rPr>
                <w:rFonts w:cstheme="minorHAnsi"/>
                <w:sz w:val="20"/>
                <w:szCs w:val="20"/>
              </w:rPr>
              <w:t>uspostaviti</w:t>
            </w:r>
            <w:proofErr w:type="spellEnd"/>
            <w:r w:rsidRPr="00006FD7">
              <w:rPr>
                <w:rFonts w:cstheme="minorHAnsi"/>
                <w:sz w:val="20"/>
                <w:szCs w:val="20"/>
              </w:rPr>
              <w:t xml:space="preserve"> </w:t>
            </w:r>
            <w:proofErr w:type="spellStart"/>
            <w:r w:rsidRPr="00006FD7">
              <w:rPr>
                <w:rFonts w:cstheme="minorHAnsi"/>
                <w:sz w:val="20"/>
                <w:szCs w:val="20"/>
              </w:rPr>
              <w:t>evidencija</w:t>
            </w:r>
            <w:proofErr w:type="spellEnd"/>
            <w:r w:rsidRPr="00006FD7">
              <w:rPr>
                <w:rFonts w:cstheme="minorHAnsi"/>
                <w:sz w:val="20"/>
                <w:szCs w:val="20"/>
              </w:rPr>
              <w:t xml:space="preserve"> </w:t>
            </w:r>
            <w:proofErr w:type="spellStart"/>
            <w:r w:rsidRPr="00006FD7">
              <w:rPr>
                <w:rFonts w:cstheme="minorHAnsi"/>
                <w:sz w:val="20"/>
                <w:szCs w:val="20"/>
              </w:rPr>
              <w:t>energijskih</w:t>
            </w:r>
            <w:proofErr w:type="spellEnd"/>
            <w:r w:rsidRPr="00006FD7">
              <w:rPr>
                <w:rFonts w:cstheme="minorHAnsi"/>
                <w:sz w:val="20"/>
                <w:szCs w:val="20"/>
              </w:rPr>
              <w:t xml:space="preserve"> </w:t>
            </w:r>
            <w:proofErr w:type="spellStart"/>
            <w:r w:rsidRPr="00006FD7">
              <w:rPr>
                <w:rFonts w:cstheme="minorHAnsi"/>
                <w:sz w:val="20"/>
                <w:szCs w:val="20"/>
              </w:rPr>
              <w:t>karakteristika</w:t>
            </w:r>
            <w:proofErr w:type="spellEnd"/>
            <w:r w:rsidRPr="00006FD7">
              <w:rPr>
                <w:rFonts w:cstheme="minorHAnsi"/>
                <w:sz w:val="20"/>
                <w:szCs w:val="20"/>
              </w:rPr>
              <w:t xml:space="preserve"> </w:t>
            </w:r>
            <w:proofErr w:type="spellStart"/>
            <w:r w:rsidRPr="00006FD7">
              <w:rPr>
                <w:rFonts w:cstheme="minorHAnsi"/>
                <w:sz w:val="20"/>
                <w:szCs w:val="20"/>
              </w:rPr>
              <w:t>svih</w:t>
            </w:r>
            <w:proofErr w:type="spellEnd"/>
            <w:r w:rsidRPr="00006FD7">
              <w:rPr>
                <w:rFonts w:cstheme="minorHAnsi"/>
                <w:sz w:val="20"/>
                <w:szCs w:val="20"/>
              </w:rPr>
              <w:t xml:space="preserve"> </w:t>
            </w:r>
            <w:proofErr w:type="spellStart"/>
            <w:r w:rsidRPr="00006FD7">
              <w:rPr>
                <w:rFonts w:cstheme="minorHAnsi"/>
                <w:sz w:val="20"/>
                <w:szCs w:val="20"/>
              </w:rPr>
              <w:t>zgrada</w:t>
            </w:r>
            <w:proofErr w:type="spellEnd"/>
            <w:r w:rsidRPr="00006FD7">
              <w:rPr>
                <w:rFonts w:cstheme="minorHAnsi"/>
                <w:sz w:val="20"/>
                <w:szCs w:val="20"/>
              </w:rPr>
              <w:t xml:space="preserve"> u FBiH.</w:t>
            </w:r>
          </w:p>
        </w:tc>
      </w:tr>
      <w:tr w:rsidR="00A00D87" w:rsidRPr="00006FD7" w14:paraId="360917AD" w14:textId="77777777" w:rsidTr="00122946">
        <w:trPr>
          <w:trHeight w:val="1044"/>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0F1A807" w14:textId="0BBA3054"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Indikativna</w:t>
            </w:r>
            <w:proofErr w:type="spellEnd"/>
            <w:r w:rsidRPr="00006FD7">
              <w:rPr>
                <w:rFonts w:cstheme="minorHAnsi"/>
                <w:b/>
                <w:sz w:val="20"/>
                <w:szCs w:val="20"/>
              </w:rPr>
              <w:t xml:space="preserve"> </w:t>
            </w:r>
            <w:proofErr w:type="spellStart"/>
            <w:r w:rsidR="007B690C" w:rsidRPr="00006FD7">
              <w:rPr>
                <w:rFonts w:cstheme="minorHAnsi"/>
                <w:b/>
                <w:sz w:val="20"/>
                <w:szCs w:val="20"/>
              </w:rPr>
              <w:t>financ</w:t>
            </w:r>
            <w:r w:rsidRPr="00006FD7">
              <w:rPr>
                <w:rFonts w:cstheme="minorHAnsi"/>
                <w:b/>
                <w:sz w:val="20"/>
                <w:szCs w:val="20"/>
              </w:rPr>
              <w:t>ijska</w:t>
            </w:r>
            <w:proofErr w:type="spellEnd"/>
            <w:r w:rsidRPr="00006FD7">
              <w:rPr>
                <w:rFonts w:cstheme="minorHAnsi"/>
                <w:b/>
                <w:sz w:val="20"/>
                <w:szCs w:val="20"/>
              </w:rPr>
              <w:t xml:space="preserve"> </w:t>
            </w:r>
            <w:proofErr w:type="spellStart"/>
            <w:r w:rsidRPr="00006FD7">
              <w:rPr>
                <w:rFonts w:cstheme="minorHAnsi"/>
                <w:b/>
                <w:sz w:val="20"/>
                <w:szCs w:val="20"/>
              </w:rPr>
              <w:t>konstrukcija</w:t>
            </w:r>
            <w:proofErr w:type="spellEnd"/>
            <w:r w:rsidRPr="00006FD7">
              <w:rPr>
                <w:rFonts w:cstheme="minorHAnsi"/>
                <w:b/>
                <w:sz w:val="20"/>
                <w:szCs w:val="20"/>
              </w:rPr>
              <w:t xml:space="preserve"> </w:t>
            </w:r>
            <w:proofErr w:type="spellStart"/>
            <w:r w:rsidRPr="00006FD7">
              <w:rPr>
                <w:rFonts w:cstheme="minorHAnsi"/>
                <w:b/>
                <w:sz w:val="20"/>
                <w:szCs w:val="20"/>
              </w:rPr>
              <w:t>sa</w:t>
            </w:r>
            <w:proofErr w:type="spellEnd"/>
            <w:r w:rsidRPr="00006FD7">
              <w:rPr>
                <w:rFonts w:cstheme="minorHAnsi"/>
                <w:b/>
                <w:sz w:val="20"/>
                <w:szCs w:val="20"/>
              </w:rPr>
              <w:t xml:space="preserve"> </w:t>
            </w:r>
            <w:proofErr w:type="spellStart"/>
            <w:r w:rsidRPr="00006FD7">
              <w:rPr>
                <w:rFonts w:cstheme="minorHAnsi"/>
                <w:b/>
                <w:sz w:val="20"/>
                <w:szCs w:val="20"/>
              </w:rPr>
              <w:t>izvorima</w:t>
            </w:r>
            <w:proofErr w:type="spellEnd"/>
            <w:r w:rsidRPr="00006FD7">
              <w:rPr>
                <w:rFonts w:cstheme="minorHAnsi"/>
                <w:b/>
                <w:sz w:val="20"/>
                <w:szCs w:val="20"/>
              </w:rPr>
              <w:t xml:space="preserve"> </w:t>
            </w:r>
            <w:proofErr w:type="spellStart"/>
            <w:r w:rsidR="007B690C" w:rsidRPr="00006FD7">
              <w:rPr>
                <w:rFonts w:cstheme="minorHAnsi"/>
                <w:b/>
                <w:sz w:val="20"/>
                <w:szCs w:val="20"/>
              </w:rPr>
              <w:t>financ</w:t>
            </w:r>
            <w:r w:rsidRPr="00006FD7">
              <w:rPr>
                <w:rFonts w:cstheme="minorHAnsi"/>
                <w:b/>
                <w:sz w:val="20"/>
                <w:szCs w:val="20"/>
              </w:rPr>
              <w:t>iranja</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vAlign w:val="center"/>
          </w:tcPr>
          <w:p w14:paraId="11C7E385" w14:textId="77777777" w:rsidR="00A00D87" w:rsidRPr="00006FD7" w:rsidRDefault="00A00D87" w:rsidP="00122946">
            <w:pPr>
              <w:spacing w:line="259" w:lineRule="auto"/>
              <w:ind w:left="1"/>
              <w:rPr>
                <w:rFonts w:cstheme="minorHAnsi"/>
                <w:sz w:val="20"/>
                <w:szCs w:val="20"/>
              </w:rPr>
            </w:pPr>
            <w:proofErr w:type="spellStart"/>
            <w:r w:rsidRPr="00006FD7">
              <w:rPr>
                <w:rFonts w:cstheme="minorHAnsi"/>
                <w:sz w:val="20"/>
                <w:szCs w:val="20"/>
              </w:rPr>
              <w:t>Iznos</w:t>
            </w:r>
            <w:proofErr w:type="spellEnd"/>
            <w:r w:rsidRPr="00006FD7">
              <w:rPr>
                <w:rFonts w:cstheme="minorHAnsi"/>
                <w:sz w:val="20"/>
                <w:szCs w:val="20"/>
              </w:rPr>
              <w:t>: 1,8 mil. KM</w:t>
            </w:r>
          </w:p>
          <w:p w14:paraId="3C702A07" w14:textId="77777777" w:rsidR="00A00D87" w:rsidRPr="00006FD7" w:rsidRDefault="00A00D87" w:rsidP="00122946">
            <w:pPr>
              <w:spacing w:line="259" w:lineRule="auto"/>
              <w:ind w:left="1"/>
              <w:rPr>
                <w:rFonts w:cstheme="minorHAnsi"/>
                <w:sz w:val="20"/>
                <w:szCs w:val="20"/>
              </w:rPr>
            </w:pPr>
            <w:proofErr w:type="spellStart"/>
            <w:r w:rsidRPr="00006FD7">
              <w:rPr>
                <w:rFonts w:cstheme="minorHAnsi"/>
                <w:sz w:val="20"/>
                <w:szCs w:val="20"/>
              </w:rPr>
              <w:t>Izvor</w:t>
            </w:r>
            <w:proofErr w:type="spellEnd"/>
            <w:r w:rsidRPr="00006FD7">
              <w:rPr>
                <w:rFonts w:cstheme="minorHAnsi"/>
                <w:sz w:val="20"/>
                <w:szCs w:val="20"/>
              </w:rPr>
              <w:t xml:space="preserve">: </w:t>
            </w:r>
            <w:proofErr w:type="spellStart"/>
            <w:r w:rsidRPr="00006FD7">
              <w:rPr>
                <w:rFonts w:cstheme="minorHAnsi"/>
                <w:sz w:val="20"/>
                <w:szCs w:val="20"/>
              </w:rPr>
              <w:t>Budžetske</w:t>
            </w:r>
            <w:proofErr w:type="spellEnd"/>
            <w:r w:rsidRPr="00006FD7">
              <w:rPr>
                <w:rFonts w:cstheme="minorHAnsi"/>
                <w:sz w:val="20"/>
                <w:szCs w:val="20"/>
              </w:rPr>
              <w:t xml:space="preserve"> </w:t>
            </w:r>
            <w:proofErr w:type="spellStart"/>
            <w:r w:rsidRPr="00006FD7">
              <w:rPr>
                <w:rFonts w:cstheme="minorHAnsi"/>
                <w:sz w:val="20"/>
                <w:szCs w:val="20"/>
              </w:rPr>
              <w:t>institucije</w:t>
            </w:r>
            <w:proofErr w:type="spellEnd"/>
            <w:r w:rsidRPr="00006FD7">
              <w:rPr>
                <w:rFonts w:cstheme="minorHAnsi"/>
                <w:sz w:val="20"/>
                <w:szCs w:val="20"/>
              </w:rPr>
              <w:t xml:space="preserve"> i EU </w:t>
            </w:r>
            <w:proofErr w:type="spellStart"/>
            <w:r w:rsidRPr="00006FD7">
              <w:rPr>
                <w:rFonts w:cstheme="minorHAnsi"/>
                <w:sz w:val="20"/>
                <w:szCs w:val="20"/>
              </w:rPr>
              <w:t>fondovi</w:t>
            </w:r>
            <w:proofErr w:type="spellEnd"/>
            <w:r w:rsidRPr="00006FD7">
              <w:rPr>
                <w:rFonts w:cstheme="minorHAnsi"/>
                <w:sz w:val="20"/>
                <w:szCs w:val="20"/>
              </w:rPr>
              <w:t>.</w:t>
            </w:r>
          </w:p>
        </w:tc>
      </w:tr>
      <w:tr w:rsidR="00A00D87" w:rsidRPr="00006FD7" w14:paraId="1432196C" w14:textId="77777777" w:rsidTr="00122946">
        <w:trPr>
          <w:trHeight w:val="632"/>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DE061E" w14:textId="77777777" w:rsidR="00A00D87" w:rsidRPr="00006FD7" w:rsidRDefault="00A00D87" w:rsidP="00122946">
            <w:pPr>
              <w:spacing w:line="259" w:lineRule="auto"/>
              <w:rPr>
                <w:rFonts w:cstheme="minorHAnsi"/>
                <w:sz w:val="20"/>
                <w:szCs w:val="20"/>
              </w:rPr>
            </w:pPr>
            <w:r w:rsidRPr="00006FD7">
              <w:rPr>
                <w:rFonts w:cstheme="minorHAnsi"/>
                <w:b/>
                <w:sz w:val="20"/>
                <w:szCs w:val="20"/>
              </w:rPr>
              <w:t xml:space="preserve">Period </w:t>
            </w:r>
            <w:proofErr w:type="spellStart"/>
            <w:r w:rsidRPr="00006FD7">
              <w:rPr>
                <w:rFonts w:cstheme="minorHAnsi"/>
                <w:b/>
                <w:sz w:val="20"/>
                <w:szCs w:val="20"/>
              </w:rPr>
              <w:t>implementacije</w:t>
            </w:r>
            <w:proofErr w:type="spellEnd"/>
            <w:r w:rsidRPr="00006FD7">
              <w:rPr>
                <w:rFonts w:cstheme="minorHAnsi"/>
                <w:b/>
                <w:sz w:val="20"/>
                <w:szCs w:val="20"/>
              </w:rPr>
              <w:t xml:space="preserve"> </w:t>
            </w:r>
            <w:proofErr w:type="spellStart"/>
            <w:r w:rsidRPr="00006FD7">
              <w:rPr>
                <w:rFonts w:cstheme="minorHAnsi"/>
                <w:b/>
                <w:sz w:val="20"/>
                <w:szCs w:val="20"/>
              </w:rPr>
              <w:t>mjere</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vAlign w:val="center"/>
          </w:tcPr>
          <w:p w14:paraId="019D5E35" w14:textId="77777777" w:rsidR="00A00D87" w:rsidRPr="00006FD7" w:rsidRDefault="00A00D87" w:rsidP="00E6560A">
            <w:pPr>
              <w:spacing w:line="259" w:lineRule="auto"/>
              <w:ind w:left="1"/>
              <w:jc w:val="both"/>
              <w:rPr>
                <w:rFonts w:cstheme="minorHAnsi"/>
                <w:sz w:val="20"/>
                <w:szCs w:val="20"/>
              </w:rPr>
            </w:pPr>
            <w:r w:rsidRPr="00006FD7">
              <w:rPr>
                <w:rFonts w:cstheme="minorHAnsi"/>
                <w:sz w:val="20"/>
                <w:szCs w:val="20"/>
              </w:rPr>
              <w:t>2022-2024.  (</w:t>
            </w:r>
            <w:proofErr w:type="spellStart"/>
            <w:r w:rsidRPr="00006FD7">
              <w:rPr>
                <w:rFonts w:cstheme="minorHAnsi"/>
                <w:sz w:val="20"/>
                <w:szCs w:val="20"/>
              </w:rPr>
              <w:t>usaglašavanje</w:t>
            </w:r>
            <w:proofErr w:type="spellEnd"/>
            <w:r w:rsidRPr="00006FD7">
              <w:rPr>
                <w:rFonts w:cstheme="minorHAnsi"/>
                <w:sz w:val="20"/>
                <w:szCs w:val="20"/>
              </w:rPr>
              <w:t xml:space="preserve"> </w:t>
            </w:r>
            <w:proofErr w:type="spellStart"/>
            <w:r w:rsidRPr="00006FD7">
              <w:rPr>
                <w:rFonts w:cstheme="minorHAnsi"/>
                <w:sz w:val="20"/>
                <w:szCs w:val="20"/>
              </w:rPr>
              <w:t>propisa</w:t>
            </w:r>
            <w:proofErr w:type="spellEnd"/>
            <w:r w:rsidRPr="00006FD7">
              <w:rPr>
                <w:rFonts w:cstheme="minorHAnsi"/>
                <w:sz w:val="20"/>
                <w:szCs w:val="20"/>
              </w:rPr>
              <w:t>)</w:t>
            </w:r>
          </w:p>
          <w:p w14:paraId="0D33B84D" w14:textId="77777777" w:rsidR="00A00D87" w:rsidRPr="00006FD7" w:rsidRDefault="00A00D87" w:rsidP="00E6560A">
            <w:pPr>
              <w:spacing w:line="259" w:lineRule="auto"/>
              <w:ind w:left="1"/>
              <w:jc w:val="both"/>
              <w:rPr>
                <w:rFonts w:cstheme="minorHAnsi"/>
                <w:sz w:val="20"/>
                <w:szCs w:val="20"/>
                <w:highlight w:val="yellow"/>
              </w:rPr>
            </w:pPr>
            <w:proofErr w:type="spellStart"/>
            <w:r w:rsidRPr="00006FD7">
              <w:rPr>
                <w:rFonts w:cstheme="minorHAnsi"/>
                <w:sz w:val="20"/>
                <w:szCs w:val="20"/>
              </w:rPr>
              <w:t>Mjera</w:t>
            </w:r>
            <w:proofErr w:type="spellEnd"/>
            <w:r w:rsidRPr="00006FD7">
              <w:rPr>
                <w:rFonts w:cstheme="minorHAnsi"/>
                <w:sz w:val="20"/>
                <w:szCs w:val="20"/>
              </w:rPr>
              <w:t xml:space="preserve"> </w:t>
            </w:r>
            <w:proofErr w:type="spellStart"/>
            <w:r w:rsidRPr="00006FD7">
              <w:rPr>
                <w:rFonts w:cstheme="minorHAnsi"/>
                <w:sz w:val="20"/>
                <w:szCs w:val="20"/>
              </w:rPr>
              <w:t>će</w:t>
            </w:r>
            <w:proofErr w:type="spellEnd"/>
            <w:r w:rsidRPr="00006FD7">
              <w:rPr>
                <w:rFonts w:cstheme="minorHAnsi"/>
                <w:sz w:val="20"/>
                <w:szCs w:val="20"/>
              </w:rPr>
              <w:t xml:space="preserve"> se </w:t>
            </w:r>
            <w:proofErr w:type="spellStart"/>
            <w:r w:rsidRPr="00006FD7">
              <w:rPr>
                <w:rFonts w:cstheme="minorHAnsi"/>
                <w:sz w:val="20"/>
                <w:szCs w:val="20"/>
              </w:rPr>
              <w:t>provoditi</w:t>
            </w:r>
            <w:proofErr w:type="spellEnd"/>
            <w:r w:rsidRPr="00006FD7">
              <w:rPr>
                <w:rFonts w:cstheme="minorHAnsi"/>
                <w:sz w:val="20"/>
                <w:szCs w:val="20"/>
              </w:rPr>
              <w:t xml:space="preserve"> do 2050. </w:t>
            </w:r>
            <w:proofErr w:type="spellStart"/>
            <w:r w:rsidRPr="00006FD7">
              <w:rPr>
                <w:rFonts w:cstheme="minorHAnsi"/>
                <w:sz w:val="20"/>
                <w:szCs w:val="20"/>
              </w:rPr>
              <w:t>godine</w:t>
            </w:r>
            <w:proofErr w:type="spellEnd"/>
            <w:r w:rsidRPr="00006FD7">
              <w:rPr>
                <w:rFonts w:cstheme="minorHAnsi"/>
                <w:sz w:val="20"/>
                <w:szCs w:val="20"/>
              </w:rPr>
              <w:t xml:space="preserve"> i </w:t>
            </w:r>
            <w:proofErr w:type="spellStart"/>
            <w:r w:rsidRPr="00006FD7">
              <w:rPr>
                <w:rFonts w:cstheme="minorHAnsi"/>
                <w:sz w:val="20"/>
                <w:szCs w:val="20"/>
              </w:rPr>
              <w:t>usklađivati</w:t>
            </w:r>
            <w:proofErr w:type="spellEnd"/>
            <w:r w:rsidRPr="00006FD7">
              <w:rPr>
                <w:rFonts w:cstheme="minorHAnsi"/>
                <w:sz w:val="20"/>
                <w:szCs w:val="20"/>
              </w:rPr>
              <w:t xml:space="preserve"> </w:t>
            </w:r>
            <w:proofErr w:type="spellStart"/>
            <w:r w:rsidRPr="00006FD7">
              <w:rPr>
                <w:rFonts w:cstheme="minorHAnsi"/>
                <w:sz w:val="20"/>
                <w:szCs w:val="20"/>
              </w:rPr>
              <w:t>shodno</w:t>
            </w:r>
            <w:proofErr w:type="spellEnd"/>
            <w:r w:rsidRPr="00006FD7">
              <w:rPr>
                <w:rFonts w:cstheme="minorHAnsi"/>
                <w:sz w:val="20"/>
                <w:szCs w:val="20"/>
              </w:rPr>
              <w:t xml:space="preserve"> </w:t>
            </w:r>
            <w:proofErr w:type="spellStart"/>
            <w:r w:rsidRPr="00006FD7">
              <w:rPr>
                <w:rFonts w:cstheme="minorHAnsi"/>
                <w:sz w:val="20"/>
                <w:szCs w:val="20"/>
              </w:rPr>
              <w:t>novim</w:t>
            </w:r>
            <w:proofErr w:type="spellEnd"/>
            <w:r w:rsidRPr="00006FD7">
              <w:rPr>
                <w:rFonts w:cstheme="minorHAnsi"/>
                <w:sz w:val="20"/>
                <w:szCs w:val="20"/>
              </w:rPr>
              <w:t>/</w:t>
            </w:r>
            <w:proofErr w:type="spellStart"/>
            <w:r w:rsidRPr="00006FD7">
              <w:rPr>
                <w:rFonts w:cstheme="minorHAnsi"/>
                <w:sz w:val="20"/>
                <w:szCs w:val="20"/>
              </w:rPr>
              <w:t>ažuriranim</w:t>
            </w:r>
            <w:proofErr w:type="spellEnd"/>
            <w:r w:rsidRPr="00006FD7">
              <w:rPr>
                <w:rFonts w:cstheme="minorHAnsi"/>
                <w:sz w:val="20"/>
                <w:szCs w:val="20"/>
              </w:rPr>
              <w:t xml:space="preserve"> </w:t>
            </w:r>
            <w:proofErr w:type="spellStart"/>
            <w:r w:rsidRPr="00006FD7">
              <w:rPr>
                <w:rFonts w:cstheme="minorHAnsi"/>
                <w:sz w:val="20"/>
                <w:szCs w:val="20"/>
              </w:rPr>
              <w:t>propisima</w:t>
            </w:r>
            <w:proofErr w:type="spellEnd"/>
            <w:r w:rsidRPr="00006FD7">
              <w:rPr>
                <w:rFonts w:cstheme="minorHAnsi"/>
                <w:sz w:val="20"/>
                <w:szCs w:val="20"/>
              </w:rPr>
              <w:t xml:space="preserve"> EU u </w:t>
            </w:r>
            <w:proofErr w:type="spellStart"/>
            <w:r w:rsidRPr="00006FD7">
              <w:rPr>
                <w:rFonts w:cstheme="minorHAnsi"/>
                <w:sz w:val="20"/>
                <w:szCs w:val="20"/>
              </w:rPr>
              <w:t>oblasti</w:t>
            </w:r>
            <w:proofErr w:type="spellEnd"/>
            <w:r w:rsidRPr="00006FD7">
              <w:rPr>
                <w:rFonts w:cstheme="minorHAnsi"/>
                <w:sz w:val="20"/>
                <w:szCs w:val="20"/>
              </w:rPr>
              <w:t xml:space="preserve"> EE, a </w:t>
            </w:r>
            <w:proofErr w:type="spellStart"/>
            <w:r w:rsidRPr="00006FD7">
              <w:rPr>
                <w:rFonts w:cstheme="minorHAnsi"/>
                <w:sz w:val="20"/>
                <w:szCs w:val="20"/>
              </w:rPr>
              <w:t>uz</w:t>
            </w:r>
            <w:proofErr w:type="spellEnd"/>
            <w:r w:rsidRPr="00006FD7">
              <w:rPr>
                <w:rFonts w:cstheme="minorHAnsi"/>
                <w:sz w:val="20"/>
                <w:szCs w:val="20"/>
              </w:rPr>
              <w:t xml:space="preserve"> </w:t>
            </w:r>
            <w:proofErr w:type="spellStart"/>
            <w:r w:rsidRPr="00006FD7">
              <w:rPr>
                <w:rFonts w:cstheme="minorHAnsi"/>
                <w:sz w:val="20"/>
                <w:szCs w:val="20"/>
              </w:rPr>
              <w:t>moguće</w:t>
            </w:r>
            <w:proofErr w:type="spellEnd"/>
            <w:r w:rsidRPr="00006FD7">
              <w:rPr>
                <w:rFonts w:cstheme="minorHAnsi"/>
                <w:sz w:val="20"/>
                <w:szCs w:val="20"/>
              </w:rPr>
              <w:t xml:space="preserve"> </w:t>
            </w:r>
            <w:proofErr w:type="spellStart"/>
            <w:r w:rsidRPr="00006FD7">
              <w:rPr>
                <w:rFonts w:cstheme="minorHAnsi"/>
                <w:sz w:val="20"/>
                <w:szCs w:val="20"/>
              </w:rPr>
              <w:t>izmjene</w:t>
            </w:r>
            <w:proofErr w:type="spellEnd"/>
            <w:r w:rsidRPr="00006FD7">
              <w:rPr>
                <w:rFonts w:cstheme="minorHAnsi"/>
                <w:sz w:val="20"/>
                <w:szCs w:val="20"/>
              </w:rPr>
              <w:t xml:space="preserve"> </w:t>
            </w:r>
            <w:proofErr w:type="spellStart"/>
            <w:r w:rsidRPr="00006FD7">
              <w:rPr>
                <w:rFonts w:cstheme="minorHAnsi"/>
                <w:sz w:val="20"/>
                <w:szCs w:val="20"/>
              </w:rPr>
              <w:t>temeljene</w:t>
            </w:r>
            <w:proofErr w:type="spellEnd"/>
            <w:r w:rsidRPr="00006FD7">
              <w:rPr>
                <w:rFonts w:cstheme="minorHAnsi"/>
                <w:sz w:val="20"/>
                <w:szCs w:val="20"/>
              </w:rPr>
              <w:t xml:space="preserve"> </w:t>
            </w:r>
            <w:proofErr w:type="spellStart"/>
            <w:r w:rsidRPr="00006FD7">
              <w:rPr>
                <w:rFonts w:cstheme="minorHAnsi"/>
                <w:sz w:val="20"/>
                <w:szCs w:val="20"/>
              </w:rPr>
              <w:t>na</w:t>
            </w:r>
            <w:proofErr w:type="spellEnd"/>
            <w:r w:rsidRPr="00006FD7">
              <w:rPr>
                <w:rFonts w:cstheme="minorHAnsi"/>
                <w:sz w:val="20"/>
                <w:szCs w:val="20"/>
              </w:rPr>
              <w:t xml:space="preserve"> </w:t>
            </w:r>
            <w:proofErr w:type="spellStart"/>
            <w:r w:rsidRPr="00006FD7">
              <w:rPr>
                <w:rFonts w:cstheme="minorHAnsi"/>
                <w:sz w:val="20"/>
                <w:szCs w:val="20"/>
              </w:rPr>
              <w:t>prikupljenim</w:t>
            </w:r>
            <w:proofErr w:type="spellEnd"/>
            <w:r w:rsidRPr="00006FD7">
              <w:rPr>
                <w:rFonts w:cstheme="minorHAnsi"/>
                <w:sz w:val="20"/>
                <w:szCs w:val="20"/>
              </w:rPr>
              <w:t xml:space="preserve"> </w:t>
            </w:r>
            <w:proofErr w:type="spellStart"/>
            <w:r w:rsidRPr="00006FD7">
              <w:rPr>
                <w:rFonts w:cstheme="minorHAnsi"/>
                <w:sz w:val="20"/>
                <w:szCs w:val="20"/>
              </w:rPr>
              <w:t>iskustvima</w:t>
            </w:r>
            <w:proofErr w:type="spellEnd"/>
          </w:p>
        </w:tc>
      </w:tr>
      <w:tr w:rsidR="00A00D87" w:rsidRPr="00006FD7" w14:paraId="0D465456" w14:textId="77777777" w:rsidTr="00122946">
        <w:trPr>
          <w:trHeight w:val="1046"/>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061318"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Institucija</w:t>
            </w:r>
            <w:proofErr w:type="spellEnd"/>
            <w:r w:rsidRPr="00006FD7">
              <w:rPr>
                <w:rFonts w:cstheme="minorHAnsi"/>
                <w:b/>
                <w:sz w:val="20"/>
                <w:szCs w:val="20"/>
              </w:rPr>
              <w:t xml:space="preserve"> </w:t>
            </w:r>
          </w:p>
          <w:p w14:paraId="41177385"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odgovorna</w:t>
            </w:r>
            <w:proofErr w:type="spellEnd"/>
            <w:r w:rsidRPr="00006FD7">
              <w:rPr>
                <w:rFonts w:cstheme="minorHAnsi"/>
                <w:b/>
                <w:sz w:val="20"/>
                <w:szCs w:val="20"/>
              </w:rPr>
              <w:t xml:space="preserve"> za </w:t>
            </w:r>
            <w:proofErr w:type="spellStart"/>
            <w:r w:rsidRPr="00006FD7">
              <w:rPr>
                <w:rFonts w:cstheme="minorHAnsi"/>
                <w:b/>
                <w:sz w:val="20"/>
                <w:szCs w:val="20"/>
              </w:rPr>
              <w:t>koordinaciju</w:t>
            </w:r>
            <w:proofErr w:type="spellEnd"/>
            <w:r w:rsidRPr="00006FD7">
              <w:rPr>
                <w:rFonts w:cstheme="minorHAnsi"/>
                <w:b/>
                <w:sz w:val="20"/>
                <w:szCs w:val="20"/>
              </w:rPr>
              <w:t xml:space="preserve"> </w:t>
            </w:r>
            <w:proofErr w:type="spellStart"/>
            <w:r w:rsidRPr="00006FD7">
              <w:rPr>
                <w:rFonts w:cstheme="minorHAnsi"/>
                <w:b/>
                <w:sz w:val="20"/>
                <w:szCs w:val="20"/>
              </w:rPr>
              <w:t>implementacije</w:t>
            </w:r>
            <w:proofErr w:type="spellEnd"/>
            <w:r w:rsidRPr="00006FD7">
              <w:rPr>
                <w:rFonts w:cstheme="minorHAnsi"/>
                <w:b/>
                <w:sz w:val="20"/>
                <w:szCs w:val="20"/>
              </w:rPr>
              <w:t xml:space="preserve"> </w:t>
            </w:r>
            <w:proofErr w:type="spellStart"/>
            <w:r w:rsidRPr="00006FD7">
              <w:rPr>
                <w:rFonts w:cstheme="minorHAnsi"/>
                <w:b/>
                <w:sz w:val="20"/>
                <w:szCs w:val="20"/>
              </w:rPr>
              <w:t>mjere</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vAlign w:val="center"/>
          </w:tcPr>
          <w:p w14:paraId="3BB797C6" w14:textId="77777777" w:rsidR="00A00D87" w:rsidRPr="00006FD7" w:rsidRDefault="00A00D87" w:rsidP="00E6560A">
            <w:pPr>
              <w:spacing w:line="259" w:lineRule="auto"/>
              <w:ind w:left="1"/>
              <w:jc w:val="both"/>
              <w:rPr>
                <w:rFonts w:cstheme="minorHAnsi"/>
                <w:sz w:val="20"/>
                <w:szCs w:val="20"/>
              </w:rPr>
            </w:pPr>
            <w:r w:rsidRPr="00006FD7">
              <w:rPr>
                <w:rFonts w:cstheme="minorHAnsi"/>
                <w:sz w:val="20"/>
                <w:szCs w:val="20"/>
              </w:rPr>
              <w:t>Federalno ministarstvo prostornog uređenja</w:t>
            </w:r>
          </w:p>
        </w:tc>
      </w:tr>
      <w:tr w:rsidR="00A00D87" w:rsidRPr="00006FD7" w14:paraId="6F0A05C9" w14:textId="77777777" w:rsidTr="00122946">
        <w:trPr>
          <w:trHeight w:val="422"/>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E1E0CB4"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Nosioci</w:t>
            </w:r>
            <w:proofErr w:type="spellEnd"/>
            <w:r w:rsidRPr="00006FD7">
              <w:rPr>
                <w:rFonts w:cstheme="minorHAnsi"/>
                <w:b/>
                <w:sz w:val="20"/>
                <w:szCs w:val="20"/>
              </w:rPr>
              <w:t xml:space="preserve"> </w:t>
            </w:r>
            <w:proofErr w:type="spellStart"/>
            <w:r w:rsidRPr="00006FD7">
              <w:rPr>
                <w:rFonts w:cstheme="minorHAnsi"/>
                <w:b/>
                <w:sz w:val="20"/>
                <w:szCs w:val="20"/>
              </w:rPr>
              <w:t>mjere</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tcPr>
          <w:p w14:paraId="41DA4EB3" w14:textId="77777777" w:rsidR="00A00D87" w:rsidRPr="00006FD7" w:rsidRDefault="00A00D87" w:rsidP="00E6560A">
            <w:pPr>
              <w:spacing w:line="259" w:lineRule="auto"/>
              <w:ind w:left="1" w:right="3"/>
              <w:jc w:val="both"/>
              <w:rPr>
                <w:rFonts w:cstheme="minorHAnsi"/>
                <w:sz w:val="20"/>
                <w:szCs w:val="20"/>
              </w:rPr>
            </w:pPr>
            <w:r w:rsidRPr="00006FD7">
              <w:rPr>
                <w:rFonts w:cstheme="minorHAnsi"/>
                <w:sz w:val="20"/>
                <w:szCs w:val="20"/>
              </w:rPr>
              <w:t xml:space="preserve">Federalno ministarstvo prostornog uređenja, </w:t>
            </w:r>
            <w:r w:rsidRPr="00006FD7">
              <w:rPr>
                <w:rFonts w:cstheme="minorHAnsi"/>
                <w:sz w:val="20"/>
                <w:szCs w:val="20"/>
              </w:rPr>
              <w:fldChar w:fldCharType="begin"/>
            </w:r>
            <w:r w:rsidRPr="00006FD7">
              <w:rPr>
                <w:rFonts w:cstheme="minorHAnsi"/>
                <w:sz w:val="20"/>
                <w:szCs w:val="20"/>
              </w:rPr>
              <w:instrText xml:space="preserve"> LINK Word.Document.12 "C:\\CETEOR\\CETEOR_april 2021\\LEONIDA\\SEKTOR ENERGIJE\\PROJEKTI U TOKU\\P-2922 GIZ_FBIH building renovation strategy upgrade\\2-radni-materijali\\STRATEGIJA_dokument\\Prioriteti i mjere\\Politike i mjere_v5_hbz.docx" OLE_LINK1 \a \r  \* MERGEFORMAT </w:instrText>
            </w:r>
            <w:r w:rsidRPr="00006FD7">
              <w:rPr>
                <w:rFonts w:cstheme="minorHAnsi"/>
                <w:sz w:val="20"/>
                <w:szCs w:val="20"/>
              </w:rPr>
              <w:fldChar w:fldCharType="separate"/>
            </w:r>
            <w:r w:rsidRPr="00006FD7">
              <w:rPr>
                <w:rFonts w:cstheme="minorHAnsi"/>
                <w:sz w:val="20"/>
                <w:szCs w:val="20"/>
              </w:rPr>
              <w:t>Federalno ministarstvo energije, rudarstva i industrije</w:t>
            </w:r>
            <w:r w:rsidRPr="00006FD7">
              <w:rPr>
                <w:rFonts w:cstheme="minorHAnsi"/>
                <w:sz w:val="20"/>
                <w:szCs w:val="20"/>
              </w:rPr>
              <w:fldChar w:fldCharType="end"/>
            </w:r>
            <w:r w:rsidRPr="00006FD7">
              <w:rPr>
                <w:rFonts w:cstheme="minorHAnsi"/>
                <w:sz w:val="20"/>
                <w:szCs w:val="20"/>
              </w:rPr>
              <w:t xml:space="preserve">, Federalno ministarstvo okoliša i turizma, </w:t>
            </w:r>
            <w:proofErr w:type="spellStart"/>
            <w:r w:rsidRPr="00006FD7">
              <w:rPr>
                <w:rFonts w:cstheme="minorHAnsi"/>
                <w:sz w:val="20"/>
                <w:szCs w:val="20"/>
              </w:rPr>
              <w:t>kantonalna</w:t>
            </w:r>
            <w:proofErr w:type="spellEnd"/>
            <w:r w:rsidRPr="00006FD7">
              <w:rPr>
                <w:rFonts w:cstheme="minorHAnsi"/>
                <w:sz w:val="20"/>
                <w:szCs w:val="20"/>
              </w:rPr>
              <w:t xml:space="preserve"> </w:t>
            </w:r>
            <w:proofErr w:type="spellStart"/>
            <w:r w:rsidRPr="00006FD7">
              <w:rPr>
                <w:rFonts w:cstheme="minorHAnsi"/>
                <w:sz w:val="20"/>
                <w:szCs w:val="20"/>
              </w:rPr>
              <w:t>ministarstva</w:t>
            </w:r>
            <w:proofErr w:type="spellEnd"/>
            <w:r w:rsidRPr="00006FD7">
              <w:rPr>
                <w:rFonts w:cstheme="minorHAnsi"/>
                <w:sz w:val="20"/>
                <w:szCs w:val="20"/>
              </w:rPr>
              <w:t xml:space="preserve"> </w:t>
            </w:r>
            <w:proofErr w:type="spellStart"/>
            <w:r w:rsidRPr="00006FD7">
              <w:rPr>
                <w:rFonts w:cstheme="minorHAnsi"/>
                <w:sz w:val="20"/>
                <w:szCs w:val="20"/>
              </w:rPr>
              <w:t>nadležna</w:t>
            </w:r>
            <w:proofErr w:type="spellEnd"/>
            <w:r w:rsidRPr="00006FD7">
              <w:rPr>
                <w:rFonts w:cstheme="minorHAnsi"/>
                <w:sz w:val="20"/>
                <w:szCs w:val="20"/>
              </w:rPr>
              <w:t xml:space="preserve"> za </w:t>
            </w:r>
            <w:proofErr w:type="spellStart"/>
            <w:r w:rsidRPr="00006FD7">
              <w:rPr>
                <w:rFonts w:cstheme="minorHAnsi"/>
                <w:sz w:val="20"/>
                <w:szCs w:val="20"/>
              </w:rPr>
              <w:t>prostorno</w:t>
            </w:r>
            <w:proofErr w:type="spellEnd"/>
            <w:r w:rsidRPr="00006FD7">
              <w:rPr>
                <w:rFonts w:cstheme="minorHAnsi"/>
                <w:sz w:val="20"/>
                <w:szCs w:val="20"/>
              </w:rPr>
              <w:t xml:space="preserve"> </w:t>
            </w:r>
            <w:proofErr w:type="spellStart"/>
            <w:r w:rsidRPr="00006FD7">
              <w:rPr>
                <w:rFonts w:cstheme="minorHAnsi"/>
                <w:sz w:val="20"/>
                <w:szCs w:val="20"/>
              </w:rPr>
              <w:t>uređenje</w:t>
            </w:r>
            <w:proofErr w:type="spellEnd"/>
            <w:r w:rsidRPr="00006FD7">
              <w:rPr>
                <w:rFonts w:cstheme="minorHAnsi"/>
                <w:sz w:val="20"/>
                <w:szCs w:val="20"/>
              </w:rPr>
              <w:t xml:space="preserve">, </w:t>
            </w:r>
            <w:proofErr w:type="spellStart"/>
            <w:r w:rsidRPr="00006FD7">
              <w:rPr>
                <w:rFonts w:cstheme="minorHAnsi"/>
                <w:sz w:val="20"/>
                <w:szCs w:val="20"/>
              </w:rPr>
              <w:t>jedinice</w:t>
            </w:r>
            <w:proofErr w:type="spellEnd"/>
            <w:r w:rsidRPr="00006FD7">
              <w:rPr>
                <w:rFonts w:cstheme="minorHAnsi"/>
                <w:sz w:val="20"/>
                <w:szCs w:val="20"/>
              </w:rPr>
              <w:t xml:space="preserve"> </w:t>
            </w:r>
            <w:proofErr w:type="spellStart"/>
            <w:r w:rsidRPr="00006FD7">
              <w:rPr>
                <w:rFonts w:cstheme="minorHAnsi"/>
                <w:sz w:val="20"/>
                <w:szCs w:val="20"/>
              </w:rPr>
              <w:t>lokalne</w:t>
            </w:r>
            <w:proofErr w:type="spellEnd"/>
            <w:r w:rsidRPr="00006FD7">
              <w:rPr>
                <w:rFonts w:cstheme="minorHAnsi"/>
                <w:sz w:val="20"/>
                <w:szCs w:val="20"/>
              </w:rPr>
              <w:t xml:space="preserve"> </w:t>
            </w:r>
            <w:proofErr w:type="spellStart"/>
            <w:r w:rsidRPr="00006FD7">
              <w:rPr>
                <w:rFonts w:cstheme="minorHAnsi"/>
                <w:sz w:val="20"/>
                <w:szCs w:val="20"/>
              </w:rPr>
              <w:t>samouprave</w:t>
            </w:r>
            <w:proofErr w:type="spellEnd"/>
            <w:r w:rsidRPr="00006FD7">
              <w:rPr>
                <w:rFonts w:cstheme="minorHAnsi"/>
                <w:sz w:val="20"/>
                <w:szCs w:val="20"/>
              </w:rPr>
              <w:t>, Fond za zaštitu okoliša FBiH.</w:t>
            </w:r>
          </w:p>
        </w:tc>
      </w:tr>
      <w:tr w:rsidR="00A00D87" w:rsidRPr="00006FD7" w14:paraId="5A321117" w14:textId="77777777" w:rsidTr="00122946">
        <w:trPr>
          <w:trHeight w:val="217"/>
        </w:trPr>
        <w:tc>
          <w:tcPr>
            <w:tcW w:w="16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8CEB46" w14:textId="77777777" w:rsidR="00A00D87" w:rsidRPr="00006FD7" w:rsidRDefault="00A00D87" w:rsidP="00122946">
            <w:pPr>
              <w:spacing w:line="259" w:lineRule="auto"/>
              <w:rPr>
                <w:rFonts w:cstheme="minorHAnsi"/>
                <w:sz w:val="20"/>
                <w:szCs w:val="20"/>
              </w:rPr>
            </w:pPr>
            <w:proofErr w:type="spellStart"/>
            <w:r w:rsidRPr="00006FD7">
              <w:rPr>
                <w:rFonts w:cstheme="minorHAnsi"/>
                <w:b/>
                <w:sz w:val="20"/>
                <w:szCs w:val="20"/>
              </w:rPr>
              <w:t>Ciljne</w:t>
            </w:r>
            <w:proofErr w:type="spellEnd"/>
            <w:r w:rsidRPr="00006FD7">
              <w:rPr>
                <w:rFonts w:cstheme="minorHAnsi"/>
                <w:b/>
                <w:sz w:val="20"/>
                <w:szCs w:val="20"/>
              </w:rPr>
              <w:t xml:space="preserve"> </w:t>
            </w:r>
            <w:proofErr w:type="spellStart"/>
            <w:r w:rsidRPr="00006FD7">
              <w:rPr>
                <w:rFonts w:cstheme="minorHAnsi"/>
                <w:b/>
                <w:sz w:val="20"/>
                <w:szCs w:val="20"/>
              </w:rPr>
              <w:t>grupe</w:t>
            </w:r>
            <w:proofErr w:type="spellEnd"/>
            <w:r w:rsidRPr="00006FD7">
              <w:rPr>
                <w:rFonts w:cstheme="minorHAnsi"/>
                <w:b/>
                <w:sz w:val="20"/>
                <w:szCs w:val="20"/>
              </w:rPr>
              <w:t xml:space="preserve"> </w:t>
            </w:r>
          </w:p>
        </w:tc>
        <w:tc>
          <w:tcPr>
            <w:tcW w:w="7353" w:type="dxa"/>
            <w:gridSpan w:val="3"/>
            <w:tcBorders>
              <w:top w:val="single" w:sz="4" w:space="0" w:color="000000"/>
              <w:left w:val="single" w:sz="4" w:space="0" w:color="000000"/>
              <w:bottom w:val="single" w:sz="4" w:space="0" w:color="000000"/>
              <w:right w:val="single" w:sz="4" w:space="0" w:color="000000"/>
            </w:tcBorders>
          </w:tcPr>
          <w:p w14:paraId="2F2AD4FE" w14:textId="77777777" w:rsidR="00A00D87" w:rsidRPr="00006FD7" w:rsidRDefault="00A00D87" w:rsidP="00E6560A">
            <w:pPr>
              <w:spacing w:line="259" w:lineRule="auto"/>
              <w:ind w:left="1"/>
              <w:jc w:val="both"/>
              <w:rPr>
                <w:rFonts w:cstheme="minorHAnsi"/>
                <w:sz w:val="20"/>
                <w:szCs w:val="20"/>
              </w:rPr>
            </w:pPr>
            <w:r w:rsidRPr="00006FD7">
              <w:rPr>
                <w:rFonts w:cstheme="minorHAnsi"/>
                <w:sz w:val="20"/>
                <w:szCs w:val="20"/>
              </w:rPr>
              <w:t xml:space="preserve">Federalno ministarstvo energije, rudarstva i industrije, Federalno ministarstvo prostornog uređenja, Federalno ministarstvo okoliša i turizma, </w:t>
            </w:r>
            <w:proofErr w:type="spellStart"/>
            <w:r w:rsidRPr="00006FD7">
              <w:rPr>
                <w:rFonts w:cstheme="minorHAnsi"/>
                <w:sz w:val="20"/>
                <w:szCs w:val="20"/>
              </w:rPr>
              <w:t>kantonalna</w:t>
            </w:r>
            <w:proofErr w:type="spellEnd"/>
            <w:r w:rsidRPr="00006FD7">
              <w:rPr>
                <w:rFonts w:cstheme="minorHAnsi"/>
                <w:sz w:val="20"/>
                <w:szCs w:val="20"/>
              </w:rPr>
              <w:t xml:space="preserve"> </w:t>
            </w:r>
            <w:proofErr w:type="spellStart"/>
            <w:r w:rsidRPr="00006FD7">
              <w:rPr>
                <w:rFonts w:cstheme="minorHAnsi"/>
                <w:sz w:val="20"/>
                <w:szCs w:val="20"/>
              </w:rPr>
              <w:t>ministarstva</w:t>
            </w:r>
            <w:proofErr w:type="spellEnd"/>
            <w:r w:rsidRPr="00006FD7">
              <w:rPr>
                <w:rFonts w:cstheme="minorHAnsi"/>
                <w:sz w:val="20"/>
                <w:szCs w:val="20"/>
              </w:rPr>
              <w:t xml:space="preserve"> </w:t>
            </w:r>
            <w:proofErr w:type="spellStart"/>
            <w:r w:rsidRPr="00006FD7">
              <w:rPr>
                <w:rFonts w:cstheme="minorHAnsi"/>
                <w:sz w:val="20"/>
                <w:szCs w:val="20"/>
              </w:rPr>
              <w:t>nadležna</w:t>
            </w:r>
            <w:proofErr w:type="spellEnd"/>
            <w:r w:rsidRPr="00006FD7">
              <w:rPr>
                <w:rFonts w:cstheme="minorHAnsi"/>
                <w:sz w:val="20"/>
                <w:szCs w:val="20"/>
              </w:rPr>
              <w:t xml:space="preserve"> za </w:t>
            </w:r>
            <w:proofErr w:type="spellStart"/>
            <w:r w:rsidRPr="00006FD7">
              <w:rPr>
                <w:rFonts w:cstheme="minorHAnsi"/>
                <w:sz w:val="20"/>
                <w:szCs w:val="20"/>
              </w:rPr>
              <w:t>prostorno</w:t>
            </w:r>
            <w:proofErr w:type="spellEnd"/>
            <w:r w:rsidRPr="00006FD7">
              <w:rPr>
                <w:rFonts w:cstheme="minorHAnsi"/>
                <w:sz w:val="20"/>
                <w:szCs w:val="20"/>
              </w:rPr>
              <w:t xml:space="preserve"> </w:t>
            </w:r>
            <w:proofErr w:type="spellStart"/>
            <w:r w:rsidRPr="00006FD7">
              <w:rPr>
                <w:rFonts w:cstheme="minorHAnsi"/>
                <w:sz w:val="20"/>
                <w:szCs w:val="20"/>
              </w:rPr>
              <w:t>uređenje</w:t>
            </w:r>
            <w:proofErr w:type="spellEnd"/>
            <w:r w:rsidRPr="00006FD7">
              <w:rPr>
                <w:rFonts w:cstheme="minorHAnsi"/>
                <w:sz w:val="20"/>
                <w:szCs w:val="20"/>
              </w:rPr>
              <w:t xml:space="preserve">, </w:t>
            </w:r>
            <w:proofErr w:type="spellStart"/>
            <w:r w:rsidRPr="00006FD7">
              <w:rPr>
                <w:rFonts w:cstheme="minorHAnsi"/>
                <w:sz w:val="20"/>
                <w:szCs w:val="20"/>
              </w:rPr>
              <w:t>jedinice</w:t>
            </w:r>
            <w:proofErr w:type="spellEnd"/>
            <w:r w:rsidRPr="00006FD7">
              <w:rPr>
                <w:rFonts w:cstheme="minorHAnsi"/>
                <w:sz w:val="20"/>
                <w:szCs w:val="20"/>
              </w:rPr>
              <w:t xml:space="preserve"> </w:t>
            </w:r>
            <w:proofErr w:type="spellStart"/>
            <w:r w:rsidRPr="00006FD7">
              <w:rPr>
                <w:rFonts w:cstheme="minorHAnsi"/>
                <w:sz w:val="20"/>
                <w:szCs w:val="20"/>
              </w:rPr>
              <w:t>lokalne</w:t>
            </w:r>
            <w:proofErr w:type="spellEnd"/>
            <w:r w:rsidRPr="00006FD7">
              <w:rPr>
                <w:rFonts w:cstheme="minorHAnsi"/>
                <w:sz w:val="20"/>
                <w:szCs w:val="20"/>
              </w:rPr>
              <w:t xml:space="preserve"> </w:t>
            </w:r>
            <w:proofErr w:type="spellStart"/>
            <w:r w:rsidRPr="00006FD7">
              <w:rPr>
                <w:rFonts w:cstheme="minorHAnsi"/>
                <w:sz w:val="20"/>
                <w:szCs w:val="20"/>
              </w:rPr>
              <w:t>samouprave</w:t>
            </w:r>
            <w:proofErr w:type="spellEnd"/>
            <w:r w:rsidRPr="00006FD7">
              <w:rPr>
                <w:rFonts w:cstheme="minorHAnsi"/>
                <w:sz w:val="20"/>
                <w:szCs w:val="20"/>
              </w:rPr>
              <w:t>, Fond za zaštitu okoliša FBiH.</w:t>
            </w:r>
          </w:p>
          <w:p w14:paraId="1939D1CB" w14:textId="77777777" w:rsidR="00A00D87" w:rsidRPr="00006FD7" w:rsidRDefault="00A00D87" w:rsidP="00E6560A">
            <w:pPr>
              <w:spacing w:line="259" w:lineRule="auto"/>
              <w:ind w:left="1"/>
              <w:jc w:val="both"/>
              <w:rPr>
                <w:rFonts w:cstheme="minorHAnsi"/>
                <w:sz w:val="20"/>
                <w:szCs w:val="20"/>
              </w:rPr>
            </w:pPr>
            <w:proofErr w:type="spellStart"/>
            <w:r w:rsidRPr="00006FD7">
              <w:rPr>
                <w:rFonts w:cstheme="minorHAnsi"/>
                <w:sz w:val="20"/>
                <w:szCs w:val="20"/>
              </w:rPr>
              <w:t>Vlasnici</w:t>
            </w:r>
            <w:proofErr w:type="spellEnd"/>
            <w:r w:rsidRPr="00006FD7">
              <w:rPr>
                <w:rFonts w:cstheme="minorHAnsi"/>
                <w:sz w:val="20"/>
                <w:szCs w:val="20"/>
              </w:rPr>
              <w:t xml:space="preserve"> i </w:t>
            </w:r>
            <w:proofErr w:type="spellStart"/>
            <w:r w:rsidRPr="00006FD7">
              <w:rPr>
                <w:rFonts w:cstheme="minorHAnsi"/>
                <w:sz w:val="20"/>
                <w:szCs w:val="20"/>
              </w:rPr>
              <w:t>korisnici</w:t>
            </w:r>
            <w:proofErr w:type="spellEnd"/>
            <w:r w:rsidRPr="00006FD7">
              <w:rPr>
                <w:rFonts w:cstheme="minorHAnsi"/>
                <w:sz w:val="20"/>
                <w:szCs w:val="20"/>
              </w:rPr>
              <w:t xml:space="preserve"> </w:t>
            </w:r>
            <w:proofErr w:type="spellStart"/>
            <w:r w:rsidRPr="00006FD7">
              <w:rPr>
                <w:rFonts w:cstheme="minorHAnsi"/>
                <w:sz w:val="20"/>
                <w:szCs w:val="20"/>
              </w:rPr>
              <w:t>stambenih</w:t>
            </w:r>
            <w:proofErr w:type="spellEnd"/>
            <w:r w:rsidRPr="00006FD7">
              <w:rPr>
                <w:rFonts w:cstheme="minorHAnsi"/>
                <w:sz w:val="20"/>
                <w:szCs w:val="20"/>
              </w:rPr>
              <w:t xml:space="preserve"> i </w:t>
            </w:r>
            <w:proofErr w:type="spellStart"/>
            <w:r w:rsidRPr="00006FD7">
              <w:rPr>
                <w:rFonts w:cstheme="minorHAnsi"/>
                <w:sz w:val="20"/>
                <w:szCs w:val="20"/>
              </w:rPr>
              <w:t>nestambenih</w:t>
            </w:r>
            <w:proofErr w:type="spellEnd"/>
            <w:r w:rsidRPr="00006FD7">
              <w:rPr>
                <w:rFonts w:cstheme="minorHAnsi"/>
                <w:sz w:val="20"/>
                <w:szCs w:val="20"/>
              </w:rPr>
              <w:t xml:space="preserve"> </w:t>
            </w:r>
            <w:proofErr w:type="spellStart"/>
            <w:r w:rsidRPr="00006FD7">
              <w:rPr>
                <w:rFonts w:cstheme="minorHAnsi"/>
                <w:sz w:val="20"/>
                <w:szCs w:val="20"/>
              </w:rPr>
              <w:t>zgrada</w:t>
            </w:r>
            <w:proofErr w:type="spellEnd"/>
            <w:r w:rsidRPr="00006FD7">
              <w:rPr>
                <w:rFonts w:cstheme="minorHAnsi"/>
                <w:sz w:val="20"/>
                <w:szCs w:val="20"/>
              </w:rPr>
              <w:t xml:space="preserve"> u FBiH, </w:t>
            </w:r>
            <w:proofErr w:type="spellStart"/>
            <w:r w:rsidRPr="00006FD7">
              <w:rPr>
                <w:rFonts w:cstheme="minorHAnsi"/>
                <w:sz w:val="20"/>
                <w:szCs w:val="20"/>
              </w:rPr>
              <w:t>te</w:t>
            </w:r>
            <w:proofErr w:type="spellEnd"/>
            <w:r w:rsidRPr="00006FD7">
              <w:rPr>
                <w:rFonts w:cstheme="minorHAnsi"/>
                <w:sz w:val="20"/>
                <w:szCs w:val="20"/>
              </w:rPr>
              <w:t xml:space="preserve"> </w:t>
            </w:r>
            <w:proofErr w:type="spellStart"/>
            <w:r w:rsidRPr="00006FD7">
              <w:rPr>
                <w:rFonts w:cstheme="minorHAnsi"/>
                <w:sz w:val="20"/>
                <w:szCs w:val="20"/>
              </w:rPr>
              <w:t>privrednici</w:t>
            </w:r>
            <w:proofErr w:type="spellEnd"/>
            <w:r w:rsidRPr="00006FD7">
              <w:rPr>
                <w:rFonts w:cstheme="minorHAnsi"/>
                <w:sz w:val="20"/>
                <w:szCs w:val="20"/>
              </w:rPr>
              <w:t xml:space="preserve"> </w:t>
            </w:r>
            <w:proofErr w:type="spellStart"/>
            <w:r w:rsidRPr="00006FD7">
              <w:rPr>
                <w:rFonts w:cstheme="minorHAnsi"/>
                <w:sz w:val="20"/>
                <w:szCs w:val="20"/>
              </w:rPr>
              <w:t>svih</w:t>
            </w:r>
            <w:proofErr w:type="spellEnd"/>
            <w:r w:rsidRPr="00006FD7">
              <w:rPr>
                <w:rFonts w:cstheme="minorHAnsi"/>
                <w:sz w:val="20"/>
                <w:szCs w:val="20"/>
              </w:rPr>
              <w:t xml:space="preserve"> </w:t>
            </w:r>
            <w:proofErr w:type="spellStart"/>
            <w:r w:rsidRPr="00006FD7">
              <w:rPr>
                <w:rFonts w:cstheme="minorHAnsi"/>
                <w:sz w:val="20"/>
                <w:szCs w:val="20"/>
              </w:rPr>
              <w:t>sektora</w:t>
            </w:r>
            <w:proofErr w:type="spellEnd"/>
            <w:r w:rsidRPr="00006FD7">
              <w:rPr>
                <w:rFonts w:cstheme="minorHAnsi"/>
                <w:sz w:val="20"/>
                <w:szCs w:val="20"/>
              </w:rPr>
              <w:t>.</w:t>
            </w:r>
          </w:p>
        </w:tc>
      </w:tr>
    </w:tbl>
    <w:p w14:paraId="4DC68FF9" w14:textId="77777777" w:rsidR="00A00D87" w:rsidRDefault="00A00D87" w:rsidP="00A00D87"/>
    <w:p w14:paraId="558E1D85" w14:textId="77777777" w:rsidR="00A00D87" w:rsidRDefault="00A00D87" w:rsidP="00A00D87"/>
    <w:p w14:paraId="480F5DE5" w14:textId="77777777" w:rsidR="00A00D87" w:rsidRDefault="00A00D87" w:rsidP="00A00D87"/>
    <w:p w14:paraId="1091E739" w14:textId="77777777" w:rsidR="00A00D87" w:rsidRDefault="00A00D87" w:rsidP="00A00D87"/>
    <w:p w14:paraId="48601EB1" w14:textId="77777777" w:rsidR="00A00D87" w:rsidRDefault="00A00D87" w:rsidP="00A00D87"/>
    <w:p w14:paraId="2D49C413" w14:textId="77777777" w:rsidR="00A00D87" w:rsidRDefault="00A00D87" w:rsidP="00A00D87"/>
    <w:tbl>
      <w:tblPr>
        <w:tblStyle w:val="TableGrid0"/>
        <w:tblW w:w="9016" w:type="dxa"/>
        <w:tblInd w:w="198" w:type="dxa"/>
        <w:tblCellMar>
          <w:top w:w="5" w:type="dxa"/>
          <w:left w:w="107" w:type="dxa"/>
          <w:right w:w="69" w:type="dxa"/>
        </w:tblCellMar>
        <w:tblLook w:val="04A0" w:firstRow="1" w:lastRow="0" w:firstColumn="1" w:lastColumn="0" w:noHBand="0" w:noVBand="1"/>
      </w:tblPr>
      <w:tblGrid>
        <w:gridCol w:w="1767"/>
        <w:gridCol w:w="3710"/>
        <w:gridCol w:w="2068"/>
        <w:gridCol w:w="1471"/>
      </w:tblGrid>
      <w:tr w:rsidR="00A00D87" w:rsidRPr="0015571A" w14:paraId="3827DA09" w14:textId="77777777" w:rsidTr="00122946">
        <w:trPr>
          <w:trHeight w:val="42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F3D7AF"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lastRenderedPageBreak/>
              <w:t>Veza</w:t>
            </w:r>
            <w:proofErr w:type="spellEnd"/>
            <w:r w:rsidRPr="0015571A">
              <w:rPr>
                <w:rFonts w:cstheme="minorHAnsi"/>
                <w:b/>
                <w:sz w:val="20"/>
                <w:szCs w:val="20"/>
              </w:rPr>
              <w:t xml:space="preserve"> </w:t>
            </w:r>
            <w:proofErr w:type="spellStart"/>
            <w:r w:rsidRPr="0015571A">
              <w:rPr>
                <w:rFonts w:cstheme="minorHAnsi"/>
                <w:b/>
                <w:sz w:val="20"/>
                <w:szCs w:val="20"/>
              </w:rPr>
              <w:t>sa</w:t>
            </w:r>
            <w:proofErr w:type="spellEnd"/>
            <w:r w:rsidRPr="0015571A">
              <w:rPr>
                <w:rFonts w:cstheme="minorHAnsi"/>
                <w:b/>
                <w:sz w:val="20"/>
                <w:szCs w:val="20"/>
              </w:rPr>
              <w:t xml:space="preserve"> </w:t>
            </w:r>
            <w:proofErr w:type="spellStart"/>
            <w:r w:rsidRPr="0015571A">
              <w:rPr>
                <w:rFonts w:cstheme="minorHAnsi"/>
                <w:b/>
                <w:sz w:val="20"/>
                <w:szCs w:val="20"/>
              </w:rPr>
              <w:t>strateškim</w:t>
            </w:r>
            <w:proofErr w:type="spellEnd"/>
            <w:r w:rsidRPr="0015571A">
              <w:rPr>
                <w:rFonts w:cstheme="minorHAnsi"/>
                <w:b/>
                <w:sz w:val="20"/>
                <w:szCs w:val="20"/>
              </w:rPr>
              <w:t xml:space="preserve"> </w:t>
            </w:r>
            <w:proofErr w:type="spellStart"/>
            <w:r w:rsidRPr="0015571A">
              <w:rPr>
                <w:rFonts w:cstheme="minorHAnsi"/>
                <w:b/>
                <w:sz w:val="20"/>
                <w:szCs w:val="20"/>
              </w:rPr>
              <w:t>ciljem</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02A612B2" w14:textId="77777777" w:rsidR="00A00D87" w:rsidRPr="0015571A" w:rsidRDefault="00A00D87" w:rsidP="00122946">
            <w:pPr>
              <w:spacing w:line="259" w:lineRule="auto"/>
              <w:ind w:left="1"/>
              <w:rPr>
                <w:rFonts w:cstheme="minorHAnsi"/>
                <w:sz w:val="20"/>
                <w:szCs w:val="20"/>
              </w:rPr>
            </w:pPr>
            <w:r w:rsidRPr="0015571A">
              <w:rPr>
                <w:rFonts w:cstheme="minorHAnsi"/>
                <w:b/>
                <w:sz w:val="20"/>
                <w:szCs w:val="20"/>
              </w:rPr>
              <w:t xml:space="preserve">1. </w:t>
            </w:r>
            <w:proofErr w:type="spellStart"/>
            <w:r w:rsidRPr="0015571A">
              <w:rPr>
                <w:rFonts w:cstheme="minorHAnsi"/>
                <w:b/>
                <w:sz w:val="20"/>
                <w:szCs w:val="20"/>
              </w:rPr>
              <w:t>Postojeći</w:t>
            </w:r>
            <w:proofErr w:type="spellEnd"/>
            <w:r w:rsidRPr="0015571A">
              <w:rPr>
                <w:rFonts w:cstheme="minorHAnsi"/>
                <w:b/>
                <w:sz w:val="20"/>
                <w:szCs w:val="20"/>
              </w:rPr>
              <w:t xml:space="preserve"> fond </w:t>
            </w:r>
            <w:proofErr w:type="spellStart"/>
            <w:r w:rsidRPr="0015571A">
              <w:rPr>
                <w:rFonts w:cstheme="minorHAnsi"/>
                <w:b/>
                <w:sz w:val="20"/>
                <w:szCs w:val="20"/>
              </w:rPr>
              <w:t>zgrada</w:t>
            </w:r>
            <w:proofErr w:type="spellEnd"/>
            <w:r w:rsidRPr="0015571A">
              <w:rPr>
                <w:rFonts w:cstheme="minorHAnsi"/>
                <w:b/>
                <w:sz w:val="20"/>
                <w:szCs w:val="20"/>
              </w:rPr>
              <w:t xml:space="preserve"> u FBiH je </w:t>
            </w:r>
            <w:proofErr w:type="spellStart"/>
            <w:r w:rsidRPr="0015571A">
              <w:rPr>
                <w:rFonts w:cstheme="minorHAnsi"/>
                <w:b/>
                <w:sz w:val="20"/>
                <w:szCs w:val="20"/>
              </w:rPr>
              <w:t>transformiran</w:t>
            </w:r>
            <w:proofErr w:type="spellEnd"/>
            <w:r w:rsidRPr="0015571A">
              <w:rPr>
                <w:rFonts w:cstheme="minorHAnsi"/>
                <w:b/>
                <w:sz w:val="20"/>
                <w:szCs w:val="20"/>
              </w:rPr>
              <w:t xml:space="preserve"> u </w:t>
            </w:r>
            <w:proofErr w:type="spellStart"/>
            <w:r w:rsidRPr="0015571A">
              <w:rPr>
                <w:rFonts w:cstheme="minorHAnsi"/>
                <w:b/>
                <w:sz w:val="20"/>
                <w:szCs w:val="20"/>
              </w:rPr>
              <w:t>energijski</w:t>
            </w:r>
            <w:proofErr w:type="spellEnd"/>
            <w:r w:rsidRPr="0015571A">
              <w:rPr>
                <w:rFonts w:cstheme="minorHAnsi"/>
                <w:b/>
                <w:sz w:val="20"/>
                <w:szCs w:val="20"/>
              </w:rPr>
              <w:t xml:space="preserve"> </w:t>
            </w:r>
            <w:proofErr w:type="spellStart"/>
            <w:r w:rsidRPr="0015571A">
              <w:rPr>
                <w:rFonts w:cstheme="minorHAnsi"/>
                <w:b/>
                <w:sz w:val="20"/>
                <w:szCs w:val="20"/>
              </w:rPr>
              <w:t>visokoefikasan</w:t>
            </w:r>
            <w:proofErr w:type="spellEnd"/>
            <w:r w:rsidRPr="0015571A">
              <w:rPr>
                <w:rFonts w:cstheme="minorHAnsi"/>
                <w:b/>
                <w:sz w:val="20"/>
                <w:szCs w:val="20"/>
              </w:rPr>
              <w:t xml:space="preserve"> i </w:t>
            </w:r>
            <w:proofErr w:type="spellStart"/>
            <w:r w:rsidRPr="0015571A">
              <w:rPr>
                <w:rFonts w:cstheme="minorHAnsi"/>
                <w:b/>
                <w:sz w:val="20"/>
                <w:szCs w:val="20"/>
              </w:rPr>
              <w:t>dekarboniziran</w:t>
            </w:r>
            <w:proofErr w:type="spellEnd"/>
            <w:r w:rsidRPr="0015571A">
              <w:rPr>
                <w:rFonts w:cstheme="minorHAnsi"/>
                <w:b/>
                <w:sz w:val="20"/>
                <w:szCs w:val="20"/>
              </w:rPr>
              <w:t xml:space="preserve"> fond </w:t>
            </w:r>
            <w:proofErr w:type="spellStart"/>
            <w:r w:rsidRPr="0015571A">
              <w:rPr>
                <w:rFonts w:cstheme="minorHAnsi"/>
                <w:b/>
                <w:sz w:val="20"/>
                <w:szCs w:val="20"/>
              </w:rPr>
              <w:t>zgrada</w:t>
            </w:r>
            <w:proofErr w:type="spellEnd"/>
            <w:r w:rsidRPr="0015571A">
              <w:rPr>
                <w:rFonts w:cstheme="minorHAnsi"/>
                <w:b/>
                <w:sz w:val="20"/>
                <w:szCs w:val="20"/>
              </w:rPr>
              <w:t xml:space="preserve"> do 2050. </w:t>
            </w:r>
            <w:proofErr w:type="spellStart"/>
            <w:r w:rsidRPr="0015571A">
              <w:rPr>
                <w:rFonts w:cstheme="minorHAnsi"/>
                <w:b/>
                <w:sz w:val="20"/>
                <w:szCs w:val="20"/>
              </w:rPr>
              <w:t>godine</w:t>
            </w:r>
            <w:proofErr w:type="spellEnd"/>
          </w:p>
        </w:tc>
      </w:tr>
      <w:tr w:rsidR="00A00D87" w:rsidRPr="001972F5" w14:paraId="3C019EA0" w14:textId="77777777" w:rsidTr="00122946">
        <w:trPr>
          <w:trHeight w:val="21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E44B8D"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Prioritet</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303352F0" w14:textId="77777777" w:rsidR="00A00D87" w:rsidRPr="0015571A" w:rsidRDefault="00A00D87" w:rsidP="00581C1C">
            <w:pPr>
              <w:pStyle w:val="ListParagraph"/>
              <w:numPr>
                <w:ilvl w:val="1"/>
                <w:numId w:val="90"/>
              </w:numPr>
              <w:jc w:val="both"/>
              <w:rPr>
                <w:rFonts w:cstheme="minorHAnsi"/>
                <w:sz w:val="20"/>
                <w:szCs w:val="20"/>
              </w:rPr>
            </w:pPr>
            <w:r w:rsidRPr="0015571A">
              <w:rPr>
                <w:rFonts w:cstheme="minorHAnsi"/>
                <w:b/>
                <w:sz w:val="20"/>
                <w:szCs w:val="20"/>
              </w:rPr>
              <w:t>Transformirati postojeći fond zgrada FBiH u energijski visokoefikasan</w:t>
            </w:r>
          </w:p>
        </w:tc>
      </w:tr>
      <w:tr w:rsidR="00A00D87" w:rsidRPr="0015571A" w14:paraId="7C66C477" w14:textId="77777777" w:rsidTr="00122946">
        <w:trPr>
          <w:trHeight w:val="425"/>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52F2702"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Naziv</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1CF84B20" w14:textId="77777777" w:rsidR="00A00D87" w:rsidRPr="0015571A" w:rsidRDefault="00A00D87" w:rsidP="00122946">
            <w:pPr>
              <w:spacing w:line="259" w:lineRule="auto"/>
              <w:ind w:left="635" w:hanging="574"/>
              <w:rPr>
                <w:rFonts w:cstheme="minorHAnsi"/>
                <w:b/>
                <w:bCs/>
                <w:sz w:val="20"/>
                <w:szCs w:val="20"/>
              </w:rPr>
            </w:pPr>
            <w:r w:rsidRPr="0015571A">
              <w:rPr>
                <w:rFonts w:cstheme="minorHAnsi"/>
                <w:b/>
                <w:bCs/>
                <w:sz w:val="20"/>
                <w:szCs w:val="20"/>
              </w:rPr>
              <w:t xml:space="preserve">1.1.2. </w:t>
            </w:r>
            <w:proofErr w:type="spellStart"/>
            <w:r w:rsidRPr="0015571A">
              <w:rPr>
                <w:rFonts w:cstheme="minorHAnsi"/>
                <w:b/>
                <w:bCs/>
                <w:sz w:val="20"/>
                <w:szCs w:val="20"/>
              </w:rPr>
              <w:t>Jačati</w:t>
            </w:r>
            <w:proofErr w:type="spellEnd"/>
            <w:r w:rsidRPr="0015571A">
              <w:rPr>
                <w:rFonts w:cstheme="minorHAnsi"/>
                <w:b/>
                <w:bCs/>
                <w:sz w:val="20"/>
                <w:szCs w:val="20"/>
              </w:rPr>
              <w:t xml:space="preserve"> </w:t>
            </w:r>
            <w:proofErr w:type="spellStart"/>
            <w:r w:rsidRPr="0015571A">
              <w:rPr>
                <w:rFonts w:cstheme="minorHAnsi"/>
                <w:b/>
                <w:bCs/>
                <w:sz w:val="20"/>
                <w:szCs w:val="20"/>
              </w:rPr>
              <w:t>institucionalne</w:t>
            </w:r>
            <w:proofErr w:type="spellEnd"/>
            <w:r w:rsidRPr="0015571A">
              <w:rPr>
                <w:rFonts w:cstheme="minorHAnsi"/>
                <w:b/>
                <w:bCs/>
                <w:sz w:val="20"/>
                <w:szCs w:val="20"/>
              </w:rPr>
              <w:t xml:space="preserve"> </w:t>
            </w:r>
            <w:proofErr w:type="spellStart"/>
            <w:r w:rsidRPr="0015571A">
              <w:rPr>
                <w:rFonts w:cstheme="minorHAnsi"/>
                <w:b/>
                <w:bCs/>
                <w:sz w:val="20"/>
                <w:szCs w:val="20"/>
              </w:rPr>
              <w:t>kapacitete</w:t>
            </w:r>
            <w:proofErr w:type="spellEnd"/>
            <w:r w:rsidRPr="0015571A">
              <w:rPr>
                <w:rFonts w:cstheme="minorHAnsi"/>
                <w:b/>
                <w:bCs/>
                <w:sz w:val="20"/>
                <w:szCs w:val="20"/>
              </w:rPr>
              <w:t xml:space="preserve"> </w:t>
            </w:r>
            <w:proofErr w:type="spellStart"/>
            <w:r w:rsidRPr="0015571A">
              <w:rPr>
                <w:rFonts w:cstheme="minorHAnsi"/>
                <w:b/>
                <w:bCs/>
                <w:sz w:val="20"/>
                <w:szCs w:val="20"/>
              </w:rPr>
              <w:t>na</w:t>
            </w:r>
            <w:proofErr w:type="spellEnd"/>
            <w:r w:rsidRPr="0015571A">
              <w:rPr>
                <w:rFonts w:cstheme="minorHAnsi"/>
                <w:b/>
                <w:bCs/>
                <w:sz w:val="20"/>
                <w:szCs w:val="20"/>
              </w:rPr>
              <w:t xml:space="preserve"> </w:t>
            </w:r>
            <w:proofErr w:type="spellStart"/>
            <w:r w:rsidRPr="0015571A">
              <w:rPr>
                <w:rFonts w:cstheme="minorHAnsi"/>
                <w:b/>
                <w:bCs/>
                <w:sz w:val="20"/>
                <w:szCs w:val="20"/>
              </w:rPr>
              <w:t>svim</w:t>
            </w:r>
            <w:proofErr w:type="spellEnd"/>
            <w:r w:rsidRPr="0015571A">
              <w:rPr>
                <w:rFonts w:cstheme="minorHAnsi"/>
                <w:b/>
                <w:bCs/>
                <w:sz w:val="20"/>
                <w:szCs w:val="20"/>
              </w:rPr>
              <w:t xml:space="preserve"> </w:t>
            </w:r>
            <w:proofErr w:type="spellStart"/>
            <w:r w:rsidRPr="0015571A">
              <w:rPr>
                <w:rFonts w:cstheme="minorHAnsi"/>
                <w:b/>
                <w:bCs/>
                <w:sz w:val="20"/>
                <w:szCs w:val="20"/>
              </w:rPr>
              <w:t>nivoima</w:t>
            </w:r>
            <w:proofErr w:type="spellEnd"/>
            <w:r w:rsidRPr="0015571A">
              <w:rPr>
                <w:rFonts w:cstheme="minorHAnsi"/>
                <w:b/>
                <w:bCs/>
                <w:sz w:val="20"/>
                <w:szCs w:val="20"/>
              </w:rPr>
              <w:t xml:space="preserve"> vlasti i </w:t>
            </w:r>
            <w:proofErr w:type="spellStart"/>
            <w:r w:rsidRPr="0015571A">
              <w:rPr>
                <w:rFonts w:cstheme="minorHAnsi"/>
                <w:b/>
                <w:bCs/>
                <w:sz w:val="20"/>
                <w:szCs w:val="20"/>
              </w:rPr>
              <w:t>međusektorsku</w:t>
            </w:r>
            <w:proofErr w:type="spellEnd"/>
            <w:r w:rsidRPr="0015571A">
              <w:rPr>
                <w:rFonts w:cstheme="minorHAnsi"/>
                <w:b/>
                <w:bCs/>
                <w:sz w:val="20"/>
                <w:szCs w:val="20"/>
              </w:rPr>
              <w:t xml:space="preserve"> </w:t>
            </w:r>
            <w:proofErr w:type="spellStart"/>
            <w:r w:rsidRPr="0015571A">
              <w:rPr>
                <w:rFonts w:cstheme="minorHAnsi"/>
                <w:b/>
                <w:bCs/>
                <w:sz w:val="20"/>
                <w:szCs w:val="20"/>
              </w:rPr>
              <w:t>saradnju</w:t>
            </w:r>
            <w:proofErr w:type="spellEnd"/>
            <w:r w:rsidRPr="0015571A">
              <w:rPr>
                <w:rFonts w:cstheme="minorHAnsi"/>
                <w:b/>
                <w:bCs/>
                <w:sz w:val="20"/>
                <w:szCs w:val="20"/>
              </w:rPr>
              <w:t xml:space="preserve"> u </w:t>
            </w:r>
            <w:proofErr w:type="spellStart"/>
            <w:r w:rsidRPr="0015571A">
              <w:rPr>
                <w:rFonts w:cstheme="minorHAnsi"/>
                <w:b/>
                <w:bCs/>
                <w:sz w:val="20"/>
                <w:szCs w:val="20"/>
              </w:rPr>
              <w:t>cilju</w:t>
            </w:r>
            <w:proofErr w:type="spellEnd"/>
            <w:r w:rsidRPr="0015571A">
              <w:rPr>
                <w:rFonts w:cstheme="minorHAnsi"/>
                <w:b/>
                <w:bCs/>
                <w:sz w:val="20"/>
                <w:szCs w:val="20"/>
              </w:rPr>
              <w:t xml:space="preserve"> </w:t>
            </w:r>
            <w:proofErr w:type="spellStart"/>
            <w:r w:rsidRPr="0015571A">
              <w:rPr>
                <w:rFonts w:cstheme="minorHAnsi"/>
                <w:b/>
                <w:bCs/>
                <w:sz w:val="20"/>
                <w:szCs w:val="20"/>
              </w:rPr>
              <w:t>provođenja</w:t>
            </w:r>
            <w:proofErr w:type="spellEnd"/>
            <w:r w:rsidRPr="0015571A">
              <w:rPr>
                <w:rFonts w:cstheme="minorHAnsi"/>
                <w:b/>
                <w:bCs/>
                <w:sz w:val="20"/>
                <w:szCs w:val="20"/>
              </w:rPr>
              <w:t xml:space="preserve"> </w:t>
            </w:r>
            <w:proofErr w:type="spellStart"/>
            <w:r w:rsidRPr="0015571A">
              <w:rPr>
                <w:rFonts w:cstheme="minorHAnsi"/>
                <w:b/>
                <w:bCs/>
                <w:sz w:val="20"/>
                <w:szCs w:val="20"/>
              </w:rPr>
              <w:t>energijske</w:t>
            </w:r>
            <w:proofErr w:type="spellEnd"/>
            <w:r w:rsidRPr="0015571A">
              <w:rPr>
                <w:rFonts w:cstheme="minorHAnsi"/>
                <w:b/>
                <w:bCs/>
                <w:sz w:val="20"/>
                <w:szCs w:val="20"/>
              </w:rPr>
              <w:t xml:space="preserve"> </w:t>
            </w:r>
            <w:proofErr w:type="spellStart"/>
            <w:r w:rsidRPr="0015571A">
              <w:rPr>
                <w:rFonts w:cstheme="minorHAnsi"/>
                <w:b/>
                <w:bCs/>
                <w:sz w:val="20"/>
                <w:szCs w:val="20"/>
              </w:rPr>
              <w:t>obnove</w:t>
            </w:r>
            <w:proofErr w:type="spellEnd"/>
            <w:r w:rsidRPr="0015571A">
              <w:rPr>
                <w:rFonts w:cstheme="minorHAnsi"/>
                <w:b/>
                <w:bCs/>
                <w:sz w:val="20"/>
                <w:szCs w:val="20"/>
              </w:rPr>
              <w:t xml:space="preserve"> </w:t>
            </w:r>
            <w:proofErr w:type="spellStart"/>
            <w:r w:rsidRPr="0015571A">
              <w:rPr>
                <w:rFonts w:cstheme="minorHAnsi"/>
                <w:b/>
                <w:bCs/>
                <w:sz w:val="20"/>
                <w:szCs w:val="20"/>
              </w:rPr>
              <w:t>zgrada</w:t>
            </w:r>
            <w:proofErr w:type="spellEnd"/>
          </w:p>
        </w:tc>
      </w:tr>
      <w:tr w:rsidR="00A00D87" w:rsidRPr="001972F5" w14:paraId="185886B5"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D8C1221"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Opis</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roofErr w:type="spellStart"/>
            <w:r w:rsidRPr="0015571A">
              <w:rPr>
                <w:rFonts w:cstheme="minorHAnsi"/>
                <w:b/>
                <w:sz w:val="20"/>
                <w:szCs w:val="20"/>
              </w:rPr>
              <w:t>sa</w:t>
            </w:r>
            <w:proofErr w:type="spellEnd"/>
            <w:r w:rsidRPr="0015571A">
              <w:rPr>
                <w:rFonts w:cstheme="minorHAnsi"/>
                <w:b/>
                <w:sz w:val="20"/>
                <w:szCs w:val="20"/>
              </w:rPr>
              <w:t xml:space="preserve"> </w:t>
            </w:r>
            <w:proofErr w:type="spellStart"/>
            <w:r w:rsidRPr="0015571A">
              <w:rPr>
                <w:rFonts w:cstheme="minorHAnsi"/>
                <w:b/>
                <w:sz w:val="20"/>
                <w:szCs w:val="20"/>
              </w:rPr>
              <w:t>okvirnim</w:t>
            </w:r>
            <w:proofErr w:type="spellEnd"/>
            <w:r w:rsidRPr="0015571A">
              <w:rPr>
                <w:rFonts w:cstheme="minorHAnsi"/>
                <w:b/>
                <w:sz w:val="20"/>
                <w:szCs w:val="20"/>
              </w:rPr>
              <w:t xml:space="preserve"> </w:t>
            </w:r>
            <w:proofErr w:type="spellStart"/>
            <w:r w:rsidRPr="0015571A">
              <w:rPr>
                <w:rFonts w:cstheme="minorHAnsi"/>
                <w:b/>
                <w:sz w:val="20"/>
                <w:szCs w:val="20"/>
              </w:rPr>
              <w:t>područjima</w:t>
            </w:r>
            <w:proofErr w:type="spellEnd"/>
            <w:r w:rsidRPr="0015571A">
              <w:rPr>
                <w:rFonts w:cstheme="minorHAnsi"/>
                <w:b/>
                <w:sz w:val="20"/>
                <w:szCs w:val="20"/>
              </w:rPr>
              <w:t xml:space="preserve"> </w:t>
            </w:r>
            <w:proofErr w:type="spellStart"/>
            <w:r w:rsidRPr="0015571A">
              <w:rPr>
                <w:rFonts w:cstheme="minorHAnsi"/>
                <w:b/>
                <w:sz w:val="20"/>
                <w:szCs w:val="20"/>
              </w:rPr>
              <w:t>djelovanja</w:t>
            </w:r>
            <w:proofErr w:type="spellEnd"/>
          </w:p>
        </w:tc>
        <w:tc>
          <w:tcPr>
            <w:tcW w:w="7249" w:type="dxa"/>
            <w:gridSpan w:val="3"/>
            <w:tcBorders>
              <w:top w:val="single" w:sz="4" w:space="0" w:color="000000"/>
              <w:left w:val="single" w:sz="4" w:space="0" w:color="000000"/>
              <w:bottom w:val="single" w:sz="4" w:space="0" w:color="000000"/>
              <w:right w:val="single" w:sz="4" w:space="0" w:color="000000"/>
            </w:tcBorders>
          </w:tcPr>
          <w:p w14:paraId="51A02A12" w14:textId="77777777" w:rsidR="00A00D87" w:rsidRPr="0015571A" w:rsidRDefault="00A00D87" w:rsidP="00E6560A">
            <w:pPr>
              <w:ind w:right="32"/>
              <w:jc w:val="both"/>
              <w:rPr>
                <w:rFonts w:cstheme="minorHAnsi"/>
                <w:sz w:val="20"/>
                <w:szCs w:val="20"/>
              </w:rPr>
            </w:pPr>
            <w:bookmarkStart w:id="261" w:name="_Hlk126068287"/>
            <w:proofErr w:type="spellStart"/>
            <w:r w:rsidRPr="0015571A">
              <w:rPr>
                <w:rFonts w:cstheme="minorHAnsi"/>
                <w:sz w:val="20"/>
                <w:szCs w:val="20"/>
              </w:rPr>
              <w:t>Cilj</w:t>
            </w:r>
            <w:proofErr w:type="spellEnd"/>
            <w:r w:rsidRPr="0015571A">
              <w:rPr>
                <w:rFonts w:cstheme="minorHAnsi"/>
                <w:sz w:val="20"/>
                <w:szCs w:val="20"/>
              </w:rPr>
              <w:t xml:space="preserve"> </w:t>
            </w:r>
            <w:proofErr w:type="spellStart"/>
            <w:r w:rsidRPr="0015571A">
              <w:rPr>
                <w:rFonts w:cstheme="minorHAnsi"/>
                <w:sz w:val="20"/>
                <w:szCs w:val="20"/>
              </w:rPr>
              <w:t>mjere</w:t>
            </w:r>
            <w:proofErr w:type="spellEnd"/>
            <w:r w:rsidRPr="0015571A">
              <w:rPr>
                <w:rFonts w:cstheme="minorHAnsi"/>
                <w:sz w:val="20"/>
                <w:szCs w:val="20"/>
              </w:rPr>
              <w:t xml:space="preserve"> je </w:t>
            </w:r>
            <w:proofErr w:type="spellStart"/>
            <w:r w:rsidRPr="0015571A">
              <w:rPr>
                <w:rFonts w:cstheme="minorHAnsi"/>
                <w:sz w:val="20"/>
                <w:szCs w:val="20"/>
              </w:rPr>
              <w:t>jačanje</w:t>
            </w:r>
            <w:proofErr w:type="spellEnd"/>
            <w:r w:rsidRPr="0015571A">
              <w:rPr>
                <w:rFonts w:cstheme="minorHAnsi"/>
                <w:sz w:val="20"/>
                <w:szCs w:val="20"/>
              </w:rPr>
              <w:t xml:space="preserve"> </w:t>
            </w:r>
            <w:proofErr w:type="spellStart"/>
            <w:r w:rsidRPr="0015571A">
              <w:rPr>
                <w:rFonts w:cstheme="minorHAnsi"/>
                <w:sz w:val="20"/>
                <w:szCs w:val="20"/>
              </w:rPr>
              <w:t>institucionalnih</w:t>
            </w:r>
            <w:proofErr w:type="spellEnd"/>
            <w:r w:rsidRPr="0015571A">
              <w:rPr>
                <w:rFonts w:cstheme="minorHAnsi"/>
                <w:sz w:val="20"/>
                <w:szCs w:val="20"/>
              </w:rPr>
              <w:t xml:space="preserve"> </w:t>
            </w:r>
            <w:proofErr w:type="spellStart"/>
            <w:r w:rsidRPr="0015571A">
              <w:rPr>
                <w:rFonts w:cstheme="minorHAnsi"/>
                <w:sz w:val="20"/>
                <w:szCs w:val="20"/>
              </w:rPr>
              <w:t>kapaciteta</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r w:rsidRPr="0015571A">
              <w:rPr>
                <w:rFonts w:cstheme="minorHAnsi"/>
                <w:sz w:val="20"/>
                <w:szCs w:val="20"/>
              </w:rPr>
              <w:t>svim</w:t>
            </w:r>
            <w:proofErr w:type="spellEnd"/>
            <w:r w:rsidRPr="0015571A">
              <w:rPr>
                <w:rFonts w:cstheme="minorHAnsi"/>
                <w:sz w:val="20"/>
                <w:szCs w:val="20"/>
              </w:rPr>
              <w:t xml:space="preserve"> </w:t>
            </w:r>
            <w:proofErr w:type="spellStart"/>
            <w:r w:rsidRPr="0015571A">
              <w:rPr>
                <w:rFonts w:cstheme="minorHAnsi"/>
                <w:sz w:val="20"/>
                <w:szCs w:val="20"/>
              </w:rPr>
              <w:t>nivoima</w:t>
            </w:r>
            <w:proofErr w:type="spellEnd"/>
            <w:r w:rsidRPr="0015571A">
              <w:rPr>
                <w:rFonts w:cstheme="minorHAnsi"/>
                <w:sz w:val="20"/>
                <w:szCs w:val="20"/>
              </w:rPr>
              <w:t xml:space="preserve"> vlasti i </w:t>
            </w:r>
            <w:proofErr w:type="spellStart"/>
            <w:r w:rsidRPr="0015571A">
              <w:rPr>
                <w:rFonts w:cstheme="minorHAnsi"/>
                <w:sz w:val="20"/>
                <w:szCs w:val="20"/>
              </w:rPr>
              <w:t>međusektorske</w:t>
            </w:r>
            <w:proofErr w:type="spellEnd"/>
            <w:r w:rsidRPr="0015571A">
              <w:rPr>
                <w:rFonts w:cstheme="minorHAnsi"/>
                <w:sz w:val="20"/>
                <w:szCs w:val="20"/>
              </w:rPr>
              <w:t xml:space="preserve"> </w:t>
            </w:r>
            <w:proofErr w:type="spellStart"/>
            <w:r w:rsidRPr="0015571A">
              <w:rPr>
                <w:rFonts w:cstheme="minorHAnsi"/>
                <w:sz w:val="20"/>
                <w:szCs w:val="20"/>
              </w:rPr>
              <w:t>saradnje</w:t>
            </w:r>
            <w:proofErr w:type="spellEnd"/>
            <w:r w:rsidRPr="0015571A">
              <w:rPr>
                <w:rFonts w:cstheme="minorHAnsi"/>
                <w:sz w:val="20"/>
                <w:szCs w:val="20"/>
              </w:rPr>
              <w:t xml:space="preserve">, s </w:t>
            </w:r>
            <w:proofErr w:type="spellStart"/>
            <w:r w:rsidRPr="0015571A">
              <w:rPr>
                <w:rFonts w:cstheme="minorHAnsi"/>
                <w:sz w:val="20"/>
                <w:szCs w:val="20"/>
              </w:rPr>
              <w:t>ciljem</w:t>
            </w:r>
            <w:proofErr w:type="spellEnd"/>
            <w:r w:rsidRPr="0015571A">
              <w:rPr>
                <w:rFonts w:cstheme="minorHAnsi"/>
                <w:sz w:val="20"/>
                <w:szCs w:val="20"/>
              </w:rPr>
              <w:t xml:space="preserve"> </w:t>
            </w:r>
            <w:proofErr w:type="spellStart"/>
            <w:r w:rsidRPr="0015571A">
              <w:rPr>
                <w:rFonts w:cstheme="minorHAnsi"/>
                <w:sz w:val="20"/>
                <w:szCs w:val="20"/>
              </w:rPr>
              <w:t>stvaranja</w:t>
            </w:r>
            <w:proofErr w:type="spellEnd"/>
            <w:r w:rsidRPr="0015571A">
              <w:rPr>
                <w:rFonts w:cstheme="minorHAnsi"/>
                <w:sz w:val="20"/>
                <w:szCs w:val="20"/>
              </w:rPr>
              <w:t xml:space="preserve"> </w:t>
            </w:r>
            <w:proofErr w:type="spellStart"/>
            <w:r w:rsidRPr="0015571A">
              <w:rPr>
                <w:rFonts w:cstheme="minorHAnsi"/>
                <w:sz w:val="20"/>
                <w:szCs w:val="20"/>
              </w:rPr>
              <w:t>preduvjeta</w:t>
            </w:r>
            <w:proofErr w:type="spellEnd"/>
            <w:r w:rsidRPr="0015571A">
              <w:rPr>
                <w:rFonts w:cstheme="minorHAnsi"/>
                <w:sz w:val="20"/>
                <w:szCs w:val="20"/>
              </w:rPr>
              <w:t xml:space="preserve"> za </w:t>
            </w:r>
            <w:proofErr w:type="spellStart"/>
            <w:r w:rsidRPr="0015571A">
              <w:rPr>
                <w:rFonts w:cstheme="minorHAnsi"/>
                <w:sz w:val="20"/>
                <w:szCs w:val="20"/>
              </w:rPr>
              <w:t>efikasnu</w:t>
            </w:r>
            <w:proofErr w:type="spellEnd"/>
            <w:r w:rsidRPr="0015571A">
              <w:rPr>
                <w:rFonts w:cstheme="minorHAnsi"/>
                <w:sz w:val="20"/>
                <w:szCs w:val="20"/>
              </w:rPr>
              <w:t xml:space="preserve"> </w:t>
            </w:r>
            <w:proofErr w:type="spellStart"/>
            <w:r w:rsidRPr="0015571A">
              <w:rPr>
                <w:rFonts w:cstheme="minorHAnsi"/>
                <w:sz w:val="20"/>
                <w:szCs w:val="20"/>
              </w:rPr>
              <w:t>provedbu</w:t>
            </w:r>
            <w:proofErr w:type="spellEnd"/>
            <w:r w:rsidRPr="0015571A">
              <w:rPr>
                <w:rFonts w:cstheme="minorHAnsi"/>
                <w:sz w:val="20"/>
                <w:szCs w:val="20"/>
              </w:rPr>
              <w:t xml:space="preserve"> </w:t>
            </w:r>
            <w:proofErr w:type="spellStart"/>
            <w:r w:rsidRPr="0015571A">
              <w:rPr>
                <w:rFonts w:cstheme="minorHAnsi"/>
                <w:sz w:val="20"/>
                <w:szCs w:val="20"/>
              </w:rPr>
              <w:t>energijske</w:t>
            </w:r>
            <w:proofErr w:type="spellEnd"/>
            <w:r w:rsidRPr="0015571A">
              <w:rPr>
                <w:rFonts w:cstheme="minorHAnsi"/>
                <w:sz w:val="20"/>
                <w:szCs w:val="20"/>
              </w:rPr>
              <w:t xml:space="preserve"> </w:t>
            </w:r>
            <w:proofErr w:type="spellStart"/>
            <w:r w:rsidRPr="0015571A">
              <w:rPr>
                <w:rFonts w:cstheme="minorHAnsi"/>
                <w:sz w:val="20"/>
                <w:szCs w:val="20"/>
              </w:rPr>
              <w:t>obnove</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r w:rsidRPr="0015571A">
              <w:rPr>
                <w:rFonts w:cstheme="minorHAnsi"/>
                <w:sz w:val="20"/>
                <w:szCs w:val="20"/>
              </w:rPr>
              <w:t xml:space="preserve">, </w:t>
            </w:r>
            <w:proofErr w:type="spellStart"/>
            <w:r w:rsidRPr="0015571A">
              <w:rPr>
                <w:rFonts w:cstheme="minorHAnsi"/>
                <w:sz w:val="20"/>
                <w:szCs w:val="20"/>
              </w:rPr>
              <w:t>što</w:t>
            </w:r>
            <w:proofErr w:type="spellEnd"/>
            <w:r w:rsidRPr="0015571A">
              <w:rPr>
                <w:rFonts w:cstheme="minorHAnsi"/>
                <w:sz w:val="20"/>
                <w:szCs w:val="20"/>
              </w:rPr>
              <w:t xml:space="preserve"> </w:t>
            </w:r>
            <w:proofErr w:type="spellStart"/>
            <w:r w:rsidRPr="0015571A">
              <w:rPr>
                <w:rFonts w:cstheme="minorHAnsi"/>
                <w:sz w:val="20"/>
                <w:szCs w:val="20"/>
              </w:rPr>
              <w:t>podrazumijeva</w:t>
            </w:r>
            <w:proofErr w:type="spellEnd"/>
            <w:r w:rsidRPr="0015571A">
              <w:rPr>
                <w:rFonts w:cstheme="minorHAnsi"/>
                <w:sz w:val="20"/>
                <w:szCs w:val="20"/>
              </w:rPr>
              <w:t xml:space="preserve"> </w:t>
            </w:r>
            <w:proofErr w:type="spellStart"/>
            <w:r w:rsidRPr="0015571A">
              <w:rPr>
                <w:rFonts w:cstheme="minorHAnsi"/>
                <w:sz w:val="20"/>
                <w:szCs w:val="20"/>
              </w:rPr>
              <w:t>angažiranje</w:t>
            </w:r>
            <w:proofErr w:type="spellEnd"/>
            <w:r w:rsidRPr="0015571A">
              <w:rPr>
                <w:rFonts w:cstheme="minorHAnsi"/>
                <w:sz w:val="20"/>
                <w:szCs w:val="20"/>
              </w:rPr>
              <w:t xml:space="preserve"> </w:t>
            </w:r>
            <w:proofErr w:type="spellStart"/>
            <w:r w:rsidRPr="0015571A">
              <w:rPr>
                <w:rFonts w:cstheme="minorHAnsi"/>
                <w:sz w:val="20"/>
                <w:szCs w:val="20"/>
              </w:rPr>
              <w:t>svih</w:t>
            </w:r>
            <w:proofErr w:type="spellEnd"/>
            <w:r w:rsidRPr="0015571A">
              <w:rPr>
                <w:rFonts w:cstheme="minorHAnsi"/>
                <w:sz w:val="20"/>
                <w:szCs w:val="20"/>
              </w:rPr>
              <w:t xml:space="preserve"> </w:t>
            </w:r>
            <w:proofErr w:type="spellStart"/>
            <w:r w:rsidRPr="0015571A">
              <w:rPr>
                <w:rFonts w:cstheme="minorHAnsi"/>
                <w:sz w:val="20"/>
                <w:szCs w:val="20"/>
              </w:rPr>
              <w:t>raspoloživih</w:t>
            </w:r>
            <w:proofErr w:type="spellEnd"/>
            <w:r w:rsidRPr="0015571A">
              <w:rPr>
                <w:rFonts w:cstheme="minorHAnsi"/>
                <w:sz w:val="20"/>
                <w:szCs w:val="20"/>
              </w:rPr>
              <w:t xml:space="preserve"> </w:t>
            </w:r>
            <w:proofErr w:type="spellStart"/>
            <w:r w:rsidRPr="0015571A">
              <w:rPr>
                <w:rFonts w:cstheme="minorHAnsi"/>
                <w:sz w:val="20"/>
                <w:szCs w:val="20"/>
              </w:rPr>
              <w:t>lokalnih</w:t>
            </w:r>
            <w:proofErr w:type="spellEnd"/>
            <w:r w:rsidRPr="0015571A">
              <w:rPr>
                <w:rFonts w:cstheme="minorHAnsi"/>
                <w:sz w:val="20"/>
                <w:szCs w:val="20"/>
              </w:rPr>
              <w:t xml:space="preserve"> </w:t>
            </w:r>
            <w:proofErr w:type="spellStart"/>
            <w:r w:rsidRPr="0015571A">
              <w:rPr>
                <w:rFonts w:cstheme="minorHAnsi"/>
                <w:sz w:val="20"/>
                <w:szCs w:val="20"/>
              </w:rPr>
              <w:t>resursa</w:t>
            </w:r>
            <w:proofErr w:type="spellEnd"/>
            <w:r w:rsidRPr="0015571A">
              <w:rPr>
                <w:rFonts w:cstheme="minorHAnsi"/>
                <w:sz w:val="20"/>
                <w:szCs w:val="20"/>
              </w:rPr>
              <w:t xml:space="preserve">, </w:t>
            </w:r>
            <w:proofErr w:type="spellStart"/>
            <w:r w:rsidRPr="0015571A">
              <w:rPr>
                <w:rFonts w:cstheme="minorHAnsi"/>
                <w:sz w:val="20"/>
                <w:szCs w:val="20"/>
              </w:rPr>
              <w:t>kako</w:t>
            </w:r>
            <w:proofErr w:type="spellEnd"/>
            <w:r w:rsidRPr="0015571A">
              <w:rPr>
                <w:rFonts w:cstheme="minorHAnsi"/>
                <w:sz w:val="20"/>
                <w:szCs w:val="20"/>
              </w:rPr>
              <w:t xml:space="preserve"> u </w:t>
            </w:r>
            <w:proofErr w:type="spellStart"/>
            <w:r w:rsidRPr="0015571A">
              <w:rPr>
                <w:rFonts w:cstheme="minorHAnsi"/>
                <w:sz w:val="20"/>
                <w:szCs w:val="20"/>
              </w:rPr>
              <w:t>vidu</w:t>
            </w:r>
            <w:proofErr w:type="spellEnd"/>
            <w:r w:rsidRPr="0015571A">
              <w:rPr>
                <w:rFonts w:cstheme="minorHAnsi"/>
                <w:sz w:val="20"/>
                <w:szCs w:val="20"/>
              </w:rPr>
              <w:t xml:space="preserve"> </w:t>
            </w:r>
            <w:proofErr w:type="spellStart"/>
            <w:r w:rsidRPr="0015571A">
              <w:rPr>
                <w:rFonts w:cstheme="minorHAnsi"/>
                <w:sz w:val="20"/>
                <w:szCs w:val="20"/>
              </w:rPr>
              <w:t>materijala</w:t>
            </w:r>
            <w:proofErr w:type="spellEnd"/>
            <w:r w:rsidRPr="0015571A">
              <w:rPr>
                <w:rFonts w:cstheme="minorHAnsi"/>
                <w:sz w:val="20"/>
                <w:szCs w:val="20"/>
              </w:rPr>
              <w:t xml:space="preserve"> i </w:t>
            </w:r>
            <w:proofErr w:type="spellStart"/>
            <w:r w:rsidRPr="0015571A">
              <w:rPr>
                <w:rFonts w:cstheme="minorHAnsi"/>
                <w:sz w:val="20"/>
                <w:szCs w:val="20"/>
              </w:rPr>
              <w:t>opreme</w:t>
            </w:r>
            <w:proofErr w:type="spellEnd"/>
            <w:r w:rsidRPr="0015571A">
              <w:rPr>
                <w:rFonts w:cstheme="minorHAnsi"/>
                <w:sz w:val="20"/>
                <w:szCs w:val="20"/>
              </w:rPr>
              <w:t xml:space="preserve">, </w:t>
            </w:r>
            <w:proofErr w:type="spellStart"/>
            <w:r w:rsidRPr="0015571A">
              <w:rPr>
                <w:rFonts w:cstheme="minorHAnsi"/>
                <w:sz w:val="20"/>
                <w:szCs w:val="20"/>
              </w:rPr>
              <w:t>tako</w:t>
            </w:r>
            <w:proofErr w:type="spellEnd"/>
            <w:r w:rsidRPr="0015571A">
              <w:rPr>
                <w:rFonts w:cstheme="minorHAnsi"/>
                <w:sz w:val="20"/>
                <w:szCs w:val="20"/>
              </w:rPr>
              <w:t xml:space="preserve"> i </w:t>
            </w:r>
            <w:proofErr w:type="spellStart"/>
            <w:r w:rsidRPr="0015571A">
              <w:rPr>
                <w:rFonts w:cstheme="minorHAnsi"/>
                <w:sz w:val="20"/>
                <w:szCs w:val="20"/>
              </w:rPr>
              <w:t>angažiranih</w:t>
            </w:r>
            <w:proofErr w:type="spellEnd"/>
            <w:r w:rsidRPr="0015571A">
              <w:rPr>
                <w:rFonts w:cstheme="minorHAnsi"/>
                <w:sz w:val="20"/>
                <w:szCs w:val="20"/>
              </w:rPr>
              <w:t xml:space="preserve"> </w:t>
            </w:r>
            <w:proofErr w:type="spellStart"/>
            <w:r w:rsidRPr="0015571A">
              <w:rPr>
                <w:rFonts w:cstheme="minorHAnsi"/>
                <w:sz w:val="20"/>
                <w:szCs w:val="20"/>
              </w:rPr>
              <w:t>konsultanata</w:t>
            </w:r>
            <w:proofErr w:type="spellEnd"/>
            <w:r w:rsidRPr="0015571A">
              <w:rPr>
                <w:rFonts w:cstheme="minorHAnsi"/>
                <w:sz w:val="20"/>
                <w:szCs w:val="20"/>
              </w:rPr>
              <w:t xml:space="preserve"> i </w:t>
            </w:r>
            <w:proofErr w:type="spellStart"/>
            <w:r w:rsidRPr="0015571A">
              <w:rPr>
                <w:rFonts w:cstheme="minorHAnsi"/>
                <w:sz w:val="20"/>
                <w:szCs w:val="20"/>
              </w:rPr>
              <w:t>inženjera</w:t>
            </w:r>
            <w:proofErr w:type="spellEnd"/>
            <w:r w:rsidRPr="0015571A">
              <w:rPr>
                <w:rFonts w:cstheme="minorHAnsi"/>
                <w:sz w:val="20"/>
                <w:szCs w:val="20"/>
              </w:rPr>
              <w:t xml:space="preserve"> </w:t>
            </w:r>
            <w:proofErr w:type="spellStart"/>
            <w:r w:rsidRPr="0015571A">
              <w:rPr>
                <w:rFonts w:cstheme="minorHAnsi"/>
                <w:sz w:val="20"/>
                <w:szCs w:val="20"/>
              </w:rPr>
              <w:t>različitih</w:t>
            </w:r>
            <w:proofErr w:type="spellEnd"/>
            <w:r w:rsidRPr="0015571A">
              <w:rPr>
                <w:rFonts w:cstheme="minorHAnsi"/>
                <w:sz w:val="20"/>
                <w:szCs w:val="20"/>
              </w:rPr>
              <w:t xml:space="preserve"> </w:t>
            </w:r>
            <w:proofErr w:type="spellStart"/>
            <w:r w:rsidRPr="0015571A">
              <w:rPr>
                <w:rFonts w:cstheme="minorHAnsi"/>
                <w:sz w:val="20"/>
                <w:szCs w:val="20"/>
              </w:rPr>
              <w:t>profila</w:t>
            </w:r>
            <w:proofErr w:type="spellEnd"/>
            <w:r w:rsidRPr="0015571A">
              <w:rPr>
                <w:rFonts w:cstheme="minorHAnsi"/>
                <w:sz w:val="20"/>
                <w:szCs w:val="20"/>
              </w:rPr>
              <w:t xml:space="preserve">, </w:t>
            </w:r>
            <w:proofErr w:type="spellStart"/>
            <w:r w:rsidRPr="0015571A">
              <w:rPr>
                <w:rFonts w:cstheme="minorHAnsi"/>
                <w:sz w:val="20"/>
                <w:szCs w:val="20"/>
              </w:rPr>
              <w:t>kao</w:t>
            </w:r>
            <w:proofErr w:type="spellEnd"/>
            <w:r w:rsidRPr="0015571A">
              <w:rPr>
                <w:rFonts w:cstheme="minorHAnsi"/>
                <w:sz w:val="20"/>
                <w:szCs w:val="20"/>
              </w:rPr>
              <w:t xml:space="preserve"> i </w:t>
            </w:r>
            <w:proofErr w:type="spellStart"/>
            <w:r w:rsidRPr="0015571A">
              <w:rPr>
                <w:rFonts w:cstheme="minorHAnsi"/>
                <w:sz w:val="20"/>
                <w:szCs w:val="20"/>
              </w:rPr>
              <w:t>kvalificirane</w:t>
            </w:r>
            <w:proofErr w:type="spellEnd"/>
            <w:r w:rsidRPr="0015571A">
              <w:rPr>
                <w:rFonts w:cstheme="minorHAnsi"/>
                <w:sz w:val="20"/>
                <w:szCs w:val="20"/>
              </w:rPr>
              <w:t xml:space="preserve"> </w:t>
            </w:r>
            <w:proofErr w:type="spellStart"/>
            <w:r w:rsidRPr="0015571A">
              <w:rPr>
                <w:rFonts w:cstheme="minorHAnsi"/>
                <w:sz w:val="20"/>
                <w:szCs w:val="20"/>
              </w:rPr>
              <w:t>radne</w:t>
            </w:r>
            <w:proofErr w:type="spellEnd"/>
            <w:r w:rsidRPr="0015571A">
              <w:rPr>
                <w:rFonts w:cstheme="minorHAnsi"/>
                <w:sz w:val="20"/>
                <w:szCs w:val="20"/>
              </w:rPr>
              <w:t xml:space="preserve"> </w:t>
            </w:r>
            <w:proofErr w:type="spellStart"/>
            <w:r w:rsidRPr="0015571A">
              <w:rPr>
                <w:rFonts w:cstheme="minorHAnsi"/>
                <w:sz w:val="20"/>
                <w:szCs w:val="20"/>
              </w:rPr>
              <w:t>snage</w:t>
            </w:r>
            <w:proofErr w:type="spellEnd"/>
            <w:r w:rsidRPr="0015571A">
              <w:rPr>
                <w:rFonts w:cstheme="minorHAnsi"/>
                <w:sz w:val="20"/>
                <w:szCs w:val="20"/>
              </w:rPr>
              <w:t>.</w:t>
            </w:r>
          </w:p>
          <w:p w14:paraId="087AC338" w14:textId="77777777" w:rsidR="00A00D87" w:rsidRPr="0015571A" w:rsidRDefault="00A00D87" w:rsidP="00E6560A">
            <w:pPr>
              <w:ind w:right="32"/>
              <w:jc w:val="both"/>
              <w:rPr>
                <w:rFonts w:cstheme="minorHAnsi"/>
                <w:sz w:val="20"/>
                <w:szCs w:val="20"/>
              </w:rPr>
            </w:pPr>
            <w:proofErr w:type="spellStart"/>
            <w:r w:rsidRPr="0015571A">
              <w:rPr>
                <w:rFonts w:cstheme="minorHAnsi"/>
                <w:sz w:val="20"/>
                <w:szCs w:val="20"/>
              </w:rPr>
              <w:t>Nadalje</w:t>
            </w:r>
            <w:proofErr w:type="spellEnd"/>
            <w:r w:rsidRPr="0015571A">
              <w:rPr>
                <w:rFonts w:cstheme="minorHAnsi"/>
                <w:sz w:val="20"/>
                <w:szCs w:val="20"/>
              </w:rPr>
              <w:t xml:space="preserve">, </w:t>
            </w:r>
            <w:proofErr w:type="spellStart"/>
            <w:r w:rsidRPr="0015571A">
              <w:rPr>
                <w:rFonts w:cstheme="minorHAnsi"/>
                <w:sz w:val="20"/>
                <w:szCs w:val="20"/>
              </w:rPr>
              <w:t>potrebno</w:t>
            </w:r>
            <w:proofErr w:type="spellEnd"/>
            <w:r w:rsidRPr="0015571A">
              <w:rPr>
                <w:rFonts w:cstheme="minorHAnsi"/>
                <w:sz w:val="20"/>
                <w:szCs w:val="20"/>
              </w:rPr>
              <w:t xml:space="preserve"> je </w:t>
            </w:r>
            <w:proofErr w:type="spellStart"/>
            <w:r w:rsidRPr="0015571A">
              <w:rPr>
                <w:rFonts w:cstheme="minorHAnsi"/>
                <w:sz w:val="20"/>
                <w:szCs w:val="20"/>
              </w:rPr>
              <w:t>poticati</w:t>
            </w:r>
            <w:proofErr w:type="spellEnd"/>
            <w:r w:rsidRPr="0015571A">
              <w:rPr>
                <w:rFonts w:cstheme="minorHAnsi"/>
                <w:sz w:val="20"/>
                <w:szCs w:val="20"/>
              </w:rPr>
              <w:t xml:space="preserve"> i </w:t>
            </w:r>
            <w:proofErr w:type="spellStart"/>
            <w:r w:rsidRPr="0015571A">
              <w:rPr>
                <w:rFonts w:cstheme="minorHAnsi"/>
                <w:sz w:val="20"/>
                <w:szCs w:val="20"/>
              </w:rPr>
              <w:t>inicirati</w:t>
            </w:r>
            <w:proofErr w:type="spellEnd"/>
            <w:r w:rsidRPr="0015571A">
              <w:rPr>
                <w:rFonts w:cstheme="minorHAnsi"/>
                <w:sz w:val="20"/>
                <w:szCs w:val="20"/>
              </w:rPr>
              <w:t xml:space="preserve"> </w:t>
            </w:r>
            <w:proofErr w:type="spellStart"/>
            <w:r w:rsidRPr="0015571A">
              <w:rPr>
                <w:rFonts w:cstheme="minorHAnsi"/>
                <w:sz w:val="20"/>
                <w:szCs w:val="20"/>
              </w:rPr>
              <w:t>zajedničke</w:t>
            </w:r>
            <w:proofErr w:type="spellEnd"/>
            <w:r w:rsidRPr="0015571A">
              <w:rPr>
                <w:rFonts w:cstheme="minorHAnsi"/>
                <w:sz w:val="20"/>
                <w:szCs w:val="20"/>
              </w:rPr>
              <w:t xml:space="preserve"> </w:t>
            </w:r>
            <w:proofErr w:type="spellStart"/>
            <w:r w:rsidRPr="0015571A">
              <w:rPr>
                <w:rFonts w:cstheme="minorHAnsi"/>
                <w:sz w:val="20"/>
                <w:szCs w:val="20"/>
              </w:rPr>
              <w:t>projekte</w:t>
            </w:r>
            <w:proofErr w:type="spellEnd"/>
            <w:r w:rsidRPr="0015571A">
              <w:rPr>
                <w:rFonts w:cstheme="minorHAnsi"/>
                <w:sz w:val="20"/>
                <w:szCs w:val="20"/>
              </w:rPr>
              <w:t xml:space="preserve"> </w:t>
            </w:r>
            <w:proofErr w:type="spellStart"/>
            <w:r w:rsidRPr="0015571A">
              <w:rPr>
                <w:rFonts w:cstheme="minorHAnsi"/>
                <w:sz w:val="20"/>
                <w:szCs w:val="20"/>
              </w:rPr>
              <w:t>podizanja</w:t>
            </w:r>
            <w:proofErr w:type="spellEnd"/>
            <w:r w:rsidRPr="0015571A">
              <w:rPr>
                <w:rFonts w:cstheme="minorHAnsi"/>
                <w:sz w:val="20"/>
                <w:szCs w:val="20"/>
              </w:rPr>
              <w:t xml:space="preserve"> </w:t>
            </w:r>
            <w:proofErr w:type="spellStart"/>
            <w:r w:rsidRPr="0015571A">
              <w:rPr>
                <w:rFonts w:cstheme="minorHAnsi"/>
                <w:sz w:val="20"/>
                <w:szCs w:val="20"/>
              </w:rPr>
              <w:t>svijesti</w:t>
            </w:r>
            <w:proofErr w:type="spellEnd"/>
            <w:r w:rsidRPr="0015571A">
              <w:rPr>
                <w:rFonts w:cstheme="minorHAnsi"/>
                <w:sz w:val="20"/>
                <w:szCs w:val="20"/>
              </w:rPr>
              <w:t xml:space="preserve"> o EE, </w:t>
            </w:r>
            <w:proofErr w:type="spellStart"/>
            <w:r w:rsidRPr="0015571A">
              <w:rPr>
                <w:rFonts w:cstheme="minorHAnsi"/>
                <w:sz w:val="20"/>
                <w:szCs w:val="20"/>
              </w:rPr>
              <w:t>zaštiti</w:t>
            </w:r>
            <w:proofErr w:type="spellEnd"/>
            <w:r w:rsidRPr="0015571A">
              <w:rPr>
                <w:rFonts w:cstheme="minorHAnsi"/>
                <w:sz w:val="20"/>
                <w:szCs w:val="20"/>
              </w:rPr>
              <w:t xml:space="preserve"> okoliša i </w:t>
            </w:r>
            <w:proofErr w:type="spellStart"/>
            <w:r w:rsidRPr="0015571A">
              <w:rPr>
                <w:rFonts w:cstheme="minorHAnsi"/>
                <w:sz w:val="20"/>
                <w:szCs w:val="20"/>
              </w:rPr>
              <w:t>razvoju</w:t>
            </w:r>
            <w:proofErr w:type="spellEnd"/>
            <w:r w:rsidRPr="0015571A">
              <w:rPr>
                <w:rFonts w:cstheme="minorHAnsi"/>
                <w:sz w:val="20"/>
                <w:szCs w:val="20"/>
              </w:rPr>
              <w:t xml:space="preserve"> </w:t>
            </w:r>
            <w:proofErr w:type="spellStart"/>
            <w:r w:rsidRPr="0015571A">
              <w:rPr>
                <w:rFonts w:cstheme="minorHAnsi"/>
                <w:sz w:val="20"/>
                <w:szCs w:val="20"/>
              </w:rPr>
              <w:t>zelenih</w:t>
            </w:r>
            <w:proofErr w:type="spellEnd"/>
            <w:r w:rsidRPr="0015571A">
              <w:rPr>
                <w:rFonts w:cstheme="minorHAnsi"/>
                <w:sz w:val="20"/>
                <w:szCs w:val="20"/>
              </w:rPr>
              <w:t xml:space="preserve"> </w:t>
            </w:r>
            <w:proofErr w:type="spellStart"/>
            <w:r w:rsidRPr="0015571A">
              <w:rPr>
                <w:rFonts w:cstheme="minorHAnsi"/>
                <w:sz w:val="20"/>
                <w:szCs w:val="20"/>
              </w:rPr>
              <w:t>radnih</w:t>
            </w:r>
            <w:proofErr w:type="spellEnd"/>
            <w:r w:rsidRPr="0015571A">
              <w:rPr>
                <w:rFonts w:cstheme="minorHAnsi"/>
                <w:sz w:val="20"/>
                <w:szCs w:val="20"/>
              </w:rPr>
              <w:t xml:space="preserve"> </w:t>
            </w:r>
            <w:proofErr w:type="spellStart"/>
            <w:r w:rsidRPr="0015571A">
              <w:rPr>
                <w:rFonts w:cstheme="minorHAnsi"/>
                <w:sz w:val="20"/>
                <w:szCs w:val="20"/>
              </w:rPr>
              <w:t>mjesta</w:t>
            </w:r>
            <w:proofErr w:type="spellEnd"/>
            <w:r w:rsidRPr="0015571A">
              <w:rPr>
                <w:rFonts w:cstheme="minorHAnsi"/>
                <w:sz w:val="20"/>
                <w:szCs w:val="20"/>
              </w:rPr>
              <w:t xml:space="preserve"> </w:t>
            </w:r>
            <w:proofErr w:type="spellStart"/>
            <w:r w:rsidRPr="0015571A">
              <w:rPr>
                <w:rFonts w:cstheme="minorHAnsi"/>
                <w:sz w:val="20"/>
                <w:szCs w:val="20"/>
              </w:rPr>
              <w:t>od</w:t>
            </w:r>
            <w:proofErr w:type="spellEnd"/>
            <w:r w:rsidRPr="0015571A">
              <w:rPr>
                <w:rFonts w:cstheme="minorHAnsi"/>
                <w:sz w:val="20"/>
                <w:szCs w:val="20"/>
              </w:rPr>
              <w:t xml:space="preserve"> </w:t>
            </w:r>
            <w:proofErr w:type="spellStart"/>
            <w:r w:rsidRPr="0015571A">
              <w:rPr>
                <w:rFonts w:cstheme="minorHAnsi"/>
                <w:sz w:val="20"/>
                <w:szCs w:val="20"/>
              </w:rPr>
              <w:t>strane</w:t>
            </w:r>
            <w:proofErr w:type="spellEnd"/>
            <w:r w:rsidRPr="0015571A">
              <w:rPr>
                <w:rFonts w:cstheme="minorHAnsi"/>
                <w:sz w:val="20"/>
                <w:szCs w:val="20"/>
              </w:rPr>
              <w:t xml:space="preserve"> </w:t>
            </w:r>
            <w:proofErr w:type="spellStart"/>
            <w:r w:rsidRPr="0015571A">
              <w:rPr>
                <w:rFonts w:cstheme="minorHAnsi"/>
                <w:sz w:val="20"/>
                <w:szCs w:val="20"/>
              </w:rPr>
              <w:t>civilnog</w:t>
            </w:r>
            <w:proofErr w:type="spellEnd"/>
            <w:r w:rsidRPr="0015571A">
              <w:rPr>
                <w:rFonts w:cstheme="minorHAnsi"/>
                <w:sz w:val="20"/>
                <w:szCs w:val="20"/>
              </w:rPr>
              <w:t xml:space="preserve"> </w:t>
            </w:r>
            <w:proofErr w:type="spellStart"/>
            <w:r w:rsidRPr="0015571A">
              <w:rPr>
                <w:rFonts w:cstheme="minorHAnsi"/>
                <w:sz w:val="20"/>
                <w:szCs w:val="20"/>
              </w:rPr>
              <w:t>društva</w:t>
            </w:r>
            <w:proofErr w:type="spellEnd"/>
            <w:r w:rsidRPr="0015571A">
              <w:rPr>
                <w:rFonts w:cstheme="minorHAnsi"/>
                <w:sz w:val="20"/>
                <w:szCs w:val="20"/>
              </w:rPr>
              <w:t xml:space="preserve">, </w:t>
            </w:r>
            <w:proofErr w:type="spellStart"/>
            <w:r w:rsidRPr="0015571A">
              <w:rPr>
                <w:rFonts w:cstheme="minorHAnsi"/>
                <w:sz w:val="20"/>
                <w:szCs w:val="20"/>
              </w:rPr>
              <w:t>privrednih</w:t>
            </w:r>
            <w:proofErr w:type="spellEnd"/>
            <w:r w:rsidRPr="0015571A">
              <w:rPr>
                <w:rFonts w:cstheme="minorHAnsi"/>
                <w:sz w:val="20"/>
                <w:szCs w:val="20"/>
              </w:rPr>
              <w:t xml:space="preserve"> </w:t>
            </w:r>
            <w:proofErr w:type="spellStart"/>
            <w:r w:rsidRPr="0015571A">
              <w:rPr>
                <w:rFonts w:cstheme="minorHAnsi"/>
                <w:sz w:val="20"/>
                <w:szCs w:val="20"/>
              </w:rPr>
              <w:t>subjekata</w:t>
            </w:r>
            <w:proofErr w:type="spellEnd"/>
            <w:r w:rsidRPr="0015571A">
              <w:rPr>
                <w:rFonts w:cstheme="minorHAnsi"/>
                <w:sz w:val="20"/>
                <w:szCs w:val="20"/>
              </w:rPr>
              <w:t xml:space="preserve"> i </w:t>
            </w:r>
            <w:proofErr w:type="spellStart"/>
            <w:r w:rsidRPr="0015571A">
              <w:rPr>
                <w:rFonts w:cstheme="minorHAnsi"/>
                <w:sz w:val="20"/>
                <w:szCs w:val="20"/>
              </w:rPr>
              <w:t>nadležnih</w:t>
            </w:r>
            <w:proofErr w:type="spellEnd"/>
            <w:r w:rsidRPr="0015571A">
              <w:rPr>
                <w:rFonts w:cstheme="minorHAnsi"/>
                <w:sz w:val="20"/>
                <w:szCs w:val="20"/>
              </w:rPr>
              <w:t xml:space="preserve"> </w:t>
            </w:r>
            <w:proofErr w:type="spellStart"/>
            <w:r w:rsidRPr="0015571A">
              <w:rPr>
                <w:rFonts w:cstheme="minorHAnsi"/>
                <w:sz w:val="20"/>
                <w:szCs w:val="20"/>
              </w:rPr>
              <w:t>institucija</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r w:rsidRPr="0015571A">
              <w:rPr>
                <w:rFonts w:cstheme="minorHAnsi"/>
                <w:sz w:val="20"/>
                <w:szCs w:val="20"/>
              </w:rPr>
              <w:t>svim</w:t>
            </w:r>
            <w:proofErr w:type="spellEnd"/>
            <w:r w:rsidRPr="0015571A">
              <w:rPr>
                <w:rFonts w:cstheme="minorHAnsi"/>
                <w:sz w:val="20"/>
                <w:szCs w:val="20"/>
              </w:rPr>
              <w:t xml:space="preserve"> </w:t>
            </w:r>
            <w:proofErr w:type="spellStart"/>
            <w:r w:rsidRPr="0015571A">
              <w:rPr>
                <w:rFonts w:cstheme="minorHAnsi"/>
                <w:sz w:val="20"/>
                <w:szCs w:val="20"/>
              </w:rPr>
              <w:t>nivoima</w:t>
            </w:r>
            <w:proofErr w:type="spellEnd"/>
            <w:r w:rsidRPr="0015571A">
              <w:rPr>
                <w:rFonts w:cstheme="minorHAnsi"/>
                <w:sz w:val="20"/>
                <w:szCs w:val="20"/>
              </w:rPr>
              <w:t xml:space="preserve"> vlasti u FBiH, </w:t>
            </w:r>
            <w:proofErr w:type="spellStart"/>
            <w:r w:rsidRPr="0015571A">
              <w:rPr>
                <w:rFonts w:cstheme="minorHAnsi"/>
                <w:sz w:val="20"/>
                <w:szCs w:val="20"/>
              </w:rPr>
              <w:t>te</w:t>
            </w:r>
            <w:proofErr w:type="spellEnd"/>
            <w:r w:rsidRPr="0015571A">
              <w:rPr>
                <w:rFonts w:cstheme="minorHAnsi"/>
                <w:sz w:val="20"/>
                <w:szCs w:val="20"/>
              </w:rPr>
              <w:t xml:space="preserve"> </w:t>
            </w:r>
            <w:proofErr w:type="spellStart"/>
            <w:r w:rsidRPr="0015571A">
              <w:rPr>
                <w:rFonts w:cstheme="minorHAnsi"/>
                <w:sz w:val="20"/>
                <w:szCs w:val="20"/>
              </w:rPr>
              <w:t>organizirati</w:t>
            </w:r>
            <w:proofErr w:type="spellEnd"/>
            <w:r w:rsidRPr="0015571A">
              <w:rPr>
                <w:rFonts w:cstheme="minorHAnsi"/>
                <w:sz w:val="20"/>
                <w:szCs w:val="20"/>
              </w:rPr>
              <w:t xml:space="preserve"> </w:t>
            </w:r>
            <w:proofErr w:type="spellStart"/>
            <w:r w:rsidRPr="0015571A">
              <w:rPr>
                <w:rFonts w:cstheme="minorHAnsi"/>
                <w:sz w:val="20"/>
                <w:szCs w:val="20"/>
              </w:rPr>
              <w:t>kampanje</w:t>
            </w:r>
            <w:proofErr w:type="spellEnd"/>
            <w:r w:rsidRPr="0015571A">
              <w:rPr>
                <w:rFonts w:cstheme="minorHAnsi"/>
                <w:sz w:val="20"/>
                <w:szCs w:val="20"/>
              </w:rPr>
              <w:t xml:space="preserve"> i </w:t>
            </w:r>
            <w:proofErr w:type="spellStart"/>
            <w:r w:rsidRPr="0015571A">
              <w:rPr>
                <w:rFonts w:cstheme="minorHAnsi"/>
                <w:sz w:val="20"/>
                <w:szCs w:val="20"/>
              </w:rPr>
              <w:t>stimulirati</w:t>
            </w:r>
            <w:proofErr w:type="spellEnd"/>
            <w:r w:rsidRPr="0015571A">
              <w:rPr>
                <w:rFonts w:cstheme="minorHAnsi"/>
                <w:sz w:val="20"/>
                <w:szCs w:val="20"/>
              </w:rPr>
              <w:t xml:space="preserve"> debate o </w:t>
            </w:r>
            <w:proofErr w:type="spellStart"/>
            <w:r w:rsidRPr="0015571A">
              <w:rPr>
                <w:rFonts w:cstheme="minorHAnsi"/>
                <w:sz w:val="20"/>
                <w:szCs w:val="20"/>
              </w:rPr>
              <w:t>politikama</w:t>
            </w:r>
            <w:proofErr w:type="spellEnd"/>
            <w:r w:rsidRPr="0015571A">
              <w:rPr>
                <w:rFonts w:cstheme="minorHAnsi"/>
                <w:sz w:val="20"/>
                <w:szCs w:val="20"/>
              </w:rPr>
              <w:t xml:space="preserve"> u </w:t>
            </w:r>
            <w:proofErr w:type="spellStart"/>
            <w:r w:rsidRPr="0015571A">
              <w:rPr>
                <w:rFonts w:cstheme="minorHAnsi"/>
                <w:sz w:val="20"/>
                <w:szCs w:val="20"/>
              </w:rPr>
              <w:t>ovoj</w:t>
            </w:r>
            <w:proofErr w:type="spellEnd"/>
            <w:r w:rsidRPr="0015571A">
              <w:rPr>
                <w:rFonts w:cstheme="minorHAnsi"/>
                <w:sz w:val="20"/>
                <w:szCs w:val="20"/>
              </w:rPr>
              <w:t xml:space="preserve"> </w:t>
            </w:r>
            <w:proofErr w:type="spellStart"/>
            <w:r w:rsidRPr="0015571A">
              <w:rPr>
                <w:rFonts w:cstheme="minorHAnsi"/>
                <w:sz w:val="20"/>
                <w:szCs w:val="20"/>
              </w:rPr>
              <w:t>oblasti</w:t>
            </w:r>
            <w:proofErr w:type="spellEnd"/>
            <w:r w:rsidRPr="0015571A">
              <w:rPr>
                <w:rFonts w:cstheme="minorHAnsi"/>
                <w:sz w:val="20"/>
                <w:szCs w:val="20"/>
              </w:rPr>
              <w:t>.</w:t>
            </w:r>
          </w:p>
          <w:p w14:paraId="689FE42D" w14:textId="77777777" w:rsidR="00A00D87" w:rsidRPr="001972F5" w:rsidRDefault="00A00D87" w:rsidP="00E6560A">
            <w:pPr>
              <w:ind w:right="32"/>
              <w:jc w:val="both"/>
              <w:rPr>
                <w:rFonts w:cstheme="minorHAnsi"/>
                <w:sz w:val="20"/>
                <w:szCs w:val="20"/>
                <w:lang w:val="fi-FI"/>
              </w:rPr>
            </w:pPr>
            <w:r w:rsidRPr="001972F5">
              <w:rPr>
                <w:rFonts w:cstheme="minorHAnsi"/>
                <w:sz w:val="20"/>
                <w:szCs w:val="20"/>
                <w:lang w:val="fi-FI"/>
              </w:rPr>
              <w:t>Aktivnosti planirane u sklopu ove mjere su:</w:t>
            </w:r>
          </w:p>
          <w:p w14:paraId="59019253" w14:textId="77777777" w:rsidR="00A00D87" w:rsidRPr="0015571A" w:rsidRDefault="00A00D87" w:rsidP="007F1ECE">
            <w:pPr>
              <w:pStyle w:val="ListParagraph"/>
              <w:numPr>
                <w:ilvl w:val="0"/>
                <w:numId w:val="97"/>
              </w:numPr>
              <w:ind w:right="32"/>
              <w:jc w:val="both"/>
              <w:rPr>
                <w:rFonts w:cstheme="minorHAnsi"/>
                <w:sz w:val="20"/>
                <w:szCs w:val="20"/>
              </w:rPr>
            </w:pPr>
            <w:r w:rsidRPr="0015571A">
              <w:rPr>
                <w:rFonts w:cstheme="minorHAnsi"/>
                <w:sz w:val="20"/>
                <w:szCs w:val="20"/>
              </w:rPr>
              <w:t>Jačanje institucionalnih kapaciteta na svim nivoima vlasti u FBiH, što podrazumijeva:</w:t>
            </w:r>
          </w:p>
          <w:p w14:paraId="2C575D49" w14:textId="77777777" w:rsidR="00A00D87" w:rsidRPr="0015571A" w:rsidRDefault="00A00D87" w:rsidP="00581C1C">
            <w:pPr>
              <w:pStyle w:val="ListParagraph"/>
              <w:numPr>
                <w:ilvl w:val="0"/>
                <w:numId w:val="68"/>
              </w:numPr>
              <w:ind w:left="1071" w:right="32"/>
              <w:jc w:val="both"/>
              <w:rPr>
                <w:rFonts w:cstheme="minorHAnsi"/>
                <w:sz w:val="20"/>
                <w:szCs w:val="20"/>
              </w:rPr>
            </w:pPr>
            <w:r w:rsidRPr="0015571A">
              <w:rPr>
                <w:rFonts w:cstheme="minorHAnsi"/>
                <w:sz w:val="20"/>
                <w:szCs w:val="20"/>
              </w:rPr>
              <w:t xml:space="preserve">Uspostavljanje Agencije za energijsku efikasnost kako bi se vršila koordinacija u izradi planova za ostvarivanje ciljeva energijske efikasnosti, te identificiranje i rješavanje prepreka koje sprečavaju primjenu mjera za poboljšanje energijske efikasnosti; </w:t>
            </w:r>
          </w:p>
          <w:p w14:paraId="2EA278E9" w14:textId="77777777" w:rsidR="00A00D87" w:rsidRPr="0015571A" w:rsidRDefault="00A00D87" w:rsidP="00581C1C">
            <w:pPr>
              <w:pStyle w:val="ListParagraph"/>
              <w:numPr>
                <w:ilvl w:val="0"/>
                <w:numId w:val="68"/>
              </w:numPr>
              <w:ind w:left="1071" w:right="32"/>
              <w:jc w:val="both"/>
              <w:rPr>
                <w:rFonts w:cstheme="minorHAnsi"/>
                <w:sz w:val="20"/>
                <w:szCs w:val="20"/>
              </w:rPr>
            </w:pPr>
            <w:r w:rsidRPr="0015571A">
              <w:rPr>
                <w:rFonts w:cstheme="minorHAnsi"/>
                <w:sz w:val="20"/>
                <w:szCs w:val="20"/>
              </w:rPr>
              <w:t xml:space="preserve">Edukaciju postojećeg kadra kako bi institucije bile u mogućnosti da samostalno sa svojim ljudskim resursima implementiraju akcione planove i prate njihovu implementaciju dostavljanjem  informacija/podataka u informacioni sistem za energijsku efikasnost; </w:t>
            </w:r>
          </w:p>
          <w:p w14:paraId="2A054FBF" w14:textId="77777777" w:rsidR="00A00D87" w:rsidRPr="0015571A" w:rsidRDefault="00A00D87" w:rsidP="00581C1C">
            <w:pPr>
              <w:pStyle w:val="ListParagraph"/>
              <w:numPr>
                <w:ilvl w:val="0"/>
                <w:numId w:val="68"/>
              </w:numPr>
              <w:ind w:left="1071" w:right="32"/>
              <w:jc w:val="both"/>
              <w:rPr>
                <w:rFonts w:cstheme="minorHAnsi"/>
                <w:sz w:val="20"/>
                <w:szCs w:val="20"/>
              </w:rPr>
            </w:pPr>
            <w:r w:rsidRPr="0015571A">
              <w:rPr>
                <w:rFonts w:cstheme="minorHAnsi"/>
                <w:sz w:val="20"/>
                <w:szCs w:val="20"/>
              </w:rPr>
              <w:t xml:space="preserve">Uspostavu efektivnog upravljačkog i organizacionog okvira informatizacije i digitalizacije na nivou federalnih, kantonalnih i lokalnih organa uprave; </w:t>
            </w:r>
          </w:p>
          <w:p w14:paraId="28D128B5" w14:textId="77777777" w:rsidR="00A00D87" w:rsidRPr="0015571A" w:rsidRDefault="00A00D87" w:rsidP="00581C1C">
            <w:pPr>
              <w:pStyle w:val="ListParagraph"/>
              <w:numPr>
                <w:ilvl w:val="0"/>
                <w:numId w:val="68"/>
              </w:numPr>
              <w:ind w:left="1071" w:right="32"/>
              <w:jc w:val="both"/>
              <w:rPr>
                <w:rFonts w:cstheme="minorHAnsi"/>
                <w:sz w:val="20"/>
                <w:szCs w:val="20"/>
              </w:rPr>
            </w:pPr>
            <w:r w:rsidRPr="0015571A">
              <w:rPr>
                <w:rFonts w:cstheme="minorHAnsi"/>
                <w:sz w:val="20"/>
                <w:szCs w:val="20"/>
              </w:rPr>
              <w:t xml:space="preserve">Poboljšanje efikasnosti statistike FBiH modernizacijom statističkih procesa upotrebom savremenih tehnika, tehnologija i korištenjem naprednih IT rješenja. </w:t>
            </w:r>
          </w:p>
          <w:p w14:paraId="7B1364D1" w14:textId="77777777" w:rsidR="00A00D87" w:rsidRPr="0015571A" w:rsidRDefault="00A00D87" w:rsidP="00581C1C">
            <w:pPr>
              <w:pStyle w:val="ListParagraph"/>
              <w:numPr>
                <w:ilvl w:val="0"/>
                <w:numId w:val="68"/>
              </w:numPr>
              <w:ind w:left="1071" w:right="32"/>
              <w:jc w:val="both"/>
              <w:rPr>
                <w:rFonts w:cstheme="minorHAnsi"/>
                <w:sz w:val="20"/>
                <w:szCs w:val="20"/>
              </w:rPr>
            </w:pPr>
            <w:r w:rsidRPr="0015571A">
              <w:rPr>
                <w:rFonts w:cstheme="minorHAnsi"/>
                <w:sz w:val="20"/>
                <w:szCs w:val="20"/>
              </w:rPr>
              <w:t>Jačanje razvojnih timova na nivou kantona i jedinica lokalne samouprave za pisanje i implementaciju projekata podržanih kroz IPA fondove, permanentnom organizacijom treninga;</w:t>
            </w:r>
          </w:p>
          <w:p w14:paraId="320FA78E" w14:textId="171AE41D" w:rsidR="00A00D87" w:rsidRPr="0015571A" w:rsidRDefault="00A00D87" w:rsidP="00581C1C">
            <w:pPr>
              <w:pStyle w:val="ListParagraph"/>
              <w:numPr>
                <w:ilvl w:val="0"/>
                <w:numId w:val="69"/>
              </w:numPr>
              <w:ind w:left="1071" w:right="32"/>
              <w:jc w:val="both"/>
              <w:rPr>
                <w:rFonts w:cstheme="minorHAnsi"/>
                <w:sz w:val="20"/>
                <w:szCs w:val="20"/>
              </w:rPr>
            </w:pPr>
            <w:r w:rsidRPr="0015571A">
              <w:rPr>
                <w:rFonts w:cstheme="minorHAnsi"/>
                <w:sz w:val="20"/>
                <w:szCs w:val="20"/>
              </w:rPr>
              <w:t>Planira</w:t>
            </w:r>
            <w:r w:rsidR="003C2431" w:rsidRPr="0015571A">
              <w:rPr>
                <w:rFonts w:cstheme="minorHAnsi"/>
                <w:sz w:val="20"/>
                <w:szCs w:val="20"/>
              </w:rPr>
              <w:t>nje</w:t>
            </w:r>
            <w:r w:rsidRPr="0015571A">
              <w:rPr>
                <w:rFonts w:cstheme="minorHAnsi"/>
                <w:sz w:val="20"/>
                <w:szCs w:val="20"/>
              </w:rPr>
              <w:t xml:space="preserve"> sredst</w:t>
            </w:r>
            <w:r w:rsidR="003C2431" w:rsidRPr="0015571A">
              <w:rPr>
                <w:rFonts w:cstheme="minorHAnsi"/>
                <w:sz w:val="20"/>
                <w:szCs w:val="20"/>
              </w:rPr>
              <w:t>a</w:t>
            </w:r>
            <w:r w:rsidRPr="0015571A">
              <w:rPr>
                <w:rFonts w:cstheme="minorHAnsi"/>
                <w:sz w:val="20"/>
                <w:szCs w:val="20"/>
              </w:rPr>
              <w:t>va za su</w:t>
            </w:r>
            <w:r w:rsidR="007B690C" w:rsidRPr="0015571A">
              <w:rPr>
                <w:rFonts w:cstheme="minorHAnsi"/>
                <w:sz w:val="20"/>
                <w:szCs w:val="20"/>
              </w:rPr>
              <w:t>financ</w:t>
            </w:r>
            <w:r w:rsidRPr="0015571A">
              <w:rPr>
                <w:rFonts w:cstheme="minorHAnsi"/>
                <w:sz w:val="20"/>
                <w:szCs w:val="20"/>
              </w:rPr>
              <w:t xml:space="preserve">iranje IPA projekata u nerazvijenim općinama koje imaju problem sa obezbjeđenjem učešća u </w:t>
            </w:r>
            <w:r w:rsidR="007B690C" w:rsidRPr="0015571A">
              <w:rPr>
                <w:rFonts w:cstheme="minorHAnsi"/>
                <w:sz w:val="20"/>
                <w:szCs w:val="20"/>
              </w:rPr>
              <w:t>financ</w:t>
            </w:r>
            <w:r w:rsidRPr="0015571A">
              <w:rPr>
                <w:rFonts w:cstheme="minorHAnsi"/>
                <w:sz w:val="20"/>
                <w:szCs w:val="20"/>
              </w:rPr>
              <w:t>iranju;</w:t>
            </w:r>
          </w:p>
          <w:p w14:paraId="1D9BAF5B" w14:textId="7D00DD08" w:rsidR="00A00D87" w:rsidRPr="0015571A" w:rsidRDefault="00A00D87" w:rsidP="00581C1C">
            <w:pPr>
              <w:pStyle w:val="ListParagraph"/>
              <w:numPr>
                <w:ilvl w:val="0"/>
                <w:numId w:val="69"/>
              </w:numPr>
              <w:ind w:left="1071" w:right="32"/>
              <w:jc w:val="both"/>
              <w:rPr>
                <w:rFonts w:cstheme="minorHAnsi"/>
                <w:sz w:val="20"/>
                <w:szCs w:val="20"/>
              </w:rPr>
            </w:pPr>
            <w:r w:rsidRPr="0015571A">
              <w:rPr>
                <w:rFonts w:cstheme="minorHAnsi"/>
                <w:sz w:val="20"/>
                <w:szCs w:val="20"/>
              </w:rPr>
              <w:t>Brže rješavanje imovinsko pravnih odnosa (su</w:t>
            </w:r>
            <w:r w:rsidR="007B690C" w:rsidRPr="0015571A">
              <w:rPr>
                <w:rFonts w:cstheme="minorHAnsi"/>
                <w:sz w:val="20"/>
                <w:szCs w:val="20"/>
              </w:rPr>
              <w:t>financ</w:t>
            </w:r>
            <w:r w:rsidRPr="0015571A">
              <w:rPr>
                <w:rFonts w:cstheme="minorHAnsi"/>
                <w:sz w:val="20"/>
                <w:szCs w:val="20"/>
              </w:rPr>
              <w:t>iranje legalizacije poljoprivrednih objekata, te postojećih i potencijalnih turističkih objekata), s ciljem dobivanja sredstava iz EU fondova.</w:t>
            </w:r>
          </w:p>
          <w:p w14:paraId="78A2F572" w14:textId="77777777" w:rsidR="00A00D87" w:rsidRPr="0015571A" w:rsidRDefault="00A00D87" w:rsidP="007F1ECE">
            <w:pPr>
              <w:pStyle w:val="ListParagraph"/>
              <w:numPr>
                <w:ilvl w:val="0"/>
                <w:numId w:val="97"/>
              </w:numPr>
              <w:ind w:right="32"/>
              <w:jc w:val="both"/>
              <w:rPr>
                <w:rFonts w:cstheme="minorHAnsi"/>
                <w:sz w:val="20"/>
                <w:szCs w:val="20"/>
              </w:rPr>
            </w:pPr>
            <w:r w:rsidRPr="0015571A">
              <w:rPr>
                <w:rFonts w:cstheme="minorHAnsi"/>
                <w:sz w:val="20"/>
                <w:szCs w:val="20"/>
              </w:rPr>
              <w:t>Uspostavljanje i održavanje sveobuhvatnog i integriranog informacionog sistema u sektoru zgradarstva, što podrazumijeva:</w:t>
            </w:r>
          </w:p>
          <w:p w14:paraId="1EAF09E2" w14:textId="71A8032D" w:rsidR="00A00D87" w:rsidRPr="0015571A" w:rsidRDefault="00A00D87" w:rsidP="00581C1C">
            <w:pPr>
              <w:pStyle w:val="ListParagraph"/>
              <w:numPr>
                <w:ilvl w:val="0"/>
                <w:numId w:val="65"/>
              </w:numPr>
              <w:ind w:left="1071" w:right="32"/>
              <w:jc w:val="both"/>
              <w:rPr>
                <w:rFonts w:cstheme="minorHAnsi"/>
                <w:sz w:val="20"/>
                <w:szCs w:val="20"/>
              </w:rPr>
            </w:pPr>
            <w:r w:rsidRPr="0015571A">
              <w:rPr>
                <w:rFonts w:cstheme="minorHAnsi"/>
                <w:sz w:val="20"/>
                <w:szCs w:val="20"/>
              </w:rPr>
              <w:t>Unaprijeđenje procedura prikupljanja i organiziranja podataka o fondu zgrada, kao i usklađivanje baza podataka nižih nivoa (kantoni i općine</w:t>
            </w:r>
            <w:r w:rsidR="005B0142" w:rsidRPr="0015571A">
              <w:rPr>
                <w:rFonts w:cstheme="minorHAnsi"/>
                <w:sz w:val="20"/>
                <w:szCs w:val="20"/>
              </w:rPr>
              <w:t>/gradovi</w:t>
            </w:r>
            <w:r w:rsidRPr="0015571A">
              <w:rPr>
                <w:rFonts w:cstheme="minorHAnsi"/>
                <w:sz w:val="20"/>
                <w:szCs w:val="20"/>
              </w:rPr>
              <w:t>) sa bazom na nivou FBiH;</w:t>
            </w:r>
          </w:p>
          <w:p w14:paraId="3C1AD322" w14:textId="77777777" w:rsidR="00A00D87" w:rsidRPr="0015571A" w:rsidRDefault="00A00D87" w:rsidP="00581C1C">
            <w:pPr>
              <w:pStyle w:val="ListParagraph"/>
              <w:numPr>
                <w:ilvl w:val="0"/>
                <w:numId w:val="65"/>
              </w:numPr>
              <w:ind w:left="1071" w:right="32"/>
              <w:jc w:val="both"/>
              <w:rPr>
                <w:rFonts w:cstheme="minorHAnsi"/>
                <w:sz w:val="20"/>
                <w:szCs w:val="20"/>
              </w:rPr>
            </w:pPr>
            <w:r w:rsidRPr="0015571A">
              <w:rPr>
                <w:rFonts w:cstheme="minorHAnsi"/>
                <w:sz w:val="20"/>
                <w:szCs w:val="20"/>
              </w:rPr>
              <w:t>Uspostavljanje inventara zgrada (jedinstven šifrarnik zgrada sa identifikacionim brojem (ID) po svakom objektu), uključujući stambene i nestambene zgrade, što bi omogućilo realno planiranje renoviranja zgrada u skladu sa tipom i starošću zgrada, te praćenje stvarne potrošnje energije i ušteda nakon implementacije mjera EE;</w:t>
            </w:r>
          </w:p>
          <w:p w14:paraId="6C228362" w14:textId="77777777" w:rsidR="00A00D87" w:rsidRPr="0015571A" w:rsidRDefault="00A00D87" w:rsidP="00581C1C">
            <w:pPr>
              <w:pStyle w:val="ListParagraph"/>
              <w:numPr>
                <w:ilvl w:val="0"/>
                <w:numId w:val="65"/>
              </w:numPr>
              <w:ind w:left="1071" w:right="32"/>
              <w:jc w:val="both"/>
              <w:rPr>
                <w:rFonts w:cstheme="minorHAnsi"/>
                <w:sz w:val="20"/>
                <w:szCs w:val="20"/>
              </w:rPr>
            </w:pPr>
            <w:r w:rsidRPr="0015571A">
              <w:rPr>
                <w:rFonts w:cstheme="minorHAnsi"/>
                <w:sz w:val="20"/>
                <w:szCs w:val="20"/>
              </w:rPr>
              <w:t>Pojednostavljenje procedure za ishodovanje građevinskih dozvola  (izdavanja elektronskih dozvola);</w:t>
            </w:r>
          </w:p>
          <w:p w14:paraId="0317441C" w14:textId="77777777" w:rsidR="00A00D87" w:rsidRPr="0015571A" w:rsidRDefault="00A00D87" w:rsidP="00581C1C">
            <w:pPr>
              <w:pStyle w:val="ListParagraph"/>
              <w:numPr>
                <w:ilvl w:val="0"/>
                <w:numId w:val="65"/>
              </w:numPr>
              <w:ind w:left="1071"/>
              <w:jc w:val="both"/>
              <w:rPr>
                <w:rFonts w:cstheme="minorHAnsi"/>
                <w:sz w:val="20"/>
                <w:szCs w:val="20"/>
              </w:rPr>
            </w:pPr>
            <w:r w:rsidRPr="0015571A">
              <w:rPr>
                <w:rFonts w:cstheme="minorHAnsi"/>
                <w:sz w:val="20"/>
                <w:szCs w:val="20"/>
              </w:rPr>
              <w:t>Uspostavljanje efikasnije komunikacije između općina, kantona i nadležnih institucija na nivou FBiH.</w:t>
            </w:r>
            <w:bookmarkEnd w:id="261"/>
          </w:p>
          <w:p w14:paraId="2E9CA33D" w14:textId="77777777" w:rsidR="00A00D87" w:rsidRPr="0015571A" w:rsidRDefault="00A00D87" w:rsidP="007F1ECE">
            <w:pPr>
              <w:pStyle w:val="ListParagraph"/>
              <w:numPr>
                <w:ilvl w:val="0"/>
                <w:numId w:val="97"/>
              </w:numPr>
              <w:jc w:val="both"/>
              <w:rPr>
                <w:rFonts w:cstheme="minorHAnsi"/>
                <w:sz w:val="20"/>
                <w:szCs w:val="20"/>
              </w:rPr>
            </w:pPr>
            <w:r w:rsidRPr="0015571A">
              <w:rPr>
                <w:rFonts w:cstheme="minorHAnsi"/>
                <w:sz w:val="20"/>
                <w:szCs w:val="20"/>
              </w:rPr>
              <w:t>Jačanje lokalnih kapaciteta građevinske operative i proizvođača opreme s ciljem stvaranja preduvjeta za efikasnu provedbu energijske obnove zgrada, što podrazumijeva:</w:t>
            </w:r>
          </w:p>
          <w:p w14:paraId="4A2F366D" w14:textId="77777777" w:rsidR="00A00D87" w:rsidRPr="0015571A" w:rsidRDefault="00A00D87" w:rsidP="00581C1C">
            <w:pPr>
              <w:pStyle w:val="ListParagraph"/>
              <w:numPr>
                <w:ilvl w:val="0"/>
                <w:numId w:val="66"/>
              </w:numPr>
              <w:ind w:left="1071"/>
              <w:jc w:val="both"/>
              <w:rPr>
                <w:rFonts w:cstheme="minorHAnsi"/>
                <w:sz w:val="20"/>
                <w:szCs w:val="20"/>
              </w:rPr>
            </w:pPr>
            <w:r w:rsidRPr="0015571A">
              <w:rPr>
                <w:rFonts w:cstheme="minorHAnsi"/>
                <w:sz w:val="20"/>
                <w:szCs w:val="20"/>
              </w:rPr>
              <w:t>Izradu planova za obrazovanje kadra potrebnog na tržištu rada;</w:t>
            </w:r>
          </w:p>
          <w:p w14:paraId="1047C739" w14:textId="77777777" w:rsidR="00A00D87" w:rsidRPr="0015571A" w:rsidRDefault="00A00D87" w:rsidP="00581C1C">
            <w:pPr>
              <w:pStyle w:val="ListParagraph"/>
              <w:numPr>
                <w:ilvl w:val="0"/>
                <w:numId w:val="66"/>
              </w:numPr>
              <w:ind w:left="1071"/>
              <w:jc w:val="both"/>
              <w:rPr>
                <w:rFonts w:cstheme="minorHAnsi"/>
                <w:sz w:val="20"/>
                <w:szCs w:val="20"/>
              </w:rPr>
            </w:pPr>
            <w:r w:rsidRPr="0015571A">
              <w:rPr>
                <w:rFonts w:cstheme="minorHAnsi"/>
                <w:sz w:val="20"/>
                <w:szCs w:val="20"/>
              </w:rPr>
              <w:lastRenderedPageBreak/>
              <w:t>Izradu programa prekvalifikacije radnika za deficitarna zanimanja;</w:t>
            </w:r>
          </w:p>
          <w:p w14:paraId="2CB27E18" w14:textId="77777777" w:rsidR="00A00D87" w:rsidRPr="0015571A" w:rsidRDefault="00A00D87" w:rsidP="00581C1C">
            <w:pPr>
              <w:pStyle w:val="ListParagraph"/>
              <w:numPr>
                <w:ilvl w:val="0"/>
                <w:numId w:val="66"/>
              </w:numPr>
              <w:ind w:left="1071"/>
              <w:jc w:val="both"/>
              <w:rPr>
                <w:rFonts w:cstheme="minorHAnsi"/>
                <w:sz w:val="20"/>
                <w:szCs w:val="20"/>
              </w:rPr>
            </w:pPr>
            <w:r w:rsidRPr="0015571A">
              <w:rPr>
                <w:rFonts w:cstheme="minorHAnsi"/>
                <w:sz w:val="20"/>
                <w:szCs w:val="20"/>
              </w:rPr>
              <w:t xml:space="preserve">Pokretanje programa umrežavanja i promocije industrija sa deficitarnom radnom snagom; </w:t>
            </w:r>
          </w:p>
          <w:p w14:paraId="569C34E3" w14:textId="77777777" w:rsidR="00A00D87" w:rsidRPr="0015571A" w:rsidRDefault="00A00D87" w:rsidP="00581C1C">
            <w:pPr>
              <w:pStyle w:val="ListParagraph"/>
              <w:numPr>
                <w:ilvl w:val="0"/>
                <w:numId w:val="66"/>
              </w:numPr>
              <w:ind w:left="1071"/>
              <w:jc w:val="both"/>
              <w:rPr>
                <w:rFonts w:cstheme="minorHAnsi"/>
                <w:sz w:val="20"/>
                <w:szCs w:val="20"/>
              </w:rPr>
            </w:pPr>
            <w:r w:rsidRPr="0015571A">
              <w:rPr>
                <w:rFonts w:cstheme="minorHAnsi"/>
                <w:sz w:val="20"/>
                <w:szCs w:val="20"/>
              </w:rPr>
              <w:t>Unapređenje radnog zakonodavstva u pravcu omogućavanja stručnog osposobljavanja i pripreme za rad za nezaposlene osobe bez obzira na nivo obrazovanja;</w:t>
            </w:r>
          </w:p>
          <w:p w14:paraId="41A5BDF5" w14:textId="77777777" w:rsidR="00A00D87" w:rsidRPr="0015571A" w:rsidRDefault="00A00D87" w:rsidP="00581C1C">
            <w:pPr>
              <w:pStyle w:val="ListParagraph"/>
              <w:numPr>
                <w:ilvl w:val="0"/>
                <w:numId w:val="66"/>
              </w:numPr>
              <w:ind w:left="1071"/>
              <w:jc w:val="both"/>
              <w:rPr>
                <w:rFonts w:cstheme="minorHAnsi"/>
                <w:sz w:val="20"/>
                <w:szCs w:val="20"/>
              </w:rPr>
            </w:pPr>
            <w:r w:rsidRPr="0015571A">
              <w:rPr>
                <w:rFonts w:cstheme="minorHAnsi"/>
                <w:sz w:val="20"/>
                <w:szCs w:val="20"/>
              </w:rPr>
              <w:t>Pojednostavljenje procedure za registraciju proizvodnih kompanija (posebno MSP);</w:t>
            </w:r>
          </w:p>
          <w:p w14:paraId="0E754383" w14:textId="77777777" w:rsidR="00A00D87" w:rsidRPr="0015571A" w:rsidRDefault="00A00D87" w:rsidP="00581C1C">
            <w:pPr>
              <w:pStyle w:val="ListParagraph"/>
              <w:numPr>
                <w:ilvl w:val="0"/>
                <w:numId w:val="66"/>
              </w:numPr>
              <w:ind w:left="1071"/>
              <w:jc w:val="both"/>
              <w:rPr>
                <w:rFonts w:cstheme="minorHAnsi"/>
                <w:sz w:val="20"/>
                <w:szCs w:val="20"/>
              </w:rPr>
            </w:pPr>
            <w:r w:rsidRPr="0015571A">
              <w:rPr>
                <w:rFonts w:cstheme="minorHAnsi"/>
                <w:sz w:val="20"/>
                <w:szCs w:val="20"/>
              </w:rPr>
              <w:t>Donošenje propisa vezano za obligacione šeme u FBiH koje predstavljaju odličan mehanizam za poticanje privrede i sektora MSP;</w:t>
            </w:r>
          </w:p>
          <w:p w14:paraId="43ABB475" w14:textId="77777777" w:rsidR="00A00D87" w:rsidRPr="0015571A" w:rsidRDefault="00A00D87" w:rsidP="00581C1C">
            <w:pPr>
              <w:pStyle w:val="ListParagraph"/>
              <w:numPr>
                <w:ilvl w:val="0"/>
                <w:numId w:val="66"/>
              </w:numPr>
              <w:ind w:left="1071"/>
              <w:jc w:val="both"/>
              <w:rPr>
                <w:rFonts w:cstheme="minorHAnsi"/>
                <w:sz w:val="20"/>
                <w:szCs w:val="20"/>
              </w:rPr>
            </w:pPr>
            <w:r w:rsidRPr="0015571A">
              <w:rPr>
                <w:rFonts w:cstheme="minorHAnsi"/>
                <w:sz w:val="20"/>
                <w:szCs w:val="20"/>
              </w:rPr>
              <w:t>Subvencioniranje provođenja energijskih audita, uvođenje standarda ISO 50001 i ISO 14001, aktivnosti „ekologizacije” i „zelene ekonomije“, i upotreba inovativnih čistih tehnologija u sektoru MSP u skladu s konceptom održivog razvoja;</w:t>
            </w:r>
          </w:p>
          <w:p w14:paraId="2D36CB5D" w14:textId="2066EDBD" w:rsidR="00A00D87" w:rsidRPr="0015571A" w:rsidRDefault="00A00D87" w:rsidP="00581C1C">
            <w:pPr>
              <w:pStyle w:val="ListParagraph"/>
              <w:numPr>
                <w:ilvl w:val="0"/>
                <w:numId w:val="66"/>
              </w:numPr>
              <w:ind w:left="1071" w:hanging="270"/>
              <w:jc w:val="both"/>
              <w:rPr>
                <w:rFonts w:cstheme="minorHAnsi"/>
                <w:sz w:val="20"/>
                <w:szCs w:val="20"/>
              </w:rPr>
            </w:pPr>
            <w:r w:rsidRPr="0015571A">
              <w:rPr>
                <w:rFonts w:cstheme="minorHAnsi"/>
                <w:sz w:val="20"/>
                <w:szCs w:val="20"/>
              </w:rPr>
              <w:t xml:space="preserve">Uvođenje namjenske kreditne linije za MSP od strane Razvojne banke FBiH (RB), koja ima  ima važnu ulogu u </w:t>
            </w:r>
            <w:r w:rsidR="007B690C" w:rsidRPr="0015571A">
              <w:rPr>
                <w:rFonts w:cstheme="minorHAnsi"/>
                <w:sz w:val="20"/>
                <w:szCs w:val="20"/>
              </w:rPr>
              <w:t>financ</w:t>
            </w:r>
            <w:r w:rsidRPr="0015571A">
              <w:rPr>
                <w:rFonts w:cstheme="minorHAnsi"/>
                <w:sz w:val="20"/>
                <w:szCs w:val="20"/>
              </w:rPr>
              <w:t>iranju projekata EE i podršci razvoju MSP (po uzoru na razvojne nego i brojne komercijalne banke koje svoje plasmane usmjeravaju na „čiste tehnologije“)</w:t>
            </w:r>
          </w:p>
          <w:p w14:paraId="2A2486FA" w14:textId="77777777" w:rsidR="00A00D87" w:rsidRPr="0015571A" w:rsidRDefault="00A00D87" w:rsidP="007F1ECE">
            <w:pPr>
              <w:pStyle w:val="ListParagraph"/>
              <w:numPr>
                <w:ilvl w:val="0"/>
                <w:numId w:val="97"/>
              </w:numPr>
              <w:jc w:val="both"/>
              <w:rPr>
                <w:rFonts w:cstheme="minorHAnsi"/>
                <w:sz w:val="20"/>
                <w:szCs w:val="20"/>
              </w:rPr>
            </w:pPr>
            <w:r w:rsidRPr="0015571A">
              <w:rPr>
                <w:rFonts w:cstheme="minorHAnsi"/>
                <w:sz w:val="20"/>
                <w:szCs w:val="20"/>
              </w:rPr>
              <w:t>Promocija značaja EE u sektoru zgradarstva i modaliteti konsultacija, što podrazumijeva:</w:t>
            </w:r>
          </w:p>
          <w:p w14:paraId="565AF6A4" w14:textId="77777777" w:rsidR="00A00D87" w:rsidRPr="0015571A" w:rsidRDefault="00A00D87" w:rsidP="00581C1C">
            <w:pPr>
              <w:pStyle w:val="ListParagraph"/>
              <w:numPr>
                <w:ilvl w:val="1"/>
                <w:numId w:val="67"/>
              </w:numPr>
              <w:ind w:left="1071" w:right="32"/>
              <w:jc w:val="both"/>
              <w:rPr>
                <w:rFonts w:cstheme="minorHAnsi"/>
                <w:sz w:val="20"/>
                <w:szCs w:val="20"/>
              </w:rPr>
            </w:pPr>
            <w:r w:rsidRPr="0015571A">
              <w:rPr>
                <w:rFonts w:cstheme="minorHAnsi"/>
                <w:sz w:val="20"/>
                <w:szCs w:val="20"/>
              </w:rPr>
              <w:t>Organiziranje seminara, edukacija, konferencija, okruglih stolova,  javnih promocija projekata EE, medijskih kampanja za građane itd.;</w:t>
            </w:r>
          </w:p>
          <w:p w14:paraId="7AB4D8E7" w14:textId="77777777" w:rsidR="00A00D87" w:rsidRPr="0015571A" w:rsidRDefault="00A00D87" w:rsidP="00581C1C">
            <w:pPr>
              <w:pStyle w:val="ListParagraph"/>
              <w:numPr>
                <w:ilvl w:val="0"/>
                <w:numId w:val="67"/>
              </w:numPr>
              <w:ind w:left="1071" w:right="32"/>
              <w:jc w:val="both"/>
              <w:rPr>
                <w:rFonts w:cstheme="minorHAnsi"/>
                <w:sz w:val="20"/>
                <w:szCs w:val="20"/>
              </w:rPr>
            </w:pPr>
            <w:r w:rsidRPr="0015571A">
              <w:rPr>
                <w:rFonts w:cstheme="minorHAnsi"/>
                <w:sz w:val="20"/>
                <w:szCs w:val="20"/>
              </w:rPr>
              <w:t>Uvođenje tema energijske efikasnosti i održivog razvoja u sistem redovnog obrazovanja kako bi učenici usvojili osnovna znanja o značaju EE;</w:t>
            </w:r>
          </w:p>
          <w:p w14:paraId="0D4DB75C" w14:textId="128B8EB6" w:rsidR="00A00D87" w:rsidRPr="0015571A" w:rsidRDefault="00A00D87" w:rsidP="003C2431">
            <w:pPr>
              <w:pStyle w:val="ListParagraph"/>
              <w:numPr>
                <w:ilvl w:val="1"/>
                <w:numId w:val="67"/>
              </w:numPr>
              <w:ind w:left="1071" w:right="32"/>
              <w:rPr>
                <w:rFonts w:cstheme="minorHAnsi"/>
                <w:sz w:val="20"/>
                <w:szCs w:val="20"/>
              </w:rPr>
            </w:pPr>
            <w:r w:rsidRPr="0015571A">
              <w:rPr>
                <w:rFonts w:cstheme="minorHAnsi"/>
                <w:sz w:val="20"/>
                <w:szCs w:val="20"/>
              </w:rPr>
              <w:t>Uspostavljanje „one stop shop“ punktova na nivou općina</w:t>
            </w:r>
            <w:r w:rsidR="005B0142" w:rsidRPr="0015571A">
              <w:rPr>
                <w:rFonts w:cstheme="minorHAnsi"/>
                <w:sz w:val="20"/>
                <w:szCs w:val="20"/>
              </w:rPr>
              <w:t>/gradova</w:t>
            </w:r>
            <w:r w:rsidRPr="0015571A">
              <w:rPr>
                <w:rFonts w:cstheme="minorHAnsi"/>
                <w:sz w:val="20"/>
                <w:szCs w:val="20"/>
              </w:rPr>
              <w:t xml:space="preserve"> s ciljem</w:t>
            </w:r>
            <w:r w:rsidR="003C2431" w:rsidRPr="0015571A">
              <w:rPr>
                <w:rFonts w:cstheme="minorHAnsi"/>
                <w:sz w:val="20"/>
                <w:szCs w:val="20"/>
              </w:rPr>
              <w:t xml:space="preserve"> </w:t>
            </w:r>
            <w:r w:rsidRPr="0015571A">
              <w:rPr>
                <w:rFonts w:cstheme="minorHAnsi"/>
                <w:sz w:val="20"/>
                <w:szCs w:val="20"/>
              </w:rPr>
              <w:t>motiviranja građana i ubrzavanja procesa energijske obnove kroz lokalno dostupne informacije o uštedama koje se mogu ostvariti kroz mjere EE,  podršku vlasnicima zgrada u dobivanju informacija o financiranju mjera EE, te  cjelokupnom procesu provođenja energijske obnove;</w:t>
            </w:r>
          </w:p>
          <w:p w14:paraId="797FF0ED" w14:textId="77777777" w:rsidR="00A00D87" w:rsidRPr="0015571A" w:rsidRDefault="00A00D87" w:rsidP="00581C1C">
            <w:pPr>
              <w:pStyle w:val="ListParagraph"/>
              <w:numPr>
                <w:ilvl w:val="0"/>
                <w:numId w:val="67"/>
              </w:numPr>
              <w:ind w:left="1071" w:right="32"/>
              <w:jc w:val="both"/>
              <w:rPr>
                <w:rFonts w:cstheme="minorHAnsi"/>
                <w:sz w:val="20"/>
                <w:szCs w:val="20"/>
              </w:rPr>
            </w:pPr>
            <w:r w:rsidRPr="0015571A">
              <w:rPr>
                <w:rFonts w:cstheme="minorHAnsi"/>
                <w:sz w:val="20"/>
                <w:szCs w:val="20"/>
              </w:rPr>
              <w:t xml:space="preserve">Značajnije uključivanje upravitelja zgrada u proces obnove kroz informiranje građana o mogućnostima ušteda i načinu provedbe energijske obnove (upravitelji zgrada su ključni integratori provedbe inicijativa za dekarbonizaciju zgrada kolektivnog stanovanja); </w:t>
            </w:r>
          </w:p>
          <w:p w14:paraId="3C4AB041" w14:textId="77777777" w:rsidR="00A00D87" w:rsidRPr="0015571A" w:rsidRDefault="00A00D87" w:rsidP="00581C1C">
            <w:pPr>
              <w:pStyle w:val="ListParagraph"/>
              <w:numPr>
                <w:ilvl w:val="0"/>
                <w:numId w:val="67"/>
              </w:numPr>
              <w:ind w:left="1071" w:right="32"/>
              <w:jc w:val="both"/>
              <w:rPr>
                <w:rFonts w:cstheme="minorHAnsi"/>
                <w:sz w:val="20"/>
                <w:szCs w:val="20"/>
              </w:rPr>
            </w:pPr>
            <w:r w:rsidRPr="0015571A">
              <w:rPr>
                <w:rFonts w:cstheme="minorHAnsi"/>
                <w:sz w:val="20"/>
                <w:szCs w:val="20"/>
              </w:rPr>
              <w:t>Uspostavljanje Centra za podršku pametnim gradovima i Zelenog savjeta.</w:t>
            </w:r>
          </w:p>
        </w:tc>
      </w:tr>
      <w:tr w:rsidR="00A00D87" w:rsidRPr="0015571A" w14:paraId="6D5B5ED6"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34801C"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lastRenderedPageBreak/>
              <w:t>Strateški</w:t>
            </w:r>
            <w:proofErr w:type="spellEnd"/>
            <w:r w:rsidRPr="0015571A">
              <w:rPr>
                <w:rFonts w:cstheme="minorHAnsi"/>
                <w:b/>
                <w:sz w:val="20"/>
                <w:szCs w:val="20"/>
              </w:rPr>
              <w:t xml:space="preserve"> </w:t>
            </w:r>
            <w:proofErr w:type="spellStart"/>
            <w:r w:rsidRPr="0015571A">
              <w:rPr>
                <w:rFonts w:cstheme="minorHAnsi"/>
                <w:b/>
                <w:sz w:val="20"/>
                <w:szCs w:val="20"/>
              </w:rPr>
              <w:t>projekti</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5423680B" w14:textId="501841DF" w:rsidR="00A00D87" w:rsidRPr="0015571A" w:rsidRDefault="00A00D87" w:rsidP="00122946">
            <w:pPr>
              <w:spacing w:line="259" w:lineRule="auto"/>
              <w:ind w:left="1"/>
              <w:rPr>
                <w:rFonts w:cstheme="minorHAnsi"/>
                <w:sz w:val="20"/>
                <w:szCs w:val="20"/>
              </w:rPr>
            </w:pPr>
            <w:r w:rsidRPr="0015571A">
              <w:rPr>
                <w:rFonts w:cstheme="minorHAnsi"/>
                <w:sz w:val="20"/>
                <w:szCs w:val="20"/>
              </w:rPr>
              <w:t xml:space="preserve"> </w:t>
            </w:r>
            <w:r w:rsidR="0015571A">
              <w:rPr>
                <w:rFonts w:cstheme="minorHAnsi"/>
                <w:sz w:val="20"/>
                <w:szCs w:val="20"/>
              </w:rPr>
              <w:t>-</w:t>
            </w:r>
          </w:p>
        </w:tc>
      </w:tr>
      <w:tr w:rsidR="00A00D87" w:rsidRPr="0015571A" w14:paraId="23012AAE" w14:textId="77777777" w:rsidTr="00122946">
        <w:trPr>
          <w:trHeight w:val="423"/>
        </w:trPr>
        <w:tc>
          <w:tcPr>
            <w:tcW w:w="1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55226B6"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Indikatori</w:t>
            </w:r>
            <w:proofErr w:type="spellEnd"/>
            <w:r w:rsidRPr="0015571A">
              <w:rPr>
                <w:rFonts w:cstheme="minorHAnsi"/>
                <w:b/>
                <w:sz w:val="20"/>
                <w:szCs w:val="20"/>
              </w:rPr>
              <w:t xml:space="preserve"> za </w:t>
            </w:r>
            <w:proofErr w:type="spellStart"/>
            <w:r w:rsidRPr="0015571A">
              <w:rPr>
                <w:rFonts w:cstheme="minorHAnsi"/>
                <w:b/>
                <w:sz w:val="20"/>
                <w:szCs w:val="20"/>
              </w:rPr>
              <w:t>praćenje</w:t>
            </w:r>
            <w:proofErr w:type="spellEnd"/>
            <w:r w:rsidRPr="0015571A">
              <w:rPr>
                <w:rFonts w:cstheme="minorHAnsi"/>
                <w:b/>
                <w:sz w:val="20"/>
                <w:szCs w:val="20"/>
              </w:rPr>
              <w:t xml:space="preserve"> </w:t>
            </w:r>
            <w:proofErr w:type="spellStart"/>
            <w:r w:rsidRPr="0015571A">
              <w:rPr>
                <w:rFonts w:cstheme="minorHAnsi"/>
                <w:b/>
                <w:sz w:val="20"/>
                <w:szCs w:val="20"/>
              </w:rPr>
              <w:t>rezultata</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BA3EE69" w14:textId="77777777" w:rsidR="00A00D87" w:rsidRPr="0015571A" w:rsidRDefault="00A00D87" w:rsidP="00122946">
            <w:pPr>
              <w:spacing w:line="259" w:lineRule="auto"/>
              <w:ind w:right="39"/>
              <w:jc w:val="center"/>
              <w:rPr>
                <w:rFonts w:cstheme="minorHAnsi"/>
                <w:sz w:val="20"/>
                <w:szCs w:val="20"/>
              </w:rPr>
            </w:pPr>
            <w:proofErr w:type="spellStart"/>
            <w:r w:rsidRPr="0015571A">
              <w:rPr>
                <w:rFonts w:cstheme="minorHAnsi"/>
                <w:b/>
                <w:sz w:val="20"/>
                <w:szCs w:val="20"/>
              </w:rPr>
              <w:t>Indikatori</w:t>
            </w:r>
            <w:proofErr w:type="spellEnd"/>
            <w:r w:rsidRPr="0015571A">
              <w:rPr>
                <w:rFonts w:cstheme="minorHAnsi"/>
                <w:b/>
                <w:sz w:val="20"/>
                <w:szCs w:val="20"/>
              </w:rPr>
              <w:t xml:space="preserve"> </w:t>
            </w:r>
          </w:p>
        </w:tc>
        <w:tc>
          <w:tcPr>
            <w:tcW w:w="206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AFDE0E6" w14:textId="77777777" w:rsidR="00A00D87" w:rsidRPr="0015571A" w:rsidRDefault="00A00D87" w:rsidP="00122946">
            <w:pPr>
              <w:spacing w:line="259" w:lineRule="auto"/>
              <w:jc w:val="center"/>
              <w:rPr>
                <w:rFonts w:cstheme="minorHAnsi"/>
                <w:sz w:val="20"/>
                <w:szCs w:val="20"/>
              </w:rPr>
            </w:pPr>
            <w:proofErr w:type="spellStart"/>
            <w:r w:rsidRPr="0015571A">
              <w:rPr>
                <w:rFonts w:cstheme="minorHAnsi"/>
                <w:b/>
                <w:sz w:val="20"/>
                <w:szCs w:val="20"/>
              </w:rPr>
              <w:t>Polazne</w:t>
            </w:r>
            <w:proofErr w:type="spellEnd"/>
            <w:r w:rsidRPr="0015571A">
              <w:rPr>
                <w:rFonts w:cstheme="minorHAnsi"/>
                <w:b/>
                <w:sz w:val="20"/>
                <w:szCs w:val="20"/>
              </w:rPr>
              <w:t xml:space="preserve"> </w:t>
            </w:r>
            <w:proofErr w:type="spellStart"/>
            <w:r w:rsidRPr="0015571A">
              <w:rPr>
                <w:rFonts w:cstheme="minorHAnsi"/>
                <w:b/>
                <w:sz w:val="20"/>
                <w:szCs w:val="20"/>
              </w:rPr>
              <w:t>vrijednosti</w:t>
            </w:r>
            <w:proofErr w:type="spellEnd"/>
            <w:r w:rsidRPr="0015571A">
              <w:rPr>
                <w:rFonts w:cstheme="minorHAnsi"/>
                <w:b/>
                <w:sz w:val="20"/>
                <w:szCs w:val="20"/>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A9BE94" w14:textId="77777777" w:rsidR="00A00D87" w:rsidRPr="0015571A" w:rsidRDefault="00A00D87" w:rsidP="00122946">
            <w:pPr>
              <w:spacing w:line="259" w:lineRule="auto"/>
              <w:jc w:val="center"/>
              <w:rPr>
                <w:rFonts w:cstheme="minorHAnsi"/>
                <w:sz w:val="20"/>
                <w:szCs w:val="20"/>
              </w:rPr>
            </w:pPr>
            <w:proofErr w:type="spellStart"/>
            <w:r w:rsidRPr="0015571A">
              <w:rPr>
                <w:rFonts w:cstheme="minorHAnsi"/>
                <w:b/>
                <w:sz w:val="20"/>
                <w:szCs w:val="20"/>
              </w:rPr>
              <w:t>Ciljne</w:t>
            </w:r>
            <w:proofErr w:type="spellEnd"/>
            <w:r w:rsidRPr="0015571A">
              <w:rPr>
                <w:rFonts w:cstheme="minorHAnsi"/>
                <w:b/>
                <w:sz w:val="20"/>
                <w:szCs w:val="20"/>
              </w:rPr>
              <w:t xml:space="preserve"> </w:t>
            </w:r>
            <w:proofErr w:type="spellStart"/>
            <w:r w:rsidRPr="0015571A">
              <w:rPr>
                <w:rFonts w:cstheme="minorHAnsi"/>
                <w:b/>
                <w:sz w:val="20"/>
                <w:szCs w:val="20"/>
              </w:rPr>
              <w:t>vrijednosti</w:t>
            </w:r>
            <w:proofErr w:type="spellEnd"/>
            <w:r w:rsidRPr="0015571A">
              <w:rPr>
                <w:rFonts w:cstheme="minorHAnsi"/>
                <w:b/>
                <w:sz w:val="20"/>
                <w:szCs w:val="20"/>
              </w:rPr>
              <w:t xml:space="preserve">***  </w:t>
            </w:r>
          </w:p>
        </w:tc>
      </w:tr>
      <w:tr w:rsidR="00A00D87" w:rsidRPr="0015571A" w14:paraId="43D8745A"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7ECF12E0" w14:textId="77777777" w:rsidR="00A00D87" w:rsidRPr="0015571A" w:rsidRDefault="00A00D87" w:rsidP="00122946">
            <w:pPr>
              <w:spacing w:after="160" w:line="259" w:lineRule="auto"/>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69140805" w14:textId="77777777" w:rsidR="00A00D87" w:rsidRPr="0015571A" w:rsidRDefault="00A00D87" w:rsidP="00122946">
            <w:pPr>
              <w:spacing w:line="259" w:lineRule="auto"/>
              <w:ind w:left="1"/>
              <w:rPr>
                <w:rFonts w:cstheme="minorHAnsi"/>
                <w:sz w:val="20"/>
                <w:szCs w:val="20"/>
              </w:rPr>
            </w:pPr>
            <w:proofErr w:type="spellStart"/>
            <w:r w:rsidRPr="0015571A">
              <w:rPr>
                <w:rFonts w:cstheme="minorHAnsi"/>
                <w:sz w:val="20"/>
                <w:szCs w:val="20"/>
              </w:rPr>
              <w:t>Broj</w:t>
            </w:r>
            <w:proofErr w:type="spellEnd"/>
            <w:r w:rsidRPr="0015571A">
              <w:rPr>
                <w:rFonts w:cstheme="minorHAnsi"/>
                <w:sz w:val="20"/>
                <w:szCs w:val="20"/>
              </w:rPr>
              <w:t xml:space="preserve"> </w:t>
            </w:r>
            <w:proofErr w:type="spellStart"/>
            <w:r w:rsidRPr="0015571A">
              <w:rPr>
                <w:rFonts w:cstheme="minorHAnsi"/>
                <w:sz w:val="20"/>
                <w:szCs w:val="20"/>
              </w:rPr>
              <w:t>lokalnih</w:t>
            </w:r>
            <w:proofErr w:type="spellEnd"/>
            <w:r w:rsidRPr="0015571A">
              <w:rPr>
                <w:rFonts w:cstheme="minorHAnsi"/>
                <w:sz w:val="20"/>
                <w:szCs w:val="20"/>
              </w:rPr>
              <w:t xml:space="preserve"> </w:t>
            </w:r>
            <w:proofErr w:type="spellStart"/>
            <w:r w:rsidRPr="0015571A">
              <w:rPr>
                <w:rFonts w:cstheme="minorHAnsi"/>
                <w:sz w:val="20"/>
                <w:szCs w:val="20"/>
              </w:rPr>
              <w:t>zajednica</w:t>
            </w:r>
            <w:proofErr w:type="spellEnd"/>
            <w:r w:rsidRPr="0015571A">
              <w:rPr>
                <w:rFonts w:cstheme="minorHAnsi"/>
                <w:sz w:val="20"/>
                <w:szCs w:val="20"/>
              </w:rPr>
              <w:t xml:space="preserve"> koji </w:t>
            </w:r>
            <w:proofErr w:type="spellStart"/>
            <w:r w:rsidRPr="0015571A">
              <w:rPr>
                <w:rFonts w:cstheme="minorHAnsi"/>
                <w:sz w:val="20"/>
                <w:szCs w:val="20"/>
              </w:rPr>
              <w:t>su</w:t>
            </w:r>
            <w:proofErr w:type="spellEnd"/>
            <w:r w:rsidRPr="0015571A">
              <w:rPr>
                <w:rFonts w:cstheme="minorHAnsi"/>
                <w:sz w:val="20"/>
                <w:szCs w:val="20"/>
              </w:rPr>
              <w:t xml:space="preserve"> u </w:t>
            </w:r>
            <w:proofErr w:type="spellStart"/>
            <w:r w:rsidRPr="0015571A">
              <w:rPr>
                <w:rFonts w:cstheme="minorHAnsi"/>
                <w:sz w:val="20"/>
                <w:szCs w:val="20"/>
              </w:rPr>
              <w:t>potpunosti</w:t>
            </w:r>
            <w:proofErr w:type="spellEnd"/>
            <w:r w:rsidRPr="0015571A">
              <w:rPr>
                <w:rFonts w:cstheme="minorHAnsi"/>
                <w:sz w:val="20"/>
                <w:szCs w:val="20"/>
              </w:rPr>
              <w:t xml:space="preserve"> </w:t>
            </w:r>
            <w:proofErr w:type="spellStart"/>
            <w:r w:rsidRPr="0015571A">
              <w:rPr>
                <w:rFonts w:cstheme="minorHAnsi"/>
                <w:sz w:val="20"/>
                <w:szCs w:val="20"/>
              </w:rPr>
              <w:t>implementirali</w:t>
            </w:r>
            <w:proofErr w:type="spellEnd"/>
            <w:r w:rsidRPr="0015571A">
              <w:rPr>
                <w:rFonts w:cstheme="minorHAnsi"/>
                <w:sz w:val="20"/>
                <w:szCs w:val="20"/>
              </w:rPr>
              <w:t xml:space="preserve"> program </w:t>
            </w:r>
            <w:proofErr w:type="spellStart"/>
            <w:r w:rsidRPr="0015571A">
              <w:rPr>
                <w:rFonts w:cstheme="minorHAnsi"/>
                <w:sz w:val="20"/>
                <w:szCs w:val="20"/>
              </w:rPr>
              <w:t>sveobuhvatnog</w:t>
            </w:r>
            <w:proofErr w:type="spellEnd"/>
            <w:r w:rsidRPr="0015571A">
              <w:rPr>
                <w:rFonts w:cstheme="minorHAnsi"/>
                <w:sz w:val="20"/>
                <w:szCs w:val="20"/>
              </w:rPr>
              <w:t xml:space="preserve"> </w:t>
            </w:r>
            <w:proofErr w:type="spellStart"/>
            <w:r w:rsidRPr="0015571A">
              <w:rPr>
                <w:rFonts w:cstheme="minorHAnsi"/>
                <w:sz w:val="20"/>
                <w:szCs w:val="20"/>
              </w:rPr>
              <w:t>digitalnog</w:t>
            </w:r>
            <w:proofErr w:type="spellEnd"/>
            <w:r w:rsidRPr="0015571A">
              <w:rPr>
                <w:rFonts w:cstheme="minorHAnsi"/>
                <w:sz w:val="20"/>
                <w:szCs w:val="20"/>
              </w:rPr>
              <w:t xml:space="preserve"> </w:t>
            </w:r>
            <w:proofErr w:type="spellStart"/>
            <w:r w:rsidRPr="0015571A">
              <w:rPr>
                <w:rFonts w:cstheme="minorHAnsi"/>
                <w:sz w:val="20"/>
                <w:szCs w:val="20"/>
              </w:rPr>
              <w:t>vođenja</w:t>
            </w:r>
            <w:proofErr w:type="spellEnd"/>
            <w:r w:rsidRPr="0015571A">
              <w:rPr>
                <w:rFonts w:cstheme="minorHAnsi"/>
                <w:sz w:val="20"/>
                <w:szCs w:val="20"/>
              </w:rPr>
              <w:t xml:space="preserve"> </w:t>
            </w:r>
            <w:proofErr w:type="spellStart"/>
            <w:r w:rsidRPr="0015571A">
              <w:rPr>
                <w:rFonts w:cstheme="minorHAnsi"/>
                <w:sz w:val="20"/>
                <w:szCs w:val="20"/>
              </w:rPr>
              <w:t>registra</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40849057" w14:textId="77777777" w:rsidR="00A00D87" w:rsidRPr="0015571A" w:rsidRDefault="00A00D87" w:rsidP="00122946">
            <w:pPr>
              <w:widowControl w:val="0"/>
              <w:pBdr>
                <w:top w:val="nil"/>
                <w:left w:val="nil"/>
                <w:bottom w:val="nil"/>
                <w:right w:val="nil"/>
                <w:between w:val="nil"/>
              </w:pBdr>
              <w:ind w:right="447"/>
              <w:jc w:val="center"/>
              <w:rPr>
                <w:rFonts w:cstheme="minorHAnsi"/>
                <w:sz w:val="20"/>
                <w:szCs w:val="20"/>
              </w:rPr>
            </w:pPr>
            <w:r w:rsidRPr="0015571A">
              <w:rPr>
                <w:rFonts w:cstheme="minorHAnsi"/>
                <w:sz w:val="20"/>
                <w:szCs w:val="20"/>
              </w:rPr>
              <w:t xml:space="preserve">        0</w:t>
            </w:r>
          </w:p>
        </w:tc>
        <w:tc>
          <w:tcPr>
            <w:tcW w:w="1471" w:type="dxa"/>
            <w:tcBorders>
              <w:top w:val="single" w:sz="4" w:space="0" w:color="000000"/>
              <w:left w:val="single" w:sz="4" w:space="0" w:color="auto"/>
              <w:bottom w:val="single" w:sz="4" w:space="0" w:color="000000"/>
              <w:right w:val="single" w:sz="4" w:space="0" w:color="000000"/>
            </w:tcBorders>
            <w:vAlign w:val="center"/>
          </w:tcPr>
          <w:p w14:paraId="38A2425B" w14:textId="77777777" w:rsidR="00A00D87" w:rsidRPr="0015571A" w:rsidRDefault="00A00D87" w:rsidP="00122946">
            <w:pPr>
              <w:spacing w:line="259" w:lineRule="auto"/>
              <w:jc w:val="center"/>
              <w:rPr>
                <w:rFonts w:cstheme="minorHAnsi"/>
                <w:sz w:val="20"/>
                <w:szCs w:val="20"/>
              </w:rPr>
            </w:pPr>
            <w:r w:rsidRPr="0015571A">
              <w:rPr>
                <w:rFonts w:cstheme="minorHAnsi"/>
                <w:sz w:val="20"/>
                <w:szCs w:val="20"/>
              </w:rPr>
              <w:t>79</w:t>
            </w:r>
          </w:p>
        </w:tc>
      </w:tr>
      <w:tr w:rsidR="00A00D87" w:rsidRPr="0015571A" w14:paraId="3CD7CCDB" w14:textId="77777777" w:rsidTr="00122946">
        <w:trPr>
          <w:trHeight w:val="425"/>
        </w:trPr>
        <w:tc>
          <w:tcPr>
            <w:tcW w:w="0" w:type="auto"/>
            <w:vMerge/>
            <w:tcBorders>
              <w:left w:val="single" w:sz="4" w:space="0" w:color="000000"/>
              <w:right w:val="single" w:sz="4" w:space="0" w:color="000000"/>
            </w:tcBorders>
            <w:shd w:val="clear" w:color="auto" w:fill="D9D9D9" w:themeFill="background1" w:themeFillShade="D9"/>
          </w:tcPr>
          <w:p w14:paraId="61F46B9F" w14:textId="77777777" w:rsidR="00A00D87" w:rsidRPr="0015571A" w:rsidRDefault="00A00D87" w:rsidP="00122946">
            <w:pPr>
              <w:spacing w:after="160" w:line="259" w:lineRule="auto"/>
              <w:rPr>
                <w:rFonts w:cstheme="minorHAnsi"/>
                <w:sz w:val="20"/>
                <w:szCs w:val="20"/>
              </w:rPr>
            </w:pPr>
          </w:p>
        </w:tc>
        <w:tc>
          <w:tcPr>
            <w:tcW w:w="3710" w:type="dxa"/>
            <w:tcBorders>
              <w:top w:val="single" w:sz="4" w:space="0" w:color="000000"/>
              <w:left w:val="single" w:sz="4" w:space="0" w:color="000000"/>
              <w:bottom w:val="single" w:sz="4" w:space="0" w:color="BFBFBF"/>
              <w:right w:val="single" w:sz="4" w:space="0" w:color="000000"/>
            </w:tcBorders>
          </w:tcPr>
          <w:p w14:paraId="78D1A52D" w14:textId="77777777" w:rsidR="00A00D87" w:rsidRPr="0015571A" w:rsidRDefault="00A00D87" w:rsidP="00122946">
            <w:pPr>
              <w:spacing w:line="259" w:lineRule="auto"/>
              <w:ind w:left="1"/>
              <w:rPr>
                <w:rFonts w:cstheme="minorHAnsi"/>
                <w:sz w:val="20"/>
                <w:szCs w:val="20"/>
              </w:rPr>
            </w:pPr>
            <w:proofErr w:type="spellStart"/>
            <w:r w:rsidRPr="0015571A">
              <w:rPr>
                <w:rFonts w:cstheme="minorHAnsi"/>
                <w:sz w:val="20"/>
                <w:szCs w:val="20"/>
              </w:rPr>
              <w:t>Broj</w:t>
            </w:r>
            <w:proofErr w:type="spellEnd"/>
            <w:r w:rsidRPr="0015571A">
              <w:rPr>
                <w:rFonts w:cstheme="minorHAnsi"/>
                <w:sz w:val="20"/>
                <w:szCs w:val="20"/>
              </w:rPr>
              <w:t xml:space="preserve"> </w:t>
            </w:r>
            <w:proofErr w:type="spellStart"/>
            <w:r w:rsidRPr="0015571A">
              <w:rPr>
                <w:rFonts w:cstheme="minorHAnsi"/>
                <w:sz w:val="20"/>
                <w:szCs w:val="20"/>
              </w:rPr>
              <w:t>kantona</w:t>
            </w:r>
            <w:proofErr w:type="spellEnd"/>
            <w:r w:rsidRPr="0015571A">
              <w:rPr>
                <w:rFonts w:cstheme="minorHAnsi"/>
                <w:sz w:val="20"/>
                <w:szCs w:val="20"/>
              </w:rPr>
              <w:t>/</w:t>
            </w:r>
            <w:proofErr w:type="spellStart"/>
            <w:r w:rsidRPr="0015571A">
              <w:rPr>
                <w:rFonts w:cstheme="minorHAnsi"/>
                <w:sz w:val="20"/>
                <w:szCs w:val="20"/>
              </w:rPr>
              <w:t>županija</w:t>
            </w:r>
            <w:proofErr w:type="spellEnd"/>
            <w:r w:rsidRPr="0015571A">
              <w:rPr>
                <w:rFonts w:cstheme="minorHAnsi"/>
                <w:sz w:val="20"/>
                <w:szCs w:val="20"/>
              </w:rPr>
              <w:t xml:space="preserve"> koji </w:t>
            </w:r>
            <w:proofErr w:type="spellStart"/>
            <w:r w:rsidRPr="0015571A">
              <w:rPr>
                <w:rFonts w:cstheme="minorHAnsi"/>
                <w:sz w:val="20"/>
                <w:szCs w:val="20"/>
              </w:rPr>
              <w:t>su</w:t>
            </w:r>
            <w:proofErr w:type="spellEnd"/>
            <w:r w:rsidRPr="0015571A">
              <w:rPr>
                <w:rFonts w:cstheme="minorHAnsi"/>
                <w:sz w:val="20"/>
                <w:szCs w:val="20"/>
              </w:rPr>
              <w:t xml:space="preserve"> u </w:t>
            </w:r>
            <w:proofErr w:type="spellStart"/>
            <w:r w:rsidRPr="0015571A">
              <w:rPr>
                <w:rFonts w:cstheme="minorHAnsi"/>
                <w:sz w:val="20"/>
                <w:szCs w:val="20"/>
              </w:rPr>
              <w:t>potpunosti</w:t>
            </w:r>
            <w:proofErr w:type="spellEnd"/>
            <w:r w:rsidRPr="0015571A">
              <w:rPr>
                <w:rFonts w:cstheme="minorHAnsi"/>
                <w:sz w:val="20"/>
                <w:szCs w:val="20"/>
              </w:rPr>
              <w:t xml:space="preserve"> </w:t>
            </w:r>
            <w:proofErr w:type="spellStart"/>
            <w:r w:rsidRPr="0015571A">
              <w:rPr>
                <w:rFonts w:cstheme="minorHAnsi"/>
                <w:sz w:val="20"/>
                <w:szCs w:val="20"/>
              </w:rPr>
              <w:t>implementirali</w:t>
            </w:r>
            <w:proofErr w:type="spellEnd"/>
            <w:r w:rsidRPr="0015571A">
              <w:rPr>
                <w:rFonts w:cstheme="minorHAnsi"/>
                <w:sz w:val="20"/>
                <w:szCs w:val="20"/>
              </w:rPr>
              <w:t xml:space="preserve"> program </w:t>
            </w:r>
            <w:proofErr w:type="spellStart"/>
            <w:r w:rsidRPr="0015571A">
              <w:rPr>
                <w:rFonts w:cstheme="minorHAnsi"/>
                <w:sz w:val="20"/>
                <w:szCs w:val="20"/>
              </w:rPr>
              <w:t>sveobuhvatnog</w:t>
            </w:r>
            <w:proofErr w:type="spellEnd"/>
            <w:r w:rsidRPr="0015571A">
              <w:rPr>
                <w:rFonts w:cstheme="minorHAnsi"/>
                <w:sz w:val="20"/>
                <w:szCs w:val="20"/>
              </w:rPr>
              <w:t xml:space="preserve"> </w:t>
            </w:r>
            <w:proofErr w:type="spellStart"/>
            <w:r w:rsidRPr="0015571A">
              <w:rPr>
                <w:rFonts w:cstheme="minorHAnsi"/>
                <w:sz w:val="20"/>
                <w:szCs w:val="20"/>
              </w:rPr>
              <w:t>digitalnog</w:t>
            </w:r>
            <w:proofErr w:type="spellEnd"/>
            <w:r w:rsidRPr="0015571A">
              <w:rPr>
                <w:rFonts w:cstheme="minorHAnsi"/>
                <w:sz w:val="20"/>
                <w:szCs w:val="20"/>
              </w:rPr>
              <w:t xml:space="preserve"> </w:t>
            </w:r>
            <w:proofErr w:type="spellStart"/>
            <w:r w:rsidRPr="0015571A">
              <w:rPr>
                <w:rFonts w:cstheme="minorHAnsi"/>
                <w:sz w:val="20"/>
                <w:szCs w:val="20"/>
              </w:rPr>
              <w:t>vođenja</w:t>
            </w:r>
            <w:proofErr w:type="spellEnd"/>
            <w:r w:rsidRPr="0015571A">
              <w:rPr>
                <w:rFonts w:cstheme="minorHAnsi"/>
                <w:sz w:val="20"/>
                <w:szCs w:val="20"/>
              </w:rPr>
              <w:t xml:space="preserve"> </w:t>
            </w:r>
            <w:proofErr w:type="spellStart"/>
            <w:r w:rsidRPr="0015571A">
              <w:rPr>
                <w:rFonts w:cstheme="minorHAnsi"/>
                <w:sz w:val="20"/>
                <w:szCs w:val="20"/>
              </w:rPr>
              <w:t>registara</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p>
        </w:tc>
        <w:tc>
          <w:tcPr>
            <w:tcW w:w="2068" w:type="dxa"/>
            <w:tcBorders>
              <w:top w:val="single" w:sz="4" w:space="0" w:color="auto"/>
              <w:left w:val="single" w:sz="4" w:space="0" w:color="000000"/>
              <w:bottom w:val="single" w:sz="4" w:space="0" w:color="BFBFBF"/>
              <w:right w:val="single" w:sz="4" w:space="0" w:color="000000"/>
            </w:tcBorders>
            <w:vAlign w:val="center"/>
          </w:tcPr>
          <w:p w14:paraId="1DBA9733" w14:textId="77777777" w:rsidR="00A00D87" w:rsidRPr="0015571A" w:rsidRDefault="00A00D87" w:rsidP="00122946">
            <w:pPr>
              <w:spacing w:line="259" w:lineRule="auto"/>
              <w:ind w:right="40"/>
              <w:jc w:val="center"/>
              <w:rPr>
                <w:rFonts w:cstheme="minorHAnsi"/>
                <w:sz w:val="20"/>
                <w:szCs w:val="20"/>
              </w:rPr>
            </w:pPr>
            <w:r w:rsidRPr="0015571A">
              <w:rPr>
                <w:rFonts w:cstheme="minorHAnsi"/>
                <w:sz w:val="20"/>
                <w:szCs w:val="20"/>
              </w:rPr>
              <w:t>0</w:t>
            </w:r>
          </w:p>
        </w:tc>
        <w:tc>
          <w:tcPr>
            <w:tcW w:w="1471" w:type="dxa"/>
            <w:tcBorders>
              <w:top w:val="single" w:sz="4" w:space="0" w:color="000000"/>
              <w:left w:val="single" w:sz="4" w:space="0" w:color="000000"/>
              <w:bottom w:val="single" w:sz="4" w:space="0" w:color="BFBFBF"/>
              <w:right w:val="single" w:sz="4" w:space="0" w:color="000000"/>
            </w:tcBorders>
            <w:vAlign w:val="center"/>
          </w:tcPr>
          <w:p w14:paraId="1A475014" w14:textId="77777777" w:rsidR="00A00D87" w:rsidRPr="0015571A" w:rsidRDefault="00A00D87" w:rsidP="00122946">
            <w:pPr>
              <w:spacing w:line="259" w:lineRule="auto"/>
              <w:jc w:val="center"/>
              <w:rPr>
                <w:rFonts w:cstheme="minorHAnsi"/>
                <w:sz w:val="20"/>
                <w:szCs w:val="20"/>
              </w:rPr>
            </w:pPr>
            <w:r w:rsidRPr="0015571A">
              <w:rPr>
                <w:rFonts w:cstheme="minorHAnsi"/>
                <w:sz w:val="20"/>
                <w:szCs w:val="20"/>
              </w:rPr>
              <w:t>10</w:t>
            </w:r>
          </w:p>
        </w:tc>
      </w:tr>
      <w:tr w:rsidR="00A00D87" w:rsidRPr="0015571A" w14:paraId="3E60C4AF"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DAD33D"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Razvojni</w:t>
            </w:r>
            <w:proofErr w:type="spellEnd"/>
            <w:r w:rsidRPr="0015571A">
              <w:rPr>
                <w:rFonts w:cstheme="minorHAnsi"/>
                <w:b/>
                <w:sz w:val="20"/>
                <w:szCs w:val="20"/>
              </w:rPr>
              <w:t xml:space="preserve"> </w:t>
            </w:r>
            <w:proofErr w:type="spellStart"/>
            <w:r w:rsidRPr="0015571A">
              <w:rPr>
                <w:rFonts w:cstheme="minorHAnsi"/>
                <w:b/>
                <w:sz w:val="20"/>
                <w:szCs w:val="20"/>
              </w:rPr>
              <w:t>efekat</w:t>
            </w:r>
            <w:proofErr w:type="spellEnd"/>
            <w:r w:rsidRPr="0015571A">
              <w:rPr>
                <w:rFonts w:cstheme="minorHAnsi"/>
                <w:b/>
                <w:sz w:val="20"/>
                <w:szCs w:val="20"/>
              </w:rPr>
              <w:t xml:space="preserve"> i </w:t>
            </w:r>
            <w:proofErr w:type="spellStart"/>
            <w:r w:rsidRPr="0015571A">
              <w:rPr>
                <w:rFonts w:cstheme="minorHAnsi"/>
                <w:b/>
                <w:sz w:val="20"/>
                <w:szCs w:val="20"/>
              </w:rPr>
              <w:t>doprinos</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roofErr w:type="spellStart"/>
            <w:r w:rsidRPr="0015571A">
              <w:rPr>
                <w:rFonts w:cstheme="minorHAnsi"/>
                <w:b/>
                <w:sz w:val="20"/>
                <w:szCs w:val="20"/>
              </w:rPr>
              <w:t>ostvarenju</w:t>
            </w:r>
            <w:proofErr w:type="spellEnd"/>
            <w:r w:rsidRPr="0015571A">
              <w:rPr>
                <w:rFonts w:cstheme="minorHAnsi"/>
                <w:b/>
                <w:sz w:val="20"/>
                <w:szCs w:val="20"/>
              </w:rPr>
              <w:t xml:space="preserve"> </w:t>
            </w:r>
            <w:proofErr w:type="spellStart"/>
            <w:r w:rsidRPr="0015571A">
              <w:rPr>
                <w:rFonts w:cstheme="minorHAnsi"/>
                <w:b/>
                <w:sz w:val="20"/>
                <w:szCs w:val="20"/>
              </w:rPr>
              <w:t>prioriteta</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0EE6914C" w14:textId="77777777" w:rsidR="00A00D87" w:rsidRPr="0015571A" w:rsidRDefault="00A00D87" w:rsidP="00E6560A">
            <w:pPr>
              <w:spacing w:line="259" w:lineRule="auto"/>
              <w:ind w:left="1"/>
              <w:jc w:val="both"/>
              <w:rPr>
                <w:rFonts w:cstheme="minorHAnsi"/>
                <w:sz w:val="20"/>
                <w:szCs w:val="20"/>
              </w:rPr>
            </w:pPr>
            <w:proofErr w:type="spellStart"/>
            <w:r w:rsidRPr="0015571A">
              <w:rPr>
                <w:rFonts w:cstheme="minorHAnsi"/>
                <w:sz w:val="20"/>
                <w:szCs w:val="20"/>
              </w:rPr>
              <w:t>Unaprijeđenje</w:t>
            </w:r>
            <w:proofErr w:type="spellEnd"/>
            <w:r w:rsidRPr="0015571A">
              <w:rPr>
                <w:rFonts w:cstheme="minorHAnsi"/>
                <w:sz w:val="20"/>
                <w:szCs w:val="20"/>
              </w:rPr>
              <w:t xml:space="preserve"> </w:t>
            </w:r>
            <w:proofErr w:type="spellStart"/>
            <w:r w:rsidRPr="0015571A">
              <w:rPr>
                <w:rFonts w:cstheme="minorHAnsi"/>
                <w:sz w:val="20"/>
                <w:szCs w:val="20"/>
              </w:rPr>
              <w:t>međusektorske</w:t>
            </w:r>
            <w:proofErr w:type="spellEnd"/>
            <w:r w:rsidRPr="0015571A">
              <w:rPr>
                <w:rFonts w:cstheme="minorHAnsi"/>
                <w:sz w:val="20"/>
                <w:szCs w:val="20"/>
              </w:rPr>
              <w:t xml:space="preserve"> </w:t>
            </w:r>
            <w:proofErr w:type="spellStart"/>
            <w:r w:rsidRPr="0015571A">
              <w:rPr>
                <w:rFonts w:cstheme="minorHAnsi"/>
                <w:sz w:val="20"/>
                <w:szCs w:val="20"/>
              </w:rPr>
              <w:t>saradnje</w:t>
            </w:r>
            <w:proofErr w:type="spellEnd"/>
            <w:r w:rsidRPr="0015571A">
              <w:rPr>
                <w:rFonts w:cstheme="minorHAnsi"/>
                <w:sz w:val="20"/>
                <w:szCs w:val="20"/>
              </w:rPr>
              <w:t xml:space="preserve"> i </w:t>
            </w:r>
            <w:proofErr w:type="spellStart"/>
            <w:r w:rsidRPr="0015571A">
              <w:rPr>
                <w:rFonts w:cstheme="minorHAnsi"/>
                <w:sz w:val="20"/>
                <w:szCs w:val="20"/>
              </w:rPr>
              <w:t>bolja</w:t>
            </w:r>
            <w:proofErr w:type="spellEnd"/>
            <w:r w:rsidRPr="0015571A">
              <w:rPr>
                <w:rFonts w:cstheme="minorHAnsi"/>
                <w:sz w:val="20"/>
                <w:szCs w:val="20"/>
              </w:rPr>
              <w:t xml:space="preserve"> </w:t>
            </w:r>
            <w:proofErr w:type="spellStart"/>
            <w:r w:rsidRPr="0015571A">
              <w:rPr>
                <w:rFonts w:cstheme="minorHAnsi"/>
                <w:sz w:val="20"/>
                <w:szCs w:val="20"/>
              </w:rPr>
              <w:t>dostupnost</w:t>
            </w:r>
            <w:proofErr w:type="spellEnd"/>
            <w:r w:rsidRPr="0015571A">
              <w:rPr>
                <w:rFonts w:cstheme="minorHAnsi"/>
                <w:sz w:val="20"/>
                <w:szCs w:val="20"/>
              </w:rPr>
              <w:t xml:space="preserve"> </w:t>
            </w:r>
            <w:bookmarkStart w:id="262" w:name="_Hlk126537787"/>
            <w:proofErr w:type="spellStart"/>
            <w:r w:rsidRPr="0015571A">
              <w:rPr>
                <w:rFonts w:cstheme="minorHAnsi"/>
                <w:sz w:val="20"/>
                <w:szCs w:val="20"/>
              </w:rPr>
              <w:t>informacijama</w:t>
            </w:r>
            <w:proofErr w:type="spellEnd"/>
            <w:r w:rsidRPr="0015571A">
              <w:rPr>
                <w:rFonts w:cstheme="minorHAnsi"/>
                <w:sz w:val="20"/>
                <w:szCs w:val="20"/>
              </w:rPr>
              <w:t xml:space="preserve"> </w:t>
            </w:r>
            <w:proofErr w:type="spellStart"/>
            <w:r w:rsidRPr="0015571A">
              <w:rPr>
                <w:rFonts w:cstheme="minorHAnsi"/>
                <w:sz w:val="20"/>
                <w:szCs w:val="20"/>
              </w:rPr>
              <w:t>vezano</w:t>
            </w:r>
            <w:proofErr w:type="spellEnd"/>
            <w:r w:rsidRPr="0015571A">
              <w:rPr>
                <w:rFonts w:cstheme="minorHAnsi"/>
                <w:sz w:val="20"/>
                <w:szCs w:val="20"/>
              </w:rPr>
              <w:t xml:space="preserve"> za </w:t>
            </w:r>
            <w:proofErr w:type="spellStart"/>
            <w:r w:rsidRPr="0015571A">
              <w:rPr>
                <w:rFonts w:cstheme="minorHAnsi"/>
                <w:sz w:val="20"/>
                <w:szCs w:val="20"/>
              </w:rPr>
              <w:t>značaj</w:t>
            </w:r>
            <w:proofErr w:type="spellEnd"/>
            <w:r w:rsidRPr="0015571A">
              <w:rPr>
                <w:rFonts w:cstheme="minorHAnsi"/>
                <w:sz w:val="20"/>
                <w:szCs w:val="20"/>
              </w:rPr>
              <w:t xml:space="preserve"> i </w:t>
            </w:r>
            <w:proofErr w:type="spellStart"/>
            <w:r w:rsidRPr="0015571A">
              <w:rPr>
                <w:rFonts w:cstheme="minorHAnsi"/>
                <w:sz w:val="20"/>
                <w:szCs w:val="20"/>
              </w:rPr>
              <w:t>proces</w:t>
            </w:r>
            <w:proofErr w:type="spellEnd"/>
            <w:r w:rsidRPr="0015571A">
              <w:rPr>
                <w:rFonts w:cstheme="minorHAnsi"/>
                <w:sz w:val="20"/>
                <w:szCs w:val="20"/>
              </w:rPr>
              <w:t xml:space="preserve"> </w:t>
            </w:r>
            <w:proofErr w:type="spellStart"/>
            <w:r w:rsidRPr="0015571A">
              <w:rPr>
                <w:rFonts w:cstheme="minorHAnsi"/>
                <w:sz w:val="20"/>
                <w:szCs w:val="20"/>
              </w:rPr>
              <w:t>energijske</w:t>
            </w:r>
            <w:proofErr w:type="spellEnd"/>
            <w:r w:rsidRPr="0015571A">
              <w:rPr>
                <w:rFonts w:cstheme="minorHAnsi"/>
                <w:sz w:val="20"/>
                <w:szCs w:val="20"/>
              </w:rPr>
              <w:t xml:space="preserve"> </w:t>
            </w:r>
            <w:proofErr w:type="spellStart"/>
            <w:r w:rsidRPr="0015571A">
              <w:rPr>
                <w:rFonts w:cstheme="minorHAnsi"/>
                <w:sz w:val="20"/>
                <w:szCs w:val="20"/>
              </w:rPr>
              <w:t>obnove</w:t>
            </w:r>
            <w:bookmarkEnd w:id="262"/>
            <w:proofErr w:type="spellEnd"/>
            <w:r w:rsidRPr="0015571A">
              <w:rPr>
                <w:rFonts w:cstheme="minorHAnsi"/>
                <w:sz w:val="20"/>
                <w:szCs w:val="20"/>
              </w:rPr>
              <w:t xml:space="preserve">, </w:t>
            </w:r>
            <w:proofErr w:type="spellStart"/>
            <w:r w:rsidRPr="0015571A">
              <w:rPr>
                <w:rFonts w:cstheme="minorHAnsi"/>
                <w:sz w:val="20"/>
                <w:szCs w:val="20"/>
              </w:rPr>
              <w:t>omogućit</w:t>
            </w:r>
            <w:proofErr w:type="spellEnd"/>
            <w:r w:rsidRPr="0015571A">
              <w:rPr>
                <w:rFonts w:cstheme="minorHAnsi"/>
                <w:sz w:val="20"/>
                <w:szCs w:val="20"/>
              </w:rPr>
              <w:t xml:space="preserve"> </w:t>
            </w:r>
            <w:proofErr w:type="spellStart"/>
            <w:r w:rsidRPr="0015571A">
              <w:rPr>
                <w:rFonts w:cstheme="minorHAnsi"/>
                <w:sz w:val="20"/>
                <w:szCs w:val="20"/>
              </w:rPr>
              <w:t>će</w:t>
            </w:r>
            <w:proofErr w:type="spellEnd"/>
            <w:r w:rsidRPr="0015571A">
              <w:rPr>
                <w:rFonts w:cstheme="minorHAnsi"/>
                <w:sz w:val="20"/>
                <w:szCs w:val="20"/>
              </w:rPr>
              <w:t xml:space="preserve"> </w:t>
            </w:r>
            <w:proofErr w:type="spellStart"/>
            <w:r w:rsidRPr="0015571A">
              <w:rPr>
                <w:rFonts w:cstheme="minorHAnsi"/>
                <w:sz w:val="20"/>
                <w:szCs w:val="20"/>
              </w:rPr>
              <w:t>kreiranje</w:t>
            </w:r>
            <w:proofErr w:type="spellEnd"/>
            <w:r w:rsidRPr="0015571A">
              <w:rPr>
                <w:rFonts w:cstheme="minorHAnsi"/>
                <w:sz w:val="20"/>
                <w:szCs w:val="20"/>
              </w:rPr>
              <w:t xml:space="preserve"> </w:t>
            </w:r>
            <w:proofErr w:type="spellStart"/>
            <w:r w:rsidRPr="0015571A">
              <w:rPr>
                <w:rFonts w:cstheme="minorHAnsi"/>
                <w:sz w:val="20"/>
                <w:szCs w:val="20"/>
              </w:rPr>
              <w:t>novih</w:t>
            </w:r>
            <w:proofErr w:type="spellEnd"/>
            <w:r w:rsidRPr="0015571A">
              <w:rPr>
                <w:rFonts w:cstheme="minorHAnsi"/>
                <w:sz w:val="20"/>
                <w:szCs w:val="20"/>
              </w:rPr>
              <w:t xml:space="preserve"> </w:t>
            </w:r>
            <w:proofErr w:type="spellStart"/>
            <w:r w:rsidRPr="0015571A">
              <w:rPr>
                <w:rFonts w:cstheme="minorHAnsi"/>
                <w:sz w:val="20"/>
                <w:szCs w:val="20"/>
              </w:rPr>
              <w:t>radnih</w:t>
            </w:r>
            <w:proofErr w:type="spellEnd"/>
            <w:r w:rsidRPr="0015571A">
              <w:rPr>
                <w:rFonts w:cstheme="minorHAnsi"/>
                <w:sz w:val="20"/>
                <w:szCs w:val="20"/>
              </w:rPr>
              <w:t xml:space="preserve"> </w:t>
            </w:r>
            <w:proofErr w:type="spellStart"/>
            <w:r w:rsidRPr="0015571A">
              <w:rPr>
                <w:rFonts w:cstheme="minorHAnsi"/>
                <w:sz w:val="20"/>
                <w:szCs w:val="20"/>
              </w:rPr>
              <w:t>mjesta</w:t>
            </w:r>
            <w:proofErr w:type="spellEnd"/>
            <w:r w:rsidRPr="0015571A">
              <w:rPr>
                <w:rFonts w:cstheme="minorHAnsi"/>
                <w:sz w:val="20"/>
                <w:szCs w:val="20"/>
              </w:rPr>
              <w:t xml:space="preserve"> u </w:t>
            </w:r>
            <w:proofErr w:type="spellStart"/>
            <w:r w:rsidRPr="0015571A">
              <w:rPr>
                <w:rFonts w:cstheme="minorHAnsi"/>
                <w:sz w:val="20"/>
                <w:szCs w:val="20"/>
              </w:rPr>
              <w:t>građevinskim</w:t>
            </w:r>
            <w:proofErr w:type="spellEnd"/>
            <w:r w:rsidRPr="0015571A">
              <w:rPr>
                <w:rFonts w:cstheme="minorHAnsi"/>
                <w:sz w:val="20"/>
                <w:szCs w:val="20"/>
              </w:rPr>
              <w:t xml:space="preserve">, </w:t>
            </w:r>
            <w:proofErr w:type="spellStart"/>
            <w:r w:rsidRPr="0015571A">
              <w:rPr>
                <w:rFonts w:cstheme="minorHAnsi"/>
                <w:sz w:val="20"/>
                <w:szCs w:val="20"/>
              </w:rPr>
              <w:t>konsultantskim</w:t>
            </w:r>
            <w:proofErr w:type="spellEnd"/>
            <w:r w:rsidRPr="0015571A">
              <w:rPr>
                <w:rFonts w:cstheme="minorHAnsi"/>
                <w:sz w:val="20"/>
                <w:szCs w:val="20"/>
              </w:rPr>
              <w:t xml:space="preserve">, </w:t>
            </w:r>
            <w:proofErr w:type="spellStart"/>
            <w:r w:rsidRPr="0015571A">
              <w:rPr>
                <w:rFonts w:cstheme="minorHAnsi"/>
                <w:sz w:val="20"/>
                <w:szCs w:val="20"/>
              </w:rPr>
              <w:t>projektantskim</w:t>
            </w:r>
            <w:proofErr w:type="spellEnd"/>
            <w:r w:rsidRPr="0015571A">
              <w:rPr>
                <w:rFonts w:cstheme="minorHAnsi"/>
                <w:sz w:val="20"/>
                <w:szCs w:val="20"/>
              </w:rPr>
              <w:t xml:space="preserve"> i </w:t>
            </w:r>
            <w:proofErr w:type="spellStart"/>
            <w:r w:rsidRPr="0015571A">
              <w:rPr>
                <w:rFonts w:cstheme="minorHAnsi"/>
                <w:sz w:val="20"/>
                <w:szCs w:val="20"/>
              </w:rPr>
              <w:t>drugim</w:t>
            </w:r>
            <w:proofErr w:type="spellEnd"/>
            <w:r w:rsidRPr="0015571A">
              <w:rPr>
                <w:rFonts w:cstheme="minorHAnsi"/>
                <w:sz w:val="20"/>
                <w:szCs w:val="20"/>
              </w:rPr>
              <w:t xml:space="preserve"> </w:t>
            </w:r>
            <w:proofErr w:type="spellStart"/>
            <w:r w:rsidRPr="0015571A">
              <w:rPr>
                <w:rFonts w:cstheme="minorHAnsi"/>
                <w:sz w:val="20"/>
                <w:szCs w:val="20"/>
              </w:rPr>
              <w:t>granama</w:t>
            </w:r>
            <w:proofErr w:type="spellEnd"/>
            <w:r w:rsidRPr="0015571A">
              <w:rPr>
                <w:rFonts w:cstheme="minorHAnsi"/>
                <w:sz w:val="20"/>
                <w:szCs w:val="20"/>
              </w:rPr>
              <w:t xml:space="preserve"> </w:t>
            </w:r>
            <w:proofErr w:type="spellStart"/>
            <w:r w:rsidRPr="0015571A">
              <w:rPr>
                <w:rFonts w:cstheme="minorHAnsi"/>
                <w:sz w:val="20"/>
                <w:szCs w:val="20"/>
              </w:rPr>
              <w:t>privrede</w:t>
            </w:r>
            <w:proofErr w:type="spellEnd"/>
            <w:r w:rsidRPr="0015571A">
              <w:rPr>
                <w:rFonts w:cstheme="minorHAnsi"/>
                <w:sz w:val="20"/>
                <w:szCs w:val="20"/>
              </w:rPr>
              <w:t xml:space="preserve">, </w:t>
            </w:r>
            <w:proofErr w:type="spellStart"/>
            <w:r w:rsidRPr="0015571A">
              <w:rPr>
                <w:rFonts w:cstheme="minorHAnsi"/>
                <w:sz w:val="20"/>
                <w:szCs w:val="20"/>
              </w:rPr>
              <w:t>te</w:t>
            </w:r>
            <w:proofErr w:type="spellEnd"/>
            <w:r w:rsidRPr="0015571A">
              <w:rPr>
                <w:rFonts w:cstheme="minorHAnsi"/>
                <w:sz w:val="20"/>
                <w:szCs w:val="20"/>
              </w:rPr>
              <w:t xml:space="preserve"> </w:t>
            </w:r>
            <w:proofErr w:type="spellStart"/>
            <w:r w:rsidRPr="0015571A">
              <w:rPr>
                <w:rFonts w:cstheme="minorHAnsi"/>
                <w:sz w:val="20"/>
                <w:szCs w:val="20"/>
              </w:rPr>
              <w:t>ubrzati</w:t>
            </w:r>
            <w:proofErr w:type="spellEnd"/>
            <w:r w:rsidRPr="0015571A">
              <w:rPr>
                <w:rFonts w:cstheme="minorHAnsi"/>
                <w:sz w:val="20"/>
                <w:szCs w:val="20"/>
              </w:rPr>
              <w:t xml:space="preserve"> </w:t>
            </w:r>
            <w:proofErr w:type="spellStart"/>
            <w:r w:rsidRPr="0015571A">
              <w:rPr>
                <w:rFonts w:cstheme="minorHAnsi"/>
                <w:sz w:val="20"/>
                <w:szCs w:val="20"/>
              </w:rPr>
              <w:t>proces</w:t>
            </w:r>
            <w:proofErr w:type="spellEnd"/>
            <w:r w:rsidRPr="0015571A">
              <w:rPr>
                <w:rFonts w:cstheme="minorHAnsi"/>
                <w:sz w:val="20"/>
                <w:szCs w:val="20"/>
              </w:rPr>
              <w:t xml:space="preserve"> </w:t>
            </w:r>
            <w:proofErr w:type="spellStart"/>
            <w:r w:rsidRPr="0015571A">
              <w:rPr>
                <w:rFonts w:cstheme="minorHAnsi"/>
                <w:sz w:val="20"/>
                <w:szCs w:val="20"/>
              </w:rPr>
              <w:t>energijske</w:t>
            </w:r>
            <w:proofErr w:type="spellEnd"/>
            <w:r w:rsidRPr="0015571A">
              <w:rPr>
                <w:rFonts w:cstheme="minorHAnsi"/>
                <w:sz w:val="20"/>
                <w:szCs w:val="20"/>
              </w:rPr>
              <w:t xml:space="preserve"> </w:t>
            </w:r>
            <w:proofErr w:type="spellStart"/>
            <w:r w:rsidRPr="0015571A">
              <w:rPr>
                <w:rFonts w:cstheme="minorHAnsi"/>
                <w:sz w:val="20"/>
                <w:szCs w:val="20"/>
              </w:rPr>
              <w:t>obnove</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r w:rsidRPr="0015571A">
              <w:rPr>
                <w:rFonts w:cstheme="minorHAnsi"/>
                <w:sz w:val="20"/>
                <w:szCs w:val="20"/>
              </w:rPr>
              <w:t>.</w:t>
            </w:r>
          </w:p>
        </w:tc>
      </w:tr>
      <w:tr w:rsidR="00A00D87" w:rsidRPr="0015571A" w14:paraId="4EFFF99C" w14:textId="77777777" w:rsidTr="00122946">
        <w:trPr>
          <w:trHeight w:val="104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16650A2" w14:textId="32B7989D"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Indikativna</w:t>
            </w:r>
            <w:proofErr w:type="spellEnd"/>
            <w:r w:rsidRPr="0015571A">
              <w:rPr>
                <w:rFonts w:cstheme="minorHAnsi"/>
                <w:b/>
                <w:sz w:val="20"/>
                <w:szCs w:val="20"/>
              </w:rPr>
              <w:t xml:space="preserve"> </w:t>
            </w:r>
            <w:proofErr w:type="spellStart"/>
            <w:r w:rsidR="007B690C" w:rsidRPr="0015571A">
              <w:rPr>
                <w:rFonts w:cstheme="minorHAnsi"/>
                <w:b/>
                <w:sz w:val="20"/>
                <w:szCs w:val="20"/>
              </w:rPr>
              <w:t>financ</w:t>
            </w:r>
            <w:r w:rsidRPr="0015571A">
              <w:rPr>
                <w:rFonts w:cstheme="minorHAnsi"/>
                <w:b/>
                <w:sz w:val="20"/>
                <w:szCs w:val="20"/>
              </w:rPr>
              <w:t>ijska</w:t>
            </w:r>
            <w:proofErr w:type="spellEnd"/>
            <w:r w:rsidRPr="0015571A">
              <w:rPr>
                <w:rFonts w:cstheme="minorHAnsi"/>
                <w:b/>
                <w:sz w:val="20"/>
                <w:szCs w:val="20"/>
              </w:rPr>
              <w:t xml:space="preserve"> </w:t>
            </w:r>
            <w:proofErr w:type="spellStart"/>
            <w:r w:rsidRPr="0015571A">
              <w:rPr>
                <w:rFonts w:cstheme="minorHAnsi"/>
                <w:b/>
                <w:sz w:val="20"/>
                <w:szCs w:val="20"/>
              </w:rPr>
              <w:t>konstrukcija</w:t>
            </w:r>
            <w:proofErr w:type="spellEnd"/>
            <w:r w:rsidRPr="0015571A">
              <w:rPr>
                <w:rFonts w:cstheme="minorHAnsi"/>
                <w:b/>
                <w:sz w:val="20"/>
                <w:szCs w:val="20"/>
              </w:rPr>
              <w:t xml:space="preserve"> </w:t>
            </w:r>
            <w:proofErr w:type="spellStart"/>
            <w:r w:rsidRPr="0015571A">
              <w:rPr>
                <w:rFonts w:cstheme="minorHAnsi"/>
                <w:b/>
                <w:sz w:val="20"/>
                <w:szCs w:val="20"/>
              </w:rPr>
              <w:t>sa</w:t>
            </w:r>
            <w:proofErr w:type="spellEnd"/>
            <w:r w:rsidRPr="0015571A">
              <w:rPr>
                <w:rFonts w:cstheme="minorHAnsi"/>
                <w:b/>
                <w:sz w:val="20"/>
                <w:szCs w:val="20"/>
              </w:rPr>
              <w:t xml:space="preserve"> </w:t>
            </w:r>
            <w:proofErr w:type="spellStart"/>
            <w:r w:rsidRPr="0015571A">
              <w:rPr>
                <w:rFonts w:cstheme="minorHAnsi"/>
                <w:b/>
                <w:sz w:val="20"/>
                <w:szCs w:val="20"/>
              </w:rPr>
              <w:t>izvorima</w:t>
            </w:r>
            <w:proofErr w:type="spellEnd"/>
            <w:r w:rsidRPr="0015571A">
              <w:rPr>
                <w:rFonts w:cstheme="minorHAnsi"/>
                <w:b/>
                <w:sz w:val="20"/>
                <w:szCs w:val="20"/>
              </w:rPr>
              <w:t xml:space="preserve"> </w:t>
            </w:r>
            <w:proofErr w:type="spellStart"/>
            <w:r w:rsidR="007B690C" w:rsidRPr="0015571A">
              <w:rPr>
                <w:rFonts w:cstheme="minorHAnsi"/>
                <w:b/>
                <w:sz w:val="20"/>
                <w:szCs w:val="20"/>
              </w:rPr>
              <w:t>financ</w:t>
            </w:r>
            <w:r w:rsidRPr="0015571A">
              <w:rPr>
                <w:rFonts w:cstheme="minorHAnsi"/>
                <w:b/>
                <w:sz w:val="20"/>
                <w:szCs w:val="20"/>
              </w:rPr>
              <w:t>iranja</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6D300F45" w14:textId="77777777" w:rsidR="00A00D87" w:rsidRPr="0015571A" w:rsidRDefault="00A00D87" w:rsidP="00122946">
            <w:pPr>
              <w:spacing w:line="259" w:lineRule="auto"/>
              <w:ind w:left="1"/>
              <w:rPr>
                <w:rFonts w:cstheme="minorHAnsi"/>
                <w:sz w:val="20"/>
                <w:szCs w:val="20"/>
              </w:rPr>
            </w:pPr>
            <w:proofErr w:type="spellStart"/>
            <w:r w:rsidRPr="0015571A">
              <w:rPr>
                <w:rFonts w:cstheme="minorHAnsi"/>
                <w:sz w:val="20"/>
                <w:szCs w:val="20"/>
              </w:rPr>
              <w:t>Iznos</w:t>
            </w:r>
            <w:proofErr w:type="spellEnd"/>
            <w:r w:rsidRPr="0015571A">
              <w:rPr>
                <w:rFonts w:cstheme="minorHAnsi"/>
                <w:sz w:val="20"/>
                <w:szCs w:val="20"/>
              </w:rPr>
              <w:t>: 77,40 mil. KM</w:t>
            </w:r>
          </w:p>
          <w:p w14:paraId="67C6C1A6" w14:textId="77777777" w:rsidR="00A00D87" w:rsidRPr="0015571A" w:rsidRDefault="00A00D87" w:rsidP="00122946">
            <w:pPr>
              <w:spacing w:line="259" w:lineRule="auto"/>
              <w:ind w:left="1"/>
              <w:rPr>
                <w:rFonts w:cstheme="minorHAnsi"/>
                <w:sz w:val="20"/>
                <w:szCs w:val="20"/>
              </w:rPr>
            </w:pPr>
            <w:proofErr w:type="spellStart"/>
            <w:r w:rsidRPr="0015571A">
              <w:rPr>
                <w:rFonts w:cstheme="minorHAnsi"/>
                <w:sz w:val="20"/>
                <w:szCs w:val="20"/>
              </w:rPr>
              <w:t>Izvor</w:t>
            </w:r>
            <w:proofErr w:type="spellEnd"/>
            <w:r w:rsidRPr="0015571A">
              <w:rPr>
                <w:rFonts w:cstheme="minorHAnsi"/>
                <w:sz w:val="20"/>
                <w:szCs w:val="20"/>
              </w:rPr>
              <w:t xml:space="preserve">: </w:t>
            </w:r>
            <w:proofErr w:type="spellStart"/>
            <w:r w:rsidRPr="0015571A">
              <w:rPr>
                <w:rFonts w:cstheme="minorHAnsi"/>
                <w:sz w:val="20"/>
                <w:szCs w:val="20"/>
              </w:rPr>
              <w:t>Budžet</w:t>
            </w:r>
            <w:proofErr w:type="spellEnd"/>
            <w:r w:rsidRPr="0015571A">
              <w:rPr>
                <w:rFonts w:cstheme="minorHAnsi"/>
                <w:sz w:val="20"/>
                <w:szCs w:val="20"/>
              </w:rPr>
              <w:t xml:space="preserve"> </w:t>
            </w:r>
            <w:proofErr w:type="spellStart"/>
            <w:r w:rsidRPr="0015571A">
              <w:rPr>
                <w:rFonts w:cstheme="minorHAnsi"/>
                <w:sz w:val="20"/>
                <w:szCs w:val="20"/>
              </w:rPr>
              <w:t>institucija</w:t>
            </w:r>
            <w:proofErr w:type="spellEnd"/>
            <w:r w:rsidRPr="0015571A">
              <w:rPr>
                <w:rFonts w:cstheme="minorHAnsi"/>
                <w:sz w:val="20"/>
                <w:szCs w:val="20"/>
              </w:rPr>
              <w:t xml:space="preserve">, </w:t>
            </w:r>
            <w:proofErr w:type="spellStart"/>
            <w:r w:rsidRPr="0015571A">
              <w:rPr>
                <w:rFonts w:cstheme="minorHAnsi"/>
                <w:sz w:val="20"/>
                <w:szCs w:val="20"/>
              </w:rPr>
              <w:t>ostali</w:t>
            </w:r>
            <w:proofErr w:type="spellEnd"/>
            <w:r w:rsidRPr="0015571A">
              <w:rPr>
                <w:rFonts w:cstheme="minorHAnsi"/>
                <w:sz w:val="20"/>
                <w:szCs w:val="20"/>
              </w:rPr>
              <w:t xml:space="preserve"> </w:t>
            </w:r>
            <w:proofErr w:type="spellStart"/>
            <w:r w:rsidRPr="0015571A">
              <w:rPr>
                <w:rFonts w:cstheme="minorHAnsi"/>
                <w:sz w:val="20"/>
                <w:szCs w:val="20"/>
              </w:rPr>
              <w:t>izvori</w:t>
            </w:r>
            <w:proofErr w:type="spellEnd"/>
          </w:p>
        </w:tc>
      </w:tr>
      <w:tr w:rsidR="00A00D87" w:rsidRPr="0015571A" w14:paraId="1A1B8739" w14:textId="77777777" w:rsidTr="00122946">
        <w:trPr>
          <w:trHeight w:val="63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17BC9F" w14:textId="77777777" w:rsidR="00A00D87" w:rsidRPr="0015571A" w:rsidRDefault="00A00D87" w:rsidP="00122946">
            <w:pPr>
              <w:spacing w:line="259" w:lineRule="auto"/>
              <w:rPr>
                <w:rFonts w:cstheme="minorHAnsi"/>
                <w:sz w:val="20"/>
                <w:szCs w:val="20"/>
              </w:rPr>
            </w:pPr>
            <w:r w:rsidRPr="0015571A">
              <w:rPr>
                <w:rFonts w:cstheme="minorHAnsi"/>
                <w:b/>
                <w:sz w:val="20"/>
                <w:szCs w:val="20"/>
              </w:rPr>
              <w:lastRenderedPageBreak/>
              <w:t xml:space="preserve">Period </w:t>
            </w:r>
            <w:proofErr w:type="spellStart"/>
            <w:r w:rsidRPr="0015571A">
              <w:rPr>
                <w:rFonts w:cstheme="minorHAnsi"/>
                <w:b/>
                <w:sz w:val="20"/>
                <w:szCs w:val="20"/>
              </w:rPr>
              <w:t>implementacije</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22AC0FA2" w14:textId="77777777" w:rsidR="00A00D87" w:rsidRPr="0015571A" w:rsidRDefault="00A00D87" w:rsidP="00E6560A">
            <w:pPr>
              <w:ind w:left="1"/>
              <w:jc w:val="both"/>
              <w:rPr>
                <w:rFonts w:cstheme="minorHAnsi"/>
                <w:sz w:val="20"/>
                <w:szCs w:val="20"/>
              </w:rPr>
            </w:pPr>
            <w:r w:rsidRPr="0015571A">
              <w:rPr>
                <w:rFonts w:cstheme="minorHAnsi"/>
                <w:sz w:val="20"/>
                <w:szCs w:val="20"/>
              </w:rPr>
              <w:t>2022-2024. (</w:t>
            </w:r>
            <w:proofErr w:type="spellStart"/>
            <w:proofErr w:type="gramStart"/>
            <w:r w:rsidRPr="0015571A">
              <w:rPr>
                <w:rFonts w:cstheme="minorHAnsi"/>
                <w:sz w:val="20"/>
                <w:szCs w:val="20"/>
              </w:rPr>
              <w:t>uspostavljanje</w:t>
            </w:r>
            <w:proofErr w:type="spellEnd"/>
            <w:proofErr w:type="gramEnd"/>
            <w:r w:rsidRPr="0015571A">
              <w:rPr>
                <w:rFonts w:cstheme="minorHAnsi"/>
                <w:sz w:val="20"/>
                <w:szCs w:val="20"/>
              </w:rPr>
              <w:t xml:space="preserve"> </w:t>
            </w:r>
            <w:proofErr w:type="spellStart"/>
            <w:r w:rsidRPr="0015571A">
              <w:rPr>
                <w:rFonts w:cstheme="minorHAnsi"/>
                <w:sz w:val="20"/>
                <w:szCs w:val="20"/>
              </w:rPr>
              <w:t>sveobuhvatnog</w:t>
            </w:r>
            <w:proofErr w:type="spellEnd"/>
            <w:r w:rsidRPr="0015571A">
              <w:rPr>
                <w:rFonts w:cstheme="minorHAnsi"/>
                <w:sz w:val="20"/>
                <w:szCs w:val="20"/>
              </w:rPr>
              <w:t xml:space="preserve"> i </w:t>
            </w:r>
            <w:proofErr w:type="spellStart"/>
            <w:r w:rsidRPr="0015571A">
              <w:rPr>
                <w:rFonts w:cstheme="minorHAnsi"/>
                <w:sz w:val="20"/>
                <w:szCs w:val="20"/>
              </w:rPr>
              <w:t>integriranog</w:t>
            </w:r>
            <w:proofErr w:type="spellEnd"/>
            <w:r w:rsidRPr="0015571A">
              <w:rPr>
                <w:rFonts w:cstheme="minorHAnsi"/>
                <w:sz w:val="20"/>
                <w:szCs w:val="20"/>
              </w:rPr>
              <w:t xml:space="preserve"> </w:t>
            </w:r>
            <w:proofErr w:type="spellStart"/>
            <w:r w:rsidRPr="0015571A">
              <w:rPr>
                <w:rFonts w:cstheme="minorHAnsi"/>
                <w:sz w:val="20"/>
                <w:szCs w:val="20"/>
              </w:rPr>
              <w:t>informacionog</w:t>
            </w:r>
            <w:proofErr w:type="spellEnd"/>
            <w:r w:rsidRPr="0015571A">
              <w:rPr>
                <w:rFonts w:cstheme="minorHAnsi"/>
                <w:sz w:val="20"/>
                <w:szCs w:val="20"/>
              </w:rPr>
              <w:t xml:space="preserve"> </w:t>
            </w:r>
            <w:proofErr w:type="spellStart"/>
            <w:r w:rsidRPr="0015571A">
              <w:rPr>
                <w:rFonts w:cstheme="minorHAnsi"/>
                <w:sz w:val="20"/>
                <w:szCs w:val="20"/>
              </w:rPr>
              <w:t>sistema</w:t>
            </w:r>
            <w:proofErr w:type="spellEnd"/>
            <w:r w:rsidRPr="0015571A">
              <w:rPr>
                <w:rFonts w:cstheme="minorHAnsi"/>
                <w:sz w:val="20"/>
                <w:szCs w:val="20"/>
              </w:rPr>
              <w:t xml:space="preserve">, </w:t>
            </w:r>
            <w:proofErr w:type="spellStart"/>
            <w:r w:rsidRPr="0015571A">
              <w:rPr>
                <w:rFonts w:cstheme="minorHAnsi"/>
                <w:sz w:val="20"/>
                <w:szCs w:val="20"/>
              </w:rPr>
              <w:t>te</w:t>
            </w:r>
            <w:proofErr w:type="spellEnd"/>
            <w:r w:rsidRPr="0015571A">
              <w:rPr>
                <w:rFonts w:cstheme="minorHAnsi"/>
                <w:sz w:val="20"/>
                <w:szCs w:val="20"/>
              </w:rPr>
              <w:t xml:space="preserve"> </w:t>
            </w:r>
            <w:proofErr w:type="spellStart"/>
            <w:r w:rsidRPr="0015571A">
              <w:rPr>
                <w:rFonts w:cstheme="minorHAnsi"/>
                <w:sz w:val="20"/>
                <w:szCs w:val="20"/>
              </w:rPr>
              <w:t>donošenje</w:t>
            </w:r>
            <w:proofErr w:type="spellEnd"/>
            <w:r w:rsidRPr="0015571A">
              <w:rPr>
                <w:rFonts w:cstheme="minorHAnsi"/>
                <w:sz w:val="20"/>
                <w:szCs w:val="20"/>
              </w:rPr>
              <w:t xml:space="preserve"> </w:t>
            </w:r>
            <w:proofErr w:type="spellStart"/>
            <w:r w:rsidRPr="0015571A">
              <w:rPr>
                <w:rFonts w:cstheme="minorHAnsi"/>
                <w:sz w:val="20"/>
                <w:szCs w:val="20"/>
              </w:rPr>
              <w:t>planova</w:t>
            </w:r>
            <w:proofErr w:type="spellEnd"/>
            <w:r w:rsidRPr="0015571A">
              <w:rPr>
                <w:rFonts w:cstheme="minorHAnsi"/>
                <w:sz w:val="20"/>
                <w:szCs w:val="20"/>
              </w:rPr>
              <w:t xml:space="preserve"> i </w:t>
            </w:r>
            <w:proofErr w:type="spellStart"/>
            <w:r w:rsidRPr="0015571A">
              <w:rPr>
                <w:rFonts w:cstheme="minorHAnsi"/>
                <w:sz w:val="20"/>
                <w:szCs w:val="20"/>
              </w:rPr>
              <w:t>programa</w:t>
            </w:r>
            <w:proofErr w:type="spellEnd"/>
            <w:r w:rsidRPr="0015571A">
              <w:rPr>
                <w:rFonts w:cstheme="minorHAnsi"/>
                <w:sz w:val="20"/>
                <w:szCs w:val="20"/>
              </w:rPr>
              <w:t xml:space="preserve"> </w:t>
            </w:r>
            <w:proofErr w:type="spellStart"/>
            <w:r w:rsidRPr="0015571A">
              <w:rPr>
                <w:rFonts w:cstheme="minorHAnsi"/>
                <w:sz w:val="20"/>
                <w:szCs w:val="20"/>
              </w:rPr>
              <w:t>obrazovanja</w:t>
            </w:r>
            <w:proofErr w:type="spellEnd"/>
            <w:r w:rsidRPr="0015571A">
              <w:rPr>
                <w:rFonts w:cstheme="minorHAnsi"/>
                <w:sz w:val="20"/>
                <w:szCs w:val="20"/>
              </w:rPr>
              <w:t xml:space="preserve"> i </w:t>
            </w:r>
            <w:proofErr w:type="spellStart"/>
            <w:r w:rsidRPr="0015571A">
              <w:rPr>
                <w:rFonts w:cstheme="minorHAnsi"/>
                <w:sz w:val="20"/>
                <w:szCs w:val="20"/>
              </w:rPr>
              <w:t>prekvalifikacije</w:t>
            </w:r>
            <w:proofErr w:type="spellEnd"/>
            <w:r w:rsidRPr="0015571A">
              <w:rPr>
                <w:rFonts w:cstheme="minorHAnsi"/>
                <w:sz w:val="20"/>
                <w:szCs w:val="20"/>
              </w:rPr>
              <w:t>)</w:t>
            </w:r>
          </w:p>
          <w:p w14:paraId="3DE07499" w14:textId="77777777" w:rsidR="00A00D87" w:rsidRPr="0015571A" w:rsidRDefault="00A00D87" w:rsidP="00E6560A">
            <w:pPr>
              <w:spacing w:line="259" w:lineRule="auto"/>
              <w:ind w:left="1"/>
              <w:jc w:val="both"/>
              <w:rPr>
                <w:rFonts w:cstheme="minorHAnsi"/>
                <w:sz w:val="20"/>
                <w:szCs w:val="20"/>
              </w:rPr>
            </w:pPr>
            <w:r w:rsidRPr="0015571A">
              <w:rPr>
                <w:rFonts w:cstheme="minorHAnsi"/>
                <w:sz w:val="20"/>
                <w:szCs w:val="20"/>
              </w:rPr>
              <w:t>2024-2030. (</w:t>
            </w:r>
            <w:proofErr w:type="spellStart"/>
            <w:proofErr w:type="gramStart"/>
            <w:r w:rsidRPr="0015571A">
              <w:rPr>
                <w:rFonts w:cstheme="minorHAnsi"/>
                <w:sz w:val="20"/>
                <w:szCs w:val="20"/>
              </w:rPr>
              <w:t>implementacija</w:t>
            </w:r>
            <w:proofErr w:type="spellEnd"/>
            <w:proofErr w:type="gramEnd"/>
            <w:r w:rsidRPr="0015571A">
              <w:rPr>
                <w:rFonts w:cstheme="minorHAnsi"/>
                <w:sz w:val="20"/>
                <w:szCs w:val="20"/>
              </w:rPr>
              <w:t xml:space="preserve"> </w:t>
            </w:r>
            <w:proofErr w:type="spellStart"/>
            <w:r w:rsidRPr="0015571A">
              <w:rPr>
                <w:rFonts w:cstheme="minorHAnsi"/>
                <w:sz w:val="20"/>
                <w:szCs w:val="20"/>
              </w:rPr>
              <w:t>mjere</w:t>
            </w:r>
            <w:proofErr w:type="spellEnd"/>
            <w:r w:rsidRPr="0015571A">
              <w:rPr>
                <w:rFonts w:cstheme="minorHAnsi"/>
                <w:sz w:val="20"/>
                <w:szCs w:val="20"/>
              </w:rPr>
              <w:t>)</w:t>
            </w:r>
          </w:p>
          <w:p w14:paraId="66E5D4A4" w14:textId="77777777" w:rsidR="00A00D87" w:rsidRPr="0015571A" w:rsidRDefault="00A00D87" w:rsidP="00E6560A">
            <w:pPr>
              <w:spacing w:line="259" w:lineRule="auto"/>
              <w:jc w:val="both"/>
              <w:rPr>
                <w:rFonts w:cstheme="minorHAnsi"/>
                <w:sz w:val="20"/>
                <w:szCs w:val="20"/>
              </w:rPr>
            </w:pPr>
            <w:proofErr w:type="spellStart"/>
            <w:r w:rsidRPr="0015571A">
              <w:rPr>
                <w:rFonts w:cstheme="minorHAnsi"/>
                <w:sz w:val="20"/>
                <w:szCs w:val="20"/>
              </w:rPr>
              <w:t>Mjera</w:t>
            </w:r>
            <w:proofErr w:type="spellEnd"/>
            <w:r w:rsidRPr="0015571A">
              <w:rPr>
                <w:rFonts w:cstheme="minorHAnsi"/>
                <w:sz w:val="20"/>
                <w:szCs w:val="20"/>
              </w:rPr>
              <w:t xml:space="preserve"> </w:t>
            </w:r>
            <w:proofErr w:type="spellStart"/>
            <w:r w:rsidRPr="0015571A">
              <w:rPr>
                <w:rFonts w:cstheme="minorHAnsi"/>
                <w:sz w:val="20"/>
                <w:szCs w:val="20"/>
              </w:rPr>
              <w:t>će</w:t>
            </w:r>
            <w:proofErr w:type="spellEnd"/>
            <w:r w:rsidRPr="0015571A">
              <w:rPr>
                <w:rFonts w:cstheme="minorHAnsi"/>
                <w:sz w:val="20"/>
                <w:szCs w:val="20"/>
              </w:rPr>
              <w:t xml:space="preserve"> se </w:t>
            </w:r>
            <w:proofErr w:type="spellStart"/>
            <w:r w:rsidRPr="0015571A">
              <w:rPr>
                <w:rFonts w:cstheme="minorHAnsi"/>
                <w:sz w:val="20"/>
                <w:szCs w:val="20"/>
              </w:rPr>
              <w:t>nastaviti</w:t>
            </w:r>
            <w:proofErr w:type="spellEnd"/>
            <w:r w:rsidRPr="0015571A">
              <w:rPr>
                <w:rFonts w:cstheme="minorHAnsi"/>
                <w:sz w:val="20"/>
                <w:szCs w:val="20"/>
              </w:rPr>
              <w:t xml:space="preserve"> </w:t>
            </w:r>
            <w:proofErr w:type="spellStart"/>
            <w:r w:rsidRPr="0015571A">
              <w:rPr>
                <w:rFonts w:cstheme="minorHAnsi"/>
                <w:sz w:val="20"/>
                <w:szCs w:val="20"/>
              </w:rPr>
              <w:t>provoditi</w:t>
            </w:r>
            <w:proofErr w:type="spellEnd"/>
            <w:r w:rsidRPr="0015571A">
              <w:rPr>
                <w:rFonts w:cstheme="minorHAnsi"/>
                <w:sz w:val="20"/>
                <w:szCs w:val="20"/>
              </w:rPr>
              <w:t xml:space="preserve"> do 2050. </w:t>
            </w:r>
            <w:proofErr w:type="spellStart"/>
            <w:r w:rsidRPr="0015571A">
              <w:rPr>
                <w:rFonts w:cstheme="minorHAnsi"/>
                <w:sz w:val="20"/>
                <w:szCs w:val="20"/>
              </w:rPr>
              <w:t>godine</w:t>
            </w:r>
            <w:proofErr w:type="spellEnd"/>
            <w:r w:rsidRPr="0015571A">
              <w:rPr>
                <w:rFonts w:cstheme="minorHAnsi"/>
                <w:sz w:val="20"/>
                <w:szCs w:val="20"/>
              </w:rPr>
              <w:t xml:space="preserve">, </w:t>
            </w:r>
            <w:proofErr w:type="spellStart"/>
            <w:r w:rsidRPr="0015571A">
              <w:rPr>
                <w:rFonts w:cstheme="minorHAnsi"/>
                <w:sz w:val="20"/>
                <w:szCs w:val="20"/>
              </w:rPr>
              <w:t>uz</w:t>
            </w:r>
            <w:proofErr w:type="spellEnd"/>
            <w:r w:rsidRPr="0015571A">
              <w:rPr>
                <w:rFonts w:cstheme="minorHAnsi"/>
                <w:sz w:val="20"/>
                <w:szCs w:val="20"/>
              </w:rPr>
              <w:t xml:space="preserve"> </w:t>
            </w:r>
            <w:proofErr w:type="spellStart"/>
            <w:r w:rsidRPr="0015571A">
              <w:rPr>
                <w:rFonts w:cstheme="minorHAnsi"/>
                <w:sz w:val="20"/>
                <w:szCs w:val="20"/>
              </w:rPr>
              <w:t>moguće</w:t>
            </w:r>
            <w:proofErr w:type="spellEnd"/>
            <w:r w:rsidRPr="0015571A">
              <w:rPr>
                <w:rFonts w:cstheme="minorHAnsi"/>
                <w:sz w:val="20"/>
                <w:szCs w:val="20"/>
              </w:rPr>
              <w:t xml:space="preserve"> </w:t>
            </w:r>
            <w:proofErr w:type="spellStart"/>
            <w:r w:rsidRPr="0015571A">
              <w:rPr>
                <w:rFonts w:cstheme="minorHAnsi"/>
                <w:sz w:val="20"/>
                <w:szCs w:val="20"/>
              </w:rPr>
              <w:t>izmjene</w:t>
            </w:r>
            <w:proofErr w:type="spellEnd"/>
            <w:r w:rsidRPr="0015571A">
              <w:rPr>
                <w:rFonts w:cstheme="minorHAnsi"/>
                <w:sz w:val="20"/>
                <w:szCs w:val="20"/>
              </w:rPr>
              <w:t xml:space="preserve"> </w:t>
            </w:r>
            <w:proofErr w:type="spellStart"/>
            <w:r w:rsidRPr="0015571A">
              <w:rPr>
                <w:rFonts w:cstheme="minorHAnsi"/>
                <w:sz w:val="20"/>
                <w:szCs w:val="20"/>
              </w:rPr>
              <w:t>temeljene</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r w:rsidRPr="0015571A">
              <w:rPr>
                <w:rFonts w:cstheme="minorHAnsi"/>
                <w:sz w:val="20"/>
                <w:szCs w:val="20"/>
              </w:rPr>
              <w:t>prikupljenim</w:t>
            </w:r>
            <w:proofErr w:type="spellEnd"/>
            <w:r w:rsidRPr="0015571A">
              <w:rPr>
                <w:rFonts w:cstheme="minorHAnsi"/>
                <w:sz w:val="20"/>
                <w:szCs w:val="20"/>
              </w:rPr>
              <w:t xml:space="preserve"> </w:t>
            </w:r>
            <w:proofErr w:type="spellStart"/>
            <w:r w:rsidRPr="0015571A">
              <w:rPr>
                <w:rFonts w:cstheme="minorHAnsi"/>
                <w:sz w:val="20"/>
                <w:szCs w:val="20"/>
              </w:rPr>
              <w:t>iskustvima</w:t>
            </w:r>
            <w:proofErr w:type="spellEnd"/>
          </w:p>
        </w:tc>
      </w:tr>
      <w:tr w:rsidR="00A00D87" w:rsidRPr="0015571A" w14:paraId="6F12C46E" w14:textId="77777777" w:rsidTr="00122946">
        <w:trPr>
          <w:trHeight w:val="104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1F61E9"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Institucija</w:t>
            </w:r>
            <w:proofErr w:type="spellEnd"/>
            <w:r w:rsidRPr="0015571A">
              <w:rPr>
                <w:rFonts w:cstheme="minorHAnsi"/>
                <w:b/>
                <w:sz w:val="20"/>
                <w:szCs w:val="20"/>
              </w:rPr>
              <w:t xml:space="preserve"> </w:t>
            </w:r>
          </w:p>
          <w:p w14:paraId="27FBF712"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odgovorna</w:t>
            </w:r>
            <w:proofErr w:type="spellEnd"/>
            <w:r w:rsidRPr="0015571A">
              <w:rPr>
                <w:rFonts w:cstheme="minorHAnsi"/>
                <w:b/>
                <w:sz w:val="20"/>
                <w:szCs w:val="20"/>
              </w:rPr>
              <w:t xml:space="preserve"> za </w:t>
            </w:r>
            <w:proofErr w:type="spellStart"/>
            <w:r w:rsidRPr="0015571A">
              <w:rPr>
                <w:rFonts w:cstheme="minorHAnsi"/>
                <w:b/>
                <w:sz w:val="20"/>
                <w:szCs w:val="20"/>
              </w:rPr>
              <w:t>koordinaciju</w:t>
            </w:r>
            <w:proofErr w:type="spellEnd"/>
            <w:r w:rsidRPr="0015571A">
              <w:rPr>
                <w:rFonts w:cstheme="minorHAnsi"/>
                <w:b/>
                <w:sz w:val="20"/>
                <w:szCs w:val="20"/>
              </w:rPr>
              <w:t xml:space="preserve"> </w:t>
            </w:r>
            <w:proofErr w:type="spellStart"/>
            <w:r w:rsidRPr="0015571A">
              <w:rPr>
                <w:rFonts w:cstheme="minorHAnsi"/>
                <w:b/>
                <w:sz w:val="20"/>
                <w:szCs w:val="20"/>
              </w:rPr>
              <w:t>implementacije</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084235B3" w14:textId="77777777" w:rsidR="00A00D87" w:rsidRPr="0015571A" w:rsidRDefault="00A00D87" w:rsidP="00E6560A">
            <w:pPr>
              <w:spacing w:line="259" w:lineRule="auto"/>
              <w:ind w:left="1"/>
              <w:jc w:val="both"/>
              <w:rPr>
                <w:rFonts w:cstheme="minorHAnsi"/>
                <w:sz w:val="20"/>
                <w:szCs w:val="20"/>
              </w:rPr>
            </w:pPr>
            <w:r w:rsidRPr="0015571A">
              <w:rPr>
                <w:rFonts w:cstheme="minorHAnsi"/>
                <w:sz w:val="20"/>
                <w:szCs w:val="20"/>
              </w:rPr>
              <w:t>Federalno ministarstvo prostornog uređenja, Federalni fond za zaštitu okoliša, Federalno ministarstvo energije, rudarstva i industrije</w:t>
            </w:r>
          </w:p>
        </w:tc>
      </w:tr>
      <w:tr w:rsidR="00A00D87" w:rsidRPr="0015571A" w14:paraId="041201C8" w14:textId="77777777" w:rsidTr="00122946">
        <w:trPr>
          <w:trHeight w:val="67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0696D7"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Nosioci</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1DD578B8" w14:textId="77777777" w:rsidR="00A00D87" w:rsidRPr="0015571A" w:rsidRDefault="00A00D87" w:rsidP="00E6560A">
            <w:pPr>
              <w:spacing w:line="259" w:lineRule="auto"/>
              <w:ind w:left="1" w:right="3"/>
              <w:jc w:val="both"/>
              <w:rPr>
                <w:rFonts w:cstheme="minorHAnsi"/>
                <w:sz w:val="20"/>
                <w:szCs w:val="20"/>
              </w:rPr>
            </w:pPr>
            <w:r w:rsidRPr="0015571A">
              <w:rPr>
                <w:rFonts w:cstheme="minorHAnsi"/>
                <w:sz w:val="20"/>
                <w:szCs w:val="20"/>
              </w:rPr>
              <w:t xml:space="preserve">Federalno ministarstvo prostornog uređenja, Federalno ministarstvo energije, rudarstva i industrije, Federalno ministarstvo okoliša i turizma, Federalno ministarstvo </w:t>
            </w:r>
            <w:proofErr w:type="spellStart"/>
            <w:r w:rsidRPr="0015571A">
              <w:rPr>
                <w:rFonts w:cstheme="minorHAnsi"/>
                <w:sz w:val="20"/>
                <w:szCs w:val="20"/>
              </w:rPr>
              <w:t>obrazovanja</w:t>
            </w:r>
            <w:proofErr w:type="spellEnd"/>
            <w:r w:rsidRPr="0015571A">
              <w:rPr>
                <w:rFonts w:cstheme="minorHAnsi"/>
                <w:sz w:val="20"/>
                <w:szCs w:val="20"/>
              </w:rPr>
              <w:t xml:space="preserve"> i </w:t>
            </w:r>
            <w:proofErr w:type="spellStart"/>
            <w:r w:rsidRPr="0015571A">
              <w:rPr>
                <w:rFonts w:cstheme="minorHAnsi"/>
                <w:sz w:val="20"/>
                <w:szCs w:val="20"/>
              </w:rPr>
              <w:t>nauke</w:t>
            </w:r>
            <w:proofErr w:type="spellEnd"/>
            <w:r w:rsidRPr="0015571A">
              <w:rPr>
                <w:rFonts w:cstheme="minorHAnsi"/>
                <w:sz w:val="20"/>
                <w:szCs w:val="20"/>
              </w:rPr>
              <w:t xml:space="preserve">, Federalno ministarstvo rada i </w:t>
            </w:r>
            <w:proofErr w:type="spellStart"/>
            <w:r w:rsidRPr="0015571A">
              <w:rPr>
                <w:rFonts w:cstheme="minorHAnsi"/>
                <w:sz w:val="20"/>
                <w:szCs w:val="20"/>
              </w:rPr>
              <w:t>socijalne</w:t>
            </w:r>
            <w:proofErr w:type="spellEnd"/>
            <w:r w:rsidRPr="0015571A">
              <w:rPr>
                <w:rFonts w:cstheme="minorHAnsi"/>
                <w:sz w:val="20"/>
                <w:szCs w:val="20"/>
              </w:rPr>
              <w:t xml:space="preserve"> </w:t>
            </w:r>
            <w:proofErr w:type="spellStart"/>
            <w:r w:rsidRPr="0015571A">
              <w:rPr>
                <w:rFonts w:cstheme="minorHAnsi"/>
                <w:sz w:val="20"/>
                <w:szCs w:val="20"/>
              </w:rPr>
              <w:t>politike</w:t>
            </w:r>
            <w:proofErr w:type="spellEnd"/>
            <w:r w:rsidRPr="0015571A">
              <w:rPr>
                <w:rFonts w:cstheme="minorHAnsi"/>
                <w:sz w:val="20"/>
                <w:szCs w:val="20"/>
              </w:rPr>
              <w:t xml:space="preserve">, Federalni zavod za </w:t>
            </w:r>
            <w:proofErr w:type="spellStart"/>
            <w:r w:rsidRPr="0015571A">
              <w:rPr>
                <w:rFonts w:cstheme="minorHAnsi"/>
                <w:sz w:val="20"/>
                <w:szCs w:val="20"/>
              </w:rPr>
              <w:t>statistiku</w:t>
            </w:r>
            <w:proofErr w:type="spellEnd"/>
            <w:r w:rsidRPr="0015571A">
              <w:rPr>
                <w:rFonts w:cstheme="minorHAnsi"/>
                <w:sz w:val="20"/>
                <w:szCs w:val="20"/>
              </w:rPr>
              <w:t xml:space="preserve">, </w:t>
            </w:r>
            <w:proofErr w:type="spellStart"/>
            <w:r w:rsidRPr="0015571A">
              <w:rPr>
                <w:rFonts w:cstheme="minorHAnsi"/>
                <w:sz w:val="20"/>
                <w:szCs w:val="20"/>
              </w:rPr>
              <w:t>kantonalna</w:t>
            </w:r>
            <w:proofErr w:type="spellEnd"/>
            <w:r w:rsidRPr="0015571A">
              <w:rPr>
                <w:rFonts w:cstheme="minorHAnsi"/>
                <w:sz w:val="20"/>
                <w:szCs w:val="20"/>
              </w:rPr>
              <w:t xml:space="preserve"> </w:t>
            </w:r>
            <w:proofErr w:type="spellStart"/>
            <w:r w:rsidRPr="0015571A">
              <w:rPr>
                <w:rFonts w:cstheme="minorHAnsi"/>
                <w:sz w:val="20"/>
                <w:szCs w:val="20"/>
              </w:rPr>
              <w:t>ministarstva</w:t>
            </w:r>
            <w:proofErr w:type="spellEnd"/>
            <w:r w:rsidRPr="0015571A">
              <w:rPr>
                <w:rFonts w:cstheme="minorHAnsi"/>
                <w:sz w:val="20"/>
                <w:szCs w:val="20"/>
              </w:rPr>
              <w:t xml:space="preserve"> </w:t>
            </w:r>
            <w:proofErr w:type="spellStart"/>
            <w:r w:rsidRPr="0015571A">
              <w:rPr>
                <w:rFonts w:cstheme="minorHAnsi"/>
                <w:sz w:val="20"/>
                <w:szCs w:val="20"/>
              </w:rPr>
              <w:t>nadležna</w:t>
            </w:r>
            <w:proofErr w:type="spellEnd"/>
            <w:r w:rsidRPr="0015571A">
              <w:rPr>
                <w:rFonts w:cstheme="minorHAnsi"/>
                <w:sz w:val="20"/>
                <w:szCs w:val="20"/>
              </w:rPr>
              <w:t xml:space="preserve"> za </w:t>
            </w:r>
            <w:proofErr w:type="spellStart"/>
            <w:r w:rsidRPr="0015571A">
              <w:rPr>
                <w:rFonts w:cstheme="minorHAnsi"/>
                <w:sz w:val="20"/>
                <w:szCs w:val="20"/>
              </w:rPr>
              <w:t>prostorno</w:t>
            </w:r>
            <w:proofErr w:type="spellEnd"/>
            <w:r w:rsidRPr="0015571A">
              <w:rPr>
                <w:rFonts w:cstheme="minorHAnsi"/>
                <w:sz w:val="20"/>
                <w:szCs w:val="20"/>
              </w:rPr>
              <w:t xml:space="preserve"> </w:t>
            </w:r>
            <w:proofErr w:type="spellStart"/>
            <w:r w:rsidRPr="0015571A">
              <w:rPr>
                <w:rFonts w:cstheme="minorHAnsi"/>
                <w:sz w:val="20"/>
                <w:szCs w:val="20"/>
              </w:rPr>
              <w:t>uređenje</w:t>
            </w:r>
            <w:proofErr w:type="spellEnd"/>
            <w:r w:rsidRPr="0015571A">
              <w:rPr>
                <w:rFonts w:cstheme="minorHAnsi"/>
                <w:sz w:val="20"/>
                <w:szCs w:val="20"/>
              </w:rPr>
              <w:t xml:space="preserve"> i </w:t>
            </w:r>
            <w:proofErr w:type="spellStart"/>
            <w:r w:rsidRPr="0015571A">
              <w:rPr>
                <w:rFonts w:cstheme="minorHAnsi"/>
                <w:sz w:val="20"/>
                <w:szCs w:val="20"/>
              </w:rPr>
              <w:t>okoliš</w:t>
            </w:r>
            <w:proofErr w:type="spellEnd"/>
            <w:r w:rsidRPr="0015571A">
              <w:rPr>
                <w:rFonts w:cstheme="minorHAnsi"/>
                <w:sz w:val="20"/>
                <w:szCs w:val="20"/>
              </w:rPr>
              <w:t xml:space="preserve">, </w:t>
            </w:r>
            <w:proofErr w:type="spellStart"/>
            <w:r w:rsidRPr="0015571A">
              <w:rPr>
                <w:rFonts w:cstheme="minorHAnsi"/>
                <w:sz w:val="20"/>
                <w:szCs w:val="20"/>
              </w:rPr>
              <w:t>kantonalna</w:t>
            </w:r>
            <w:proofErr w:type="spellEnd"/>
            <w:r w:rsidRPr="0015571A">
              <w:rPr>
                <w:rFonts w:cstheme="minorHAnsi"/>
                <w:sz w:val="20"/>
                <w:szCs w:val="20"/>
              </w:rPr>
              <w:t xml:space="preserve"> </w:t>
            </w:r>
            <w:proofErr w:type="spellStart"/>
            <w:r w:rsidRPr="0015571A">
              <w:rPr>
                <w:rFonts w:cstheme="minorHAnsi"/>
                <w:sz w:val="20"/>
                <w:szCs w:val="20"/>
              </w:rPr>
              <w:t>ministarstva</w:t>
            </w:r>
            <w:proofErr w:type="spellEnd"/>
            <w:r w:rsidRPr="0015571A">
              <w:rPr>
                <w:rFonts w:cstheme="minorHAnsi"/>
                <w:sz w:val="20"/>
                <w:szCs w:val="20"/>
              </w:rPr>
              <w:t xml:space="preserve"> </w:t>
            </w:r>
            <w:proofErr w:type="spellStart"/>
            <w:r w:rsidRPr="0015571A">
              <w:rPr>
                <w:rFonts w:cstheme="minorHAnsi"/>
                <w:sz w:val="20"/>
                <w:szCs w:val="20"/>
              </w:rPr>
              <w:t>privrede</w:t>
            </w:r>
            <w:proofErr w:type="spellEnd"/>
            <w:r w:rsidRPr="0015571A">
              <w:rPr>
                <w:rFonts w:cstheme="minorHAnsi"/>
                <w:sz w:val="20"/>
                <w:szCs w:val="20"/>
              </w:rPr>
              <w:t xml:space="preserve">, </w:t>
            </w:r>
            <w:proofErr w:type="spellStart"/>
            <w:r w:rsidRPr="0015571A">
              <w:rPr>
                <w:rFonts w:cstheme="minorHAnsi"/>
                <w:sz w:val="20"/>
                <w:szCs w:val="20"/>
              </w:rPr>
              <w:t>kantonalni</w:t>
            </w:r>
            <w:proofErr w:type="spellEnd"/>
            <w:r w:rsidRPr="0015571A">
              <w:rPr>
                <w:rFonts w:cstheme="minorHAnsi"/>
                <w:sz w:val="20"/>
                <w:szCs w:val="20"/>
              </w:rPr>
              <w:t xml:space="preserve"> </w:t>
            </w:r>
            <w:proofErr w:type="spellStart"/>
            <w:r w:rsidRPr="0015571A">
              <w:rPr>
                <w:rFonts w:cstheme="minorHAnsi"/>
                <w:sz w:val="20"/>
                <w:szCs w:val="20"/>
              </w:rPr>
              <w:t>zavodi</w:t>
            </w:r>
            <w:proofErr w:type="spellEnd"/>
            <w:r w:rsidRPr="0015571A">
              <w:rPr>
                <w:rFonts w:cstheme="minorHAnsi"/>
                <w:sz w:val="20"/>
                <w:szCs w:val="20"/>
              </w:rPr>
              <w:t xml:space="preserve"> za </w:t>
            </w:r>
            <w:proofErr w:type="spellStart"/>
            <w:r w:rsidRPr="0015571A">
              <w:rPr>
                <w:rFonts w:cstheme="minorHAnsi"/>
                <w:sz w:val="20"/>
                <w:szCs w:val="20"/>
              </w:rPr>
              <w:t>informatiku</w:t>
            </w:r>
            <w:proofErr w:type="spellEnd"/>
            <w:r w:rsidRPr="0015571A">
              <w:rPr>
                <w:rFonts w:cstheme="minorHAnsi"/>
                <w:sz w:val="20"/>
                <w:szCs w:val="20"/>
              </w:rPr>
              <w:t xml:space="preserve"> i </w:t>
            </w:r>
            <w:proofErr w:type="spellStart"/>
            <w:r w:rsidRPr="0015571A">
              <w:rPr>
                <w:rFonts w:cstheme="minorHAnsi"/>
                <w:sz w:val="20"/>
                <w:szCs w:val="20"/>
              </w:rPr>
              <w:t>statistiku</w:t>
            </w:r>
            <w:proofErr w:type="spellEnd"/>
            <w:r w:rsidRPr="0015571A">
              <w:rPr>
                <w:rFonts w:cstheme="minorHAnsi"/>
                <w:sz w:val="20"/>
                <w:szCs w:val="20"/>
              </w:rPr>
              <w:t xml:space="preserve">, </w:t>
            </w:r>
            <w:proofErr w:type="spellStart"/>
            <w:r w:rsidRPr="0015571A">
              <w:rPr>
                <w:rFonts w:cstheme="minorHAnsi"/>
                <w:sz w:val="20"/>
                <w:szCs w:val="20"/>
              </w:rPr>
              <w:t>jedinice</w:t>
            </w:r>
            <w:proofErr w:type="spellEnd"/>
            <w:r w:rsidRPr="0015571A">
              <w:rPr>
                <w:rFonts w:cstheme="minorHAnsi"/>
                <w:sz w:val="20"/>
                <w:szCs w:val="20"/>
              </w:rPr>
              <w:t xml:space="preserve"> </w:t>
            </w:r>
            <w:proofErr w:type="spellStart"/>
            <w:r w:rsidRPr="0015571A">
              <w:rPr>
                <w:rFonts w:cstheme="minorHAnsi"/>
                <w:sz w:val="20"/>
                <w:szCs w:val="20"/>
              </w:rPr>
              <w:t>lokalne</w:t>
            </w:r>
            <w:proofErr w:type="spellEnd"/>
            <w:r w:rsidRPr="0015571A">
              <w:rPr>
                <w:rFonts w:cstheme="minorHAnsi"/>
                <w:sz w:val="20"/>
                <w:szCs w:val="20"/>
              </w:rPr>
              <w:t xml:space="preserve"> </w:t>
            </w:r>
            <w:proofErr w:type="spellStart"/>
            <w:r w:rsidRPr="0015571A">
              <w:rPr>
                <w:rFonts w:cstheme="minorHAnsi"/>
                <w:sz w:val="20"/>
                <w:szCs w:val="20"/>
              </w:rPr>
              <w:t>samouprave</w:t>
            </w:r>
            <w:proofErr w:type="spellEnd"/>
            <w:r w:rsidRPr="0015571A">
              <w:rPr>
                <w:rFonts w:cstheme="minorHAnsi"/>
                <w:sz w:val="20"/>
                <w:szCs w:val="20"/>
              </w:rPr>
              <w:t xml:space="preserve"> i </w:t>
            </w:r>
            <w:proofErr w:type="spellStart"/>
            <w:r w:rsidRPr="0015571A">
              <w:rPr>
                <w:rFonts w:cstheme="minorHAnsi"/>
                <w:sz w:val="20"/>
                <w:szCs w:val="20"/>
              </w:rPr>
              <w:t>Privredna</w:t>
            </w:r>
            <w:proofErr w:type="spellEnd"/>
            <w:r w:rsidRPr="0015571A">
              <w:rPr>
                <w:rFonts w:cstheme="minorHAnsi"/>
                <w:sz w:val="20"/>
                <w:szCs w:val="20"/>
              </w:rPr>
              <w:t xml:space="preserve"> </w:t>
            </w:r>
            <w:proofErr w:type="spellStart"/>
            <w:r w:rsidRPr="0015571A">
              <w:rPr>
                <w:rFonts w:cstheme="minorHAnsi"/>
                <w:sz w:val="20"/>
                <w:szCs w:val="20"/>
              </w:rPr>
              <w:t>komora</w:t>
            </w:r>
            <w:proofErr w:type="spellEnd"/>
            <w:r w:rsidRPr="0015571A">
              <w:rPr>
                <w:rFonts w:cstheme="minorHAnsi"/>
                <w:sz w:val="20"/>
                <w:szCs w:val="20"/>
              </w:rPr>
              <w:t xml:space="preserve"> FBiH.</w:t>
            </w:r>
          </w:p>
          <w:p w14:paraId="2184F0AE" w14:textId="77777777" w:rsidR="00A00D87" w:rsidRPr="0015571A" w:rsidRDefault="00A00D87" w:rsidP="00E6560A">
            <w:pPr>
              <w:spacing w:line="259" w:lineRule="auto"/>
              <w:ind w:left="1" w:right="3"/>
              <w:jc w:val="both"/>
              <w:rPr>
                <w:rFonts w:cstheme="minorHAnsi"/>
                <w:sz w:val="20"/>
                <w:szCs w:val="20"/>
              </w:rPr>
            </w:pPr>
          </w:p>
        </w:tc>
      </w:tr>
      <w:tr w:rsidR="00A00D87" w:rsidRPr="0015571A" w14:paraId="303C06FF"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DAFC78"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Ciljne</w:t>
            </w:r>
            <w:proofErr w:type="spellEnd"/>
            <w:r w:rsidRPr="0015571A">
              <w:rPr>
                <w:rFonts w:cstheme="minorHAnsi"/>
                <w:b/>
                <w:sz w:val="20"/>
                <w:szCs w:val="20"/>
              </w:rPr>
              <w:t xml:space="preserve"> </w:t>
            </w:r>
            <w:proofErr w:type="spellStart"/>
            <w:r w:rsidRPr="0015571A">
              <w:rPr>
                <w:rFonts w:cstheme="minorHAnsi"/>
                <w:b/>
                <w:sz w:val="20"/>
                <w:szCs w:val="20"/>
              </w:rPr>
              <w:t>grupe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091464E2" w14:textId="77777777" w:rsidR="00A00D87" w:rsidRPr="0015571A" w:rsidRDefault="00A00D87" w:rsidP="00E6560A">
            <w:pPr>
              <w:spacing w:line="259" w:lineRule="auto"/>
              <w:ind w:left="1"/>
              <w:jc w:val="both"/>
              <w:rPr>
                <w:rFonts w:cstheme="minorHAnsi"/>
                <w:sz w:val="20"/>
                <w:szCs w:val="20"/>
              </w:rPr>
            </w:pPr>
            <w:proofErr w:type="spellStart"/>
            <w:r w:rsidRPr="0015571A">
              <w:rPr>
                <w:rFonts w:cstheme="minorHAnsi"/>
                <w:sz w:val="20"/>
                <w:szCs w:val="20"/>
              </w:rPr>
              <w:t>Vlasnici</w:t>
            </w:r>
            <w:proofErr w:type="spellEnd"/>
            <w:r w:rsidRPr="0015571A">
              <w:rPr>
                <w:rFonts w:cstheme="minorHAnsi"/>
                <w:sz w:val="20"/>
                <w:szCs w:val="20"/>
              </w:rPr>
              <w:t xml:space="preserve"> i </w:t>
            </w:r>
            <w:proofErr w:type="spellStart"/>
            <w:r w:rsidRPr="0015571A">
              <w:rPr>
                <w:rFonts w:cstheme="minorHAnsi"/>
                <w:sz w:val="20"/>
                <w:szCs w:val="20"/>
              </w:rPr>
              <w:t>korisnici</w:t>
            </w:r>
            <w:proofErr w:type="spellEnd"/>
            <w:r w:rsidRPr="0015571A">
              <w:rPr>
                <w:rFonts w:cstheme="minorHAnsi"/>
                <w:sz w:val="20"/>
                <w:szCs w:val="20"/>
              </w:rPr>
              <w:t xml:space="preserve"> </w:t>
            </w:r>
            <w:proofErr w:type="spellStart"/>
            <w:r w:rsidRPr="0015571A">
              <w:rPr>
                <w:rFonts w:cstheme="minorHAnsi"/>
                <w:sz w:val="20"/>
                <w:szCs w:val="20"/>
              </w:rPr>
              <w:t>stambenih</w:t>
            </w:r>
            <w:proofErr w:type="spellEnd"/>
            <w:r w:rsidRPr="0015571A">
              <w:rPr>
                <w:rFonts w:cstheme="minorHAnsi"/>
                <w:sz w:val="20"/>
                <w:szCs w:val="20"/>
              </w:rPr>
              <w:t xml:space="preserve"> i </w:t>
            </w:r>
            <w:proofErr w:type="spellStart"/>
            <w:r w:rsidRPr="0015571A">
              <w:rPr>
                <w:rFonts w:cstheme="minorHAnsi"/>
                <w:sz w:val="20"/>
                <w:szCs w:val="20"/>
              </w:rPr>
              <w:t>nestambenih</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r w:rsidRPr="0015571A">
              <w:rPr>
                <w:rFonts w:cstheme="minorHAnsi"/>
                <w:sz w:val="20"/>
                <w:szCs w:val="20"/>
              </w:rPr>
              <w:t xml:space="preserve">, </w:t>
            </w:r>
            <w:proofErr w:type="spellStart"/>
            <w:r w:rsidRPr="0015571A">
              <w:rPr>
                <w:rFonts w:cstheme="minorHAnsi"/>
                <w:sz w:val="20"/>
                <w:szCs w:val="20"/>
              </w:rPr>
              <w:t>uposlenici</w:t>
            </w:r>
            <w:proofErr w:type="spellEnd"/>
            <w:r w:rsidRPr="0015571A">
              <w:rPr>
                <w:rFonts w:cstheme="minorHAnsi"/>
                <w:sz w:val="20"/>
                <w:szCs w:val="20"/>
              </w:rPr>
              <w:t xml:space="preserve"> </w:t>
            </w:r>
            <w:proofErr w:type="spellStart"/>
            <w:r w:rsidRPr="0015571A">
              <w:rPr>
                <w:rFonts w:cstheme="minorHAnsi"/>
                <w:sz w:val="20"/>
                <w:szCs w:val="20"/>
              </w:rPr>
              <w:t>javne</w:t>
            </w:r>
            <w:proofErr w:type="spellEnd"/>
            <w:r w:rsidRPr="0015571A">
              <w:rPr>
                <w:rFonts w:cstheme="minorHAnsi"/>
                <w:sz w:val="20"/>
                <w:szCs w:val="20"/>
              </w:rPr>
              <w:t xml:space="preserve"> </w:t>
            </w:r>
            <w:proofErr w:type="spellStart"/>
            <w:r w:rsidRPr="0015571A">
              <w:rPr>
                <w:rFonts w:cstheme="minorHAnsi"/>
                <w:sz w:val="20"/>
                <w:szCs w:val="20"/>
              </w:rPr>
              <w:t>uprave</w:t>
            </w:r>
            <w:proofErr w:type="spellEnd"/>
            <w:r w:rsidRPr="0015571A">
              <w:rPr>
                <w:rFonts w:cstheme="minorHAnsi"/>
                <w:sz w:val="20"/>
                <w:szCs w:val="20"/>
              </w:rPr>
              <w:t xml:space="preserve"> i </w:t>
            </w:r>
            <w:proofErr w:type="spellStart"/>
            <w:r w:rsidRPr="0015571A">
              <w:rPr>
                <w:rFonts w:cstheme="minorHAnsi"/>
                <w:sz w:val="20"/>
                <w:szCs w:val="20"/>
              </w:rPr>
              <w:t>institucija</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r w:rsidRPr="0015571A">
              <w:rPr>
                <w:rFonts w:cstheme="minorHAnsi"/>
                <w:sz w:val="20"/>
                <w:szCs w:val="20"/>
              </w:rPr>
              <w:t>svim</w:t>
            </w:r>
            <w:proofErr w:type="spellEnd"/>
            <w:r w:rsidRPr="0015571A">
              <w:rPr>
                <w:rFonts w:cstheme="minorHAnsi"/>
                <w:sz w:val="20"/>
                <w:szCs w:val="20"/>
              </w:rPr>
              <w:t xml:space="preserve"> </w:t>
            </w:r>
            <w:proofErr w:type="spellStart"/>
            <w:r w:rsidRPr="0015571A">
              <w:rPr>
                <w:rFonts w:cstheme="minorHAnsi"/>
                <w:sz w:val="20"/>
                <w:szCs w:val="20"/>
              </w:rPr>
              <w:t>nivoima</w:t>
            </w:r>
            <w:proofErr w:type="spellEnd"/>
            <w:r w:rsidRPr="0015571A">
              <w:rPr>
                <w:rFonts w:cstheme="minorHAnsi"/>
                <w:sz w:val="20"/>
                <w:szCs w:val="20"/>
              </w:rPr>
              <w:t xml:space="preserve"> vlasti u FBiH, </w:t>
            </w:r>
            <w:proofErr w:type="spellStart"/>
            <w:r w:rsidRPr="0015571A">
              <w:rPr>
                <w:rFonts w:cstheme="minorHAnsi"/>
                <w:sz w:val="20"/>
                <w:szCs w:val="20"/>
              </w:rPr>
              <w:t>predstavnici</w:t>
            </w:r>
            <w:proofErr w:type="spellEnd"/>
            <w:r w:rsidRPr="0015571A">
              <w:rPr>
                <w:rFonts w:cstheme="minorHAnsi"/>
                <w:sz w:val="20"/>
                <w:szCs w:val="20"/>
              </w:rPr>
              <w:t xml:space="preserve"> </w:t>
            </w:r>
            <w:proofErr w:type="spellStart"/>
            <w:r w:rsidRPr="0015571A">
              <w:rPr>
                <w:rFonts w:cstheme="minorHAnsi"/>
                <w:sz w:val="20"/>
                <w:szCs w:val="20"/>
              </w:rPr>
              <w:t>akademske</w:t>
            </w:r>
            <w:proofErr w:type="spellEnd"/>
            <w:r w:rsidRPr="0015571A">
              <w:rPr>
                <w:rFonts w:cstheme="minorHAnsi"/>
                <w:sz w:val="20"/>
                <w:szCs w:val="20"/>
              </w:rPr>
              <w:t xml:space="preserve"> </w:t>
            </w:r>
            <w:proofErr w:type="spellStart"/>
            <w:r w:rsidRPr="0015571A">
              <w:rPr>
                <w:rFonts w:cstheme="minorHAnsi"/>
                <w:sz w:val="20"/>
                <w:szCs w:val="20"/>
              </w:rPr>
              <w:t>zajednice</w:t>
            </w:r>
            <w:proofErr w:type="spellEnd"/>
            <w:r w:rsidRPr="0015571A">
              <w:rPr>
                <w:rFonts w:cstheme="minorHAnsi"/>
                <w:sz w:val="20"/>
                <w:szCs w:val="20"/>
              </w:rPr>
              <w:t xml:space="preserve"> i </w:t>
            </w:r>
            <w:proofErr w:type="spellStart"/>
            <w:r w:rsidRPr="0015571A">
              <w:rPr>
                <w:rFonts w:cstheme="minorHAnsi"/>
                <w:sz w:val="20"/>
                <w:szCs w:val="20"/>
              </w:rPr>
              <w:t>stručne</w:t>
            </w:r>
            <w:proofErr w:type="spellEnd"/>
            <w:r w:rsidRPr="0015571A">
              <w:rPr>
                <w:rFonts w:cstheme="minorHAnsi"/>
                <w:sz w:val="20"/>
                <w:szCs w:val="20"/>
              </w:rPr>
              <w:t xml:space="preserve"> </w:t>
            </w:r>
            <w:proofErr w:type="spellStart"/>
            <w:r w:rsidRPr="0015571A">
              <w:rPr>
                <w:rFonts w:cstheme="minorHAnsi"/>
                <w:sz w:val="20"/>
                <w:szCs w:val="20"/>
              </w:rPr>
              <w:t>javnosti</w:t>
            </w:r>
            <w:proofErr w:type="spellEnd"/>
            <w:r w:rsidRPr="0015571A">
              <w:rPr>
                <w:rFonts w:cstheme="minorHAnsi"/>
                <w:sz w:val="20"/>
                <w:szCs w:val="20"/>
              </w:rPr>
              <w:t xml:space="preserve">, </w:t>
            </w:r>
            <w:proofErr w:type="spellStart"/>
            <w:r w:rsidRPr="0015571A">
              <w:rPr>
                <w:rFonts w:cstheme="minorHAnsi"/>
                <w:sz w:val="20"/>
                <w:szCs w:val="20"/>
              </w:rPr>
              <w:t>građevinskog</w:t>
            </w:r>
            <w:proofErr w:type="spellEnd"/>
            <w:r w:rsidRPr="0015571A">
              <w:rPr>
                <w:rFonts w:cstheme="minorHAnsi"/>
                <w:sz w:val="20"/>
                <w:szCs w:val="20"/>
              </w:rPr>
              <w:t xml:space="preserve"> i </w:t>
            </w:r>
            <w:proofErr w:type="spellStart"/>
            <w:r w:rsidRPr="0015571A">
              <w:rPr>
                <w:rFonts w:cstheme="minorHAnsi"/>
                <w:sz w:val="20"/>
                <w:szCs w:val="20"/>
              </w:rPr>
              <w:t>energetskog</w:t>
            </w:r>
            <w:proofErr w:type="spellEnd"/>
            <w:r w:rsidRPr="0015571A">
              <w:rPr>
                <w:rFonts w:cstheme="minorHAnsi"/>
                <w:sz w:val="20"/>
                <w:szCs w:val="20"/>
              </w:rPr>
              <w:t xml:space="preserve"> </w:t>
            </w:r>
            <w:proofErr w:type="spellStart"/>
            <w:r w:rsidRPr="0015571A">
              <w:rPr>
                <w:rFonts w:cstheme="minorHAnsi"/>
                <w:sz w:val="20"/>
                <w:szCs w:val="20"/>
              </w:rPr>
              <w:t>sektora</w:t>
            </w:r>
            <w:proofErr w:type="spellEnd"/>
            <w:r w:rsidRPr="0015571A">
              <w:rPr>
                <w:rFonts w:cstheme="minorHAnsi"/>
                <w:sz w:val="20"/>
                <w:szCs w:val="20"/>
              </w:rPr>
              <w:t xml:space="preserve"> </w:t>
            </w:r>
            <w:proofErr w:type="spellStart"/>
            <w:r w:rsidRPr="0015571A">
              <w:rPr>
                <w:rFonts w:cstheme="minorHAnsi"/>
                <w:sz w:val="20"/>
                <w:szCs w:val="20"/>
              </w:rPr>
              <w:t>te</w:t>
            </w:r>
            <w:proofErr w:type="spellEnd"/>
            <w:r w:rsidRPr="0015571A">
              <w:rPr>
                <w:rFonts w:cstheme="minorHAnsi"/>
                <w:sz w:val="20"/>
                <w:szCs w:val="20"/>
              </w:rPr>
              <w:t xml:space="preserve"> </w:t>
            </w:r>
            <w:proofErr w:type="spellStart"/>
            <w:r w:rsidRPr="0015571A">
              <w:rPr>
                <w:rFonts w:cstheme="minorHAnsi"/>
                <w:sz w:val="20"/>
                <w:szCs w:val="20"/>
              </w:rPr>
              <w:t>pratećih</w:t>
            </w:r>
            <w:proofErr w:type="spellEnd"/>
            <w:r w:rsidRPr="0015571A">
              <w:rPr>
                <w:rFonts w:cstheme="minorHAnsi"/>
                <w:sz w:val="20"/>
                <w:szCs w:val="20"/>
              </w:rPr>
              <w:t xml:space="preserve"> </w:t>
            </w:r>
            <w:proofErr w:type="spellStart"/>
            <w:r w:rsidRPr="0015571A">
              <w:rPr>
                <w:rFonts w:cstheme="minorHAnsi"/>
                <w:sz w:val="20"/>
                <w:szCs w:val="20"/>
              </w:rPr>
              <w:t>industrija</w:t>
            </w:r>
            <w:proofErr w:type="spellEnd"/>
            <w:r w:rsidRPr="0015571A">
              <w:rPr>
                <w:rFonts w:cstheme="minorHAnsi"/>
                <w:sz w:val="20"/>
                <w:szCs w:val="20"/>
              </w:rPr>
              <w:t>.</w:t>
            </w:r>
          </w:p>
          <w:p w14:paraId="6E6EEB0B" w14:textId="77777777" w:rsidR="00A00D87" w:rsidRPr="0015571A" w:rsidRDefault="00A00D87" w:rsidP="00E6560A">
            <w:pPr>
              <w:spacing w:line="259" w:lineRule="auto"/>
              <w:ind w:left="1"/>
              <w:jc w:val="both"/>
              <w:rPr>
                <w:rFonts w:cstheme="minorHAnsi"/>
                <w:sz w:val="20"/>
                <w:szCs w:val="20"/>
              </w:rPr>
            </w:pPr>
          </w:p>
        </w:tc>
      </w:tr>
    </w:tbl>
    <w:p w14:paraId="09E5442D" w14:textId="77777777" w:rsidR="00A00D87" w:rsidRDefault="00A00D87" w:rsidP="00A00D87"/>
    <w:p w14:paraId="1CDC4D23" w14:textId="77777777" w:rsidR="006D442E" w:rsidRDefault="006D442E" w:rsidP="00A00D87"/>
    <w:p w14:paraId="5EEC3AC5" w14:textId="77777777" w:rsidR="006D442E" w:rsidRDefault="006D442E" w:rsidP="00A00D87"/>
    <w:p w14:paraId="7C58C13D" w14:textId="77777777" w:rsidR="006D442E" w:rsidRDefault="006D442E" w:rsidP="00A00D87"/>
    <w:p w14:paraId="681EEFC5" w14:textId="77777777" w:rsidR="006D442E" w:rsidRDefault="006D442E" w:rsidP="00A00D87"/>
    <w:p w14:paraId="031CF8BC" w14:textId="77777777" w:rsidR="006D442E" w:rsidRDefault="006D442E" w:rsidP="00A00D87"/>
    <w:p w14:paraId="2E23CD79" w14:textId="77777777" w:rsidR="00E6560A" w:rsidRDefault="00E6560A" w:rsidP="00A00D87"/>
    <w:p w14:paraId="2324D97B" w14:textId="77777777" w:rsidR="0015571A" w:rsidRDefault="0015571A" w:rsidP="00A00D87"/>
    <w:p w14:paraId="4B65E577" w14:textId="77777777" w:rsidR="0015571A" w:rsidRDefault="0015571A" w:rsidP="00A00D87"/>
    <w:p w14:paraId="4D4EEC8B" w14:textId="77777777" w:rsidR="0015571A" w:rsidRDefault="0015571A" w:rsidP="00A00D87"/>
    <w:p w14:paraId="03430110" w14:textId="77777777" w:rsidR="0015571A" w:rsidRDefault="0015571A" w:rsidP="00A00D87"/>
    <w:p w14:paraId="72AE718C" w14:textId="77777777" w:rsidR="0015571A" w:rsidRDefault="0015571A" w:rsidP="00A00D87"/>
    <w:p w14:paraId="236F322F" w14:textId="77777777" w:rsidR="0015571A" w:rsidRDefault="0015571A" w:rsidP="00A00D87"/>
    <w:p w14:paraId="1B66309C" w14:textId="77777777" w:rsidR="0015571A" w:rsidRDefault="0015571A" w:rsidP="00A00D87"/>
    <w:p w14:paraId="16084088" w14:textId="77777777" w:rsidR="0015571A" w:rsidRDefault="0015571A" w:rsidP="00A00D87"/>
    <w:p w14:paraId="05D09227" w14:textId="77777777" w:rsidR="0015571A" w:rsidRDefault="0015571A" w:rsidP="00A00D87"/>
    <w:p w14:paraId="2C66E8BC" w14:textId="77777777" w:rsidR="0015571A" w:rsidRDefault="0015571A" w:rsidP="00A00D87"/>
    <w:p w14:paraId="4272039D" w14:textId="77777777" w:rsidR="006D442E" w:rsidRDefault="006D442E" w:rsidP="00A00D87"/>
    <w:tbl>
      <w:tblPr>
        <w:tblStyle w:val="TableGrid0"/>
        <w:tblW w:w="9016" w:type="dxa"/>
        <w:tblInd w:w="198" w:type="dxa"/>
        <w:tblCellMar>
          <w:top w:w="5" w:type="dxa"/>
          <w:left w:w="107" w:type="dxa"/>
          <w:right w:w="69" w:type="dxa"/>
        </w:tblCellMar>
        <w:tblLook w:val="04A0" w:firstRow="1" w:lastRow="0" w:firstColumn="1" w:lastColumn="0" w:noHBand="0" w:noVBand="1"/>
      </w:tblPr>
      <w:tblGrid>
        <w:gridCol w:w="1767"/>
        <w:gridCol w:w="3710"/>
        <w:gridCol w:w="2068"/>
        <w:gridCol w:w="1471"/>
      </w:tblGrid>
      <w:tr w:rsidR="00A00D87" w:rsidRPr="0015571A" w14:paraId="51AC9364" w14:textId="77777777" w:rsidTr="00122946">
        <w:trPr>
          <w:trHeight w:val="42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B75162A"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lastRenderedPageBreak/>
              <w:t>Veza</w:t>
            </w:r>
            <w:proofErr w:type="spellEnd"/>
            <w:r w:rsidRPr="0015571A">
              <w:rPr>
                <w:rFonts w:cstheme="minorHAnsi"/>
                <w:b/>
                <w:sz w:val="20"/>
                <w:szCs w:val="20"/>
              </w:rPr>
              <w:t xml:space="preserve"> </w:t>
            </w:r>
            <w:proofErr w:type="spellStart"/>
            <w:r w:rsidRPr="0015571A">
              <w:rPr>
                <w:rFonts w:cstheme="minorHAnsi"/>
                <w:b/>
                <w:sz w:val="20"/>
                <w:szCs w:val="20"/>
              </w:rPr>
              <w:t>sa</w:t>
            </w:r>
            <w:proofErr w:type="spellEnd"/>
            <w:r w:rsidRPr="0015571A">
              <w:rPr>
                <w:rFonts w:cstheme="minorHAnsi"/>
                <w:b/>
                <w:sz w:val="20"/>
                <w:szCs w:val="20"/>
              </w:rPr>
              <w:t xml:space="preserve"> </w:t>
            </w:r>
            <w:proofErr w:type="spellStart"/>
            <w:r w:rsidRPr="0015571A">
              <w:rPr>
                <w:rFonts w:cstheme="minorHAnsi"/>
                <w:b/>
                <w:sz w:val="20"/>
                <w:szCs w:val="20"/>
              </w:rPr>
              <w:t>strateškim</w:t>
            </w:r>
            <w:proofErr w:type="spellEnd"/>
            <w:r w:rsidRPr="0015571A">
              <w:rPr>
                <w:rFonts w:cstheme="minorHAnsi"/>
                <w:b/>
                <w:sz w:val="20"/>
                <w:szCs w:val="20"/>
              </w:rPr>
              <w:t xml:space="preserve"> </w:t>
            </w:r>
            <w:proofErr w:type="spellStart"/>
            <w:r w:rsidRPr="0015571A">
              <w:rPr>
                <w:rFonts w:cstheme="minorHAnsi"/>
                <w:b/>
                <w:sz w:val="20"/>
                <w:szCs w:val="20"/>
              </w:rPr>
              <w:t>ciljem</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15E01C5B" w14:textId="77777777" w:rsidR="00A00D87" w:rsidRPr="0015571A" w:rsidRDefault="00A00D87" w:rsidP="00122946">
            <w:pPr>
              <w:spacing w:line="259" w:lineRule="auto"/>
              <w:ind w:left="1"/>
              <w:rPr>
                <w:rFonts w:cstheme="minorHAnsi"/>
                <w:sz w:val="20"/>
                <w:szCs w:val="20"/>
              </w:rPr>
            </w:pPr>
            <w:r w:rsidRPr="0015571A">
              <w:rPr>
                <w:rFonts w:cstheme="minorHAnsi"/>
                <w:b/>
                <w:sz w:val="20"/>
                <w:szCs w:val="20"/>
              </w:rPr>
              <w:t xml:space="preserve">1. </w:t>
            </w:r>
            <w:proofErr w:type="spellStart"/>
            <w:r w:rsidRPr="0015571A">
              <w:rPr>
                <w:rFonts w:cstheme="minorHAnsi"/>
                <w:b/>
                <w:sz w:val="20"/>
                <w:szCs w:val="20"/>
              </w:rPr>
              <w:t>Postojeći</w:t>
            </w:r>
            <w:proofErr w:type="spellEnd"/>
            <w:r w:rsidRPr="0015571A">
              <w:rPr>
                <w:rFonts w:cstheme="minorHAnsi"/>
                <w:b/>
                <w:sz w:val="20"/>
                <w:szCs w:val="20"/>
              </w:rPr>
              <w:t xml:space="preserve"> fond </w:t>
            </w:r>
            <w:proofErr w:type="spellStart"/>
            <w:r w:rsidRPr="0015571A">
              <w:rPr>
                <w:rFonts w:cstheme="minorHAnsi"/>
                <w:b/>
                <w:sz w:val="20"/>
                <w:szCs w:val="20"/>
              </w:rPr>
              <w:t>zgrada</w:t>
            </w:r>
            <w:proofErr w:type="spellEnd"/>
            <w:r w:rsidRPr="0015571A">
              <w:rPr>
                <w:rFonts w:cstheme="minorHAnsi"/>
                <w:b/>
                <w:sz w:val="20"/>
                <w:szCs w:val="20"/>
              </w:rPr>
              <w:t xml:space="preserve"> u FBiH je </w:t>
            </w:r>
            <w:proofErr w:type="spellStart"/>
            <w:r w:rsidRPr="0015571A">
              <w:rPr>
                <w:rFonts w:cstheme="minorHAnsi"/>
                <w:b/>
                <w:sz w:val="20"/>
                <w:szCs w:val="20"/>
              </w:rPr>
              <w:t>transformiran</w:t>
            </w:r>
            <w:proofErr w:type="spellEnd"/>
            <w:r w:rsidRPr="0015571A">
              <w:rPr>
                <w:rFonts w:cstheme="minorHAnsi"/>
                <w:b/>
                <w:sz w:val="20"/>
                <w:szCs w:val="20"/>
              </w:rPr>
              <w:t xml:space="preserve"> u </w:t>
            </w:r>
            <w:proofErr w:type="spellStart"/>
            <w:r w:rsidRPr="0015571A">
              <w:rPr>
                <w:rFonts w:cstheme="minorHAnsi"/>
                <w:b/>
                <w:sz w:val="20"/>
                <w:szCs w:val="20"/>
              </w:rPr>
              <w:t>energijski</w:t>
            </w:r>
            <w:proofErr w:type="spellEnd"/>
            <w:r w:rsidRPr="0015571A">
              <w:rPr>
                <w:rFonts w:cstheme="minorHAnsi"/>
                <w:b/>
                <w:sz w:val="20"/>
                <w:szCs w:val="20"/>
              </w:rPr>
              <w:t xml:space="preserve"> </w:t>
            </w:r>
            <w:proofErr w:type="spellStart"/>
            <w:r w:rsidRPr="0015571A">
              <w:rPr>
                <w:rFonts w:cstheme="minorHAnsi"/>
                <w:b/>
                <w:sz w:val="20"/>
                <w:szCs w:val="20"/>
              </w:rPr>
              <w:t>visokoefikasan</w:t>
            </w:r>
            <w:proofErr w:type="spellEnd"/>
            <w:r w:rsidRPr="0015571A">
              <w:rPr>
                <w:rFonts w:cstheme="minorHAnsi"/>
                <w:b/>
                <w:sz w:val="20"/>
                <w:szCs w:val="20"/>
              </w:rPr>
              <w:t xml:space="preserve"> i </w:t>
            </w:r>
            <w:proofErr w:type="spellStart"/>
            <w:r w:rsidRPr="0015571A">
              <w:rPr>
                <w:rFonts w:cstheme="minorHAnsi"/>
                <w:b/>
                <w:sz w:val="20"/>
                <w:szCs w:val="20"/>
              </w:rPr>
              <w:t>dekarboniziran</w:t>
            </w:r>
            <w:proofErr w:type="spellEnd"/>
            <w:r w:rsidRPr="0015571A">
              <w:rPr>
                <w:rFonts w:cstheme="minorHAnsi"/>
                <w:b/>
                <w:sz w:val="20"/>
                <w:szCs w:val="20"/>
              </w:rPr>
              <w:t xml:space="preserve"> fond </w:t>
            </w:r>
            <w:proofErr w:type="spellStart"/>
            <w:r w:rsidRPr="0015571A">
              <w:rPr>
                <w:rFonts w:cstheme="minorHAnsi"/>
                <w:b/>
                <w:sz w:val="20"/>
                <w:szCs w:val="20"/>
              </w:rPr>
              <w:t>zgrada</w:t>
            </w:r>
            <w:proofErr w:type="spellEnd"/>
            <w:r w:rsidRPr="0015571A">
              <w:rPr>
                <w:rFonts w:cstheme="minorHAnsi"/>
                <w:b/>
                <w:sz w:val="20"/>
                <w:szCs w:val="20"/>
              </w:rPr>
              <w:t xml:space="preserve"> do 2050. </w:t>
            </w:r>
            <w:proofErr w:type="spellStart"/>
            <w:r w:rsidRPr="0015571A">
              <w:rPr>
                <w:rFonts w:cstheme="minorHAnsi"/>
                <w:b/>
                <w:sz w:val="20"/>
                <w:szCs w:val="20"/>
              </w:rPr>
              <w:t>godine</w:t>
            </w:r>
            <w:proofErr w:type="spellEnd"/>
          </w:p>
        </w:tc>
      </w:tr>
      <w:tr w:rsidR="00A00D87" w:rsidRPr="001972F5" w14:paraId="1D844DE7" w14:textId="77777777" w:rsidTr="00122946">
        <w:trPr>
          <w:trHeight w:val="21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9F5657"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Prioritet</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4FC040D7" w14:textId="77777777" w:rsidR="00A00D87" w:rsidRPr="0015571A" w:rsidRDefault="00A00D87" w:rsidP="00581C1C">
            <w:pPr>
              <w:pStyle w:val="ListParagraph"/>
              <w:numPr>
                <w:ilvl w:val="1"/>
                <w:numId w:val="91"/>
              </w:numPr>
              <w:jc w:val="both"/>
              <w:rPr>
                <w:rFonts w:cstheme="minorHAnsi"/>
                <w:sz w:val="20"/>
                <w:szCs w:val="20"/>
              </w:rPr>
            </w:pPr>
            <w:r w:rsidRPr="0015571A">
              <w:rPr>
                <w:rFonts w:cstheme="minorHAnsi"/>
                <w:b/>
                <w:sz w:val="20"/>
                <w:szCs w:val="20"/>
              </w:rPr>
              <w:t>Transformirati postojeći fond zgrada FBiH u energijski visokoefikasan</w:t>
            </w:r>
          </w:p>
        </w:tc>
      </w:tr>
      <w:tr w:rsidR="00A00D87" w:rsidRPr="0015571A" w14:paraId="7A24FA73" w14:textId="77777777" w:rsidTr="00122946">
        <w:trPr>
          <w:trHeight w:val="425"/>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7AD4991"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Naziv</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4DEC37C9" w14:textId="76A66160" w:rsidR="00A00D87" w:rsidRPr="0015571A" w:rsidRDefault="00A00D87" w:rsidP="00122946">
            <w:pPr>
              <w:spacing w:line="259" w:lineRule="auto"/>
              <w:ind w:left="635" w:hanging="574"/>
              <w:rPr>
                <w:rFonts w:cstheme="minorHAnsi"/>
                <w:sz w:val="20"/>
                <w:szCs w:val="20"/>
              </w:rPr>
            </w:pPr>
            <w:r w:rsidRPr="0015571A">
              <w:rPr>
                <w:rFonts w:cstheme="minorHAnsi"/>
                <w:b/>
                <w:bCs/>
                <w:sz w:val="20"/>
                <w:szCs w:val="20"/>
              </w:rPr>
              <w:t xml:space="preserve">1.1.3. </w:t>
            </w:r>
            <w:proofErr w:type="spellStart"/>
            <w:r w:rsidR="003C2431" w:rsidRPr="0015571A">
              <w:rPr>
                <w:rFonts w:cstheme="minorHAnsi"/>
                <w:b/>
                <w:bCs/>
                <w:sz w:val="20"/>
                <w:szCs w:val="20"/>
              </w:rPr>
              <w:t>Uspostavliti</w:t>
            </w:r>
            <w:proofErr w:type="spellEnd"/>
            <w:r w:rsidR="003C2431" w:rsidRPr="0015571A">
              <w:rPr>
                <w:rFonts w:cstheme="minorHAnsi"/>
                <w:b/>
                <w:bCs/>
                <w:sz w:val="20"/>
                <w:szCs w:val="20"/>
              </w:rPr>
              <w:t xml:space="preserve"> </w:t>
            </w:r>
            <w:proofErr w:type="spellStart"/>
            <w:r w:rsidRPr="0015571A">
              <w:rPr>
                <w:rFonts w:cstheme="minorHAnsi"/>
                <w:b/>
                <w:bCs/>
                <w:sz w:val="20"/>
                <w:szCs w:val="20"/>
              </w:rPr>
              <w:t>održiv</w:t>
            </w:r>
            <w:proofErr w:type="spellEnd"/>
            <w:r w:rsidRPr="0015571A">
              <w:rPr>
                <w:rFonts w:cstheme="minorHAnsi"/>
                <w:b/>
                <w:bCs/>
                <w:sz w:val="20"/>
                <w:szCs w:val="20"/>
              </w:rPr>
              <w:t xml:space="preserve"> </w:t>
            </w:r>
            <w:proofErr w:type="spellStart"/>
            <w:r w:rsidR="007B690C" w:rsidRPr="0015571A">
              <w:rPr>
                <w:rFonts w:cstheme="minorHAnsi"/>
                <w:b/>
                <w:bCs/>
                <w:sz w:val="20"/>
                <w:szCs w:val="20"/>
              </w:rPr>
              <w:t>financ</w:t>
            </w:r>
            <w:r w:rsidRPr="0015571A">
              <w:rPr>
                <w:rFonts w:cstheme="minorHAnsi"/>
                <w:b/>
                <w:bCs/>
                <w:sz w:val="20"/>
                <w:szCs w:val="20"/>
              </w:rPr>
              <w:t>ijsk</w:t>
            </w:r>
            <w:r w:rsidR="003C2431" w:rsidRPr="0015571A">
              <w:rPr>
                <w:rFonts w:cstheme="minorHAnsi"/>
                <w:b/>
                <w:bCs/>
                <w:sz w:val="20"/>
                <w:szCs w:val="20"/>
              </w:rPr>
              <w:t>i</w:t>
            </w:r>
            <w:proofErr w:type="spellEnd"/>
            <w:r w:rsidRPr="0015571A">
              <w:rPr>
                <w:rFonts w:cstheme="minorHAnsi"/>
                <w:b/>
                <w:bCs/>
                <w:sz w:val="20"/>
                <w:szCs w:val="20"/>
              </w:rPr>
              <w:t xml:space="preserve"> </w:t>
            </w:r>
            <w:proofErr w:type="spellStart"/>
            <w:r w:rsidRPr="0015571A">
              <w:rPr>
                <w:rFonts w:cstheme="minorHAnsi"/>
                <w:b/>
                <w:bCs/>
                <w:sz w:val="20"/>
                <w:szCs w:val="20"/>
              </w:rPr>
              <w:t>okvir</w:t>
            </w:r>
            <w:proofErr w:type="spellEnd"/>
            <w:r w:rsidRPr="0015571A">
              <w:rPr>
                <w:rFonts w:cstheme="minorHAnsi"/>
                <w:b/>
                <w:bCs/>
                <w:sz w:val="20"/>
                <w:szCs w:val="20"/>
              </w:rPr>
              <w:t xml:space="preserve"> koji </w:t>
            </w:r>
            <w:proofErr w:type="spellStart"/>
            <w:r w:rsidR="003C2431" w:rsidRPr="0015571A">
              <w:rPr>
                <w:rFonts w:cstheme="minorHAnsi"/>
                <w:b/>
                <w:bCs/>
                <w:sz w:val="20"/>
                <w:szCs w:val="20"/>
              </w:rPr>
              <w:t>će</w:t>
            </w:r>
            <w:proofErr w:type="spellEnd"/>
            <w:r w:rsidR="003C2431" w:rsidRPr="0015571A">
              <w:rPr>
                <w:rFonts w:cstheme="minorHAnsi"/>
                <w:b/>
                <w:bCs/>
                <w:sz w:val="20"/>
                <w:szCs w:val="20"/>
              </w:rPr>
              <w:t xml:space="preserve"> </w:t>
            </w:r>
            <w:proofErr w:type="spellStart"/>
            <w:r w:rsidRPr="0015571A">
              <w:rPr>
                <w:rFonts w:cstheme="minorHAnsi"/>
                <w:b/>
                <w:bCs/>
                <w:sz w:val="20"/>
                <w:szCs w:val="20"/>
              </w:rPr>
              <w:t>omoguć</w:t>
            </w:r>
            <w:r w:rsidR="003C2431" w:rsidRPr="0015571A">
              <w:rPr>
                <w:rFonts w:cstheme="minorHAnsi"/>
                <w:b/>
                <w:bCs/>
                <w:sz w:val="20"/>
                <w:szCs w:val="20"/>
              </w:rPr>
              <w:t>iti</w:t>
            </w:r>
            <w:proofErr w:type="spellEnd"/>
            <w:r w:rsidRPr="0015571A">
              <w:rPr>
                <w:rFonts w:cstheme="minorHAnsi"/>
                <w:b/>
                <w:bCs/>
                <w:sz w:val="20"/>
                <w:szCs w:val="20"/>
              </w:rPr>
              <w:t xml:space="preserve"> </w:t>
            </w:r>
            <w:proofErr w:type="spellStart"/>
            <w:r w:rsidRPr="0015571A">
              <w:rPr>
                <w:rFonts w:cstheme="minorHAnsi"/>
                <w:b/>
                <w:bCs/>
                <w:sz w:val="20"/>
                <w:szCs w:val="20"/>
              </w:rPr>
              <w:t>podsticaj</w:t>
            </w:r>
            <w:proofErr w:type="spellEnd"/>
            <w:r w:rsidRPr="0015571A">
              <w:rPr>
                <w:rFonts w:cstheme="minorHAnsi"/>
                <w:b/>
                <w:bCs/>
                <w:sz w:val="20"/>
                <w:szCs w:val="20"/>
              </w:rPr>
              <w:t xml:space="preserve"> i </w:t>
            </w:r>
            <w:proofErr w:type="spellStart"/>
            <w:r w:rsidRPr="0015571A">
              <w:rPr>
                <w:rFonts w:cstheme="minorHAnsi"/>
                <w:b/>
                <w:bCs/>
                <w:sz w:val="20"/>
                <w:szCs w:val="20"/>
              </w:rPr>
              <w:t>kontinuirano</w:t>
            </w:r>
            <w:proofErr w:type="spellEnd"/>
            <w:r w:rsidRPr="0015571A">
              <w:rPr>
                <w:rFonts w:cstheme="minorHAnsi"/>
                <w:b/>
                <w:bCs/>
                <w:sz w:val="20"/>
                <w:szCs w:val="20"/>
              </w:rPr>
              <w:t xml:space="preserve"> </w:t>
            </w:r>
            <w:proofErr w:type="spellStart"/>
            <w:r w:rsidR="007B690C" w:rsidRPr="0015571A">
              <w:rPr>
                <w:rFonts w:cstheme="minorHAnsi"/>
                <w:b/>
                <w:bCs/>
                <w:sz w:val="20"/>
                <w:szCs w:val="20"/>
              </w:rPr>
              <w:t>financ</w:t>
            </w:r>
            <w:r w:rsidRPr="0015571A">
              <w:rPr>
                <w:rFonts w:cstheme="minorHAnsi"/>
                <w:b/>
                <w:bCs/>
                <w:sz w:val="20"/>
                <w:szCs w:val="20"/>
              </w:rPr>
              <w:t>iranje</w:t>
            </w:r>
            <w:proofErr w:type="spellEnd"/>
            <w:r w:rsidRPr="0015571A">
              <w:rPr>
                <w:rFonts w:cstheme="minorHAnsi"/>
                <w:b/>
                <w:bCs/>
                <w:sz w:val="20"/>
                <w:szCs w:val="20"/>
              </w:rPr>
              <w:t xml:space="preserve"> </w:t>
            </w:r>
            <w:proofErr w:type="spellStart"/>
            <w:r w:rsidRPr="0015571A">
              <w:rPr>
                <w:rFonts w:cstheme="minorHAnsi"/>
                <w:b/>
                <w:bCs/>
                <w:sz w:val="20"/>
                <w:szCs w:val="20"/>
              </w:rPr>
              <w:t>obnove</w:t>
            </w:r>
            <w:proofErr w:type="spellEnd"/>
            <w:r w:rsidRPr="0015571A">
              <w:rPr>
                <w:rFonts w:cstheme="minorHAnsi"/>
                <w:b/>
                <w:bCs/>
                <w:sz w:val="20"/>
                <w:szCs w:val="20"/>
              </w:rPr>
              <w:t xml:space="preserve"> </w:t>
            </w:r>
            <w:proofErr w:type="spellStart"/>
            <w:r w:rsidRPr="0015571A">
              <w:rPr>
                <w:rFonts w:cstheme="minorHAnsi"/>
                <w:b/>
                <w:bCs/>
                <w:sz w:val="20"/>
                <w:szCs w:val="20"/>
              </w:rPr>
              <w:t>sektora</w:t>
            </w:r>
            <w:proofErr w:type="spellEnd"/>
            <w:r w:rsidRPr="0015571A">
              <w:rPr>
                <w:rFonts w:cstheme="minorHAnsi"/>
                <w:b/>
                <w:bCs/>
                <w:sz w:val="20"/>
                <w:szCs w:val="20"/>
              </w:rPr>
              <w:t xml:space="preserve"> </w:t>
            </w:r>
            <w:proofErr w:type="spellStart"/>
            <w:r w:rsidRPr="0015571A">
              <w:rPr>
                <w:rFonts w:cstheme="minorHAnsi"/>
                <w:b/>
                <w:bCs/>
                <w:sz w:val="20"/>
                <w:szCs w:val="20"/>
              </w:rPr>
              <w:t>zgradarstva</w:t>
            </w:r>
            <w:proofErr w:type="spellEnd"/>
          </w:p>
        </w:tc>
      </w:tr>
      <w:tr w:rsidR="00A00D87" w:rsidRPr="001972F5" w14:paraId="3EB439C7"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A90536"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Opis</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roofErr w:type="spellStart"/>
            <w:r w:rsidRPr="0015571A">
              <w:rPr>
                <w:rFonts w:cstheme="minorHAnsi"/>
                <w:b/>
                <w:sz w:val="20"/>
                <w:szCs w:val="20"/>
              </w:rPr>
              <w:t>sa</w:t>
            </w:r>
            <w:proofErr w:type="spellEnd"/>
            <w:r w:rsidRPr="0015571A">
              <w:rPr>
                <w:rFonts w:cstheme="minorHAnsi"/>
                <w:b/>
                <w:sz w:val="20"/>
                <w:szCs w:val="20"/>
              </w:rPr>
              <w:t xml:space="preserve"> </w:t>
            </w:r>
            <w:proofErr w:type="spellStart"/>
            <w:r w:rsidRPr="0015571A">
              <w:rPr>
                <w:rFonts w:cstheme="minorHAnsi"/>
                <w:b/>
                <w:sz w:val="20"/>
                <w:szCs w:val="20"/>
              </w:rPr>
              <w:t>okvirnim</w:t>
            </w:r>
            <w:proofErr w:type="spellEnd"/>
            <w:r w:rsidRPr="0015571A">
              <w:rPr>
                <w:rFonts w:cstheme="minorHAnsi"/>
                <w:b/>
                <w:sz w:val="20"/>
                <w:szCs w:val="20"/>
              </w:rPr>
              <w:t xml:space="preserve"> </w:t>
            </w:r>
            <w:proofErr w:type="spellStart"/>
            <w:r w:rsidRPr="0015571A">
              <w:rPr>
                <w:rFonts w:cstheme="minorHAnsi"/>
                <w:b/>
                <w:sz w:val="20"/>
                <w:szCs w:val="20"/>
              </w:rPr>
              <w:t>područjima</w:t>
            </w:r>
            <w:proofErr w:type="spellEnd"/>
            <w:r w:rsidRPr="0015571A">
              <w:rPr>
                <w:rFonts w:cstheme="minorHAnsi"/>
                <w:b/>
                <w:sz w:val="20"/>
                <w:szCs w:val="20"/>
              </w:rPr>
              <w:t xml:space="preserve"> </w:t>
            </w:r>
            <w:proofErr w:type="spellStart"/>
            <w:r w:rsidRPr="0015571A">
              <w:rPr>
                <w:rFonts w:cstheme="minorHAnsi"/>
                <w:b/>
                <w:sz w:val="20"/>
                <w:szCs w:val="20"/>
              </w:rPr>
              <w:t>djelovanja</w:t>
            </w:r>
            <w:proofErr w:type="spellEnd"/>
          </w:p>
        </w:tc>
        <w:tc>
          <w:tcPr>
            <w:tcW w:w="7249" w:type="dxa"/>
            <w:gridSpan w:val="3"/>
            <w:tcBorders>
              <w:top w:val="single" w:sz="4" w:space="0" w:color="000000"/>
              <w:left w:val="single" w:sz="4" w:space="0" w:color="000000"/>
              <w:bottom w:val="single" w:sz="4" w:space="0" w:color="000000"/>
              <w:right w:val="single" w:sz="4" w:space="0" w:color="000000"/>
            </w:tcBorders>
          </w:tcPr>
          <w:p w14:paraId="2A39D723" w14:textId="168BC51C" w:rsidR="00A00D87" w:rsidRPr="0015571A" w:rsidRDefault="00A00D87" w:rsidP="00E6560A">
            <w:pPr>
              <w:jc w:val="both"/>
              <w:rPr>
                <w:rFonts w:cstheme="minorHAnsi"/>
                <w:color w:val="000000"/>
                <w:sz w:val="20"/>
                <w:szCs w:val="20"/>
              </w:rPr>
            </w:pPr>
            <w:proofErr w:type="spellStart"/>
            <w:r w:rsidRPr="0015571A">
              <w:rPr>
                <w:rFonts w:cstheme="minorHAnsi"/>
                <w:sz w:val="20"/>
                <w:szCs w:val="20"/>
              </w:rPr>
              <w:t>Cilj</w:t>
            </w:r>
            <w:proofErr w:type="spellEnd"/>
            <w:r w:rsidRPr="0015571A">
              <w:rPr>
                <w:rFonts w:cstheme="minorHAnsi"/>
                <w:sz w:val="20"/>
                <w:szCs w:val="20"/>
              </w:rPr>
              <w:t xml:space="preserve"> </w:t>
            </w:r>
            <w:proofErr w:type="spellStart"/>
            <w:r w:rsidRPr="0015571A">
              <w:rPr>
                <w:rFonts w:cstheme="minorHAnsi"/>
                <w:sz w:val="20"/>
                <w:szCs w:val="20"/>
              </w:rPr>
              <w:t>mjere</w:t>
            </w:r>
            <w:proofErr w:type="spellEnd"/>
            <w:r w:rsidRPr="0015571A">
              <w:rPr>
                <w:rFonts w:cstheme="minorHAnsi"/>
                <w:sz w:val="20"/>
                <w:szCs w:val="20"/>
              </w:rPr>
              <w:t xml:space="preserve"> </w:t>
            </w:r>
            <w:proofErr w:type="spellStart"/>
            <w:r w:rsidRPr="0015571A">
              <w:rPr>
                <w:rFonts w:cstheme="minorHAnsi"/>
                <w:color w:val="000000"/>
                <w:sz w:val="20"/>
                <w:szCs w:val="20"/>
              </w:rPr>
              <w:t>podrazumijeva</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kreiranje</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adekvatnijih</w:t>
            </w:r>
            <w:proofErr w:type="spellEnd"/>
            <w:r w:rsidRPr="0015571A">
              <w:rPr>
                <w:rFonts w:cstheme="minorHAnsi"/>
                <w:color w:val="000000"/>
                <w:sz w:val="20"/>
                <w:szCs w:val="20"/>
              </w:rPr>
              <w:t xml:space="preserve"> </w:t>
            </w:r>
            <w:proofErr w:type="spellStart"/>
            <w:r w:rsidR="007B690C" w:rsidRPr="0015571A">
              <w:rPr>
                <w:rFonts w:cstheme="minorHAnsi"/>
                <w:color w:val="000000"/>
                <w:sz w:val="20"/>
                <w:szCs w:val="20"/>
              </w:rPr>
              <w:t>financ</w:t>
            </w:r>
            <w:r w:rsidRPr="0015571A">
              <w:rPr>
                <w:rFonts w:cstheme="minorHAnsi"/>
                <w:color w:val="000000"/>
                <w:sz w:val="20"/>
                <w:szCs w:val="20"/>
              </w:rPr>
              <w:t>ijskih</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modela</w:t>
            </w:r>
            <w:proofErr w:type="spellEnd"/>
            <w:r w:rsidRPr="0015571A">
              <w:rPr>
                <w:rFonts w:cstheme="minorHAnsi"/>
                <w:color w:val="000000"/>
                <w:sz w:val="20"/>
                <w:szCs w:val="20"/>
              </w:rPr>
              <w:t xml:space="preserve"> za </w:t>
            </w:r>
            <w:proofErr w:type="spellStart"/>
            <w:r w:rsidRPr="0015571A">
              <w:rPr>
                <w:rFonts w:cstheme="minorHAnsi"/>
                <w:color w:val="000000"/>
                <w:sz w:val="20"/>
                <w:szCs w:val="20"/>
              </w:rPr>
              <w:t>efikasnije</w:t>
            </w:r>
            <w:proofErr w:type="spellEnd"/>
            <w:r w:rsidRPr="0015571A">
              <w:rPr>
                <w:rFonts w:cstheme="minorHAnsi"/>
                <w:color w:val="000000"/>
                <w:sz w:val="20"/>
                <w:szCs w:val="20"/>
              </w:rPr>
              <w:t xml:space="preserve"> </w:t>
            </w:r>
            <w:proofErr w:type="spellStart"/>
            <w:r w:rsidR="007B690C" w:rsidRPr="0015571A">
              <w:rPr>
                <w:rFonts w:cstheme="minorHAnsi"/>
                <w:color w:val="000000"/>
                <w:sz w:val="20"/>
                <w:szCs w:val="20"/>
              </w:rPr>
              <w:t>financ</w:t>
            </w:r>
            <w:r w:rsidRPr="0015571A">
              <w:rPr>
                <w:rFonts w:cstheme="minorHAnsi"/>
                <w:color w:val="000000"/>
                <w:sz w:val="20"/>
                <w:szCs w:val="20"/>
              </w:rPr>
              <w:t>iranje</w:t>
            </w:r>
            <w:proofErr w:type="spellEnd"/>
            <w:r w:rsidRPr="0015571A">
              <w:rPr>
                <w:rFonts w:cstheme="minorHAnsi"/>
                <w:color w:val="000000"/>
                <w:sz w:val="20"/>
                <w:szCs w:val="20"/>
              </w:rPr>
              <w:t xml:space="preserve"> </w:t>
            </w:r>
            <w:proofErr w:type="spellStart"/>
            <w:r w:rsidR="003C2431" w:rsidRPr="0015571A">
              <w:rPr>
                <w:rFonts w:cstheme="minorHAnsi"/>
                <w:color w:val="000000"/>
                <w:sz w:val="20"/>
                <w:szCs w:val="20"/>
              </w:rPr>
              <w:t>energijske</w:t>
            </w:r>
            <w:proofErr w:type="spellEnd"/>
            <w:r w:rsidR="003C2431" w:rsidRPr="0015571A">
              <w:rPr>
                <w:rFonts w:cstheme="minorHAnsi"/>
                <w:color w:val="000000"/>
                <w:sz w:val="20"/>
                <w:szCs w:val="20"/>
              </w:rPr>
              <w:t xml:space="preserve"> </w:t>
            </w:r>
            <w:proofErr w:type="spellStart"/>
            <w:r w:rsidRPr="0015571A">
              <w:rPr>
                <w:rFonts w:cstheme="minorHAnsi"/>
                <w:color w:val="000000"/>
                <w:sz w:val="20"/>
                <w:szCs w:val="20"/>
              </w:rPr>
              <w:t>obnove</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zgrada</w:t>
            </w:r>
            <w:proofErr w:type="spellEnd"/>
            <w:r w:rsidRPr="0015571A">
              <w:rPr>
                <w:rFonts w:cstheme="minorHAnsi"/>
                <w:color w:val="000000"/>
                <w:sz w:val="20"/>
                <w:szCs w:val="20"/>
              </w:rPr>
              <w:t xml:space="preserve"> u FBiH, koji </w:t>
            </w:r>
            <w:proofErr w:type="spellStart"/>
            <w:r w:rsidRPr="0015571A">
              <w:rPr>
                <w:rFonts w:cstheme="minorHAnsi"/>
                <w:color w:val="000000"/>
                <w:sz w:val="20"/>
                <w:szCs w:val="20"/>
              </w:rPr>
              <w:t>će</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omogućiti</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stalan</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podsticaj</w:t>
            </w:r>
            <w:proofErr w:type="spellEnd"/>
            <w:r w:rsidRPr="0015571A">
              <w:rPr>
                <w:rFonts w:cstheme="minorHAnsi"/>
                <w:color w:val="000000"/>
                <w:sz w:val="20"/>
                <w:szCs w:val="20"/>
              </w:rPr>
              <w:t xml:space="preserve"> i </w:t>
            </w:r>
            <w:proofErr w:type="spellStart"/>
            <w:r w:rsidRPr="0015571A">
              <w:rPr>
                <w:rFonts w:cstheme="minorHAnsi"/>
                <w:color w:val="000000"/>
                <w:sz w:val="20"/>
                <w:szCs w:val="20"/>
              </w:rPr>
              <w:t>kontinuirano</w:t>
            </w:r>
            <w:proofErr w:type="spellEnd"/>
            <w:r w:rsidRPr="0015571A">
              <w:rPr>
                <w:rFonts w:cstheme="minorHAnsi"/>
                <w:color w:val="000000"/>
                <w:sz w:val="20"/>
                <w:szCs w:val="20"/>
              </w:rPr>
              <w:t xml:space="preserve"> </w:t>
            </w:r>
            <w:proofErr w:type="spellStart"/>
            <w:r w:rsidR="007B690C" w:rsidRPr="0015571A">
              <w:rPr>
                <w:rFonts w:cstheme="minorHAnsi"/>
                <w:color w:val="000000"/>
                <w:sz w:val="20"/>
                <w:szCs w:val="20"/>
              </w:rPr>
              <w:t>financ</w:t>
            </w:r>
            <w:r w:rsidRPr="0015571A">
              <w:rPr>
                <w:rFonts w:cstheme="minorHAnsi"/>
                <w:color w:val="000000"/>
                <w:sz w:val="20"/>
                <w:szCs w:val="20"/>
              </w:rPr>
              <w:t>iranje</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što</w:t>
            </w:r>
            <w:proofErr w:type="spellEnd"/>
            <w:r w:rsidRPr="0015571A">
              <w:rPr>
                <w:rFonts w:cstheme="minorHAnsi"/>
                <w:color w:val="000000"/>
                <w:sz w:val="20"/>
                <w:szCs w:val="20"/>
              </w:rPr>
              <w:t xml:space="preserve"> bi </w:t>
            </w:r>
            <w:proofErr w:type="spellStart"/>
            <w:r w:rsidRPr="0015571A">
              <w:rPr>
                <w:rFonts w:cstheme="minorHAnsi"/>
                <w:color w:val="000000"/>
                <w:sz w:val="20"/>
                <w:szCs w:val="20"/>
              </w:rPr>
              <w:t>posebno</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bilo</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motivirajuće</w:t>
            </w:r>
            <w:proofErr w:type="spellEnd"/>
            <w:r w:rsidRPr="0015571A">
              <w:rPr>
                <w:rFonts w:cstheme="minorHAnsi"/>
                <w:color w:val="000000"/>
                <w:sz w:val="20"/>
                <w:szCs w:val="20"/>
              </w:rPr>
              <w:t xml:space="preserve"> za </w:t>
            </w:r>
            <w:proofErr w:type="spellStart"/>
            <w:r w:rsidRPr="0015571A">
              <w:rPr>
                <w:rFonts w:cstheme="minorHAnsi"/>
                <w:color w:val="000000"/>
                <w:sz w:val="20"/>
                <w:szCs w:val="20"/>
              </w:rPr>
              <w:t>vlasnike</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stambenih</w:t>
            </w:r>
            <w:proofErr w:type="spellEnd"/>
            <w:r w:rsidRPr="0015571A">
              <w:rPr>
                <w:rFonts w:cstheme="minorHAnsi"/>
                <w:color w:val="000000"/>
                <w:sz w:val="20"/>
                <w:szCs w:val="20"/>
              </w:rPr>
              <w:t xml:space="preserve"> </w:t>
            </w:r>
            <w:proofErr w:type="spellStart"/>
            <w:r w:rsidRPr="0015571A">
              <w:rPr>
                <w:rFonts w:cstheme="minorHAnsi"/>
                <w:color w:val="000000"/>
                <w:sz w:val="20"/>
                <w:szCs w:val="20"/>
              </w:rPr>
              <w:t>jedinica</w:t>
            </w:r>
            <w:proofErr w:type="spellEnd"/>
            <w:r w:rsidRPr="0015571A">
              <w:rPr>
                <w:rFonts w:cstheme="minorHAnsi"/>
                <w:color w:val="000000"/>
                <w:sz w:val="20"/>
                <w:szCs w:val="20"/>
              </w:rPr>
              <w:t xml:space="preserve"> i </w:t>
            </w:r>
            <w:proofErr w:type="spellStart"/>
            <w:r w:rsidRPr="0015571A">
              <w:rPr>
                <w:rFonts w:cstheme="minorHAnsi"/>
                <w:color w:val="000000"/>
                <w:sz w:val="20"/>
                <w:szCs w:val="20"/>
              </w:rPr>
              <w:t>zgrada</w:t>
            </w:r>
            <w:proofErr w:type="spellEnd"/>
            <w:r w:rsidRPr="0015571A">
              <w:rPr>
                <w:rFonts w:cstheme="minorHAnsi"/>
                <w:color w:val="000000"/>
                <w:sz w:val="20"/>
                <w:szCs w:val="20"/>
              </w:rPr>
              <w:t xml:space="preserve">. </w:t>
            </w:r>
          </w:p>
          <w:p w14:paraId="07FF308F" w14:textId="28781DEA" w:rsidR="00A00D87" w:rsidRPr="0015571A" w:rsidRDefault="00A00D87" w:rsidP="00E6560A">
            <w:pPr>
              <w:jc w:val="both"/>
              <w:rPr>
                <w:rFonts w:cstheme="minorHAnsi"/>
                <w:sz w:val="20"/>
                <w:szCs w:val="20"/>
              </w:rPr>
            </w:pPr>
            <w:proofErr w:type="spellStart"/>
            <w:r w:rsidRPr="0015571A">
              <w:rPr>
                <w:rFonts w:cstheme="minorHAnsi"/>
                <w:sz w:val="20"/>
                <w:szCs w:val="20"/>
              </w:rPr>
              <w:t>Proces</w:t>
            </w:r>
            <w:proofErr w:type="spellEnd"/>
            <w:r w:rsidRPr="0015571A">
              <w:rPr>
                <w:rFonts w:cstheme="minorHAnsi"/>
                <w:sz w:val="20"/>
                <w:szCs w:val="20"/>
              </w:rPr>
              <w:t xml:space="preserve"> </w:t>
            </w:r>
            <w:proofErr w:type="spellStart"/>
            <w:r w:rsidRPr="0015571A">
              <w:rPr>
                <w:rFonts w:cstheme="minorHAnsi"/>
                <w:sz w:val="20"/>
                <w:szCs w:val="20"/>
              </w:rPr>
              <w:t>obnove</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r w:rsidRPr="0015571A">
              <w:rPr>
                <w:rFonts w:cstheme="minorHAnsi"/>
                <w:sz w:val="20"/>
                <w:szCs w:val="20"/>
              </w:rPr>
              <w:t xml:space="preserve"> </w:t>
            </w:r>
            <w:proofErr w:type="spellStart"/>
            <w:r w:rsidRPr="0015571A">
              <w:rPr>
                <w:rFonts w:cstheme="minorHAnsi"/>
                <w:sz w:val="20"/>
                <w:szCs w:val="20"/>
              </w:rPr>
              <w:t>zahtijeva</w:t>
            </w:r>
            <w:proofErr w:type="spellEnd"/>
            <w:r w:rsidRPr="0015571A">
              <w:rPr>
                <w:rFonts w:cstheme="minorHAnsi"/>
                <w:sz w:val="20"/>
                <w:szCs w:val="20"/>
              </w:rPr>
              <w:t xml:space="preserve"> </w:t>
            </w:r>
            <w:proofErr w:type="spellStart"/>
            <w:r w:rsidRPr="0015571A">
              <w:rPr>
                <w:rFonts w:cstheme="minorHAnsi"/>
                <w:sz w:val="20"/>
                <w:szCs w:val="20"/>
              </w:rPr>
              <w:t>sveobuhvatan</w:t>
            </w:r>
            <w:proofErr w:type="spellEnd"/>
            <w:r w:rsidRPr="0015571A">
              <w:rPr>
                <w:rFonts w:cstheme="minorHAnsi"/>
                <w:sz w:val="20"/>
                <w:szCs w:val="20"/>
              </w:rPr>
              <w:t xml:space="preserve"> i </w:t>
            </w:r>
            <w:proofErr w:type="spellStart"/>
            <w:r w:rsidRPr="0015571A">
              <w:rPr>
                <w:rFonts w:cstheme="minorHAnsi"/>
                <w:sz w:val="20"/>
                <w:szCs w:val="20"/>
              </w:rPr>
              <w:t>sistemski</w:t>
            </w:r>
            <w:proofErr w:type="spellEnd"/>
            <w:r w:rsidRPr="0015571A">
              <w:rPr>
                <w:rFonts w:cstheme="minorHAnsi"/>
                <w:sz w:val="20"/>
                <w:szCs w:val="20"/>
              </w:rPr>
              <w:t xml:space="preserve"> </w:t>
            </w:r>
            <w:proofErr w:type="spellStart"/>
            <w:r w:rsidRPr="0015571A">
              <w:rPr>
                <w:rFonts w:cstheme="minorHAnsi"/>
                <w:sz w:val="20"/>
                <w:szCs w:val="20"/>
              </w:rPr>
              <w:t>pristup</w:t>
            </w:r>
            <w:proofErr w:type="spellEnd"/>
            <w:r w:rsidRPr="0015571A">
              <w:rPr>
                <w:rFonts w:cstheme="minorHAnsi"/>
                <w:sz w:val="20"/>
                <w:szCs w:val="20"/>
              </w:rPr>
              <w:t xml:space="preserve"> </w:t>
            </w:r>
            <w:proofErr w:type="spellStart"/>
            <w:r w:rsidRPr="0015571A">
              <w:rPr>
                <w:rFonts w:cstheme="minorHAnsi"/>
                <w:sz w:val="20"/>
                <w:szCs w:val="20"/>
              </w:rPr>
              <w:t>kojim</w:t>
            </w:r>
            <w:proofErr w:type="spellEnd"/>
            <w:r w:rsidRPr="0015571A">
              <w:rPr>
                <w:rFonts w:cstheme="minorHAnsi"/>
                <w:sz w:val="20"/>
                <w:szCs w:val="20"/>
              </w:rPr>
              <w:t xml:space="preserve"> </w:t>
            </w:r>
            <w:proofErr w:type="spellStart"/>
            <w:r w:rsidRPr="0015571A">
              <w:rPr>
                <w:rFonts w:cstheme="minorHAnsi"/>
                <w:sz w:val="20"/>
                <w:szCs w:val="20"/>
              </w:rPr>
              <w:t>će</w:t>
            </w:r>
            <w:proofErr w:type="spellEnd"/>
            <w:r w:rsidRPr="0015571A">
              <w:rPr>
                <w:rFonts w:cstheme="minorHAnsi"/>
                <w:sz w:val="20"/>
                <w:szCs w:val="20"/>
              </w:rPr>
              <w:t xml:space="preserve"> se </w:t>
            </w:r>
            <w:proofErr w:type="spellStart"/>
            <w:r w:rsidRPr="0015571A">
              <w:rPr>
                <w:rFonts w:cstheme="minorHAnsi"/>
                <w:sz w:val="20"/>
                <w:szCs w:val="20"/>
              </w:rPr>
              <w:t>osigurati</w:t>
            </w:r>
            <w:proofErr w:type="spellEnd"/>
            <w:r w:rsidRPr="0015571A">
              <w:rPr>
                <w:rFonts w:cstheme="minorHAnsi"/>
                <w:sz w:val="20"/>
                <w:szCs w:val="20"/>
              </w:rPr>
              <w:t xml:space="preserve"> </w:t>
            </w:r>
            <w:proofErr w:type="spellStart"/>
            <w:r w:rsidRPr="0015571A">
              <w:rPr>
                <w:rFonts w:cstheme="minorHAnsi"/>
                <w:sz w:val="20"/>
                <w:szCs w:val="20"/>
              </w:rPr>
              <w:t>dugoročni</w:t>
            </w:r>
            <w:proofErr w:type="spellEnd"/>
            <w:r w:rsidRPr="0015571A">
              <w:rPr>
                <w:rFonts w:cstheme="minorHAnsi"/>
                <w:sz w:val="20"/>
                <w:szCs w:val="20"/>
              </w:rPr>
              <w:t xml:space="preserve"> i </w:t>
            </w:r>
            <w:proofErr w:type="spellStart"/>
            <w:r w:rsidRPr="0015571A">
              <w:rPr>
                <w:rFonts w:cstheme="minorHAnsi"/>
                <w:sz w:val="20"/>
                <w:szCs w:val="20"/>
              </w:rPr>
              <w:t>održivi</w:t>
            </w:r>
            <w:proofErr w:type="spellEnd"/>
            <w:r w:rsidRPr="0015571A">
              <w:rPr>
                <w:rFonts w:cstheme="minorHAnsi"/>
                <w:sz w:val="20"/>
                <w:szCs w:val="20"/>
              </w:rPr>
              <w:t xml:space="preserve"> </w:t>
            </w:r>
            <w:proofErr w:type="spellStart"/>
            <w:r w:rsidRPr="0015571A">
              <w:rPr>
                <w:rFonts w:cstheme="minorHAnsi"/>
                <w:sz w:val="20"/>
                <w:szCs w:val="20"/>
              </w:rPr>
              <w:t>mehanizmi</w:t>
            </w:r>
            <w:proofErr w:type="spellEnd"/>
            <w:r w:rsidRPr="0015571A">
              <w:rPr>
                <w:rFonts w:cstheme="minorHAnsi"/>
                <w:sz w:val="20"/>
                <w:szCs w:val="20"/>
              </w:rPr>
              <w:t xml:space="preserve"> </w:t>
            </w:r>
            <w:proofErr w:type="spellStart"/>
            <w:r w:rsidR="007B690C" w:rsidRPr="0015571A">
              <w:rPr>
                <w:rFonts w:cstheme="minorHAnsi"/>
                <w:sz w:val="20"/>
                <w:szCs w:val="20"/>
              </w:rPr>
              <w:t>financ</w:t>
            </w:r>
            <w:r w:rsidRPr="0015571A">
              <w:rPr>
                <w:rFonts w:cstheme="minorHAnsi"/>
                <w:sz w:val="20"/>
                <w:szCs w:val="20"/>
              </w:rPr>
              <w:t>iranja</w:t>
            </w:r>
            <w:proofErr w:type="spellEnd"/>
            <w:r w:rsidRPr="0015571A">
              <w:rPr>
                <w:rFonts w:cstheme="minorHAnsi"/>
                <w:sz w:val="20"/>
                <w:szCs w:val="20"/>
              </w:rPr>
              <w:t xml:space="preserve"> za </w:t>
            </w:r>
            <w:proofErr w:type="spellStart"/>
            <w:r w:rsidRPr="0015571A">
              <w:rPr>
                <w:rFonts w:cstheme="minorHAnsi"/>
                <w:sz w:val="20"/>
                <w:szCs w:val="20"/>
              </w:rPr>
              <w:t>investitore</w:t>
            </w:r>
            <w:proofErr w:type="spellEnd"/>
            <w:r w:rsidRPr="0015571A">
              <w:rPr>
                <w:rFonts w:cstheme="minorHAnsi"/>
                <w:sz w:val="20"/>
                <w:szCs w:val="20"/>
              </w:rPr>
              <w:t xml:space="preserve"> </w:t>
            </w:r>
            <w:proofErr w:type="spellStart"/>
            <w:r w:rsidRPr="0015571A">
              <w:rPr>
                <w:rFonts w:cstheme="minorHAnsi"/>
                <w:sz w:val="20"/>
                <w:szCs w:val="20"/>
              </w:rPr>
              <w:t>iz</w:t>
            </w:r>
            <w:proofErr w:type="spellEnd"/>
            <w:r w:rsidRPr="0015571A">
              <w:rPr>
                <w:rFonts w:cstheme="minorHAnsi"/>
                <w:sz w:val="20"/>
                <w:szCs w:val="20"/>
              </w:rPr>
              <w:t xml:space="preserve"> </w:t>
            </w:r>
            <w:proofErr w:type="spellStart"/>
            <w:r w:rsidRPr="0015571A">
              <w:rPr>
                <w:rFonts w:cstheme="minorHAnsi"/>
                <w:sz w:val="20"/>
                <w:szCs w:val="20"/>
              </w:rPr>
              <w:t>javnog</w:t>
            </w:r>
            <w:proofErr w:type="spellEnd"/>
            <w:r w:rsidRPr="0015571A">
              <w:rPr>
                <w:rFonts w:cstheme="minorHAnsi"/>
                <w:sz w:val="20"/>
                <w:szCs w:val="20"/>
              </w:rPr>
              <w:t xml:space="preserve"> i </w:t>
            </w:r>
            <w:proofErr w:type="spellStart"/>
            <w:r w:rsidRPr="0015571A">
              <w:rPr>
                <w:rFonts w:cstheme="minorHAnsi"/>
                <w:sz w:val="20"/>
                <w:szCs w:val="20"/>
              </w:rPr>
              <w:t>privatnog</w:t>
            </w:r>
            <w:proofErr w:type="spellEnd"/>
            <w:r w:rsidRPr="0015571A">
              <w:rPr>
                <w:rFonts w:cstheme="minorHAnsi"/>
                <w:sz w:val="20"/>
                <w:szCs w:val="20"/>
              </w:rPr>
              <w:t xml:space="preserve"> </w:t>
            </w:r>
            <w:proofErr w:type="spellStart"/>
            <w:r w:rsidRPr="0015571A">
              <w:rPr>
                <w:rFonts w:cstheme="minorHAnsi"/>
                <w:sz w:val="20"/>
                <w:szCs w:val="20"/>
              </w:rPr>
              <w:t>sektora</w:t>
            </w:r>
            <w:proofErr w:type="spellEnd"/>
            <w:r w:rsidRPr="0015571A">
              <w:rPr>
                <w:rFonts w:cstheme="minorHAnsi"/>
                <w:sz w:val="20"/>
                <w:szCs w:val="20"/>
              </w:rPr>
              <w:t xml:space="preserve">. </w:t>
            </w:r>
            <w:proofErr w:type="spellStart"/>
            <w:r w:rsidRPr="0015571A">
              <w:rPr>
                <w:rFonts w:cstheme="minorHAnsi"/>
                <w:sz w:val="20"/>
                <w:szCs w:val="20"/>
              </w:rPr>
              <w:t>Vlada</w:t>
            </w:r>
            <w:proofErr w:type="spellEnd"/>
            <w:r w:rsidRPr="0015571A">
              <w:rPr>
                <w:rFonts w:cstheme="minorHAnsi"/>
                <w:sz w:val="20"/>
                <w:szCs w:val="20"/>
              </w:rPr>
              <w:t xml:space="preserve"> FBiH </w:t>
            </w:r>
            <w:proofErr w:type="spellStart"/>
            <w:r w:rsidRPr="0015571A">
              <w:rPr>
                <w:rFonts w:cstheme="minorHAnsi"/>
                <w:sz w:val="20"/>
                <w:szCs w:val="20"/>
              </w:rPr>
              <w:t>odnosno</w:t>
            </w:r>
            <w:proofErr w:type="spellEnd"/>
            <w:r w:rsidRPr="0015571A">
              <w:rPr>
                <w:rFonts w:cstheme="minorHAnsi"/>
                <w:sz w:val="20"/>
                <w:szCs w:val="20"/>
              </w:rPr>
              <w:t xml:space="preserve"> </w:t>
            </w:r>
            <w:proofErr w:type="spellStart"/>
            <w:r w:rsidRPr="0015571A">
              <w:rPr>
                <w:rFonts w:cstheme="minorHAnsi"/>
                <w:sz w:val="20"/>
                <w:szCs w:val="20"/>
              </w:rPr>
              <w:t>resorna</w:t>
            </w:r>
            <w:proofErr w:type="spellEnd"/>
            <w:r w:rsidRPr="0015571A">
              <w:rPr>
                <w:rFonts w:cstheme="minorHAnsi"/>
                <w:sz w:val="20"/>
                <w:szCs w:val="20"/>
              </w:rPr>
              <w:t xml:space="preserve"> </w:t>
            </w:r>
            <w:proofErr w:type="spellStart"/>
            <w:r w:rsidRPr="0015571A">
              <w:rPr>
                <w:rFonts w:cstheme="minorHAnsi"/>
                <w:sz w:val="20"/>
                <w:szCs w:val="20"/>
              </w:rPr>
              <w:t>ministarstava</w:t>
            </w:r>
            <w:proofErr w:type="spellEnd"/>
            <w:r w:rsidRPr="0015571A">
              <w:rPr>
                <w:rFonts w:cstheme="minorHAnsi"/>
                <w:sz w:val="20"/>
                <w:szCs w:val="20"/>
              </w:rPr>
              <w:t xml:space="preserve"> i </w:t>
            </w:r>
            <w:proofErr w:type="spellStart"/>
            <w:r w:rsidRPr="0015571A">
              <w:rPr>
                <w:rFonts w:cstheme="minorHAnsi"/>
                <w:sz w:val="20"/>
                <w:szCs w:val="20"/>
              </w:rPr>
              <w:t>nadležne</w:t>
            </w:r>
            <w:proofErr w:type="spellEnd"/>
            <w:r w:rsidRPr="0015571A">
              <w:rPr>
                <w:rFonts w:cstheme="minorHAnsi"/>
                <w:sz w:val="20"/>
                <w:szCs w:val="20"/>
              </w:rPr>
              <w:t xml:space="preserve"> </w:t>
            </w:r>
            <w:proofErr w:type="spellStart"/>
            <w:r w:rsidRPr="0015571A">
              <w:rPr>
                <w:rFonts w:cstheme="minorHAnsi"/>
                <w:sz w:val="20"/>
                <w:szCs w:val="20"/>
              </w:rPr>
              <w:t>institucije</w:t>
            </w:r>
            <w:proofErr w:type="spellEnd"/>
            <w:r w:rsidRPr="0015571A">
              <w:rPr>
                <w:rFonts w:cstheme="minorHAnsi"/>
                <w:sz w:val="20"/>
                <w:szCs w:val="20"/>
              </w:rPr>
              <w:t xml:space="preserve"> </w:t>
            </w:r>
            <w:proofErr w:type="spellStart"/>
            <w:r w:rsidRPr="0015571A">
              <w:rPr>
                <w:rFonts w:cstheme="minorHAnsi"/>
                <w:sz w:val="20"/>
                <w:szCs w:val="20"/>
              </w:rPr>
              <w:t>imaju</w:t>
            </w:r>
            <w:proofErr w:type="spellEnd"/>
            <w:r w:rsidRPr="0015571A">
              <w:rPr>
                <w:rFonts w:cstheme="minorHAnsi"/>
                <w:sz w:val="20"/>
                <w:szCs w:val="20"/>
              </w:rPr>
              <w:t xml:space="preserve"> </w:t>
            </w:r>
            <w:proofErr w:type="spellStart"/>
            <w:r w:rsidRPr="0015571A">
              <w:rPr>
                <w:rFonts w:cstheme="minorHAnsi"/>
                <w:sz w:val="20"/>
                <w:szCs w:val="20"/>
              </w:rPr>
              <w:t>zadatak</w:t>
            </w:r>
            <w:proofErr w:type="spellEnd"/>
            <w:r w:rsidRPr="0015571A">
              <w:rPr>
                <w:rFonts w:cstheme="minorHAnsi"/>
                <w:sz w:val="20"/>
                <w:szCs w:val="20"/>
              </w:rPr>
              <w:t xml:space="preserve"> </w:t>
            </w:r>
            <w:proofErr w:type="spellStart"/>
            <w:r w:rsidRPr="0015571A">
              <w:rPr>
                <w:rFonts w:cstheme="minorHAnsi"/>
                <w:sz w:val="20"/>
                <w:szCs w:val="20"/>
              </w:rPr>
              <w:t>pružiti</w:t>
            </w:r>
            <w:proofErr w:type="spellEnd"/>
            <w:r w:rsidRPr="0015571A">
              <w:rPr>
                <w:rFonts w:cstheme="minorHAnsi"/>
                <w:sz w:val="20"/>
                <w:szCs w:val="20"/>
              </w:rPr>
              <w:t xml:space="preserve"> </w:t>
            </w:r>
            <w:proofErr w:type="spellStart"/>
            <w:r w:rsidRPr="0015571A">
              <w:rPr>
                <w:rFonts w:cstheme="minorHAnsi"/>
                <w:sz w:val="20"/>
                <w:szCs w:val="20"/>
              </w:rPr>
              <w:t>podršku</w:t>
            </w:r>
            <w:proofErr w:type="spellEnd"/>
            <w:r w:rsidRPr="0015571A">
              <w:rPr>
                <w:rFonts w:cstheme="minorHAnsi"/>
                <w:sz w:val="20"/>
                <w:szCs w:val="20"/>
              </w:rPr>
              <w:t xml:space="preserve"> u </w:t>
            </w:r>
            <w:proofErr w:type="spellStart"/>
            <w:r w:rsidRPr="0015571A">
              <w:rPr>
                <w:rFonts w:cstheme="minorHAnsi"/>
                <w:sz w:val="20"/>
                <w:szCs w:val="20"/>
              </w:rPr>
              <w:t>kreiranju</w:t>
            </w:r>
            <w:proofErr w:type="spellEnd"/>
            <w:r w:rsidRPr="0015571A">
              <w:rPr>
                <w:rFonts w:cstheme="minorHAnsi"/>
                <w:sz w:val="20"/>
                <w:szCs w:val="20"/>
              </w:rPr>
              <w:t xml:space="preserve"> </w:t>
            </w:r>
            <w:proofErr w:type="spellStart"/>
            <w:r w:rsidRPr="0015571A">
              <w:rPr>
                <w:rFonts w:cstheme="minorHAnsi"/>
                <w:sz w:val="20"/>
                <w:szCs w:val="20"/>
              </w:rPr>
              <w:t>ambijenta</w:t>
            </w:r>
            <w:proofErr w:type="spellEnd"/>
            <w:r w:rsidRPr="0015571A">
              <w:rPr>
                <w:rFonts w:cstheme="minorHAnsi"/>
                <w:sz w:val="20"/>
                <w:szCs w:val="20"/>
              </w:rPr>
              <w:t xml:space="preserve"> i </w:t>
            </w:r>
            <w:proofErr w:type="spellStart"/>
            <w:r w:rsidRPr="0015571A">
              <w:rPr>
                <w:rFonts w:cstheme="minorHAnsi"/>
                <w:sz w:val="20"/>
                <w:szCs w:val="20"/>
              </w:rPr>
              <w:t>stvaranju</w:t>
            </w:r>
            <w:proofErr w:type="spellEnd"/>
            <w:r w:rsidRPr="0015571A">
              <w:rPr>
                <w:rFonts w:cstheme="minorHAnsi"/>
                <w:sz w:val="20"/>
                <w:szCs w:val="20"/>
              </w:rPr>
              <w:t xml:space="preserve"> </w:t>
            </w:r>
            <w:proofErr w:type="spellStart"/>
            <w:r w:rsidRPr="0015571A">
              <w:rPr>
                <w:rFonts w:cstheme="minorHAnsi"/>
                <w:sz w:val="20"/>
                <w:szCs w:val="20"/>
              </w:rPr>
              <w:t>preduvjeta</w:t>
            </w:r>
            <w:proofErr w:type="spellEnd"/>
            <w:r w:rsidRPr="0015571A">
              <w:rPr>
                <w:rFonts w:cstheme="minorHAnsi"/>
                <w:sz w:val="20"/>
                <w:szCs w:val="20"/>
              </w:rPr>
              <w:t xml:space="preserve"> </w:t>
            </w:r>
            <w:proofErr w:type="gramStart"/>
            <w:r w:rsidRPr="0015571A">
              <w:rPr>
                <w:rFonts w:cstheme="minorHAnsi"/>
                <w:sz w:val="20"/>
                <w:szCs w:val="20"/>
              </w:rPr>
              <w:t xml:space="preserve">za  </w:t>
            </w:r>
            <w:proofErr w:type="spellStart"/>
            <w:r w:rsidRPr="0015571A">
              <w:rPr>
                <w:rFonts w:cstheme="minorHAnsi"/>
                <w:sz w:val="20"/>
                <w:szCs w:val="20"/>
              </w:rPr>
              <w:t>povoljniju</w:t>
            </w:r>
            <w:proofErr w:type="spellEnd"/>
            <w:proofErr w:type="gramEnd"/>
            <w:r w:rsidRPr="0015571A">
              <w:rPr>
                <w:rFonts w:cstheme="minorHAnsi"/>
                <w:sz w:val="20"/>
                <w:szCs w:val="20"/>
              </w:rPr>
              <w:t xml:space="preserve"> </w:t>
            </w:r>
            <w:proofErr w:type="spellStart"/>
            <w:r w:rsidRPr="0015571A">
              <w:rPr>
                <w:rFonts w:cstheme="minorHAnsi"/>
                <w:sz w:val="20"/>
                <w:szCs w:val="20"/>
              </w:rPr>
              <w:t>investicijsku</w:t>
            </w:r>
            <w:proofErr w:type="spellEnd"/>
            <w:r w:rsidRPr="0015571A">
              <w:rPr>
                <w:rFonts w:cstheme="minorHAnsi"/>
                <w:sz w:val="20"/>
                <w:szCs w:val="20"/>
              </w:rPr>
              <w:t xml:space="preserve"> </w:t>
            </w:r>
            <w:proofErr w:type="spellStart"/>
            <w:r w:rsidRPr="0015571A">
              <w:rPr>
                <w:rFonts w:cstheme="minorHAnsi"/>
                <w:sz w:val="20"/>
                <w:szCs w:val="20"/>
              </w:rPr>
              <w:t>klimu</w:t>
            </w:r>
            <w:proofErr w:type="spellEnd"/>
            <w:r w:rsidRPr="0015571A">
              <w:rPr>
                <w:rFonts w:cstheme="minorHAnsi"/>
                <w:sz w:val="20"/>
                <w:szCs w:val="20"/>
              </w:rPr>
              <w:t xml:space="preserve"> za </w:t>
            </w:r>
            <w:proofErr w:type="spellStart"/>
            <w:r w:rsidRPr="0015571A">
              <w:rPr>
                <w:rFonts w:cstheme="minorHAnsi"/>
                <w:sz w:val="20"/>
                <w:szCs w:val="20"/>
              </w:rPr>
              <w:t>implementaciju</w:t>
            </w:r>
            <w:proofErr w:type="spellEnd"/>
            <w:r w:rsidRPr="0015571A">
              <w:rPr>
                <w:rFonts w:cstheme="minorHAnsi"/>
                <w:sz w:val="20"/>
                <w:szCs w:val="20"/>
              </w:rPr>
              <w:t xml:space="preserve"> </w:t>
            </w:r>
            <w:proofErr w:type="spellStart"/>
            <w:r w:rsidRPr="0015571A">
              <w:rPr>
                <w:rFonts w:cstheme="minorHAnsi"/>
                <w:sz w:val="20"/>
                <w:szCs w:val="20"/>
              </w:rPr>
              <w:t>investicija</w:t>
            </w:r>
            <w:proofErr w:type="spellEnd"/>
            <w:r w:rsidRPr="0015571A">
              <w:rPr>
                <w:rFonts w:cstheme="minorHAnsi"/>
                <w:sz w:val="20"/>
                <w:szCs w:val="20"/>
              </w:rPr>
              <w:t xml:space="preserve"> </w:t>
            </w:r>
            <w:proofErr w:type="spellStart"/>
            <w:r w:rsidRPr="0015571A">
              <w:rPr>
                <w:rFonts w:cstheme="minorHAnsi"/>
                <w:sz w:val="20"/>
                <w:szCs w:val="20"/>
              </w:rPr>
              <w:t>definiranih</w:t>
            </w:r>
            <w:proofErr w:type="spellEnd"/>
            <w:r w:rsidRPr="0015571A">
              <w:rPr>
                <w:rFonts w:cstheme="minorHAnsi"/>
                <w:sz w:val="20"/>
                <w:szCs w:val="20"/>
              </w:rPr>
              <w:t xml:space="preserve"> u </w:t>
            </w:r>
            <w:proofErr w:type="spellStart"/>
            <w:r w:rsidRPr="0015571A">
              <w:rPr>
                <w:rFonts w:cstheme="minorHAnsi"/>
                <w:sz w:val="20"/>
                <w:szCs w:val="20"/>
              </w:rPr>
              <w:t>okviru</w:t>
            </w:r>
            <w:proofErr w:type="spellEnd"/>
            <w:r w:rsidRPr="0015571A">
              <w:rPr>
                <w:rFonts w:cstheme="minorHAnsi"/>
                <w:sz w:val="20"/>
                <w:szCs w:val="20"/>
              </w:rPr>
              <w:t xml:space="preserve"> </w:t>
            </w:r>
            <w:proofErr w:type="spellStart"/>
            <w:r w:rsidRPr="0015571A">
              <w:rPr>
                <w:rFonts w:cstheme="minorHAnsi"/>
                <w:sz w:val="20"/>
                <w:szCs w:val="20"/>
              </w:rPr>
              <w:t>Strategije</w:t>
            </w:r>
            <w:proofErr w:type="spellEnd"/>
            <w:r w:rsidRPr="0015571A">
              <w:rPr>
                <w:rFonts w:cstheme="minorHAnsi"/>
                <w:sz w:val="20"/>
                <w:szCs w:val="20"/>
              </w:rPr>
              <w:t xml:space="preserve"> </w:t>
            </w:r>
            <w:proofErr w:type="spellStart"/>
            <w:r w:rsidRPr="0015571A">
              <w:rPr>
                <w:rFonts w:cstheme="minorHAnsi"/>
                <w:sz w:val="20"/>
                <w:szCs w:val="20"/>
              </w:rPr>
              <w:t>obnove</w:t>
            </w:r>
            <w:proofErr w:type="spellEnd"/>
            <w:r w:rsidRPr="0015571A">
              <w:rPr>
                <w:rFonts w:cstheme="minorHAnsi"/>
                <w:sz w:val="20"/>
                <w:szCs w:val="20"/>
              </w:rPr>
              <w:t xml:space="preserve">. </w:t>
            </w:r>
          </w:p>
          <w:p w14:paraId="63F6A56E" w14:textId="3C070B98" w:rsidR="00A00D87" w:rsidRPr="0015571A" w:rsidRDefault="00A00D87" w:rsidP="00E6560A">
            <w:pPr>
              <w:jc w:val="both"/>
              <w:rPr>
                <w:rFonts w:cstheme="minorHAnsi"/>
                <w:sz w:val="20"/>
                <w:szCs w:val="20"/>
              </w:rPr>
            </w:pPr>
            <w:proofErr w:type="spellStart"/>
            <w:r w:rsidRPr="0015571A">
              <w:rPr>
                <w:rFonts w:cstheme="minorHAnsi"/>
                <w:sz w:val="20"/>
                <w:szCs w:val="20"/>
              </w:rPr>
              <w:t>Imajući</w:t>
            </w:r>
            <w:proofErr w:type="spellEnd"/>
            <w:r w:rsidRPr="0015571A">
              <w:rPr>
                <w:rFonts w:cstheme="minorHAnsi"/>
                <w:sz w:val="20"/>
                <w:szCs w:val="20"/>
              </w:rPr>
              <w:t xml:space="preserve"> u </w:t>
            </w:r>
            <w:proofErr w:type="spellStart"/>
            <w:r w:rsidRPr="0015571A">
              <w:rPr>
                <w:rFonts w:cstheme="minorHAnsi"/>
                <w:sz w:val="20"/>
                <w:szCs w:val="20"/>
              </w:rPr>
              <w:t>vidu</w:t>
            </w:r>
            <w:proofErr w:type="spellEnd"/>
            <w:r w:rsidRPr="0015571A">
              <w:rPr>
                <w:rFonts w:cstheme="minorHAnsi"/>
                <w:sz w:val="20"/>
                <w:szCs w:val="20"/>
              </w:rPr>
              <w:t xml:space="preserve"> </w:t>
            </w:r>
            <w:proofErr w:type="spellStart"/>
            <w:r w:rsidRPr="0015571A">
              <w:rPr>
                <w:rFonts w:cstheme="minorHAnsi"/>
                <w:sz w:val="20"/>
                <w:szCs w:val="20"/>
              </w:rPr>
              <w:t>procjenjene</w:t>
            </w:r>
            <w:proofErr w:type="spellEnd"/>
            <w:r w:rsidRPr="0015571A">
              <w:rPr>
                <w:rFonts w:cstheme="minorHAnsi"/>
                <w:sz w:val="20"/>
                <w:szCs w:val="20"/>
              </w:rPr>
              <w:t xml:space="preserve"> </w:t>
            </w:r>
            <w:proofErr w:type="spellStart"/>
            <w:r w:rsidRPr="0015571A">
              <w:rPr>
                <w:rFonts w:cstheme="minorHAnsi"/>
                <w:sz w:val="20"/>
                <w:szCs w:val="20"/>
              </w:rPr>
              <w:t>investicije</w:t>
            </w:r>
            <w:proofErr w:type="spellEnd"/>
            <w:r w:rsidRPr="0015571A">
              <w:rPr>
                <w:rFonts w:cstheme="minorHAnsi"/>
                <w:sz w:val="20"/>
                <w:szCs w:val="20"/>
              </w:rPr>
              <w:t xml:space="preserve"> u </w:t>
            </w:r>
            <w:proofErr w:type="spellStart"/>
            <w:r w:rsidRPr="0015571A">
              <w:rPr>
                <w:rFonts w:cstheme="minorHAnsi"/>
                <w:sz w:val="20"/>
                <w:szCs w:val="20"/>
              </w:rPr>
              <w:t>okviru</w:t>
            </w:r>
            <w:proofErr w:type="spellEnd"/>
            <w:r w:rsidRPr="0015571A">
              <w:rPr>
                <w:rFonts w:cstheme="minorHAnsi"/>
                <w:sz w:val="20"/>
                <w:szCs w:val="20"/>
              </w:rPr>
              <w:t xml:space="preserve"> </w:t>
            </w:r>
            <w:proofErr w:type="spellStart"/>
            <w:r w:rsidRPr="0015571A">
              <w:rPr>
                <w:rFonts w:cstheme="minorHAnsi"/>
                <w:sz w:val="20"/>
                <w:szCs w:val="20"/>
              </w:rPr>
              <w:t>Strategije</w:t>
            </w:r>
            <w:proofErr w:type="spellEnd"/>
            <w:r w:rsidRPr="0015571A">
              <w:rPr>
                <w:rFonts w:cstheme="minorHAnsi"/>
                <w:sz w:val="20"/>
                <w:szCs w:val="20"/>
              </w:rPr>
              <w:t xml:space="preserve"> </w:t>
            </w:r>
            <w:proofErr w:type="spellStart"/>
            <w:r w:rsidRPr="0015571A">
              <w:rPr>
                <w:rFonts w:cstheme="minorHAnsi"/>
                <w:sz w:val="20"/>
                <w:szCs w:val="20"/>
              </w:rPr>
              <w:t>obnove</w:t>
            </w:r>
            <w:proofErr w:type="spellEnd"/>
            <w:r w:rsidRPr="0015571A">
              <w:rPr>
                <w:rFonts w:cstheme="minorHAnsi"/>
                <w:sz w:val="20"/>
                <w:szCs w:val="20"/>
              </w:rPr>
              <w:t xml:space="preserve">, </w:t>
            </w:r>
            <w:proofErr w:type="spellStart"/>
            <w:r w:rsidRPr="0015571A">
              <w:rPr>
                <w:rFonts w:cstheme="minorHAnsi"/>
                <w:sz w:val="20"/>
                <w:szCs w:val="20"/>
              </w:rPr>
              <w:t>trenutno</w:t>
            </w:r>
            <w:proofErr w:type="spellEnd"/>
            <w:r w:rsidRPr="0015571A">
              <w:rPr>
                <w:rFonts w:cstheme="minorHAnsi"/>
                <w:sz w:val="20"/>
                <w:szCs w:val="20"/>
              </w:rPr>
              <w:t xml:space="preserve"> </w:t>
            </w:r>
            <w:proofErr w:type="spellStart"/>
            <w:proofErr w:type="gramStart"/>
            <w:r w:rsidRPr="0015571A">
              <w:rPr>
                <w:rFonts w:cstheme="minorHAnsi"/>
                <w:sz w:val="20"/>
                <w:szCs w:val="20"/>
              </w:rPr>
              <w:t>raspoloživi</w:t>
            </w:r>
            <w:proofErr w:type="spellEnd"/>
            <w:r w:rsidRPr="0015571A">
              <w:rPr>
                <w:rFonts w:cstheme="minorHAnsi"/>
                <w:sz w:val="20"/>
                <w:szCs w:val="20"/>
              </w:rPr>
              <w:t xml:space="preserve">  </w:t>
            </w:r>
            <w:proofErr w:type="spellStart"/>
            <w:r w:rsidRPr="0015571A">
              <w:rPr>
                <w:rFonts w:cstheme="minorHAnsi"/>
                <w:sz w:val="20"/>
                <w:szCs w:val="20"/>
              </w:rPr>
              <w:t>izvori</w:t>
            </w:r>
            <w:proofErr w:type="spellEnd"/>
            <w:proofErr w:type="gramEnd"/>
            <w:r w:rsidRPr="0015571A">
              <w:rPr>
                <w:rFonts w:cstheme="minorHAnsi"/>
                <w:sz w:val="20"/>
                <w:szCs w:val="20"/>
              </w:rPr>
              <w:t xml:space="preserve"> </w:t>
            </w:r>
            <w:proofErr w:type="spellStart"/>
            <w:r w:rsidR="007B690C" w:rsidRPr="0015571A">
              <w:rPr>
                <w:rFonts w:cstheme="minorHAnsi"/>
                <w:sz w:val="20"/>
                <w:szCs w:val="20"/>
              </w:rPr>
              <w:t>financ</w:t>
            </w:r>
            <w:r w:rsidRPr="0015571A">
              <w:rPr>
                <w:rFonts w:cstheme="minorHAnsi"/>
                <w:sz w:val="20"/>
                <w:szCs w:val="20"/>
              </w:rPr>
              <w:t>iranja</w:t>
            </w:r>
            <w:proofErr w:type="spellEnd"/>
            <w:r w:rsidRPr="0015571A">
              <w:rPr>
                <w:rFonts w:cstheme="minorHAnsi"/>
                <w:sz w:val="20"/>
                <w:szCs w:val="20"/>
              </w:rPr>
              <w:t xml:space="preserve"> u FBiH, </w:t>
            </w:r>
            <w:proofErr w:type="spellStart"/>
            <w:r w:rsidRPr="0015571A">
              <w:rPr>
                <w:rFonts w:cstheme="minorHAnsi"/>
                <w:sz w:val="20"/>
                <w:szCs w:val="20"/>
              </w:rPr>
              <w:t>uključujući</w:t>
            </w:r>
            <w:proofErr w:type="spellEnd"/>
            <w:r w:rsidRPr="0015571A">
              <w:rPr>
                <w:rFonts w:cstheme="minorHAnsi"/>
                <w:sz w:val="20"/>
                <w:szCs w:val="20"/>
              </w:rPr>
              <w:t xml:space="preserve"> </w:t>
            </w:r>
            <w:proofErr w:type="spellStart"/>
            <w:r w:rsidRPr="0015571A">
              <w:rPr>
                <w:rFonts w:cstheme="minorHAnsi"/>
                <w:sz w:val="20"/>
                <w:szCs w:val="20"/>
              </w:rPr>
              <w:t>ograničena</w:t>
            </w:r>
            <w:proofErr w:type="spellEnd"/>
            <w:r w:rsidRPr="0015571A">
              <w:rPr>
                <w:rFonts w:cstheme="minorHAnsi"/>
                <w:sz w:val="20"/>
                <w:szCs w:val="20"/>
              </w:rPr>
              <w:t xml:space="preserve"> </w:t>
            </w:r>
            <w:proofErr w:type="spellStart"/>
            <w:r w:rsidRPr="0015571A">
              <w:rPr>
                <w:rFonts w:cstheme="minorHAnsi"/>
                <w:sz w:val="20"/>
                <w:szCs w:val="20"/>
              </w:rPr>
              <w:t>budžetska</w:t>
            </w:r>
            <w:proofErr w:type="spellEnd"/>
            <w:r w:rsidRPr="0015571A">
              <w:rPr>
                <w:rFonts w:cstheme="minorHAnsi"/>
                <w:sz w:val="20"/>
                <w:szCs w:val="20"/>
              </w:rPr>
              <w:t xml:space="preserve"> </w:t>
            </w:r>
            <w:proofErr w:type="spellStart"/>
            <w:r w:rsidRPr="0015571A">
              <w:rPr>
                <w:rFonts w:cstheme="minorHAnsi"/>
                <w:sz w:val="20"/>
                <w:szCs w:val="20"/>
              </w:rPr>
              <w:t>sredstva</w:t>
            </w:r>
            <w:proofErr w:type="spellEnd"/>
            <w:r w:rsidRPr="0015571A">
              <w:rPr>
                <w:rFonts w:cstheme="minorHAnsi"/>
                <w:sz w:val="20"/>
                <w:szCs w:val="20"/>
              </w:rPr>
              <w:t xml:space="preserve">, </w:t>
            </w:r>
            <w:proofErr w:type="spellStart"/>
            <w:r w:rsidRPr="0015571A">
              <w:rPr>
                <w:rFonts w:cstheme="minorHAnsi"/>
                <w:sz w:val="20"/>
                <w:szCs w:val="20"/>
              </w:rPr>
              <w:t>nisu</w:t>
            </w:r>
            <w:proofErr w:type="spellEnd"/>
            <w:r w:rsidRPr="0015571A">
              <w:rPr>
                <w:rFonts w:cstheme="minorHAnsi"/>
                <w:sz w:val="20"/>
                <w:szCs w:val="20"/>
              </w:rPr>
              <w:t xml:space="preserve"> </w:t>
            </w:r>
            <w:proofErr w:type="spellStart"/>
            <w:r w:rsidRPr="0015571A">
              <w:rPr>
                <w:rFonts w:cstheme="minorHAnsi"/>
                <w:sz w:val="20"/>
                <w:szCs w:val="20"/>
              </w:rPr>
              <w:t>dostatni</w:t>
            </w:r>
            <w:proofErr w:type="spellEnd"/>
            <w:r w:rsidRPr="0015571A">
              <w:rPr>
                <w:rFonts w:cstheme="minorHAnsi"/>
                <w:sz w:val="20"/>
                <w:szCs w:val="20"/>
              </w:rPr>
              <w:t xml:space="preserve"> za </w:t>
            </w:r>
            <w:proofErr w:type="spellStart"/>
            <w:r w:rsidRPr="0015571A">
              <w:rPr>
                <w:rFonts w:cstheme="minorHAnsi"/>
                <w:sz w:val="20"/>
                <w:szCs w:val="20"/>
              </w:rPr>
              <w:t>provođenje</w:t>
            </w:r>
            <w:proofErr w:type="spellEnd"/>
            <w:r w:rsidRPr="0015571A">
              <w:rPr>
                <w:rFonts w:cstheme="minorHAnsi"/>
                <w:sz w:val="20"/>
                <w:szCs w:val="20"/>
              </w:rPr>
              <w:t xml:space="preserve"> </w:t>
            </w:r>
            <w:proofErr w:type="spellStart"/>
            <w:r w:rsidRPr="0015571A">
              <w:rPr>
                <w:rFonts w:cstheme="minorHAnsi"/>
                <w:sz w:val="20"/>
                <w:szCs w:val="20"/>
              </w:rPr>
              <w:t>ovog</w:t>
            </w:r>
            <w:proofErr w:type="spellEnd"/>
            <w:r w:rsidRPr="0015571A">
              <w:rPr>
                <w:rFonts w:cstheme="minorHAnsi"/>
                <w:sz w:val="20"/>
                <w:szCs w:val="20"/>
              </w:rPr>
              <w:t xml:space="preserve"> </w:t>
            </w:r>
            <w:proofErr w:type="spellStart"/>
            <w:r w:rsidRPr="0015571A">
              <w:rPr>
                <w:rFonts w:cstheme="minorHAnsi"/>
                <w:sz w:val="20"/>
                <w:szCs w:val="20"/>
              </w:rPr>
              <w:t>procesa</w:t>
            </w:r>
            <w:proofErr w:type="spellEnd"/>
            <w:r w:rsidRPr="0015571A">
              <w:rPr>
                <w:rFonts w:cstheme="minorHAnsi"/>
                <w:sz w:val="20"/>
                <w:szCs w:val="20"/>
              </w:rPr>
              <w:t xml:space="preserve"> </w:t>
            </w:r>
            <w:proofErr w:type="spellStart"/>
            <w:r w:rsidRPr="0015571A">
              <w:rPr>
                <w:rFonts w:cstheme="minorHAnsi"/>
                <w:sz w:val="20"/>
                <w:szCs w:val="20"/>
              </w:rPr>
              <w:t>prema</w:t>
            </w:r>
            <w:proofErr w:type="spellEnd"/>
            <w:r w:rsidRPr="0015571A">
              <w:rPr>
                <w:rFonts w:cstheme="minorHAnsi"/>
                <w:sz w:val="20"/>
                <w:szCs w:val="20"/>
              </w:rPr>
              <w:t xml:space="preserve"> </w:t>
            </w:r>
            <w:proofErr w:type="spellStart"/>
            <w:r w:rsidRPr="0015571A">
              <w:rPr>
                <w:rFonts w:cstheme="minorHAnsi"/>
                <w:sz w:val="20"/>
                <w:szCs w:val="20"/>
              </w:rPr>
              <w:t>planiranoj</w:t>
            </w:r>
            <w:proofErr w:type="spellEnd"/>
            <w:r w:rsidRPr="0015571A">
              <w:rPr>
                <w:rFonts w:cstheme="minorHAnsi"/>
                <w:sz w:val="20"/>
                <w:szCs w:val="20"/>
              </w:rPr>
              <w:t xml:space="preserve"> </w:t>
            </w:r>
            <w:proofErr w:type="spellStart"/>
            <w:r w:rsidRPr="0015571A">
              <w:rPr>
                <w:rFonts w:cstheme="minorHAnsi"/>
                <w:sz w:val="20"/>
                <w:szCs w:val="20"/>
              </w:rPr>
              <w:t>dinamici</w:t>
            </w:r>
            <w:proofErr w:type="spellEnd"/>
            <w:r w:rsidRPr="0015571A">
              <w:rPr>
                <w:rFonts w:cstheme="minorHAnsi"/>
                <w:sz w:val="20"/>
                <w:szCs w:val="20"/>
              </w:rPr>
              <w:t xml:space="preserve"> do 2050. </w:t>
            </w:r>
            <w:proofErr w:type="spellStart"/>
            <w:r w:rsidRPr="0015571A">
              <w:rPr>
                <w:rFonts w:cstheme="minorHAnsi"/>
                <w:sz w:val="20"/>
                <w:szCs w:val="20"/>
              </w:rPr>
              <w:t>godine</w:t>
            </w:r>
            <w:proofErr w:type="spellEnd"/>
            <w:r w:rsidRPr="0015571A">
              <w:rPr>
                <w:rFonts w:cstheme="minorHAnsi"/>
                <w:sz w:val="20"/>
                <w:szCs w:val="20"/>
              </w:rPr>
              <w:t xml:space="preserve">.  </w:t>
            </w:r>
            <w:proofErr w:type="spellStart"/>
            <w:r w:rsidRPr="0015571A">
              <w:rPr>
                <w:rFonts w:cstheme="minorHAnsi"/>
                <w:sz w:val="20"/>
                <w:szCs w:val="20"/>
              </w:rPr>
              <w:t>Stoga</w:t>
            </w:r>
            <w:proofErr w:type="spellEnd"/>
            <w:r w:rsidRPr="0015571A">
              <w:rPr>
                <w:rFonts w:cstheme="minorHAnsi"/>
                <w:sz w:val="20"/>
                <w:szCs w:val="20"/>
              </w:rPr>
              <w:t xml:space="preserve"> je </w:t>
            </w:r>
            <w:proofErr w:type="spellStart"/>
            <w:r w:rsidRPr="0015571A">
              <w:rPr>
                <w:rFonts w:cstheme="minorHAnsi"/>
                <w:sz w:val="20"/>
                <w:szCs w:val="20"/>
              </w:rPr>
              <w:t>potrebno</w:t>
            </w:r>
            <w:proofErr w:type="spellEnd"/>
            <w:r w:rsidRPr="0015571A">
              <w:rPr>
                <w:rFonts w:cstheme="minorHAnsi"/>
                <w:sz w:val="20"/>
                <w:szCs w:val="20"/>
              </w:rPr>
              <w:t xml:space="preserve"> </w:t>
            </w:r>
            <w:proofErr w:type="spellStart"/>
            <w:r w:rsidRPr="0015571A">
              <w:rPr>
                <w:rFonts w:cstheme="minorHAnsi"/>
                <w:sz w:val="20"/>
                <w:szCs w:val="20"/>
              </w:rPr>
              <w:t>budžete</w:t>
            </w:r>
            <w:proofErr w:type="spellEnd"/>
            <w:r w:rsidRPr="0015571A">
              <w:rPr>
                <w:rFonts w:cstheme="minorHAnsi"/>
                <w:sz w:val="20"/>
                <w:szCs w:val="20"/>
              </w:rPr>
              <w:t xml:space="preserve"> </w:t>
            </w:r>
            <w:proofErr w:type="spellStart"/>
            <w:r w:rsidRPr="0015571A">
              <w:rPr>
                <w:rFonts w:cstheme="minorHAnsi"/>
                <w:sz w:val="20"/>
                <w:szCs w:val="20"/>
              </w:rPr>
              <w:t>institucija</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proofErr w:type="gramStart"/>
            <w:r w:rsidRPr="0015571A">
              <w:rPr>
                <w:rFonts w:cstheme="minorHAnsi"/>
                <w:sz w:val="20"/>
                <w:szCs w:val="20"/>
              </w:rPr>
              <w:t>nivou</w:t>
            </w:r>
            <w:proofErr w:type="spellEnd"/>
            <w:r w:rsidRPr="0015571A">
              <w:rPr>
                <w:rFonts w:cstheme="minorHAnsi"/>
                <w:sz w:val="20"/>
                <w:szCs w:val="20"/>
              </w:rPr>
              <w:t xml:space="preserve">  FBiH</w:t>
            </w:r>
            <w:proofErr w:type="gramEnd"/>
            <w:r w:rsidRPr="0015571A">
              <w:rPr>
                <w:rFonts w:cstheme="minorHAnsi"/>
                <w:sz w:val="20"/>
                <w:szCs w:val="20"/>
              </w:rPr>
              <w:t xml:space="preserve">, </w:t>
            </w:r>
            <w:proofErr w:type="spellStart"/>
            <w:r w:rsidRPr="0015571A">
              <w:rPr>
                <w:rFonts w:cstheme="minorHAnsi"/>
                <w:sz w:val="20"/>
                <w:szCs w:val="20"/>
              </w:rPr>
              <w:t>kantona</w:t>
            </w:r>
            <w:proofErr w:type="spellEnd"/>
            <w:r w:rsidRPr="0015571A">
              <w:rPr>
                <w:rFonts w:cstheme="minorHAnsi"/>
                <w:sz w:val="20"/>
                <w:szCs w:val="20"/>
              </w:rPr>
              <w:t xml:space="preserve"> i </w:t>
            </w:r>
            <w:proofErr w:type="spellStart"/>
            <w:r w:rsidRPr="0015571A">
              <w:rPr>
                <w:rFonts w:cstheme="minorHAnsi"/>
                <w:sz w:val="20"/>
                <w:szCs w:val="20"/>
              </w:rPr>
              <w:t>lokalne</w:t>
            </w:r>
            <w:proofErr w:type="spellEnd"/>
            <w:r w:rsidRPr="0015571A">
              <w:rPr>
                <w:rFonts w:cstheme="minorHAnsi"/>
                <w:sz w:val="20"/>
                <w:szCs w:val="20"/>
              </w:rPr>
              <w:t xml:space="preserve"> </w:t>
            </w:r>
            <w:proofErr w:type="spellStart"/>
            <w:r w:rsidRPr="0015571A">
              <w:rPr>
                <w:rFonts w:cstheme="minorHAnsi"/>
                <w:sz w:val="20"/>
                <w:szCs w:val="20"/>
              </w:rPr>
              <w:t>samouprave</w:t>
            </w:r>
            <w:proofErr w:type="spellEnd"/>
            <w:r w:rsidRPr="0015571A">
              <w:rPr>
                <w:rFonts w:cstheme="minorHAnsi"/>
                <w:sz w:val="20"/>
                <w:szCs w:val="20"/>
              </w:rPr>
              <w:t xml:space="preserve"> </w:t>
            </w:r>
            <w:proofErr w:type="spellStart"/>
            <w:r w:rsidRPr="0015571A">
              <w:rPr>
                <w:rFonts w:cstheme="minorHAnsi"/>
                <w:sz w:val="20"/>
                <w:szCs w:val="20"/>
              </w:rPr>
              <w:t>rasteretiti</w:t>
            </w:r>
            <w:proofErr w:type="spellEnd"/>
            <w:r w:rsidRPr="0015571A">
              <w:rPr>
                <w:rFonts w:cstheme="minorHAnsi"/>
                <w:sz w:val="20"/>
                <w:szCs w:val="20"/>
              </w:rPr>
              <w:t xml:space="preserve"> </w:t>
            </w:r>
            <w:proofErr w:type="spellStart"/>
            <w:r w:rsidRPr="0015571A">
              <w:rPr>
                <w:rFonts w:cstheme="minorHAnsi"/>
                <w:sz w:val="20"/>
                <w:szCs w:val="20"/>
              </w:rPr>
              <w:t>uvođenjem</w:t>
            </w:r>
            <w:proofErr w:type="spellEnd"/>
            <w:r w:rsidRPr="0015571A">
              <w:rPr>
                <w:rFonts w:cstheme="minorHAnsi"/>
                <w:sz w:val="20"/>
                <w:szCs w:val="20"/>
              </w:rPr>
              <w:t xml:space="preserve"> </w:t>
            </w:r>
            <w:proofErr w:type="spellStart"/>
            <w:r w:rsidRPr="0015571A">
              <w:rPr>
                <w:rFonts w:cstheme="minorHAnsi"/>
                <w:sz w:val="20"/>
                <w:szCs w:val="20"/>
              </w:rPr>
              <w:t>novih</w:t>
            </w:r>
            <w:proofErr w:type="spellEnd"/>
            <w:r w:rsidRPr="0015571A">
              <w:rPr>
                <w:rFonts w:cstheme="minorHAnsi"/>
                <w:sz w:val="20"/>
                <w:szCs w:val="20"/>
              </w:rPr>
              <w:t xml:space="preserve"> i </w:t>
            </w:r>
            <w:proofErr w:type="spellStart"/>
            <w:r w:rsidRPr="0015571A">
              <w:rPr>
                <w:rFonts w:cstheme="minorHAnsi"/>
                <w:sz w:val="20"/>
                <w:szCs w:val="20"/>
              </w:rPr>
              <w:t>inovativnih</w:t>
            </w:r>
            <w:proofErr w:type="spellEnd"/>
            <w:r w:rsidRPr="0015571A">
              <w:rPr>
                <w:rFonts w:cstheme="minorHAnsi"/>
                <w:sz w:val="20"/>
                <w:szCs w:val="20"/>
              </w:rPr>
              <w:t xml:space="preserve"> </w:t>
            </w:r>
            <w:proofErr w:type="spellStart"/>
            <w:r w:rsidRPr="0015571A">
              <w:rPr>
                <w:rFonts w:cstheme="minorHAnsi"/>
                <w:sz w:val="20"/>
                <w:szCs w:val="20"/>
              </w:rPr>
              <w:t>mehanizama</w:t>
            </w:r>
            <w:proofErr w:type="spellEnd"/>
            <w:r w:rsidRPr="0015571A">
              <w:rPr>
                <w:rFonts w:cstheme="minorHAnsi"/>
                <w:sz w:val="20"/>
                <w:szCs w:val="20"/>
              </w:rPr>
              <w:t xml:space="preserve"> </w:t>
            </w:r>
            <w:proofErr w:type="spellStart"/>
            <w:r w:rsidR="007B690C" w:rsidRPr="0015571A">
              <w:rPr>
                <w:rFonts w:cstheme="minorHAnsi"/>
                <w:sz w:val="20"/>
                <w:szCs w:val="20"/>
              </w:rPr>
              <w:t>financ</w:t>
            </w:r>
            <w:r w:rsidRPr="0015571A">
              <w:rPr>
                <w:rFonts w:cstheme="minorHAnsi"/>
                <w:sz w:val="20"/>
                <w:szCs w:val="20"/>
              </w:rPr>
              <w:t>iranja</w:t>
            </w:r>
            <w:proofErr w:type="spellEnd"/>
            <w:r w:rsidRPr="0015571A">
              <w:rPr>
                <w:rFonts w:cstheme="minorHAnsi"/>
                <w:sz w:val="20"/>
                <w:szCs w:val="20"/>
              </w:rPr>
              <w:t xml:space="preserve"> koji </w:t>
            </w:r>
            <w:proofErr w:type="spellStart"/>
            <w:r w:rsidRPr="0015571A">
              <w:rPr>
                <w:rFonts w:cstheme="minorHAnsi"/>
                <w:sz w:val="20"/>
                <w:szCs w:val="20"/>
              </w:rPr>
              <w:t>će</w:t>
            </w:r>
            <w:proofErr w:type="spellEnd"/>
            <w:r w:rsidRPr="0015571A">
              <w:rPr>
                <w:rFonts w:cstheme="minorHAnsi"/>
                <w:sz w:val="20"/>
                <w:szCs w:val="20"/>
              </w:rPr>
              <w:t xml:space="preserve"> </w:t>
            </w:r>
            <w:proofErr w:type="spellStart"/>
            <w:r w:rsidRPr="0015571A">
              <w:rPr>
                <w:rFonts w:cstheme="minorHAnsi"/>
                <w:sz w:val="20"/>
                <w:szCs w:val="20"/>
              </w:rPr>
              <w:t>biti</w:t>
            </w:r>
            <w:proofErr w:type="spellEnd"/>
            <w:r w:rsidRPr="0015571A">
              <w:rPr>
                <w:rFonts w:cstheme="minorHAnsi"/>
                <w:sz w:val="20"/>
                <w:szCs w:val="20"/>
              </w:rPr>
              <w:t xml:space="preserve"> </w:t>
            </w:r>
            <w:proofErr w:type="spellStart"/>
            <w:r w:rsidRPr="0015571A">
              <w:rPr>
                <w:rFonts w:cstheme="minorHAnsi"/>
                <w:sz w:val="20"/>
                <w:szCs w:val="20"/>
              </w:rPr>
              <w:t>dostupni</w:t>
            </w:r>
            <w:proofErr w:type="spellEnd"/>
            <w:r w:rsidRPr="0015571A">
              <w:rPr>
                <w:rFonts w:cstheme="minorHAnsi"/>
                <w:sz w:val="20"/>
                <w:szCs w:val="20"/>
              </w:rPr>
              <w:t xml:space="preserve"> </w:t>
            </w:r>
            <w:proofErr w:type="spellStart"/>
            <w:r w:rsidRPr="0015571A">
              <w:rPr>
                <w:rFonts w:cstheme="minorHAnsi"/>
                <w:sz w:val="20"/>
                <w:szCs w:val="20"/>
              </w:rPr>
              <w:t>javnim</w:t>
            </w:r>
            <w:proofErr w:type="spellEnd"/>
            <w:r w:rsidRPr="0015571A">
              <w:rPr>
                <w:rFonts w:cstheme="minorHAnsi"/>
                <w:sz w:val="20"/>
                <w:szCs w:val="20"/>
              </w:rPr>
              <w:t xml:space="preserve"> i </w:t>
            </w:r>
            <w:proofErr w:type="spellStart"/>
            <w:r w:rsidRPr="0015571A">
              <w:rPr>
                <w:rFonts w:cstheme="minorHAnsi"/>
                <w:sz w:val="20"/>
                <w:szCs w:val="20"/>
              </w:rPr>
              <w:t>privatnim</w:t>
            </w:r>
            <w:proofErr w:type="spellEnd"/>
            <w:r w:rsidRPr="0015571A">
              <w:rPr>
                <w:rFonts w:cstheme="minorHAnsi"/>
                <w:sz w:val="20"/>
                <w:szCs w:val="20"/>
              </w:rPr>
              <w:t xml:space="preserve"> </w:t>
            </w:r>
            <w:proofErr w:type="spellStart"/>
            <w:r w:rsidRPr="0015571A">
              <w:rPr>
                <w:rFonts w:cstheme="minorHAnsi"/>
                <w:sz w:val="20"/>
                <w:szCs w:val="20"/>
              </w:rPr>
              <w:t>investitorima</w:t>
            </w:r>
            <w:proofErr w:type="spellEnd"/>
            <w:r w:rsidRPr="0015571A">
              <w:rPr>
                <w:rFonts w:cstheme="minorHAnsi"/>
                <w:sz w:val="20"/>
                <w:szCs w:val="20"/>
              </w:rPr>
              <w:t>.</w:t>
            </w:r>
          </w:p>
          <w:p w14:paraId="083551BE" w14:textId="77777777" w:rsidR="00A00D87" w:rsidRPr="001972F5" w:rsidRDefault="00A00D87" w:rsidP="00E6560A">
            <w:pPr>
              <w:jc w:val="both"/>
              <w:rPr>
                <w:rFonts w:cstheme="minorHAnsi"/>
                <w:sz w:val="20"/>
                <w:szCs w:val="20"/>
                <w:lang w:val="fi-FI"/>
              </w:rPr>
            </w:pPr>
            <w:r w:rsidRPr="001972F5">
              <w:rPr>
                <w:rFonts w:cstheme="minorHAnsi"/>
                <w:sz w:val="20"/>
                <w:szCs w:val="20"/>
                <w:lang w:val="fi-FI"/>
              </w:rPr>
              <w:t>Aktivnosti planirane u sklopu ove mjere su:</w:t>
            </w:r>
          </w:p>
          <w:p w14:paraId="008DA544" w14:textId="77777777" w:rsidR="00A00D87" w:rsidRPr="0015571A" w:rsidRDefault="00A00D87" w:rsidP="007F1ECE">
            <w:pPr>
              <w:pStyle w:val="ListParagraph"/>
              <w:numPr>
                <w:ilvl w:val="0"/>
                <w:numId w:val="98"/>
              </w:numPr>
              <w:jc w:val="both"/>
              <w:rPr>
                <w:rFonts w:cstheme="minorHAnsi"/>
                <w:sz w:val="20"/>
                <w:szCs w:val="20"/>
              </w:rPr>
            </w:pPr>
            <w:r w:rsidRPr="0015571A">
              <w:rPr>
                <w:rFonts w:cstheme="minorHAnsi"/>
                <w:sz w:val="20"/>
                <w:szCs w:val="20"/>
              </w:rPr>
              <w:t>Uspostavljanje dugoročnog i održivog fonda za energijsku obnovu stambenih zgrada;</w:t>
            </w:r>
          </w:p>
          <w:p w14:paraId="5509E0DE" w14:textId="4A36F500" w:rsidR="00A00D87" w:rsidRPr="0015571A" w:rsidRDefault="00A00D87" w:rsidP="007F1ECE">
            <w:pPr>
              <w:pStyle w:val="ListParagraph"/>
              <w:numPr>
                <w:ilvl w:val="0"/>
                <w:numId w:val="98"/>
              </w:numPr>
              <w:spacing w:line="276" w:lineRule="auto"/>
              <w:jc w:val="both"/>
              <w:rPr>
                <w:rFonts w:cstheme="minorHAnsi"/>
                <w:sz w:val="20"/>
                <w:szCs w:val="20"/>
              </w:rPr>
            </w:pPr>
            <w:r w:rsidRPr="0015571A">
              <w:rPr>
                <w:rFonts w:cstheme="minorHAnsi"/>
                <w:sz w:val="20"/>
                <w:szCs w:val="20"/>
              </w:rPr>
              <w:t xml:space="preserve">Uspostavljanje adekvatnih </w:t>
            </w:r>
            <w:r w:rsidR="007B690C" w:rsidRPr="0015571A">
              <w:rPr>
                <w:rFonts w:cstheme="minorHAnsi"/>
                <w:sz w:val="20"/>
                <w:szCs w:val="20"/>
              </w:rPr>
              <w:t>financ</w:t>
            </w:r>
            <w:r w:rsidRPr="0015571A">
              <w:rPr>
                <w:rFonts w:cstheme="minorHAnsi"/>
                <w:sz w:val="20"/>
                <w:szCs w:val="20"/>
              </w:rPr>
              <w:t>ijskih modela/proizvoda za energijsku obnovu komercijalnih zgrada;</w:t>
            </w:r>
          </w:p>
          <w:p w14:paraId="77048335" w14:textId="3F754FC6" w:rsidR="00A00D87" w:rsidRPr="0015571A" w:rsidRDefault="00A00D87" w:rsidP="007F1ECE">
            <w:pPr>
              <w:pStyle w:val="ListParagraph"/>
              <w:numPr>
                <w:ilvl w:val="0"/>
                <w:numId w:val="98"/>
              </w:numPr>
              <w:jc w:val="both"/>
              <w:rPr>
                <w:rFonts w:cstheme="minorHAnsi"/>
                <w:sz w:val="20"/>
                <w:szCs w:val="20"/>
              </w:rPr>
            </w:pPr>
            <w:r w:rsidRPr="0015571A">
              <w:rPr>
                <w:rFonts w:cstheme="minorHAnsi"/>
                <w:sz w:val="20"/>
                <w:szCs w:val="20"/>
              </w:rPr>
              <w:t xml:space="preserve">Razvoj i uspostavljanje fondova za </w:t>
            </w:r>
            <w:r w:rsidR="007B690C" w:rsidRPr="0015571A">
              <w:rPr>
                <w:rFonts w:cstheme="minorHAnsi"/>
                <w:sz w:val="20"/>
                <w:szCs w:val="20"/>
              </w:rPr>
              <w:t>financ</w:t>
            </w:r>
            <w:r w:rsidRPr="0015571A">
              <w:rPr>
                <w:rFonts w:cstheme="minorHAnsi"/>
                <w:sz w:val="20"/>
                <w:szCs w:val="20"/>
              </w:rPr>
              <w:t xml:space="preserve">iranje mjera za zaštitu posebno ugroženih kategorija stanovništva iz kojih će se </w:t>
            </w:r>
            <w:r w:rsidR="007B690C" w:rsidRPr="0015571A">
              <w:rPr>
                <w:rFonts w:cstheme="minorHAnsi"/>
                <w:sz w:val="20"/>
                <w:szCs w:val="20"/>
              </w:rPr>
              <w:t>financ</w:t>
            </w:r>
            <w:r w:rsidRPr="0015571A">
              <w:rPr>
                <w:rFonts w:cstheme="minorHAnsi"/>
                <w:sz w:val="20"/>
                <w:szCs w:val="20"/>
              </w:rPr>
              <w:t>irati provođenja mjera EE za ovu kategoriju stanovništva;</w:t>
            </w:r>
          </w:p>
          <w:p w14:paraId="032A7667" w14:textId="283615D6" w:rsidR="00A00D87" w:rsidRPr="0015571A" w:rsidRDefault="00A00D87" w:rsidP="007F1ECE">
            <w:pPr>
              <w:pStyle w:val="ListParagraph"/>
              <w:numPr>
                <w:ilvl w:val="0"/>
                <w:numId w:val="98"/>
              </w:numPr>
              <w:spacing w:after="160"/>
              <w:jc w:val="both"/>
              <w:rPr>
                <w:rFonts w:cstheme="minorHAnsi"/>
                <w:sz w:val="20"/>
                <w:szCs w:val="20"/>
              </w:rPr>
            </w:pPr>
            <w:r w:rsidRPr="0015571A">
              <w:rPr>
                <w:rFonts w:cstheme="minorHAnsi"/>
                <w:sz w:val="20"/>
                <w:szCs w:val="20"/>
              </w:rPr>
              <w:t xml:space="preserve">Razvoj i uspostavljanje programa podrške za </w:t>
            </w:r>
            <w:r w:rsidR="007B690C" w:rsidRPr="0015571A">
              <w:rPr>
                <w:rFonts w:cstheme="minorHAnsi"/>
                <w:sz w:val="20"/>
                <w:szCs w:val="20"/>
              </w:rPr>
              <w:t>financ</w:t>
            </w:r>
            <w:r w:rsidRPr="0015571A">
              <w:rPr>
                <w:rFonts w:cstheme="minorHAnsi"/>
                <w:sz w:val="20"/>
                <w:szCs w:val="20"/>
              </w:rPr>
              <w:t>iranje energijske obnove zgrada sa statusom nacionalnih spomenika.</w:t>
            </w:r>
          </w:p>
          <w:p w14:paraId="0F0D017F" w14:textId="77777777" w:rsidR="00A00D87" w:rsidRPr="001972F5" w:rsidRDefault="00A00D87" w:rsidP="00E6560A">
            <w:pPr>
              <w:jc w:val="both"/>
              <w:rPr>
                <w:rFonts w:cstheme="minorHAnsi"/>
                <w:sz w:val="20"/>
                <w:szCs w:val="20"/>
                <w:lang w:val="fi-FI"/>
              </w:rPr>
            </w:pPr>
            <w:r w:rsidRPr="001972F5">
              <w:rPr>
                <w:rFonts w:cstheme="minorHAnsi"/>
                <w:sz w:val="20"/>
                <w:szCs w:val="20"/>
                <w:lang w:val="fi-FI"/>
              </w:rPr>
              <w:t>Gore navedene aktivnosti podrazumijevaju sljedeće:</w:t>
            </w:r>
          </w:p>
          <w:p w14:paraId="00FF21D6" w14:textId="5021DB28" w:rsidR="00A00D87" w:rsidRPr="0015571A" w:rsidRDefault="00A00D87" w:rsidP="00581C1C">
            <w:pPr>
              <w:pStyle w:val="ListParagraph"/>
              <w:numPr>
                <w:ilvl w:val="0"/>
                <w:numId w:val="71"/>
              </w:numPr>
              <w:ind w:left="1071" w:right="32"/>
              <w:jc w:val="both"/>
              <w:rPr>
                <w:rFonts w:cstheme="minorHAnsi"/>
                <w:sz w:val="20"/>
                <w:szCs w:val="20"/>
              </w:rPr>
            </w:pPr>
            <w:r w:rsidRPr="0015571A">
              <w:rPr>
                <w:rFonts w:cstheme="minorHAnsi"/>
                <w:sz w:val="20"/>
                <w:szCs w:val="20"/>
              </w:rPr>
              <w:t xml:space="preserve">Izradu </w:t>
            </w:r>
            <w:r w:rsidR="007B690C" w:rsidRPr="0015571A">
              <w:rPr>
                <w:rFonts w:cstheme="minorHAnsi"/>
                <w:sz w:val="20"/>
                <w:szCs w:val="20"/>
              </w:rPr>
              <w:t>financ</w:t>
            </w:r>
            <w:r w:rsidRPr="0015571A">
              <w:rPr>
                <w:rFonts w:cstheme="minorHAnsi"/>
                <w:sz w:val="20"/>
                <w:szCs w:val="20"/>
              </w:rPr>
              <w:t xml:space="preserve">ijskog okvira za </w:t>
            </w:r>
            <w:r w:rsidR="007B690C" w:rsidRPr="0015571A">
              <w:rPr>
                <w:rFonts w:cstheme="minorHAnsi"/>
                <w:sz w:val="20"/>
                <w:szCs w:val="20"/>
              </w:rPr>
              <w:t>financ</w:t>
            </w:r>
            <w:r w:rsidRPr="0015571A">
              <w:rPr>
                <w:rFonts w:cstheme="minorHAnsi"/>
                <w:sz w:val="20"/>
                <w:szCs w:val="20"/>
              </w:rPr>
              <w:t>iranje implementacije mjera EE u stambenom sektoru;</w:t>
            </w:r>
          </w:p>
          <w:p w14:paraId="56C1B7CD" w14:textId="09842D7E" w:rsidR="00A00D87" w:rsidRPr="0015571A" w:rsidRDefault="00A00D87" w:rsidP="00581C1C">
            <w:pPr>
              <w:pStyle w:val="ListParagraph"/>
              <w:numPr>
                <w:ilvl w:val="0"/>
                <w:numId w:val="71"/>
              </w:numPr>
              <w:ind w:left="1071" w:right="32"/>
              <w:jc w:val="both"/>
              <w:rPr>
                <w:rFonts w:cstheme="minorHAnsi"/>
                <w:sz w:val="20"/>
                <w:szCs w:val="20"/>
              </w:rPr>
            </w:pPr>
            <w:r w:rsidRPr="0015571A">
              <w:rPr>
                <w:rFonts w:cstheme="minorHAnsi"/>
                <w:sz w:val="20"/>
                <w:szCs w:val="20"/>
              </w:rPr>
              <w:t xml:space="preserve">Obezbjeđivanje </w:t>
            </w:r>
            <w:r w:rsidR="007B690C" w:rsidRPr="0015571A">
              <w:rPr>
                <w:rFonts w:cstheme="minorHAnsi"/>
                <w:sz w:val="20"/>
                <w:szCs w:val="20"/>
              </w:rPr>
              <w:t>financ</w:t>
            </w:r>
            <w:r w:rsidRPr="0015571A">
              <w:rPr>
                <w:rFonts w:cstheme="minorHAnsi"/>
                <w:sz w:val="20"/>
                <w:szCs w:val="20"/>
              </w:rPr>
              <w:t>ijskih podsticaja za energijsku obnovu stambenih zgrada u okviru kantonalnih i općinskih budžeta;</w:t>
            </w:r>
          </w:p>
          <w:p w14:paraId="60B521FE" w14:textId="77777777" w:rsidR="00A00D87" w:rsidRPr="0015571A" w:rsidRDefault="00A00D87" w:rsidP="00581C1C">
            <w:pPr>
              <w:pStyle w:val="ListParagraph"/>
              <w:numPr>
                <w:ilvl w:val="0"/>
                <w:numId w:val="71"/>
              </w:numPr>
              <w:spacing w:line="276" w:lineRule="auto"/>
              <w:ind w:left="1071"/>
              <w:jc w:val="both"/>
              <w:rPr>
                <w:rFonts w:cstheme="minorHAnsi"/>
                <w:sz w:val="20"/>
                <w:szCs w:val="20"/>
              </w:rPr>
            </w:pPr>
            <w:r w:rsidRPr="0015571A">
              <w:rPr>
                <w:rFonts w:cstheme="minorHAnsi"/>
                <w:sz w:val="20"/>
                <w:szCs w:val="20"/>
              </w:rPr>
              <w:t>Donošenje podzakonskih akata koji uređuju vrste i procedure dodjele poticajnih mjera za pravna lica (upravitelji zgrada);</w:t>
            </w:r>
          </w:p>
          <w:p w14:paraId="1FE5EF82" w14:textId="45D6489F" w:rsidR="00A00D87" w:rsidRPr="0015571A" w:rsidRDefault="00A00D87" w:rsidP="00581C1C">
            <w:pPr>
              <w:pStyle w:val="ListParagraph"/>
              <w:numPr>
                <w:ilvl w:val="0"/>
                <w:numId w:val="71"/>
              </w:numPr>
              <w:spacing w:line="276" w:lineRule="auto"/>
              <w:ind w:left="1071"/>
              <w:jc w:val="both"/>
              <w:rPr>
                <w:rFonts w:cstheme="minorHAnsi"/>
                <w:sz w:val="20"/>
                <w:szCs w:val="20"/>
              </w:rPr>
            </w:pPr>
            <w:r w:rsidRPr="0015571A">
              <w:rPr>
                <w:rFonts w:cstheme="minorHAnsi"/>
                <w:sz w:val="20"/>
                <w:szCs w:val="20"/>
              </w:rPr>
              <w:t xml:space="preserve">Izmjene postojećih propisa kako bi se omogućilo udruženjima etažnih vlasnika sticanje statusa pravnih lica, a time i mogućnosti obavljanja prometa i zaduživanja kod </w:t>
            </w:r>
            <w:r w:rsidR="007B690C" w:rsidRPr="0015571A">
              <w:rPr>
                <w:rFonts w:cstheme="minorHAnsi"/>
                <w:sz w:val="20"/>
                <w:szCs w:val="20"/>
              </w:rPr>
              <w:t>financ</w:t>
            </w:r>
            <w:r w:rsidRPr="0015571A">
              <w:rPr>
                <w:rFonts w:cstheme="minorHAnsi"/>
                <w:sz w:val="20"/>
                <w:szCs w:val="20"/>
              </w:rPr>
              <w:t xml:space="preserve">ijskih institucija; </w:t>
            </w:r>
          </w:p>
          <w:p w14:paraId="532206B9" w14:textId="77777777" w:rsidR="00A00D87" w:rsidRPr="0015571A" w:rsidRDefault="00A00D87" w:rsidP="00581C1C">
            <w:pPr>
              <w:pStyle w:val="ListParagraph"/>
              <w:numPr>
                <w:ilvl w:val="0"/>
                <w:numId w:val="72"/>
              </w:numPr>
              <w:spacing w:line="276" w:lineRule="auto"/>
              <w:ind w:left="1075"/>
              <w:jc w:val="both"/>
              <w:rPr>
                <w:rFonts w:cstheme="minorHAnsi"/>
                <w:sz w:val="20"/>
                <w:szCs w:val="20"/>
              </w:rPr>
            </w:pPr>
            <w:r w:rsidRPr="0015571A">
              <w:rPr>
                <w:rFonts w:cstheme="minorHAnsi"/>
                <w:sz w:val="20"/>
                <w:szCs w:val="20"/>
              </w:rPr>
              <w:t>Izmjene i dopune Zakona o energijskoj efikasnosti, sa ciljem  stvaranja pravnog osnova za poticajne mjere za fizička lica koja implementiraju mjere energijske efikasnosti u zgradarstvu;</w:t>
            </w:r>
          </w:p>
          <w:p w14:paraId="5B68BF65" w14:textId="6542B7B5" w:rsidR="00A00D87" w:rsidRPr="0015571A" w:rsidRDefault="00A00D87" w:rsidP="00581C1C">
            <w:pPr>
              <w:pStyle w:val="ListParagraph"/>
              <w:numPr>
                <w:ilvl w:val="0"/>
                <w:numId w:val="72"/>
              </w:numPr>
              <w:spacing w:line="276" w:lineRule="auto"/>
              <w:ind w:left="1075"/>
              <w:jc w:val="both"/>
              <w:rPr>
                <w:rFonts w:cstheme="minorHAnsi"/>
                <w:sz w:val="20"/>
                <w:szCs w:val="20"/>
              </w:rPr>
            </w:pPr>
            <w:r w:rsidRPr="0015571A">
              <w:rPr>
                <w:rFonts w:cstheme="minorHAnsi"/>
                <w:sz w:val="20"/>
                <w:szCs w:val="20"/>
              </w:rPr>
              <w:t xml:space="preserve">Provođenje tehničke pripreme koje omogućavaju naplatu realnog utroška toplotne energije u sistemu daljinskog grijanja, te utvrditi zakonske </w:t>
            </w:r>
            <w:r w:rsidR="00F03625" w:rsidRPr="0015571A">
              <w:rPr>
                <w:rFonts w:cstheme="minorHAnsi"/>
                <w:sz w:val="20"/>
                <w:szCs w:val="20"/>
              </w:rPr>
              <w:t>obvez</w:t>
            </w:r>
            <w:r w:rsidRPr="0015571A">
              <w:rPr>
                <w:rFonts w:cstheme="minorHAnsi"/>
                <w:sz w:val="20"/>
                <w:szCs w:val="20"/>
              </w:rPr>
              <w:t xml:space="preserve">e vezane za uvođenje i rad ovog sistema; </w:t>
            </w:r>
          </w:p>
          <w:p w14:paraId="5C837DE0" w14:textId="77777777" w:rsidR="00A00D87" w:rsidRPr="0015571A" w:rsidRDefault="00A00D87" w:rsidP="00581C1C">
            <w:pPr>
              <w:pStyle w:val="ListParagraph"/>
              <w:numPr>
                <w:ilvl w:val="0"/>
                <w:numId w:val="72"/>
              </w:numPr>
              <w:spacing w:line="276" w:lineRule="auto"/>
              <w:ind w:left="1075"/>
              <w:jc w:val="both"/>
              <w:rPr>
                <w:rFonts w:cstheme="minorHAnsi"/>
                <w:sz w:val="20"/>
                <w:szCs w:val="20"/>
              </w:rPr>
            </w:pPr>
            <w:r w:rsidRPr="0015571A">
              <w:rPr>
                <w:rFonts w:cstheme="minorHAnsi"/>
                <w:sz w:val="20"/>
                <w:szCs w:val="20"/>
              </w:rPr>
              <w:t>Definiranje načina naplate troškova za energiju te načina dostavljanja odgovarajućih informacija o potrošnji energije krajnjim kupcima;</w:t>
            </w:r>
          </w:p>
          <w:p w14:paraId="3B80E1B4" w14:textId="77777777" w:rsidR="00A00D87" w:rsidRPr="0015571A" w:rsidRDefault="00A00D87" w:rsidP="00581C1C">
            <w:pPr>
              <w:pStyle w:val="ListParagraph"/>
              <w:numPr>
                <w:ilvl w:val="0"/>
                <w:numId w:val="72"/>
              </w:numPr>
              <w:spacing w:line="276" w:lineRule="auto"/>
              <w:ind w:left="1075"/>
              <w:jc w:val="both"/>
              <w:rPr>
                <w:rFonts w:cstheme="minorHAnsi"/>
                <w:sz w:val="20"/>
                <w:szCs w:val="20"/>
              </w:rPr>
            </w:pPr>
            <w:r w:rsidRPr="0015571A">
              <w:rPr>
                <w:rFonts w:cstheme="minorHAnsi"/>
                <w:sz w:val="20"/>
                <w:szCs w:val="20"/>
              </w:rPr>
              <w:t xml:space="preserve">Donošenje pravnih propisa koji će omogućiti financiranje obnove zgrada putem sklapanja ugovora o otplati investicija u obnovu kroz ostvarene uštede u energiji </w:t>
            </w:r>
            <w:r w:rsidRPr="0015571A">
              <w:rPr>
                <w:rFonts w:cstheme="minorHAnsi"/>
                <w:i/>
                <w:iCs/>
                <w:sz w:val="20"/>
                <w:szCs w:val="20"/>
              </w:rPr>
              <w:t>(eng. Energy Performance Contract)</w:t>
            </w:r>
            <w:r w:rsidRPr="0015571A">
              <w:rPr>
                <w:rFonts w:cstheme="minorHAnsi"/>
                <w:sz w:val="20"/>
                <w:szCs w:val="20"/>
              </w:rPr>
              <w:t xml:space="preserve"> između javnih institucija/domaćinstava i ESCO </w:t>
            </w:r>
            <w:r w:rsidRPr="0015571A">
              <w:rPr>
                <w:rFonts w:cstheme="minorHAnsi"/>
                <w:i/>
                <w:iCs/>
                <w:sz w:val="20"/>
                <w:szCs w:val="20"/>
              </w:rPr>
              <w:t>(eng. Energy Service Company).</w:t>
            </w:r>
            <w:r w:rsidRPr="0015571A">
              <w:rPr>
                <w:rFonts w:cstheme="minorHAnsi"/>
                <w:sz w:val="20"/>
                <w:szCs w:val="20"/>
              </w:rPr>
              <w:t xml:space="preserve"> </w:t>
            </w:r>
          </w:p>
          <w:p w14:paraId="1C333B61" w14:textId="29CD63A5" w:rsidR="00A00D87" w:rsidRPr="0015571A" w:rsidRDefault="00A00D87" w:rsidP="00581C1C">
            <w:pPr>
              <w:pStyle w:val="ListParagraph"/>
              <w:numPr>
                <w:ilvl w:val="0"/>
                <w:numId w:val="72"/>
              </w:numPr>
              <w:ind w:left="1075" w:right="32"/>
              <w:jc w:val="both"/>
              <w:rPr>
                <w:rFonts w:cstheme="minorHAnsi"/>
                <w:sz w:val="20"/>
                <w:szCs w:val="20"/>
              </w:rPr>
            </w:pPr>
            <w:r w:rsidRPr="0015571A">
              <w:rPr>
                <w:rFonts w:cstheme="minorHAnsi"/>
                <w:sz w:val="20"/>
                <w:szCs w:val="20"/>
              </w:rPr>
              <w:lastRenderedPageBreak/>
              <w:t xml:space="preserve">Obezbjeđivanje </w:t>
            </w:r>
            <w:r w:rsidR="007B690C" w:rsidRPr="0015571A">
              <w:rPr>
                <w:rFonts w:cstheme="minorHAnsi"/>
                <w:sz w:val="20"/>
                <w:szCs w:val="20"/>
              </w:rPr>
              <w:t>financ</w:t>
            </w:r>
            <w:r w:rsidRPr="0015571A">
              <w:rPr>
                <w:rFonts w:cstheme="minorHAnsi"/>
                <w:sz w:val="20"/>
                <w:szCs w:val="20"/>
              </w:rPr>
              <w:t xml:space="preserve">ijskih podsticaja za energijsku obnovu komercijalnih zgrada; </w:t>
            </w:r>
          </w:p>
          <w:p w14:paraId="7D5B1F04" w14:textId="77777777" w:rsidR="00A00D87" w:rsidRPr="0015571A" w:rsidRDefault="00A00D87" w:rsidP="00581C1C">
            <w:pPr>
              <w:pStyle w:val="ListParagraph"/>
              <w:numPr>
                <w:ilvl w:val="0"/>
                <w:numId w:val="72"/>
              </w:numPr>
              <w:ind w:left="1075" w:right="32"/>
              <w:jc w:val="both"/>
              <w:rPr>
                <w:rFonts w:cstheme="minorHAnsi"/>
                <w:sz w:val="20"/>
                <w:szCs w:val="20"/>
              </w:rPr>
            </w:pPr>
            <w:r w:rsidRPr="0015571A">
              <w:rPr>
                <w:rFonts w:cstheme="minorHAnsi"/>
                <w:sz w:val="20"/>
                <w:szCs w:val="20"/>
              </w:rPr>
              <w:t xml:space="preserve">Definiranje politika i mjera za zaštitu posebno ugroženih kategorija stanovništva; </w:t>
            </w:r>
          </w:p>
          <w:p w14:paraId="2BC1DB29" w14:textId="5A36EC45" w:rsidR="00A00D87" w:rsidRPr="0015571A" w:rsidRDefault="00A00D87" w:rsidP="00581C1C">
            <w:pPr>
              <w:pStyle w:val="ListParagraph"/>
              <w:numPr>
                <w:ilvl w:val="0"/>
                <w:numId w:val="72"/>
              </w:numPr>
              <w:ind w:left="1075" w:right="32"/>
              <w:jc w:val="both"/>
              <w:rPr>
                <w:rFonts w:cstheme="minorHAnsi"/>
                <w:sz w:val="20"/>
                <w:szCs w:val="20"/>
              </w:rPr>
            </w:pPr>
            <w:r w:rsidRPr="0015571A">
              <w:rPr>
                <w:rFonts w:cstheme="minorHAnsi"/>
                <w:sz w:val="20"/>
                <w:szCs w:val="20"/>
              </w:rPr>
              <w:t xml:space="preserve">Razvoj i uspostavljanje fondova za </w:t>
            </w:r>
            <w:r w:rsidR="007B690C" w:rsidRPr="0015571A">
              <w:rPr>
                <w:rFonts w:cstheme="minorHAnsi"/>
                <w:sz w:val="20"/>
                <w:szCs w:val="20"/>
              </w:rPr>
              <w:t>financ</w:t>
            </w:r>
            <w:r w:rsidRPr="0015571A">
              <w:rPr>
                <w:rFonts w:cstheme="minorHAnsi"/>
                <w:sz w:val="20"/>
                <w:szCs w:val="20"/>
              </w:rPr>
              <w:t>iranje mjera za zaštitu posebno ugroženih kategorija stanovništva na nivou svih kantona koja će osim budžetskih sredstava, koristiti sredstva EU fondova raspoloživa za BiH kroz instrumente pristupne pomoći, kako bi se potaknula energijska obnova ovakvih zgrada;</w:t>
            </w:r>
          </w:p>
          <w:p w14:paraId="47016D5D" w14:textId="5C16CF6C" w:rsidR="00A00D87" w:rsidRPr="0015571A" w:rsidRDefault="00A00D87" w:rsidP="00581C1C">
            <w:pPr>
              <w:pStyle w:val="ListParagraph"/>
              <w:numPr>
                <w:ilvl w:val="0"/>
                <w:numId w:val="72"/>
              </w:numPr>
              <w:ind w:left="1075"/>
              <w:jc w:val="both"/>
              <w:rPr>
                <w:rFonts w:cstheme="minorHAnsi"/>
                <w:sz w:val="20"/>
                <w:szCs w:val="20"/>
              </w:rPr>
            </w:pPr>
            <w:r w:rsidRPr="0015571A">
              <w:rPr>
                <w:rFonts w:cstheme="minorHAnsi"/>
                <w:sz w:val="20"/>
                <w:szCs w:val="20"/>
              </w:rPr>
              <w:t>Izmjene i dopune relevantnih zakona u smislu uvođenja dodatnih naknada i taksi (CO</w:t>
            </w:r>
            <w:r w:rsidRPr="0015571A">
              <w:rPr>
                <w:rFonts w:cstheme="minorHAnsi"/>
                <w:sz w:val="20"/>
                <w:szCs w:val="20"/>
                <w:vertAlign w:val="subscript"/>
              </w:rPr>
              <w:t>2</w:t>
            </w:r>
            <w:r w:rsidRPr="0015571A">
              <w:rPr>
                <w:rFonts w:cstheme="minorHAnsi"/>
                <w:sz w:val="20"/>
                <w:szCs w:val="20"/>
              </w:rPr>
              <w:t xml:space="preserve">  i energijske takse) kojim će se obezbijediti dodatna sredstva za </w:t>
            </w:r>
            <w:r w:rsidR="007B690C" w:rsidRPr="0015571A">
              <w:rPr>
                <w:rFonts w:cstheme="minorHAnsi"/>
                <w:sz w:val="20"/>
                <w:szCs w:val="20"/>
              </w:rPr>
              <w:t>financ</w:t>
            </w:r>
            <w:r w:rsidRPr="0015571A">
              <w:rPr>
                <w:rFonts w:cstheme="minorHAnsi"/>
                <w:sz w:val="20"/>
                <w:szCs w:val="20"/>
              </w:rPr>
              <w:t>iranje energijske efikasnosti (izvjesno je da će u budućnosti sredstva dobivena od prodaje emisijskih jedinica biti značajan izvor prihoda za suzbijanje energijskog siromaštva);</w:t>
            </w:r>
          </w:p>
          <w:p w14:paraId="1CCD6ED7" w14:textId="77777777" w:rsidR="00A00D87" w:rsidRPr="0015571A" w:rsidRDefault="00A00D87" w:rsidP="00581C1C">
            <w:pPr>
              <w:pStyle w:val="ListParagraph"/>
              <w:numPr>
                <w:ilvl w:val="0"/>
                <w:numId w:val="72"/>
              </w:numPr>
              <w:ind w:left="1075"/>
              <w:jc w:val="both"/>
              <w:rPr>
                <w:rFonts w:cstheme="minorHAnsi"/>
                <w:sz w:val="20"/>
                <w:szCs w:val="20"/>
              </w:rPr>
            </w:pPr>
            <w:r w:rsidRPr="0015571A">
              <w:rPr>
                <w:rFonts w:cstheme="minorHAnsi"/>
                <w:sz w:val="20"/>
                <w:szCs w:val="20"/>
              </w:rPr>
              <w:t>Povećanje korištenja EU fondova dostupnih za BiH kroz izgradnju kapaciteta za pripremu projektnih aplikacija;</w:t>
            </w:r>
          </w:p>
          <w:p w14:paraId="1021F0B8" w14:textId="5B70C245" w:rsidR="00A00D87" w:rsidRPr="0015571A" w:rsidRDefault="00A00D87" w:rsidP="00581C1C">
            <w:pPr>
              <w:pStyle w:val="ListParagraph"/>
              <w:numPr>
                <w:ilvl w:val="0"/>
                <w:numId w:val="72"/>
              </w:numPr>
              <w:ind w:left="1075"/>
              <w:jc w:val="both"/>
              <w:rPr>
                <w:rFonts w:cstheme="minorHAnsi"/>
                <w:sz w:val="20"/>
                <w:szCs w:val="20"/>
              </w:rPr>
            </w:pPr>
            <w:r w:rsidRPr="0015571A">
              <w:rPr>
                <w:rFonts w:cstheme="minorHAnsi"/>
                <w:sz w:val="20"/>
                <w:szCs w:val="20"/>
              </w:rPr>
              <w:t xml:space="preserve">Uspostavljanje programa </w:t>
            </w:r>
            <w:r w:rsidR="007B690C" w:rsidRPr="0015571A">
              <w:rPr>
                <w:rFonts w:cstheme="minorHAnsi"/>
                <w:sz w:val="20"/>
                <w:szCs w:val="20"/>
              </w:rPr>
              <w:t>financ</w:t>
            </w:r>
            <w:r w:rsidRPr="0015571A">
              <w:rPr>
                <w:rFonts w:cstheme="minorHAnsi"/>
                <w:sz w:val="20"/>
                <w:szCs w:val="20"/>
              </w:rPr>
              <w:t>iranja energijske obnove zgrada sa statusom nacionalnih spomenika;</w:t>
            </w:r>
          </w:p>
          <w:p w14:paraId="011C88AE" w14:textId="77777777" w:rsidR="00A00D87" w:rsidRPr="0015571A" w:rsidRDefault="00A00D87" w:rsidP="00581C1C">
            <w:pPr>
              <w:pStyle w:val="ListParagraph"/>
              <w:numPr>
                <w:ilvl w:val="0"/>
                <w:numId w:val="72"/>
              </w:numPr>
              <w:ind w:left="1075"/>
              <w:jc w:val="both"/>
              <w:rPr>
                <w:rFonts w:cstheme="minorHAnsi"/>
                <w:sz w:val="20"/>
                <w:szCs w:val="20"/>
              </w:rPr>
            </w:pPr>
            <w:r w:rsidRPr="0015571A">
              <w:rPr>
                <w:rFonts w:cstheme="minorHAnsi"/>
                <w:sz w:val="20"/>
                <w:szCs w:val="20"/>
              </w:rPr>
              <w:t>Povećanje korištenja međunarodnih fondova namjenjenih za zgrade  sa statusom nacionalnih spomenika, kroz izgradnju kapaciteta za pripremu projektnih aplikacija.</w:t>
            </w:r>
          </w:p>
        </w:tc>
      </w:tr>
      <w:tr w:rsidR="00A00D87" w:rsidRPr="0015571A" w14:paraId="7911CF42"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3195479"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lastRenderedPageBreak/>
              <w:t>Strateški</w:t>
            </w:r>
            <w:proofErr w:type="spellEnd"/>
            <w:r w:rsidRPr="0015571A">
              <w:rPr>
                <w:rFonts w:cstheme="minorHAnsi"/>
                <w:b/>
                <w:sz w:val="20"/>
                <w:szCs w:val="20"/>
              </w:rPr>
              <w:t xml:space="preserve"> </w:t>
            </w:r>
            <w:proofErr w:type="spellStart"/>
            <w:r w:rsidRPr="0015571A">
              <w:rPr>
                <w:rFonts w:cstheme="minorHAnsi"/>
                <w:b/>
                <w:sz w:val="20"/>
                <w:szCs w:val="20"/>
              </w:rPr>
              <w:t>projekti</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1DCA6859" w14:textId="77777777" w:rsidR="00A00D87" w:rsidRPr="0015571A" w:rsidRDefault="00A00D87" w:rsidP="00122946">
            <w:pPr>
              <w:spacing w:line="259" w:lineRule="auto"/>
              <w:ind w:left="1"/>
              <w:rPr>
                <w:rFonts w:cstheme="minorHAnsi"/>
                <w:sz w:val="20"/>
                <w:szCs w:val="20"/>
              </w:rPr>
            </w:pPr>
            <w:r w:rsidRPr="0015571A">
              <w:rPr>
                <w:rFonts w:cstheme="minorHAnsi"/>
                <w:sz w:val="20"/>
                <w:szCs w:val="20"/>
              </w:rPr>
              <w:t xml:space="preserve"> -</w:t>
            </w:r>
          </w:p>
        </w:tc>
      </w:tr>
      <w:tr w:rsidR="00A00D87" w:rsidRPr="0015571A" w14:paraId="15121291" w14:textId="77777777" w:rsidTr="00122946">
        <w:trPr>
          <w:trHeight w:val="423"/>
        </w:trPr>
        <w:tc>
          <w:tcPr>
            <w:tcW w:w="1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B490845"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Indikatori</w:t>
            </w:r>
            <w:proofErr w:type="spellEnd"/>
            <w:r w:rsidRPr="0015571A">
              <w:rPr>
                <w:rFonts w:cstheme="minorHAnsi"/>
                <w:b/>
                <w:sz w:val="20"/>
                <w:szCs w:val="20"/>
              </w:rPr>
              <w:t xml:space="preserve"> za </w:t>
            </w:r>
            <w:proofErr w:type="spellStart"/>
            <w:r w:rsidRPr="0015571A">
              <w:rPr>
                <w:rFonts w:cstheme="minorHAnsi"/>
                <w:b/>
                <w:sz w:val="20"/>
                <w:szCs w:val="20"/>
              </w:rPr>
              <w:t>praćenje</w:t>
            </w:r>
            <w:proofErr w:type="spellEnd"/>
            <w:r w:rsidRPr="0015571A">
              <w:rPr>
                <w:rFonts w:cstheme="minorHAnsi"/>
                <w:b/>
                <w:sz w:val="20"/>
                <w:szCs w:val="20"/>
              </w:rPr>
              <w:t xml:space="preserve"> </w:t>
            </w:r>
            <w:proofErr w:type="spellStart"/>
            <w:r w:rsidRPr="0015571A">
              <w:rPr>
                <w:rFonts w:cstheme="minorHAnsi"/>
                <w:b/>
                <w:sz w:val="20"/>
                <w:szCs w:val="20"/>
              </w:rPr>
              <w:t>rezultata</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CF0B1E" w14:textId="77777777" w:rsidR="00A00D87" w:rsidRPr="0015571A" w:rsidRDefault="00A00D87" w:rsidP="00122946">
            <w:pPr>
              <w:spacing w:line="259" w:lineRule="auto"/>
              <w:ind w:right="39"/>
              <w:jc w:val="center"/>
              <w:rPr>
                <w:rFonts w:cstheme="minorHAnsi"/>
                <w:sz w:val="20"/>
                <w:szCs w:val="20"/>
              </w:rPr>
            </w:pPr>
            <w:proofErr w:type="spellStart"/>
            <w:r w:rsidRPr="0015571A">
              <w:rPr>
                <w:rFonts w:cstheme="minorHAnsi"/>
                <w:b/>
                <w:sz w:val="20"/>
                <w:szCs w:val="20"/>
              </w:rPr>
              <w:t>Indikatori</w:t>
            </w:r>
            <w:proofErr w:type="spellEnd"/>
            <w:r w:rsidRPr="0015571A">
              <w:rPr>
                <w:rFonts w:cstheme="minorHAnsi"/>
                <w:b/>
                <w:sz w:val="20"/>
                <w:szCs w:val="20"/>
              </w:rPr>
              <w:t xml:space="preserve"> </w:t>
            </w:r>
          </w:p>
        </w:tc>
        <w:tc>
          <w:tcPr>
            <w:tcW w:w="206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0EA65C0" w14:textId="77777777" w:rsidR="00A00D87" w:rsidRPr="0015571A" w:rsidRDefault="00A00D87" w:rsidP="00122946">
            <w:pPr>
              <w:spacing w:line="259" w:lineRule="auto"/>
              <w:jc w:val="center"/>
              <w:rPr>
                <w:rFonts w:cstheme="minorHAnsi"/>
                <w:sz w:val="20"/>
                <w:szCs w:val="20"/>
              </w:rPr>
            </w:pPr>
            <w:proofErr w:type="spellStart"/>
            <w:r w:rsidRPr="0015571A">
              <w:rPr>
                <w:rFonts w:cstheme="minorHAnsi"/>
                <w:b/>
                <w:sz w:val="20"/>
                <w:szCs w:val="20"/>
              </w:rPr>
              <w:t>Polazne</w:t>
            </w:r>
            <w:proofErr w:type="spellEnd"/>
            <w:r w:rsidRPr="0015571A">
              <w:rPr>
                <w:rFonts w:cstheme="minorHAnsi"/>
                <w:b/>
                <w:sz w:val="20"/>
                <w:szCs w:val="20"/>
              </w:rPr>
              <w:t xml:space="preserve"> </w:t>
            </w:r>
            <w:proofErr w:type="spellStart"/>
            <w:r w:rsidRPr="0015571A">
              <w:rPr>
                <w:rFonts w:cstheme="minorHAnsi"/>
                <w:b/>
                <w:sz w:val="20"/>
                <w:szCs w:val="20"/>
              </w:rPr>
              <w:t>vrijednosti</w:t>
            </w:r>
            <w:proofErr w:type="spellEnd"/>
            <w:r w:rsidRPr="0015571A">
              <w:rPr>
                <w:rFonts w:cstheme="minorHAnsi"/>
                <w:b/>
                <w:sz w:val="20"/>
                <w:szCs w:val="20"/>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4E474C" w14:textId="77777777" w:rsidR="00A00D87" w:rsidRPr="0015571A" w:rsidRDefault="00A00D87" w:rsidP="00122946">
            <w:pPr>
              <w:spacing w:line="259" w:lineRule="auto"/>
              <w:jc w:val="center"/>
              <w:rPr>
                <w:rFonts w:cstheme="minorHAnsi"/>
                <w:sz w:val="20"/>
                <w:szCs w:val="20"/>
              </w:rPr>
            </w:pPr>
            <w:proofErr w:type="spellStart"/>
            <w:r w:rsidRPr="0015571A">
              <w:rPr>
                <w:rFonts w:cstheme="minorHAnsi"/>
                <w:b/>
                <w:sz w:val="20"/>
                <w:szCs w:val="20"/>
              </w:rPr>
              <w:t>Ciljne</w:t>
            </w:r>
            <w:proofErr w:type="spellEnd"/>
            <w:r w:rsidRPr="0015571A">
              <w:rPr>
                <w:rFonts w:cstheme="minorHAnsi"/>
                <w:b/>
                <w:sz w:val="20"/>
                <w:szCs w:val="20"/>
              </w:rPr>
              <w:t xml:space="preserve"> </w:t>
            </w:r>
            <w:proofErr w:type="spellStart"/>
            <w:r w:rsidRPr="0015571A">
              <w:rPr>
                <w:rFonts w:cstheme="minorHAnsi"/>
                <w:b/>
                <w:sz w:val="20"/>
                <w:szCs w:val="20"/>
              </w:rPr>
              <w:t>vrijednosti</w:t>
            </w:r>
            <w:proofErr w:type="spellEnd"/>
            <w:r w:rsidRPr="0015571A">
              <w:rPr>
                <w:rFonts w:cstheme="minorHAnsi"/>
                <w:b/>
                <w:sz w:val="20"/>
                <w:szCs w:val="20"/>
              </w:rPr>
              <w:t xml:space="preserve">***  </w:t>
            </w:r>
          </w:p>
        </w:tc>
      </w:tr>
      <w:tr w:rsidR="00A00D87" w:rsidRPr="0015571A" w14:paraId="3C5983FD"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715F03FD" w14:textId="77777777" w:rsidR="00A00D87" w:rsidRPr="0015571A" w:rsidRDefault="00A00D87" w:rsidP="00122946">
            <w:pPr>
              <w:spacing w:after="160" w:line="259" w:lineRule="auto"/>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6528ED68" w14:textId="77777777" w:rsidR="00A00D87" w:rsidRPr="0015571A" w:rsidRDefault="00A00D87" w:rsidP="00122946">
            <w:pPr>
              <w:spacing w:line="259" w:lineRule="auto"/>
              <w:ind w:left="1"/>
              <w:rPr>
                <w:rFonts w:cstheme="minorHAnsi"/>
                <w:sz w:val="20"/>
                <w:szCs w:val="20"/>
              </w:rPr>
            </w:pPr>
            <w:proofErr w:type="spellStart"/>
            <w:r w:rsidRPr="0015571A">
              <w:rPr>
                <w:rFonts w:cstheme="minorHAnsi"/>
                <w:sz w:val="20"/>
                <w:szCs w:val="20"/>
              </w:rPr>
              <w:t>Uspostavljeni</w:t>
            </w:r>
            <w:proofErr w:type="spellEnd"/>
            <w:r w:rsidRPr="0015571A">
              <w:rPr>
                <w:rFonts w:cstheme="minorHAnsi"/>
                <w:sz w:val="20"/>
                <w:szCs w:val="20"/>
              </w:rPr>
              <w:t xml:space="preserve"> </w:t>
            </w:r>
            <w:proofErr w:type="spellStart"/>
            <w:r w:rsidRPr="0015571A">
              <w:rPr>
                <w:rFonts w:cstheme="minorHAnsi"/>
                <w:sz w:val="20"/>
                <w:szCs w:val="20"/>
              </w:rPr>
              <w:t>funkcionalni</w:t>
            </w:r>
            <w:proofErr w:type="spellEnd"/>
            <w:r w:rsidRPr="0015571A">
              <w:rPr>
                <w:rFonts w:cstheme="minorHAnsi"/>
                <w:sz w:val="20"/>
                <w:szCs w:val="20"/>
              </w:rPr>
              <w:t xml:space="preserve">, </w:t>
            </w:r>
            <w:proofErr w:type="spellStart"/>
            <w:r w:rsidRPr="0015571A">
              <w:rPr>
                <w:rFonts w:cstheme="minorHAnsi"/>
                <w:sz w:val="20"/>
                <w:szCs w:val="20"/>
              </w:rPr>
              <w:t>dugoročni</w:t>
            </w:r>
            <w:proofErr w:type="spellEnd"/>
            <w:r w:rsidRPr="0015571A">
              <w:rPr>
                <w:rFonts w:cstheme="minorHAnsi"/>
                <w:sz w:val="20"/>
                <w:szCs w:val="20"/>
              </w:rPr>
              <w:t xml:space="preserve"> i </w:t>
            </w:r>
            <w:proofErr w:type="spellStart"/>
            <w:r w:rsidRPr="0015571A">
              <w:rPr>
                <w:rFonts w:cstheme="minorHAnsi"/>
                <w:sz w:val="20"/>
                <w:szCs w:val="20"/>
              </w:rPr>
              <w:t>održivi</w:t>
            </w:r>
            <w:proofErr w:type="spellEnd"/>
            <w:r w:rsidRPr="0015571A">
              <w:rPr>
                <w:rFonts w:cstheme="minorHAnsi"/>
                <w:sz w:val="20"/>
                <w:szCs w:val="20"/>
              </w:rPr>
              <w:t xml:space="preserve"> </w:t>
            </w:r>
            <w:proofErr w:type="spellStart"/>
            <w:r w:rsidRPr="0015571A">
              <w:rPr>
                <w:rFonts w:cstheme="minorHAnsi"/>
                <w:sz w:val="20"/>
                <w:szCs w:val="20"/>
              </w:rPr>
              <w:t>fondovi</w:t>
            </w:r>
            <w:proofErr w:type="spellEnd"/>
            <w:r w:rsidRPr="0015571A">
              <w:rPr>
                <w:rFonts w:cstheme="minorHAnsi"/>
                <w:sz w:val="20"/>
                <w:szCs w:val="20"/>
              </w:rPr>
              <w:t xml:space="preserve"> za </w:t>
            </w:r>
            <w:proofErr w:type="spellStart"/>
            <w:r w:rsidRPr="0015571A">
              <w:rPr>
                <w:rFonts w:cstheme="minorHAnsi"/>
                <w:sz w:val="20"/>
                <w:szCs w:val="20"/>
              </w:rPr>
              <w:t>energijsku</w:t>
            </w:r>
            <w:proofErr w:type="spellEnd"/>
            <w:r w:rsidRPr="0015571A">
              <w:rPr>
                <w:rFonts w:cstheme="minorHAnsi"/>
                <w:sz w:val="20"/>
                <w:szCs w:val="20"/>
              </w:rPr>
              <w:t xml:space="preserve"> </w:t>
            </w:r>
            <w:proofErr w:type="spellStart"/>
            <w:r w:rsidRPr="0015571A">
              <w:rPr>
                <w:rFonts w:cstheme="minorHAnsi"/>
                <w:sz w:val="20"/>
                <w:szCs w:val="20"/>
              </w:rPr>
              <w:t>obnovu</w:t>
            </w:r>
            <w:proofErr w:type="spellEnd"/>
            <w:r w:rsidRPr="0015571A">
              <w:rPr>
                <w:rFonts w:cstheme="minorHAnsi"/>
                <w:sz w:val="20"/>
                <w:szCs w:val="20"/>
              </w:rPr>
              <w:t xml:space="preserve"> </w:t>
            </w:r>
            <w:proofErr w:type="spellStart"/>
            <w:r w:rsidRPr="0015571A">
              <w:rPr>
                <w:rFonts w:cstheme="minorHAnsi"/>
                <w:sz w:val="20"/>
                <w:szCs w:val="20"/>
              </w:rPr>
              <w:t>stambenih</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r w:rsidRPr="0015571A">
              <w:rPr>
                <w:rFonts w:cstheme="minorHAnsi"/>
                <w:sz w:val="20"/>
                <w:szCs w:val="20"/>
              </w:rPr>
              <w:t>nivou</w:t>
            </w:r>
            <w:proofErr w:type="spellEnd"/>
            <w:r w:rsidRPr="0015571A">
              <w:rPr>
                <w:rFonts w:cstheme="minorHAnsi"/>
                <w:sz w:val="20"/>
                <w:szCs w:val="20"/>
              </w:rPr>
              <w:t xml:space="preserve"> </w:t>
            </w:r>
            <w:proofErr w:type="spellStart"/>
            <w:r w:rsidRPr="0015571A">
              <w:rPr>
                <w:rFonts w:cstheme="minorHAnsi"/>
                <w:sz w:val="20"/>
                <w:szCs w:val="20"/>
              </w:rPr>
              <w:t>svih</w:t>
            </w:r>
            <w:proofErr w:type="spellEnd"/>
            <w:r w:rsidRPr="0015571A">
              <w:rPr>
                <w:rFonts w:cstheme="minorHAnsi"/>
                <w:sz w:val="20"/>
                <w:szCs w:val="20"/>
              </w:rPr>
              <w:t xml:space="preserve"> </w:t>
            </w:r>
            <w:proofErr w:type="spellStart"/>
            <w:r w:rsidRPr="0015571A">
              <w:rPr>
                <w:rFonts w:cstheme="minorHAnsi"/>
                <w:sz w:val="20"/>
                <w:szCs w:val="20"/>
              </w:rPr>
              <w:t>kantona</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6E288938" w14:textId="77777777" w:rsidR="00A00D87" w:rsidRPr="0015571A"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15571A">
              <w:rPr>
                <w:rFonts w:cstheme="minorHAnsi"/>
                <w:sz w:val="20"/>
                <w:szCs w:val="20"/>
              </w:rPr>
              <w:t>Nisu</w:t>
            </w:r>
            <w:proofErr w:type="spellEnd"/>
            <w:r w:rsidRPr="0015571A">
              <w:rPr>
                <w:rFonts w:cstheme="minorHAnsi"/>
                <w:sz w:val="20"/>
                <w:szCs w:val="20"/>
              </w:rPr>
              <w:t xml:space="preserve"> </w:t>
            </w:r>
            <w:proofErr w:type="spellStart"/>
            <w:r w:rsidRPr="0015571A">
              <w:rPr>
                <w:rFonts w:cstheme="minorHAnsi"/>
                <w:sz w:val="20"/>
                <w:szCs w:val="20"/>
              </w:rPr>
              <w:t>uspostavljeni</w:t>
            </w:r>
            <w:proofErr w:type="spellEnd"/>
          </w:p>
        </w:tc>
        <w:tc>
          <w:tcPr>
            <w:tcW w:w="1471" w:type="dxa"/>
            <w:tcBorders>
              <w:top w:val="single" w:sz="4" w:space="0" w:color="000000"/>
              <w:left w:val="single" w:sz="4" w:space="0" w:color="auto"/>
              <w:bottom w:val="single" w:sz="4" w:space="0" w:color="000000"/>
              <w:right w:val="single" w:sz="4" w:space="0" w:color="000000"/>
            </w:tcBorders>
            <w:vAlign w:val="center"/>
          </w:tcPr>
          <w:p w14:paraId="24250C67" w14:textId="77777777" w:rsidR="00A00D87" w:rsidRPr="0015571A" w:rsidRDefault="00A00D87" w:rsidP="00122946">
            <w:pPr>
              <w:spacing w:line="259" w:lineRule="auto"/>
              <w:jc w:val="center"/>
              <w:rPr>
                <w:rFonts w:cstheme="minorHAnsi"/>
                <w:sz w:val="20"/>
                <w:szCs w:val="20"/>
              </w:rPr>
            </w:pPr>
            <w:proofErr w:type="spellStart"/>
            <w:r w:rsidRPr="0015571A">
              <w:rPr>
                <w:rFonts w:cstheme="minorHAnsi"/>
                <w:sz w:val="20"/>
                <w:szCs w:val="20"/>
              </w:rPr>
              <w:t>Uspostavljeni</w:t>
            </w:r>
            <w:proofErr w:type="spellEnd"/>
          </w:p>
        </w:tc>
      </w:tr>
      <w:tr w:rsidR="00A00D87" w:rsidRPr="0015571A" w14:paraId="153660A6"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51296012" w14:textId="77777777" w:rsidR="00A00D87" w:rsidRPr="0015571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3B57603E" w14:textId="2D364FAD" w:rsidR="00A00D87" w:rsidRPr="0015571A" w:rsidRDefault="00A00D87" w:rsidP="00122946">
            <w:pPr>
              <w:ind w:left="1"/>
              <w:rPr>
                <w:rFonts w:cstheme="minorHAnsi"/>
                <w:sz w:val="20"/>
                <w:szCs w:val="20"/>
              </w:rPr>
            </w:pPr>
            <w:proofErr w:type="spellStart"/>
            <w:r w:rsidRPr="0015571A">
              <w:rPr>
                <w:rFonts w:cstheme="minorHAnsi"/>
                <w:sz w:val="20"/>
                <w:szCs w:val="20"/>
              </w:rPr>
              <w:t>Uspostavljeni</w:t>
            </w:r>
            <w:proofErr w:type="spellEnd"/>
            <w:r w:rsidRPr="0015571A">
              <w:rPr>
                <w:rFonts w:cstheme="minorHAnsi"/>
                <w:sz w:val="20"/>
                <w:szCs w:val="20"/>
              </w:rPr>
              <w:t xml:space="preserve"> </w:t>
            </w:r>
            <w:proofErr w:type="spellStart"/>
            <w:r w:rsidRPr="0015571A">
              <w:rPr>
                <w:rFonts w:cstheme="minorHAnsi"/>
                <w:sz w:val="20"/>
                <w:szCs w:val="20"/>
              </w:rPr>
              <w:t>adekvatni</w:t>
            </w:r>
            <w:proofErr w:type="spellEnd"/>
            <w:r w:rsidRPr="0015571A">
              <w:rPr>
                <w:rFonts w:cstheme="minorHAnsi"/>
                <w:sz w:val="20"/>
                <w:szCs w:val="20"/>
              </w:rPr>
              <w:t xml:space="preserve"> </w:t>
            </w:r>
            <w:proofErr w:type="spellStart"/>
            <w:r w:rsidR="007B690C" w:rsidRPr="0015571A">
              <w:rPr>
                <w:rFonts w:cstheme="minorHAnsi"/>
                <w:sz w:val="20"/>
                <w:szCs w:val="20"/>
              </w:rPr>
              <w:t>financ</w:t>
            </w:r>
            <w:r w:rsidRPr="0015571A">
              <w:rPr>
                <w:rFonts w:cstheme="minorHAnsi"/>
                <w:sz w:val="20"/>
                <w:szCs w:val="20"/>
              </w:rPr>
              <w:t>ijski</w:t>
            </w:r>
            <w:proofErr w:type="spellEnd"/>
            <w:r w:rsidRPr="0015571A">
              <w:rPr>
                <w:rFonts w:cstheme="minorHAnsi"/>
                <w:sz w:val="20"/>
                <w:szCs w:val="20"/>
              </w:rPr>
              <w:t xml:space="preserve"> </w:t>
            </w:r>
            <w:proofErr w:type="spellStart"/>
            <w:r w:rsidRPr="0015571A">
              <w:rPr>
                <w:rFonts w:cstheme="minorHAnsi"/>
                <w:sz w:val="20"/>
                <w:szCs w:val="20"/>
              </w:rPr>
              <w:t>modeli</w:t>
            </w:r>
            <w:proofErr w:type="spellEnd"/>
            <w:r w:rsidRPr="0015571A">
              <w:rPr>
                <w:rFonts w:cstheme="minorHAnsi"/>
                <w:sz w:val="20"/>
                <w:szCs w:val="20"/>
              </w:rPr>
              <w:t>/</w:t>
            </w:r>
            <w:proofErr w:type="spellStart"/>
            <w:r w:rsidRPr="0015571A">
              <w:rPr>
                <w:rFonts w:cstheme="minorHAnsi"/>
                <w:sz w:val="20"/>
                <w:szCs w:val="20"/>
              </w:rPr>
              <w:t>proizvodi</w:t>
            </w:r>
            <w:proofErr w:type="spellEnd"/>
            <w:r w:rsidRPr="0015571A">
              <w:rPr>
                <w:rFonts w:cstheme="minorHAnsi"/>
                <w:sz w:val="20"/>
                <w:szCs w:val="20"/>
              </w:rPr>
              <w:t xml:space="preserve"> za </w:t>
            </w:r>
            <w:proofErr w:type="spellStart"/>
            <w:r w:rsidRPr="0015571A">
              <w:rPr>
                <w:rFonts w:cstheme="minorHAnsi"/>
                <w:sz w:val="20"/>
                <w:szCs w:val="20"/>
              </w:rPr>
              <w:t>energijsku</w:t>
            </w:r>
            <w:proofErr w:type="spellEnd"/>
            <w:r w:rsidRPr="0015571A">
              <w:rPr>
                <w:rFonts w:cstheme="minorHAnsi"/>
                <w:sz w:val="20"/>
                <w:szCs w:val="20"/>
              </w:rPr>
              <w:t xml:space="preserve"> </w:t>
            </w:r>
            <w:proofErr w:type="spellStart"/>
            <w:r w:rsidRPr="0015571A">
              <w:rPr>
                <w:rFonts w:cstheme="minorHAnsi"/>
                <w:sz w:val="20"/>
                <w:szCs w:val="20"/>
              </w:rPr>
              <w:t>obnovu</w:t>
            </w:r>
            <w:proofErr w:type="spellEnd"/>
            <w:r w:rsidRPr="0015571A" w:rsidDel="003B3739">
              <w:rPr>
                <w:rFonts w:cstheme="minorHAnsi"/>
                <w:sz w:val="20"/>
                <w:szCs w:val="20"/>
              </w:rPr>
              <w:t xml:space="preserve"> </w:t>
            </w:r>
            <w:proofErr w:type="spellStart"/>
            <w:r w:rsidRPr="0015571A">
              <w:rPr>
                <w:rFonts w:cstheme="minorHAnsi"/>
                <w:sz w:val="20"/>
                <w:szCs w:val="20"/>
              </w:rPr>
              <w:t>komercijalnih</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2213EBDD" w14:textId="77777777" w:rsidR="00A00D87" w:rsidRPr="0015571A" w:rsidRDefault="00A00D87" w:rsidP="00122946">
            <w:pPr>
              <w:widowControl w:val="0"/>
              <w:pBdr>
                <w:top w:val="nil"/>
                <w:left w:val="nil"/>
                <w:bottom w:val="nil"/>
                <w:right w:val="nil"/>
                <w:between w:val="nil"/>
              </w:pBdr>
              <w:ind w:right="447"/>
              <w:jc w:val="center"/>
              <w:rPr>
                <w:rFonts w:cstheme="minorHAnsi"/>
                <w:sz w:val="20"/>
                <w:szCs w:val="20"/>
              </w:rPr>
            </w:pPr>
            <w:proofErr w:type="spellStart"/>
            <w:proofErr w:type="gramStart"/>
            <w:r w:rsidRPr="0015571A">
              <w:rPr>
                <w:rFonts w:cstheme="minorHAnsi"/>
                <w:sz w:val="20"/>
                <w:szCs w:val="20"/>
              </w:rPr>
              <w:t>Nisu</w:t>
            </w:r>
            <w:proofErr w:type="spellEnd"/>
            <w:r w:rsidRPr="0015571A">
              <w:rPr>
                <w:rFonts w:cstheme="minorHAnsi"/>
                <w:sz w:val="20"/>
                <w:szCs w:val="20"/>
              </w:rPr>
              <w:t xml:space="preserve">  </w:t>
            </w:r>
            <w:proofErr w:type="spellStart"/>
            <w:r w:rsidRPr="0015571A">
              <w:rPr>
                <w:rFonts w:cstheme="minorHAnsi"/>
                <w:sz w:val="20"/>
                <w:szCs w:val="20"/>
              </w:rPr>
              <w:t>uspostavljeni</w:t>
            </w:r>
            <w:proofErr w:type="spellEnd"/>
            <w:proofErr w:type="gramEnd"/>
          </w:p>
        </w:tc>
        <w:tc>
          <w:tcPr>
            <w:tcW w:w="1471" w:type="dxa"/>
            <w:tcBorders>
              <w:top w:val="single" w:sz="4" w:space="0" w:color="000000"/>
              <w:left w:val="single" w:sz="4" w:space="0" w:color="auto"/>
              <w:bottom w:val="single" w:sz="4" w:space="0" w:color="000000"/>
              <w:right w:val="single" w:sz="4" w:space="0" w:color="000000"/>
            </w:tcBorders>
            <w:vAlign w:val="center"/>
          </w:tcPr>
          <w:p w14:paraId="714C3FBE" w14:textId="77777777" w:rsidR="00A00D87" w:rsidRPr="0015571A" w:rsidRDefault="00A00D87" w:rsidP="00122946">
            <w:pPr>
              <w:jc w:val="center"/>
              <w:rPr>
                <w:rFonts w:cstheme="minorHAnsi"/>
                <w:sz w:val="20"/>
                <w:szCs w:val="20"/>
              </w:rPr>
            </w:pPr>
            <w:proofErr w:type="spellStart"/>
            <w:r w:rsidRPr="0015571A">
              <w:rPr>
                <w:rFonts w:cstheme="minorHAnsi"/>
                <w:sz w:val="20"/>
                <w:szCs w:val="20"/>
              </w:rPr>
              <w:t>Uspostavljeni</w:t>
            </w:r>
            <w:proofErr w:type="spellEnd"/>
          </w:p>
        </w:tc>
      </w:tr>
      <w:tr w:rsidR="00A00D87" w:rsidRPr="0015571A" w14:paraId="12ABE8CB"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62268743" w14:textId="77777777" w:rsidR="00A00D87" w:rsidRPr="0015571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7B1FEFB3" w14:textId="433EDF1C" w:rsidR="00A00D87" w:rsidRPr="0015571A" w:rsidRDefault="00A00D87" w:rsidP="00122946">
            <w:pPr>
              <w:ind w:left="1"/>
              <w:rPr>
                <w:rFonts w:cstheme="minorHAnsi"/>
                <w:sz w:val="20"/>
                <w:szCs w:val="20"/>
              </w:rPr>
            </w:pPr>
            <w:proofErr w:type="spellStart"/>
            <w:r w:rsidRPr="0015571A">
              <w:rPr>
                <w:rFonts w:cstheme="minorHAnsi"/>
                <w:sz w:val="20"/>
                <w:szCs w:val="20"/>
              </w:rPr>
              <w:t>Uspostavljeni</w:t>
            </w:r>
            <w:proofErr w:type="spellEnd"/>
            <w:r w:rsidRPr="0015571A">
              <w:rPr>
                <w:rFonts w:cstheme="minorHAnsi"/>
                <w:sz w:val="20"/>
                <w:szCs w:val="20"/>
              </w:rPr>
              <w:t xml:space="preserve"> </w:t>
            </w:r>
            <w:proofErr w:type="spellStart"/>
            <w:r w:rsidRPr="0015571A">
              <w:rPr>
                <w:rFonts w:cstheme="minorHAnsi"/>
                <w:sz w:val="20"/>
                <w:szCs w:val="20"/>
              </w:rPr>
              <w:t>fondovi</w:t>
            </w:r>
            <w:proofErr w:type="spellEnd"/>
            <w:r w:rsidRPr="0015571A">
              <w:rPr>
                <w:rFonts w:cstheme="minorHAnsi"/>
                <w:sz w:val="20"/>
                <w:szCs w:val="20"/>
              </w:rPr>
              <w:t xml:space="preserve"> za </w:t>
            </w:r>
            <w:proofErr w:type="spellStart"/>
            <w:r w:rsidR="007B690C" w:rsidRPr="0015571A">
              <w:rPr>
                <w:rFonts w:cstheme="minorHAnsi"/>
                <w:sz w:val="20"/>
                <w:szCs w:val="20"/>
              </w:rPr>
              <w:t>financ</w:t>
            </w:r>
            <w:r w:rsidRPr="0015571A">
              <w:rPr>
                <w:rFonts w:cstheme="minorHAnsi"/>
                <w:sz w:val="20"/>
                <w:szCs w:val="20"/>
              </w:rPr>
              <w:t>iranje</w:t>
            </w:r>
            <w:proofErr w:type="spellEnd"/>
            <w:r w:rsidRPr="0015571A">
              <w:rPr>
                <w:rFonts w:cstheme="minorHAnsi"/>
                <w:sz w:val="20"/>
                <w:szCs w:val="20"/>
              </w:rPr>
              <w:t xml:space="preserve"> </w:t>
            </w:r>
            <w:proofErr w:type="spellStart"/>
            <w:r w:rsidRPr="0015571A">
              <w:rPr>
                <w:rFonts w:cstheme="minorHAnsi"/>
                <w:sz w:val="20"/>
                <w:szCs w:val="20"/>
              </w:rPr>
              <w:t>mjera</w:t>
            </w:r>
            <w:proofErr w:type="spellEnd"/>
            <w:r w:rsidRPr="0015571A">
              <w:rPr>
                <w:rFonts w:cstheme="minorHAnsi"/>
                <w:sz w:val="20"/>
                <w:szCs w:val="20"/>
              </w:rPr>
              <w:t xml:space="preserve"> za zaštitu </w:t>
            </w:r>
            <w:proofErr w:type="spellStart"/>
            <w:r w:rsidRPr="0015571A">
              <w:rPr>
                <w:rFonts w:cstheme="minorHAnsi"/>
                <w:sz w:val="20"/>
                <w:szCs w:val="20"/>
              </w:rPr>
              <w:t>posebno</w:t>
            </w:r>
            <w:proofErr w:type="spellEnd"/>
            <w:r w:rsidRPr="0015571A">
              <w:rPr>
                <w:rFonts w:cstheme="minorHAnsi"/>
                <w:sz w:val="20"/>
                <w:szCs w:val="20"/>
              </w:rPr>
              <w:t xml:space="preserve"> </w:t>
            </w:r>
            <w:proofErr w:type="spellStart"/>
            <w:r w:rsidRPr="0015571A">
              <w:rPr>
                <w:rFonts w:cstheme="minorHAnsi"/>
                <w:sz w:val="20"/>
                <w:szCs w:val="20"/>
              </w:rPr>
              <w:t>ugroženih</w:t>
            </w:r>
            <w:proofErr w:type="spellEnd"/>
            <w:r w:rsidRPr="0015571A">
              <w:rPr>
                <w:rFonts w:cstheme="minorHAnsi"/>
                <w:sz w:val="20"/>
                <w:szCs w:val="20"/>
              </w:rPr>
              <w:t xml:space="preserve"> </w:t>
            </w:r>
            <w:proofErr w:type="spellStart"/>
            <w:r w:rsidRPr="0015571A">
              <w:rPr>
                <w:rFonts w:cstheme="minorHAnsi"/>
                <w:sz w:val="20"/>
                <w:szCs w:val="20"/>
              </w:rPr>
              <w:t>kategorija</w:t>
            </w:r>
            <w:proofErr w:type="spellEnd"/>
            <w:r w:rsidRPr="0015571A">
              <w:rPr>
                <w:rFonts w:cstheme="minorHAnsi"/>
                <w:sz w:val="20"/>
                <w:szCs w:val="20"/>
              </w:rPr>
              <w:t xml:space="preserve"> </w:t>
            </w:r>
            <w:proofErr w:type="spellStart"/>
            <w:r w:rsidRPr="0015571A">
              <w:rPr>
                <w:rFonts w:cstheme="minorHAnsi"/>
                <w:sz w:val="20"/>
                <w:szCs w:val="20"/>
              </w:rPr>
              <w:t>stanovništva</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r w:rsidRPr="0015571A">
              <w:rPr>
                <w:rFonts w:cstheme="minorHAnsi"/>
                <w:sz w:val="20"/>
                <w:szCs w:val="20"/>
              </w:rPr>
              <w:t>nivou</w:t>
            </w:r>
            <w:proofErr w:type="spellEnd"/>
            <w:r w:rsidRPr="0015571A">
              <w:rPr>
                <w:rFonts w:cstheme="minorHAnsi"/>
                <w:sz w:val="20"/>
                <w:szCs w:val="20"/>
              </w:rPr>
              <w:t xml:space="preserve"> </w:t>
            </w:r>
            <w:proofErr w:type="spellStart"/>
            <w:r w:rsidRPr="0015571A">
              <w:rPr>
                <w:rFonts w:cstheme="minorHAnsi"/>
                <w:sz w:val="20"/>
                <w:szCs w:val="20"/>
              </w:rPr>
              <w:t>svih</w:t>
            </w:r>
            <w:proofErr w:type="spellEnd"/>
            <w:r w:rsidRPr="0015571A">
              <w:rPr>
                <w:rFonts w:cstheme="minorHAnsi"/>
                <w:sz w:val="20"/>
                <w:szCs w:val="20"/>
              </w:rPr>
              <w:t xml:space="preserve"> </w:t>
            </w:r>
            <w:proofErr w:type="spellStart"/>
            <w:r w:rsidRPr="0015571A">
              <w:rPr>
                <w:rFonts w:cstheme="minorHAnsi"/>
                <w:sz w:val="20"/>
                <w:szCs w:val="20"/>
              </w:rPr>
              <w:t>kantona</w:t>
            </w:r>
            <w:proofErr w:type="spellEnd"/>
          </w:p>
        </w:tc>
        <w:tc>
          <w:tcPr>
            <w:tcW w:w="2068" w:type="dxa"/>
            <w:tcBorders>
              <w:top w:val="single" w:sz="4" w:space="0" w:color="auto"/>
              <w:left w:val="single" w:sz="4" w:space="0" w:color="auto"/>
              <w:bottom w:val="single" w:sz="4" w:space="0" w:color="auto"/>
              <w:right w:val="single" w:sz="4" w:space="0" w:color="auto"/>
            </w:tcBorders>
          </w:tcPr>
          <w:p w14:paraId="133BA87B" w14:textId="77777777" w:rsidR="00A00D87" w:rsidRPr="0015571A"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15571A">
              <w:rPr>
                <w:rFonts w:cstheme="minorHAnsi"/>
                <w:sz w:val="20"/>
                <w:szCs w:val="20"/>
              </w:rPr>
              <w:t>Nisu</w:t>
            </w:r>
            <w:proofErr w:type="spellEnd"/>
            <w:r w:rsidRPr="0015571A">
              <w:rPr>
                <w:rFonts w:cstheme="minorHAnsi"/>
                <w:sz w:val="20"/>
                <w:szCs w:val="20"/>
              </w:rPr>
              <w:t xml:space="preserve"> </w:t>
            </w:r>
            <w:proofErr w:type="spellStart"/>
            <w:r w:rsidRPr="0015571A">
              <w:rPr>
                <w:rFonts w:cstheme="minorHAnsi"/>
                <w:sz w:val="20"/>
                <w:szCs w:val="20"/>
              </w:rPr>
              <w:t>uspostavljeni</w:t>
            </w:r>
            <w:proofErr w:type="spellEnd"/>
          </w:p>
        </w:tc>
        <w:tc>
          <w:tcPr>
            <w:tcW w:w="1471" w:type="dxa"/>
            <w:tcBorders>
              <w:top w:val="single" w:sz="4" w:space="0" w:color="000000"/>
              <w:left w:val="single" w:sz="4" w:space="0" w:color="auto"/>
              <w:bottom w:val="single" w:sz="4" w:space="0" w:color="000000"/>
              <w:right w:val="single" w:sz="4" w:space="0" w:color="000000"/>
            </w:tcBorders>
          </w:tcPr>
          <w:p w14:paraId="72BB334C" w14:textId="77777777" w:rsidR="00A00D87" w:rsidRPr="0015571A" w:rsidRDefault="00A00D87" w:rsidP="00122946">
            <w:pPr>
              <w:jc w:val="center"/>
              <w:rPr>
                <w:rFonts w:cstheme="minorHAnsi"/>
                <w:sz w:val="20"/>
                <w:szCs w:val="20"/>
              </w:rPr>
            </w:pPr>
            <w:proofErr w:type="spellStart"/>
            <w:r w:rsidRPr="0015571A">
              <w:rPr>
                <w:rFonts w:cstheme="minorHAnsi"/>
                <w:sz w:val="20"/>
                <w:szCs w:val="20"/>
              </w:rPr>
              <w:t>Uspostavljeni</w:t>
            </w:r>
            <w:proofErr w:type="spellEnd"/>
          </w:p>
        </w:tc>
      </w:tr>
      <w:tr w:rsidR="00A00D87" w:rsidRPr="0015571A" w14:paraId="2D8C0918"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680E62B9" w14:textId="77777777" w:rsidR="00A00D87" w:rsidRPr="0015571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0AEE4F24" w14:textId="0EA247CD" w:rsidR="00A00D87" w:rsidRPr="0015571A" w:rsidRDefault="00A00D87" w:rsidP="00122946">
            <w:pPr>
              <w:ind w:left="1"/>
              <w:rPr>
                <w:rFonts w:cstheme="minorHAnsi"/>
                <w:sz w:val="20"/>
                <w:szCs w:val="20"/>
              </w:rPr>
            </w:pPr>
            <w:proofErr w:type="spellStart"/>
            <w:r w:rsidRPr="0015571A">
              <w:rPr>
                <w:rFonts w:cstheme="minorHAnsi"/>
                <w:sz w:val="20"/>
                <w:szCs w:val="20"/>
              </w:rPr>
              <w:t>Uspostavljen</w:t>
            </w:r>
            <w:proofErr w:type="spellEnd"/>
            <w:r w:rsidRPr="0015571A">
              <w:rPr>
                <w:rFonts w:cstheme="minorHAnsi"/>
                <w:sz w:val="20"/>
                <w:szCs w:val="20"/>
              </w:rPr>
              <w:t xml:space="preserve"> program </w:t>
            </w:r>
            <w:proofErr w:type="spellStart"/>
            <w:r w:rsidRPr="0015571A">
              <w:rPr>
                <w:rFonts w:cstheme="minorHAnsi"/>
                <w:sz w:val="20"/>
                <w:szCs w:val="20"/>
              </w:rPr>
              <w:t>podrške</w:t>
            </w:r>
            <w:proofErr w:type="spellEnd"/>
            <w:r w:rsidRPr="0015571A">
              <w:rPr>
                <w:rFonts w:cstheme="minorHAnsi"/>
                <w:sz w:val="20"/>
                <w:szCs w:val="20"/>
              </w:rPr>
              <w:t xml:space="preserve"> za </w:t>
            </w:r>
            <w:proofErr w:type="spellStart"/>
            <w:r w:rsidR="007B690C" w:rsidRPr="0015571A">
              <w:rPr>
                <w:rFonts w:cstheme="minorHAnsi"/>
                <w:sz w:val="20"/>
                <w:szCs w:val="20"/>
              </w:rPr>
              <w:t>financ</w:t>
            </w:r>
            <w:r w:rsidRPr="0015571A">
              <w:rPr>
                <w:rFonts w:cstheme="minorHAnsi"/>
                <w:sz w:val="20"/>
                <w:szCs w:val="20"/>
              </w:rPr>
              <w:t>iranje</w:t>
            </w:r>
            <w:proofErr w:type="spellEnd"/>
            <w:r w:rsidRPr="0015571A">
              <w:rPr>
                <w:rFonts w:cstheme="minorHAnsi"/>
                <w:sz w:val="20"/>
                <w:szCs w:val="20"/>
              </w:rPr>
              <w:t xml:space="preserve"> </w:t>
            </w:r>
            <w:proofErr w:type="spellStart"/>
            <w:r w:rsidRPr="0015571A">
              <w:rPr>
                <w:rFonts w:cstheme="minorHAnsi"/>
                <w:sz w:val="20"/>
                <w:szCs w:val="20"/>
              </w:rPr>
              <w:t>energijske</w:t>
            </w:r>
            <w:proofErr w:type="spellEnd"/>
            <w:r w:rsidRPr="0015571A">
              <w:rPr>
                <w:rFonts w:cstheme="minorHAnsi"/>
                <w:sz w:val="20"/>
                <w:szCs w:val="20"/>
              </w:rPr>
              <w:t xml:space="preserve"> </w:t>
            </w:r>
            <w:proofErr w:type="spellStart"/>
            <w:r w:rsidRPr="0015571A">
              <w:rPr>
                <w:rFonts w:cstheme="minorHAnsi"/>
                <w:sz w:val="20"/>
                <w:szCs w:val="20"/>
              </w:rPr>
              <w:t>obnove</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r w:rsidRPr="0015571A">
              <w:rPr>
                <w:rFonts w:cstheme="minorHAnsi"/>
                <w:sz w:val="20"/>
                <w:szCs w:val="20"/>
              </w:rPr>
              <w:t xml:space="preserve"> </w:t>
            </w:r>
            <w:proofErr w:type="spellStart"/>
            <w:r w:rsidRPr="0015571A">
              <w:rPr>
                <w:rFonts w:cstheme="minorHAnsi"/>
                <w:sz w:val="20"/>
                <w:szCs w:val="20"/>
              </w:rPr>
              <w:t>sa</w:t>
            </w:r>
            <w:proofErr w:type="spellEnd"/>
            <w:r w:rsidRPr="0015571A">
              <w:rPr>
                <w:rFonts w:cstheme="minorHAnsi"/>
                <w:sz w:val="20"/>
                <w:szCs w:val="20"/>
              </w:rPr>
              <w:t xml:space="preserve"> </w:t>
            </w:r>
            <w:proofErr w:type="spellStart"/>
            <w:r w:rsidRPr="0015571A">
              <w:rPr>
                <w:rFonts w:cstheme="minorHAnsi"/>
                <w:sz w:val="20"/>
                <w:szCs w:val="20"/>
              </w:rPr>
              <w:t>statusom</w:t>
            </w:r>
            <w:proofErr w:type="spellEnd"/>
            <w:r w:rsidRPr="0015571A">
              <w:rPr>
                <w:rFonts w:cstheme="minorHAnsi"/>
                <w:sz w:val="20"/>
                <w:szCs w:val="20"/>
              </w:rPr>
              <w:t xml:space="preserve"> </w:t>
            </w:r>
            <w:proofErr w:type="spellStart"/>
            <w:r w:rsidRPr="0015571A">
              <w:rPr>
                <w:rFonts w:cstheme="minorHAnsi"/>
                <w:sz w:val="20"/>
                <w:szCs w:val="20"/>
              </w:rPr>
              <w:t>nacionalnih</w:t>
            </w:r>
            <w:proofErr w:type="spellEnd"/>
            <w:r w:rsidRPr="0015571A">
              <w:rPr>
                <w:rFonts w:cstheme="minorHAnsi"/>
                <w:sz w:val="20"/>
                <w:szCs w:val="20"/>
              </w:rPr>
              <w:t xml:space="preserve"> spomenika</w:t>
            </w:r>
          </w:p>
        </w:tc>
        <w:tc>
          <w:tcPr>
            <w:tcW w:w="2068" w:type="dxa"/>
            <w:tcBorders>
              <w:top w:val="single" w:sz="4" w:space="0" w:color="auto"/>
              <w:left w:val="single" w:sz="4" w:space="0" w:color="auto"/>
              <w:bottom w:val="single" w:sz="4" w:space="0" w:color="auto"/>
              <w:right w:val="single" w:sz="4" w:space="0" w:color="auto"/>
            </w:tcBorders>
            <w:vAlign w:val="center"/>
          </w:tcPr>
          <w:p w14:paraId="735EDC2F" w14:textId="77777777" w:rsidR="00A00D87" w:rsidRPr="0015571A"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15571A">
              <w:rPr>
                <w:rFonts w:cstheme="minorHAnsi"/>
                <w:sz w:val="20"/>
                <w:szCs w:val="20"/>
              </w:rPr>
              <w:t>Nije</w:t>
            </w:r>
            <w:proofErr w:type="spellEnd"/>
            <w:r w:rsidRPr="0015571A">
              <w:rPr>
                <w:rFonts w:cstheme="minorHAnsi"/>
                <w:sz w:val="20"/>
                <w:szCs w:val="20"/>
              </w:rPr>
              <w:t xml:space="preserve"> </w:t>
            </w:r>
            <w:proofErr w:type="spellStart"/>
            <w:r w:rsidRPr="0015571A">
              <w:rPr>
                <w:rFonts w:cstheme="minorHAnsi"/>
                <w:sz w:val="20"/>
                <w:szCs w:val="20"/>
              </w:rPr>
              <w:t>uspostavljen</w:t>
            </w:r>
            <w:proofErr w:type="spellEnd"/>
          </w:p>
        </w:tc>
        <w:tc>
          <w:tcPr>
            <w:tcW w:w="1471" w:type="dxa"/>
            <w:tcBorders>
              <w:top w:val="single" w:sz="4" w:space="0" w:color="000000"/>
              <w:left w:val="single" w:sz="4" w:space="0" w:color="auto"/>
              <w:bottom w:val="single" w:sz="4" w:space="0" w:color="000000"/>
              <w:right w:val="single" w:sz="4" w:space="0" w:color="000000"/>
            </w:tcBorders>
            <w:vAlign w:val="center"/>
          </w:tcPr>
          <w:p w14:paraId="1931FB8D" w14:textId="77777777" w:rsidR="00A00D87" w:rsidRPr="0015571A" w:rsidRDefault="00A00D87" w:rsidP="00122946">
            <w:pPr>
              <w:jc w:val="center"/>
              <w:rPr>
                <w:rFonts w:cstheme="minorHAnsi"/>
                <w:sz w:val="20"/>
                <w:szCs w:val="20"/>
              </w:rPr>
            </w:pPr>
            <w:proofErr w:type="spellStart"/>
            <w:r w:rsidRPr="0015571A">
              <w:rPr>
                <w:rFonts w:cstheme="minorHAnsi"/>
                <w:sz w:val="20"/>
                <w:szCs w:val="20"/>
              </w:rPr>
              <w:t>Uspostavljen</w:t>
            </w:r>
            <w:proofErr w:type="spellEnd"/>
          </w:p>
        </w:tc>
      </w:tr>
      <w:tr w:rsidR="00A00D87" w:rsidRPr="0015571A" w14:paraId="7ACCB4C4"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045B263"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Razvojni</w:t>
            </w:r>
            <w:proofErr w:type="spellEnd"/>
            <w:r w:rsidRPr="0015571A">
              <w:rPr>
                <w:rFonts w:cstheme="minorHAnsi"/>
                <w:b/>
                <w:sz w:val="20"/>
                <w:szCs w:val="20"/>
              </w:rPr>
              <w:t xml:space="preserve"> </w:t>
            </w:r>
            <w:proofErr w:type="spellStart"/>
            <w:r w:rsidRPr="0015571A">
              <w:rPr>
                <w:rFonts w:cstheme="minorHAnsi"/>
                <w:b/>
                <w:sz w:val="20"/>
                <w:szCs w:val="20"/>
              </w:rPr>
              <w:t>efekat</w:t>
            </w:r>
            <w:proofErr w:type="spellEnd"/>
            <w:r w:rsidRPr="0015571A">
              <w:rPr>
                <w:rFonts w:cstheme="minorHAnsi"/>
                <w:b/>
                <w:sz w:val="20"/>
                <w:szCs w:val="20"/>
              </w:rPr>
              <w:t xml:space="preserve"> i </w:t>
            </w:r>
            <w:proofErr w:type="spellStart"/>
            <w:r w:rsidRPr="0015571A">
              <w:rPr>
                <w:rFonts w:cstheme="minorHAnsi"/>
                <w:b/>
                <w:sz w:val="20"/>
                <w:szCs w:val="20"/>
              </w:rPr>
              <w:t>doprinos</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roofErr w:type="spellStart"/>
            <w:r w:rsidRPr="0015571A">
              <w:rPr>
                <w:rFonts w:cstheme="minorHAnsi"/>
                <w:b/>
                <w:sz w:val="20"/>
                <w:szCs w:val="20"/>
              </w:rPr>
              <w:t>ostvarenju</w:t>
            </w:r>
            <w:proofErr w:type="spellEnd"/>
            <w:r w:rsidRPr="0015571A">
              <w:rPr>
                <w:rFonts w:cstheme="minorHAnsi"/>
                <w:b/>
                <w:sz w:val="20"/>
                <w:szCs w:val="20"/>
              </w:rPr>
              <w:t xml:space="preserve"> </w:t>
            </w:r>
            <w:proofErr w:type="spellStart"/>
            <w:r w:rsidRPr="0015571A">
              <w:rPr>
                <w:rFonts w:cstheme="minorHAnsi"/>
                <w:b/>
                <w:sz w:val="20"/>
                <w:szCs w:val="20"/>
              </w:rPr>
              <w:t>prioriteta</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3CD9638C" w14:textId="32740584" w:rsidR="00A00D87" w:rsidRPr="0015571A" w:rsidRDefault="00A00D87" w:rsidP="00E6560A">
            <w:pPr>
              <w:spacing w:line="259" w:lineRule="auto"/>
              <w:ind w:left="1"/>
              <w:jc w:val="both"/>
              <w:rPr>
                <w:rFonts w:cstheme="minorHAnsi"/>
                <w:sz w:val="20"/>
                <w:szCs w:val="20"/>
              </w:rPr>
            </w:pPr>
            <w:bookmarkStart w:id="263" w:name="_Hlk126244025"/>
            <w:proofErr w:type="spellStart"/>
            <w:r w:rsidRPr="0015571A">
              <w:rPr>
                <w:rFonts w:cstheme="minorHAnsi"/>
                <w:sz w:val="20"/>
                <w:szCs w:val="20"/>
              </w:rPr>
              <w:t>Uspostavljanje</w:t>
            </w:r>
            <w:proofErr w:type="spellEnd"/>
            <w:r w:rsidRPr="0015571A">
              <w:rPr>
                <w:rFonts w:cstheme="minorHAnsi"/>
                <w:sz w:val="20"/>
                <w:szCs w:val="20"/>
              </w:rPr>
              <w:t xml:space="preserve"> </w:t>
            </w:r>
            <w:proofErr w:type="spellStart"/>
            <w:r w:rsidRPr="0015571A">
              <w:rPr>
                <w:rFonts w:cstheme="minorHAnsi"/>
                <w:sz w:val="20"/>
                <w:szCs w:val="20"/>
              </w:rPr>
              <w:t>adekvatnih</w:t>
            </w:r>
            <w:proofErr w:type="spellEnd"/>
            <w:r w:rsidRPr="0015571A">
              <w:rPr>
                <w:rFonts w:cstheme="minorHAnsi"/>
                <w:sz w:val="20"/>
                <w:szCs w:val="20"/>
              </w:rPr>
              <w:t xml:space="preserve"> </w:t>
            </w:r>
            <w:proofErr w:type="spellStart"/>
            <w:r w:rsidR="007B690C" w:rsidRPr="0015571A">
              <w:rPr>
                <w:rFonts w:cstheme="minorHAnsi"/>
                <w:sz w:val="20"/>
                <w:szCs w:val="20"/>
              </w:rPr>
              <w:t>financ</w:t>
            </w:r>
            <w:r w:rsidRPr="0015571A">
              <w:rPr>
                <w:rFonts w:cstheme="minorHAnsi"/>
                <w:sz w:val="20"/>
                <w:szCs w:val="20"/>
              </w:rPr>
              <w:t>ijskih</w:t>
            </w:r>
            <w:proofErr w:type="spellEnd"/>
            <w:r w:rsidRPr="0015571A">
              <w:rPr>
                <w:rFonts w:cstheme="minorHAnsi"/>
                <w:sz w:val="20"/>
                <w:szCs w:val="20"/>
              </w:rPr>
              <w:t xml:space="preserve"> </w:t>
            </w:r>
            <w:proofErr w:type="spellStart"/>
            <w:r w:rsidRPr="0015571A">
              <w:rPr>
                <w:rFonts w:cstheme="minorHAnsi"/>
                <w:sz w:val="20"/>
                <w:szCs w:val="20"/>
              </w:rPr>
              <w:t>modela</w:t>
            </w:r>
            <w:proofErr w:type="spellEnd"/>
            <w:r w:rsidRPr="0015571A">
              <w:rPr>
                <w:rFonts w:cstheme="minorHAnsi"/>
                <w:sz w:val="20"/>
                <w:szCs w:val="20"/>
              </w:rPr>
              <w:t xml:space="preserve"> za </w:t>
            </w:r>
            <w:proofErr w:type="spellStart"/>
            <w:r w:rsidRPr="0015571A">
              <w:rPr>
                <w:rFonts w:cstheme="minorHAnsi"/>
                <w:sz w:val="20"/>
                <w:szCs w:val="20"/>
              </w:rPr>
              <w:t>energijsku</w:t>
            </w:r>
            <w:proofErr w:type="spellEnd"/>
            <w:r w:rsidRPr="0015571A">
              <w:rPr>
                <w:rFonts w:cstheme="minorHAnsi"/>
                <w:sz w:val="20"/>
                <w:szCs w:val="20"/>
              </w:rPr>
              <w:t xml:space="preserve"> </w:t>
            </w:r>
            <w:proofErr w:type="spellStart"/>
            <w:r w:rsidRPr="0015571A">
              <w:rPr>
                <w:rFonts w:cstheme="minorHAnsi"/>
                <w:sz w:val="20"/>
                <w:szCs w:val="20"/>
              </w:rPr>
              <w:t>obnovu</w:t>
            </w:r>
            <w:proofErr w:type="spellEnd"/>
            <w:r w:rsidRPr="0015571A">
              <w:rPr>
                <w:rFonts w:cstheme="minorHAnsi"/>
                <w:sz w:val="20"/>
                <w:szCs w:val="20"/>
              </w:rPr>
              <w:t xml:space="preserve">, </w:t>
            </w:r>
            <w:proofErr w:type="spellStart"/>
            <w:r w:rsidRPr="0015571A">
              <w:rPr>
                <w:rFonts w:cstheme="minorHAnsi"/>
                <w:sz w:val="20"/>
                <w:szCs w:val="20"/>
              </w:rPr>
              <w:t>doprinijet</w:t>
            </w:r>
            <w:proofErr w:type="spellEnd"/>
            <w:r w:rsidRPr="0015571A">
              <w:rPr>
                <w:rFonts w:cstheme="minorHAnsi"/>
                <w:sz w:val="20"/>
                <w:szCs w:val="20"/>
              </w:rPr>
              <w:t xml:space="preserve"> </w:t>
            </w:r>
            <w:proofErr w:type="spellStart"/>
            <w:r w:rsidRPr="0015571A">
              <w:rPr>
                <w:rFonts w:cstheme="minorHAnsi"/>
                <w:sz w:val="20"/>
                <w:szCs w:val="20"/>
              </w:rPr>
              <w:t>će</w:t>
            </w:r>
            <w:proofErr w:type="spellEnd"/>
            <w:r w:rsidRPr="0015571A">
              <w:rPr>
                <w:rFonts w:cstheme="minorHAnsi"/>
                <w:sz w:val="20"/>
                <w:szCs w:val="20"/>
              </w:rPr>
              <w:t xml:space="preserve"> </w:t>
            </w:r>
            <w:proofErr w:type="spellStart"/>
            <w:r w:rsidRPr="0015571A">
              <w:rPr>
                <w:rFonts w:cstheme="minorHAnsi"/>
                <w:sz w:val="20"/>
                <w:szCs w:val="20"/>
              </w:rPr>
              <w:t>povećanju</w:t>
            </w:r>
            <w:proofErr w:type="spellEnd"/>
            <w:r w:rsidRPr="0015571A">
              <w:rPr>
                <w:rFonts w:cstheme="minorHAnsi"/>
                <w:sz w:val="20"/>
                <w:szCs w:val="20"/>
              </w:rPr>
              <w:t xml:space="preserve"> </w:t>
            </w:r>
            <w:proofErr w:type="spellStart"/>
            <w:r w:rsidRPr="0015571A">
              <w:rPr>
                <w:rFonts w:cstheme="minorHAnsi"/>
                <w:sz w:val="20"/>
                <w:szCs w:val="20"/>
              </w:rPr>
              <w:t>održivih</w:t>
            </w:r>
            <w:proofErr w:type="spellEnd"/>
            <w:r w:rsidRPr="0015571A">
              <w:rPr>
                <w:rFonts w:cstheme="minorHAnsi"/>
                <w:sz w:val="20"/>
                <w:szCs w:val="20"/>
              </w:rPr>
              <w:t xml:space="preserve"> </w:t>
            </w:r>
            <w:proofErr w:type="spellStart"/>
            <w:r w:rsidRPr="0015571A">
              <w:rPr>
                <w:rFonts w:cstheme="minorHAnsi"/>
                <w:sz w:val="20"/>
                <w:szCs w:val="20"/>
              </w:rPr>
              <w:t>investicija</w:t>
            </w:r>
            <w:proofErr w:type="spellEnd"/>
            <w:r w:rsidRPr="0015571A">
              <w:rPr>
                <w:rFonts w:cstheme="minorHAnsi"/>
                <w:sz w:val="20"/>
                <w:szCs w:val="20"/>
              </w:rPr>
              <w:t xml:space="preserve">, </w:t>
            </w:r>
            <w:proofErr w:type="spellStart"/>
            <w:r w:rsidRPr="0015571A">
              <w:rPr>
                <w:rFonts w:cstheme="minorHAnsi"/>
                <w:sz w:val="20"/>
                <w:szCs w:val="20"/>
              </w:rPr>
              <w:t>razvoju</w:t>
            </w:r>
            <w:proofErr w:type="spellEnd"/>
            <w:r w:rsidRPr="0015571A">
              <w:rPr>
                <w:rFonts w:cstheme="minorHAnsi"/>
                <w:sz w:val="20"/>
                <w:szCs w:val="20"/>
              </w:rPr>
              <w:t xml:space="preserve"> </w:t>
            </w:r>
            <w:proofErr w:type="spellStart"/>
            <w:r w:rsidRPr="0015571A">
              <w:rPr>
                <w:rFonts w:cstheme="minorHAnsi"/>
                <w:sz w:val="20"/>
                <w:szCs w:val="20"/>
              </w:rPr>
              <w:t>sektora</w:t>
            </w:r>
            <w:proofErr w:type="spellEnd"/>
            <w:r w:rsidRPr="0015571A">
              <w:rPr>
                <w:rFonts w:cstheme="minorHAnsi"/>
                <w:sz w:val="20"/>
                <w:szCs w:val="20"/>
              </w:rPr>
              <w:t xml:space="preserve"> turizma i poljoprivrede </w:t>
            </w:r>
            <w:proofErr w:type="spellStart"/>
            <w:r w:rsidRPr="0015571A">
              <w:rPr>
                <w:rFonts w:cstheme="minorHAnsi"/>
                <w:sz w:val="20"/>
                <w:szCs w:val="20"/>
              </w:rPr>
              <w:t>te</w:t>
            </w:r>
            <w:proofErr w:type="spellEnd"/>
            <w:r w:rsidRPr="0015571A">
              <w:rPr>
                <w:rFonts w:cstheme="minorHAnsi"/>
                <w:sz w:val="20"/>
                <w:szCs w:val="20"/>
              </w:rPr>
              <w:t xml:space="preserve"> MSP, </w:t>
            </w:r>
            <w:proofErr w:type="spellStart"/>
            <w:r w:rsidRPr="0015571A">
              <w:rPr>
                <w:rFonts w:cstheme="minorHAnsi"/>
                <w:sz w:val="20"/>
                <w:szCs w:val="20"/>
              </w:rPr>
              <w:t>smanjit</w:t>
            </w:r>
            <w:proofErr w:type="spellEnd"/>
            <w:r w:rsidRPr="0015571A">
              <w:rPr>
                <w:rFonts w:cstheme="minorHAnsi"/>
                <w:sz w:val="20"/>
                <w:szCs w:val="20"/>
              </w:rPr>
              <w:t xml:space="preserve"> </w:t>
            </w:r>
            <w:proofErr w:type="spellStart"/>
            <w:r w:rsidRPr="0015571A">
              <w:rPr>
                <w:rFonts w:cstheme="minorHAnsi"/>
                <w:sz w:val="20"/>
                <w:szCs w:val="20"/>
              </w:rPr>
              <w:t>će</w:t>
            </w:r>
            <w:proofErr w:type="spellEnd"/>
            <w:r w:rsidRPr="0015571A">
              <w:rPr>
                <w:rFonts w:cstheme="minorHAnsi"/>
                <w:sz w:val="20"/>
                <w:szCs w:val="20"/>
              </w:rPr>
              <w:t xml:space="preserve"> </w:t>
            </w:r>
            <w:proofErr w:type="spellStart"/>
            <w:r w:rsidRPr="0015571A">
              <w:rPr>
                <w:rFonts w:cstheme="minorHAnsi"/>
                <w:sz w:val="20"/>
                <w:szCs w:val="20"/>
              </w:rPr>
              <w:t>energetsko</w:t>
            </w:r>
            <w:proofErr w:type="spellEnd"/>
            <w:r w:rsidRPr="0015571A">
              <w:rPr>
                <w:rFonts w:cstheme="minorHAnsi"/>
                <w:sz w:val="20"/>
                <w:szCs w:val="20"/>
              </w:rPr>
              <w:t xml:space="preserve"> </w:t>
            </w:r>
            <w:proofErr w:type="spellStart"/>
            <w:r w:rsidRPr="0015571A">
              <w:rPr>
                <w:rFonts w:cstheme="minorHAnsi"/>
                <w:sz w:val="20"/>
                <w:szCs w:val="20"/>
              </w:rPr>
              <w:t>siromaštvo</w:t>
            </w:r>
            <w:proofErr w:type="spellEnd"/>
            <w:r w:rsidRPr="0015571A">
              <w:rPr>
                <w:rFonts w:cstheme="minorHAnsi"/>
                <w:sz w:val="20"/>
                <w:szCs w:val="20"/>
              </w:rPr>
              <w:t xml:space="preserve">, i u </w:t>
            </w:r>
            <w:proofErr w:type="spellStart"/>
            <w:r w:rsidRPr="0015571A">
              <w:rPr>
                <w:rFonts w:cstheme="minorHAnsi"/>
                <w:sz w:val="20"/>
                <w:szCs w:val="20"/>
              </w:rPr>
              <w:t>konačnici</w:t>
            </w:r>
            <w:proofErr w:type="spellEnd"/>
            <w:r w:rsidRPr="0015571A">
              <w:rPr>
                <w:rFonts w:cstheme="minorHAnsi"/>
                <w:sz w:val="20"/>
                <w:szCs w:val="20"/>
              </w:rPr>
              <w:t xml:space="preserve"> </w:t>
            </w:r>
            <w:proofErr w:type="spellStart"/>
            <w:r w:rsidRPr="0015571A">
              <w:rPr>
                <w:rFonts w:cstheme="minorHAnsi"/>
                <w:sz w:val="20"/>
                <w:szCs w:val="20"/>
              </w:rPr>
              <w:t>omogućiti</w:t>
            </w:r>
            <w:proofErr w:type="spellEnd"/>
            <w:r w:rsidRPr="0015571A">
              <w:rPr>
                <w:rFonts w:cstheme="minorHAnsi"/>
                <w:sz w:val="20"/>
                <w:szCs w:val="20"/>
              </w:rPr>
              <w:t xml:space="preserve"> </w:t>
            </w:r>
            <w:proofErr w:type="spellStart"/>
            <w:r w:rsidRPr="0015571A">
              <w:rPr>
                <w:rFonts w:cstheme="minorHAnsi"/>
                <w:sz w:val="20"/>
                <w:szCs w:val="20"/>
              </w:rPr>
              <w:t>ispunjenje</w:t>
            </w:r>
            <w:proofErr w:type="spellEnd"/>
            <w:r w:rsidRPr="0015571A">
              <w:rPr>
                <w:rFonts w:cstheme="minorHAnsi"/>
                <w:sz w:val="20"/>
                <w:szCs w:val="20"/>
              </w:rPr>
              <w:t xml:space="preserve"> </w:t>
            </w:r>
            <w:proofErr w:type="spellStart"/>
            <w:r w:rsidRPr="0015571A">
              <w:rPr>
                <w:rFonts w:cstheme="minorHAnsi"/>
                <w:sz w:val="20"/>
                <w:szCs w:val="20"/>
              </w:rPr>
              <w:t>indikativnih</w:t>
            </w:r>
            <w:proofErr w:type="spellEnd"/>
            <w:r w:rsidRPr="0015571A">
              <w:rPr>
                <w:rFonts w:cstheme="minorHAnsi"/>
                <w:sz w:val="20"/>
                <w:szCs w:val="20"/>
              </w:rPr>
              <w:t xml:space="preserve"> </w:t>
            </w:r>
            <w:proofErr w:type="spellStart"/>
            <w:r w:rsidRPr="0015571A">
              <w:rPr>
                <w:rFonts w:cstheme="minorHAnsi"/>
                <w:sz w:val="20"/>
                <w:szCs w:val="20"/>
              </w:rPr>
              <w:t>ciljeva</w:t>
            </w:r>
            <w:proofErr w:type="spellEnd"/>
            <w:r w:rsidRPr="0015571A">
              <w:rPr>
                <w:rFonts w:cstheme="minorHAnsi"/>
                <w:sz w:val="20"/>
                <w:szCs w:val="20"/>
              </w:rPr>
              <w:t xml:space="preserve"> </w:t>
            </w:r>
            <w:proofErr w:type="spellStart"/>
            <w:r w:rsidRPr="0015571A">
              <w:rPr>
                <w:rFonts w:cstheme="minorHAnsi"/>
                <w:sz w:val="20"/>
                <w:szCs w:val="20"/>
              </w:rPr>
              <w:t>unaprijeđenja</w:t>
            </w:r>
            <w:proofErr w:type="spellEnd"/>
            <w:r w:rsidRPr="0015571A">
              <w:rPr>
                <w:rFonts w:cstheme="minorHAnsi"/>
                <w:sz w:val="20"/>
                <w:szCs w:val="20"/>
              </w:rPr>
              <w:t xml:space="preserve"> </w:t>
            </w:r>
            <w:proofErr w:type="spellStart"/>
            <w:r w:rsidRPr="0015571A">
              <w:rPr>
                <w:rFonts w:cstheme="minorHAnsi"/>
                <w:sz w:val="20"/>
                <w:szCs w:val="20"/>
              </w:rPr>
              <w:t>energijske</w:t>
            </w:r>
            <w:proofErr w:type="spellEnd"/>
            <w:r w:rsidRPr="0015571A">
              <w:rPr>
                <w:rFonts w:cstheme="minorHAnsi"/>
                <w:sz w:val="20"/>
                <w:szCs w:val="20"/>
              </w:rPr>
              <w:t xml:space="preserve"> </w:t>
            </w:r>
            <w:proofErr w:type="spellStart"/>
            <w:r w:rsidRPr="0015571A">
              <w:rPr>
                <w:rFonts w:cstheme="minorHAnsi"/>
                <w:sz w:val="20"/>
                <w:szCs w:val="20"/>
              </w:rPr>
              <w:t>efikasnosti</w:t>
            </w:r>
            <w:proofErr w:type="spellEnd"/>
            <w:r w:rsidRPr="0015571A">
              <w:rPr>
                <w:rFonts w:cstheme="minorHAnsi"/>
                <w:sz w:val="20"/>
                <w:szCs w:val="20"/>
              </w:rPr>
              <w:t xml:space="preserve">. </w:t>
            </w:r>
            <w:proofErr w:type="spellStart"/>
            <w:r w:rsidRPr="0015571A">
              <w:rPr>
                <w:rFonts w:cstheme="minorHAnsi"/>
                <w:sz w:val="20"/>
                <w:szCs w:val="20"/>
              </w:rPr>
              <w:t>Dodatno</w:t>
            </w:r>
            <w:proofErr w:type="spellEnd"/>
            <w:r w:rsidRPr="0015571A">
              <w:rPr>
                <w:rFonts w:cstheme="minorHAnsi"/>
                <w:sz w:val="20"/>
                <w:szCs w:val="20"/>
              </w:rPr>
              <w:t xml:space="preserve">, </w:t>
            </w:r>
            <w:proofErr w:type="spellStart"/>
            <w:r w:rsidRPr="0015571A">
              <w:rPr>
                <w:rFonts w:cstheme="minorHAnsi"/>
                <w:sz w:val="20"/>
                <w:szCs w:val="20"/>
              </w:rPr>
              <w:t>upošljavanje</w:t>
            </w:r>
            <w:proofErr w:type="spellEnd"/>
            <w:r w:rsidRPr="0015571A">
              <w:rPr>
                <w:rFonts w:cstheme="minorHAnsi"/>
                <w:sz w:val="20"/>
                <w:szCs w:val="20"/>
              </w:rPr>
              <w:t xml:space="preserve"> </w:t>
            </w:r>
            <w:proofErr w:type="spellStart"/>
            <w:r w:rsidRPr="0015571A">
              <w:rPr>
                <w:rFonts w:cstheme="minorHAnsi"/>
                <w:sz w:val="20"/>
                <w:szCs w:val="20"/>
              </w:rPr>
              <w:t>postojeće</w:t>
            </w:r>
            <w:proofErr w:type="spellEnd"/>
            <w:r w:rsidRPr="0015571A">
              <w:rPr>
                <w:rFonts w:cstheme="minorHAnsi"/>
                <w:sz w:val="20"/>
                <w:szCs w:val="20"/>
              </w:rPr>
              <w:t xml:space="preserve"> </w:t>
            </w:r>
            <w:proofErr w:type="spellStart"/>
            <w:r w:rsidRPr="0015571A">
              <w:rPr>
                <w:rFonts w:cstheme="minorHAnsi"/>
                <w:sz w:val="20"/>
                <w:szCs w:val="20"/>
              </w:rPr>
              <w:t>građevinske</w:t>
            </w:r>
            <w:proofErr w:type="spellEnd"/>
            <w:r w:rsidRPr="0015571A">
              <w:rPr>
                <w:rFonts w:cstheme="minorHAnsi"/>
                <w:sz w:val="20"/>
                <w:szCs w:val="20"/>
              </w:rPr>
              <w:t xml:space="preserve"> operative i </w:t>
            </w:r>
            <w:proofErr w:type="spellStart"/>
            <w:r w:rsidRPr="0015571A">
              <w:rPr>
                <w:rFonts w:cstheme="minorHAnsi"/>
                <w:sz w:val="20"/>
                <w:szCs w:val="20"/>
              </w:rPr>
              <w:t>nove</w:t>
            </w:r>
            <w:proofErr w:type="spellEnd"/>
            <w:r w:rsidRPr="0015571A">
              <w:rPr>
                <w:rFonts w:cstheme="minorHAnsi"/>
                <w:sz w:val="20"/>
                <w:szCs w:val="20"/>
              </w:rPr>
              <w:t xml:space="preserve"> </w:t>
            </w:r>
            <w:proofErr w:type="spellStart"/>
            <w:r w:rsidRPr="0015571A">
              <w:rPr>
                <w:rFonts w:cstheme="minorHAnsi"/>
                <w:sz w:val="20"/>
                <w:szCs w:val="20"/>
              </w:rPr>
              <w:t>radne</w:t>
            </w:r>
            <w:proofErr w:type="spellEnd"/>
            <w:r w:rsidRPr="0015571A">
              <w:rPr>
                <w:rFonts w:cstheme="minorHAnsi"/>
                <w:sz w:val="20"/>
                <w:szCs w:val="20"/>
              </w:rPr>
              <w:t xml:space="preserve"> </w:t>
            </w:r>
            <w:proofErr w:type="spellStart"/>
            <w:r w:rsidRPr="0015571A">
              <w:rPr>
                <w:rFonts w:cstheme="minorHAnsi"/>
                <w:sz w:val="20"/>
                <w:szCs w:val="20"/>
              </w:rPr>
              <w:t>snage</w:t>
            </w:r>
            <w:proofErr w:type="spellEnd"/>
            <w:r w:rsidRPr="0015571A">
              <w:rPr>
                <w:rFonts w:cstheme="minorHAnsi"/>
                <w:sz w:val="20"/>
                <w:szCs w:val="20"/>
              </w:rPr>
              <w:t xml:space="preserve">, </w:t>
            </w:r>
            <w:proofErr w:type="spellStart"/>
            <w:r w:rsidRPr="0015571A">
              <w:rPr>
                <w:rFonts w:cstheme="minorHAnsi"/>
                <w:sz w:val="20"/>
                <w:szCs w:val="20"/>
              </w:rPr>
              <w:t>doprinijet</w:t>
            </w:r>
            <w:proofErr w:type="spellEnd"/>
            <w:r w:rsidRPr="0015571A">
              <w:rPr>
                <w:rFonts w:cstheme="minorHAnsi"/>
                <w:sz w:val="20"/>
                <w:szCs w:val="20"/>
              </w:rPr>
              <w:t xml:space="preserve"> </w:t>
            </w:r>
            <w:proofErr w:type="spellStart"/>
            <w:r w:rsidRPr="0015571A">
              <w:rPr>
                <w:rFonts w:cstheme="minorHAnsi"/>
                <w:sz w:val="20"/>
                <w:szCs w:val="20"/>
              </w:rPr>
              <w:t>će</w:t>
            </w:r>
            <w:proofErr w:type="spellEnd"/>
            <w:r w:rsidRPr="0015571A">
              <w:rPr>
                <w:rFonts w:cstheme="minorHAnsi"/>
                <w:sz w:val="20"/>
                <w:szCs w:val="20"/>
              </w:rPr>
              <w:t xml:space="preserve"> </w:t>
            </w:r>
            <w:proofErr w:type="spellStart"/>
            <w:r w:rsidRPr="0015571A">
              <w:rPr>
                <w:rFonts w:cstheme="minorHAnsi"/>
                <w:sz w:val="20"/>
                <w:szCs w:val="20"/>
              </w:rPr>
              <w:t>privrednom</w:t>
            </w:r>
            <w:proofErr w:type="spellEnd"/>
            <w:r w:rsidRPr="0015571A">
              <w:rPr>
                <w:rFonts w:cstheme="minorHAnsi"/>
                <w:sz w:val="20"/>
                <w:szCs w:val="20"/>
              </w:rPr>
              <w:t xml:space="preserve"> </w:t>
            </w:r>
            <w:proofErr w:type="spellStart"/>
            <w:r w:rsidRPr="0015571A">
              <w:rPr>
                <w:rFonts w:cstheme="minorHAnsi"/>
                <w:sz w:val="20"/>
                <w:szCs w:val="20"/>
              </w:rPr>
              <w:t>razvoju</w:t>
            </w:r>
            <w:proofErr w:type="spellEnd"/>
            <w:r w:rsidRPr="0015571A">
              <w:rPr>
                <w:rFonts w:cstheme="minorHAnsi"/>
                <w:sz w:val="20"/>
                <w:szCs w:val="20"/>
              </w:rPr>
              <w:t xml:space="preserve"> FBiH.</w:t>
            </w:r>
            <w:bookmarkEnd w:id="263"/>
          </w:p>
        </w:tc>
      </w:tr>
      <w:tr w:rsidR="00A00D87" w:rsidRPr="0015571A" w14:paraId="731A31EB" w14:textId="77777777" w:rsidTr="00122946">
        <w:trPr>
          <w:trHeight w:val="104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3FCB47" w14:textId="08170C03"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Indikativna</w:t>
            </w:r>
            <w:proofErr w:type="spellEnd"/>
            <w:r w:rsidRPr="0015571A">
              <w:rPr>
                <w:rFonts w:cstheme="minorHAnsi"/>
                <w:b/>
                <w:sz w:val="20"/>
                <w:szCs w:val="20"/>
              </w:rPr>
              <w:t xml:space="preserve"> </w:t>
            </w:r>
            <w:proofErr w:type="spellStart"/>
            <w:r w:rsidR="007B690C" w:rsidRPr="0015571A">
              <w:rPr>
                <w:rFonts w:cstheme="minorHAnsi"/>
                <w:b/>
                <w:sz w:val="20"/>
                <w:szCs w:val="20"/>
              </w:rPr>
              <w:t>financ</w:t>
            </w:r>
            <w:r w:rsidRPr="0015571A">
              <w:rPr>
                <w:rFonts w:cstheme="minorHAnsi"/>
                <w:b/>
                <w:sz w:val="20"/>
                <w:szCs w:val="20"/>
              </w:rPr>
              <w:t>ijska</w:t>
            </w:r>
            <w:proofErr w:type="spellEnd"/>
            <w:r w:rsidRPr="0015571A">
              <w:rPr>
                <w:rFonts w:cstheme="minorHAnsi"/>
                <w:b/>
                <w:sz w:val="20"/>
                <w:szCs w:val="20"/>
              </w:rPr>
              <w:t xml:space="preserve"> </w:t>
            </w:r>
            <w:proofErr w:type="spellStart"/>
            <w:r w:rsidRPr="0015571A">
              <w:rPr>
                <w:rFonts w:cstheme="minorHAnsi"/>
                <w:b/>
                <w:sz w:val="20"/>
                <w:szCs w:val="20"/>
              </w:rPr>
              <w:t>konstrukcija</w:t>
            </w:r>
            <w:proofErr w:type="spellEnd"/>
            <w:r w:rsidRPr="0015571A">
              <w:rPr>
                <w:rFonts w:cstheme="minorHAnsi"/>
                <w:b/>
                <w:sz w:val="20"/>
                <w:szCs w:val="20"/>
              </w:rPr>
              <w:t xml:space="preserve"> </w:t>
            </w:r>
            <w:proofErr w:type="spellStart"/>
            <w:r w:rsidRPr="0015571A">
              <w:rPr>
                <w:rFonts w:cstheme="minorHAnsi"/>
                <w:b/>
                <w:sz w:val="20"/>
                <w:szCs w:val="20"/>
              </w:rPr>
              <w:t>sa</w:t>
            </w:r>
            <w:proofErr w:type="spellEnd"/>
            <w:r w:rsidRPr="0015571A">
              <w:rPr>
                <w:rFonts w:cstheme="minorHAnsi"/>
                <w:b/>
                <w:sz w:val="20"/>
                <w:szCs w:val="20"/>
              </w:rPr>
              <w:t xml:space="preserve"> </w:t>
            </w:r>
            <w:proofErr w:type="spellStart"/>
            <w:r w:rsidRPr="0015571A">
              <w:rPr>
                <w:rFonts w:cstheme="minorHAnsi"/>
                <w:b/>
                <w:sz w:val="20"/>
                <w:szCs w:val="20"/>
              </w:rPr>
              <w:t>izvorima</w:t>
            </w:r>
            <w:proofErr w:type="spellEnd"/>
            <w:r w:rsidRPr="0015571A">
              <w:rPr>
                <w:rFonts w:cstheme="minorHAnsi"/>
                <w:b/>
                <w:sz w:val="20"/>
                <w:szCs w:val="20"/>
              </w:rPr>
              <w:t xml:space="preserve"> </w:t>
            </w:r>
            <w:proofErr w:type="spellStart"/>
            <w:r w:rsidR="007B690C" w:rsidRPr="0015571A">
              <w:rPr>
                <w:rFonts w:cstheme="minorHAnsi"/>
                <w:b/>
                <w:sz w:val="20"/>
                <w:szCs w:val="20"/>
              </w:rPr>
              <w:t>financ</w:t>
            </w:r>
            <w:r w:rsidRPr="0015571A">
              <w:rPr>
                <w:rFonts w:cstheme="minorHAnsi"/>
                <w:b/>
                <w:sz w:val="20"/>
                <w:szCs w:val="20"/>
              </w:rPr>
              <w:t>iranja</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1C6610E0" w14:textId="77777777" w:rsidR="00A00D87" w:rsidRPr="0015571A" w:rsidRDefault="00A00D87" w:rsidP="00122946">
            <w:pPr>
              <w:spacing w:line="259" w:lineRule="auto"/>
              <w:ind w:left="1"/>
              <w:rPr>
                <w:rFonts w:cstheme="minorHAnsi"/>
                <w:sz w:val="20"/>
                <w:szCs w:val="20"/>
              </w:rPr>
            </w:pPr>
            <w:proofErr w:type="spellStart"/>
            <w:r w:rsidRPr="0015571A">
              <w:rPr>
                <w:rFonts w:cstheme="minorHAnsi"/>
                <w:sz w:val="20"/>
                <w:szCs w:val="20"/>
              </w:rPr>
              <w:t>Iznos</w:t>
            </w:r>
            <w:proofErr w:type="spellEnd"/>
            <w:r w:rsidRPr="0015571A">
              <w:rPr>
                <w:rFonts w:cstheme="minorHAnsi"/>
                <w:sz w:val="20"/>
                <w:szCs w:val="20"/>
              </w:rPr>
              <w:t>: 49,0 mil. KM</w:t>
            </w:r>
          </w:p>
          <w:p w14:paraId="12A2300E" w14:textId="77777777" w:rsidR="00A00D87" w:rsidRPr="0015571A" w:rsidRDefault="00A00D87" w:rsidP="00122946">
            <w:pPr>
              <w:spacing w:line="259" w:lineRule="auto"/>
              <w:ind w:left="1"/>
              <w:rPr>
                <w:rFonts w:cstheme="minorHAnsi"/>
                <w:sz w:val="20"/>
                <w:szCs w:val="20"/>
              </w:rPr>
            </w:pPr>
            <w:proofErr w:type="spellStart"/>
            <w:r w:rsidRPr="0015571A">
              <w:rPr>
                <w:rFonts w:cstheme="minorHAnsi"/>
                <w:sz w:val="20"/>
                <w:szCs w:val="20"/>
              </w:rPr>
              <w:t>Izvor</w:t>
            </w:r>
            <w:proofErr w:type="spellEnd"/>
            <w:r w:rsidRPr="0015571A">
              <w:rPr>
                <w:rFonts w:cstheme="minorHAnsi"/>
                <w:sz w:val="20"/>
                <w:szCs w:val="20"/>
              </w:rPr>
              <w:t xml:space="preserve">: </w:t>
            </w:r>
            <w:proofErr w:type="spellStart"/>
            <w:r w:rsidRPr="0015571A">
              <w:rPr>
                <w:rFonts w:cstheme="minorHAnsi"/>
                <w:sz w:val="20"/>
                <w:szCs w:val="20"/>
              </w:rPr>
              <w:t>Budžet</w:t>
            </w:r>
            <w:proofErr w:type="spellEnd"/>
            <w:r w:rsidRPr="0015571A">
              <w:rPr>
                <w:rFonts w:cstheme="minorHAnsi"/>
                <w:sz w:val="20"/>
                <w:szCs w:val="20"/>
              </w:rPr>
              <w:t xml:space="preserve"> </w:t>
            </w:r>
            <w:proofErr w:type="spellStart"/>
            <w:r w:rsidRPr="0015571A">
              <w:rPr>
                <w:rFonts w:cstheme="minorHAnsi"/>
                <w:sz w:val="20"/>
                <w:szCs w:val="20"/>
              </w:rPr>
              <w:t>institucija</w:t>
            </w:r>
            <w:proofErr w:type="spellEnd"/>
            <w:r w:rsidRPr="0015571A">
              <w:rPr>
                <w:rFonts w:cstheme="minorHAnsi"/>
                <w:sz w:val="20"/>
                <w:szCs w:val="20"/>
              </w:rPr>
              <w:t xml:space="preserve">, </w:t>
            </w:r>
            <w:proofErr w:type="spellStart"/>
            <w:r w:rsidRPr="0015571A">
              <w:rPr>
                <w:rFonts w:cstheme="minorHAnsi"/>
                <w:sz w:val="20"/>
                <w:szCs w:val="20"/>
              </w:rPr>
              <w:t>ostali</w:t>
            </w:r>
            <w:proofErr w:type="spellEnd"/>
            <w:r w:rsidRPr="0015571A">
              <w:rPr>
                <w:rFonts w:cstheme="minorHAnsi"/>
                <w:sz w:val="20"/>
                <w:szCs w:val="20"/>
              </w:rPr>
              <w:t xml:space="preserve"> </w:t>
            </w:r>
            <w:proofErr w:type="spellStart"/>
            <w:r w:rsidRPr="0015571A">
              <w:rPr>
                <w:rFonts w:cstheme="minorHAnsi"/>
                <w:sz w:val="20"/>
                <w:szCs w:val="20"/>
              </w:rPr>
              <w:t>izvori</w:t>
            </w:r>
            <w:proofErr w:type="spellEnd"/>
            <w:r w:rsidRPr="0015571A">
              <w:rPr>
                <w:rFonts w:cstheme="minorHAnsi"/>
                <w:sz w:val="20"/>
                <w:szCs w:val="20"/>
              </w:rPr>
              <w:t>.</w:t>
            </w:r>
          </w:p>
        </w:tc>
      </w:tr>
      <w:tr w:rsidR="00A00D87" w:rsidRPr="0015571A" w14:paraId="53E639DD" w14:textId="77777777" w:rsidTr="00122946">
        <w:trPr>
          <w:trHeight w:val="63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EFA0459" w14:textId="77777777" w:rsidR="00A00D87" w:rsidRPr="0015571A" w:rsidRDefault="00A00D87" w:rsidP="00122946">
            <w:pPr>
              <w:spacing w:line="259" w:lineRule="auto"/>
              <w:rPr>
                <w:rFonts w:cstheme="minorHAnsi"/>
                <w:sz w:val="20"/>
                <w:szCs w:val="20"/>
              </w:rPr>
            </w:pPr>
            <w:r w:rsidRPr="0015571A">
              <w:rPr>
                <w:rFonts w:cstheme="minorHAnsi"/>
                <w:b/>
                <w:sz w:val="20"/>
                <w:szCs w:val="20"/>
              </w:rPr>
              <w:t xml:space="preserve">Period </w:t>
            </w:r>
            <w:proofErr w:type="spellStart"/>
            <w:r w:rsidRPr="0015571A">
              <w:rPr>
                <w:rFonts w:cstheme="minorHAnsi"/>
                <w:b/>
                <w:sz w:val="20"/>
                <w:szCs w:val="20"/>
              </w:rPr>
              <w:t>implementacije</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6885AD76" w14:textId="35EED5ED" w:rsidR="00A00D87" w:rsidRPr="0015571A" w:rsidRDefault="00A00D87" w:rsidP="00E6560A">
            <w:pPr>
              <w:ind w:left="1"/>
              <w:jc w:val="both"/>
              <w:rPr>
                <w:rFonts w:cstheme="minorHAnsi"/>
                <w:sz w:val="20"/>
                <w:szCs w:val="20"/>
              </w:rPr>
            </w:pPr>
            <w:r w:rsidRPr="0015571A">
              <w:rPr>
                <w:rFonts w:cstheme="minorHAnsi"/>
                <w:sz w:val="20"/>
                <w:szCs w:val="20"/>
              </w:rPr>
              <w:t>2022-2024. (</w:t>
            </w:r>
            <w:proofErr w:type="spellStart"/>
            <w:proofErr w:type="gramStart"/>
            <w:r w:rsidRPr="0015571A">
              <w:rPr>
                <w:rFonts w:cstheme="minorHAnsi"/>
                <w:sz w:val="20"/>
                <w:szCs w:val="20"/>
              </w:rPr>
              <w:t>uspostavljanje</w:t>
            </w:r>
            <w:proofErr w:type="spellEnd"/>
            <w:proofErr w:type="gramEnd"/>
            <w:r w:rsidRPr="0015571A">
              <w:rPr>
                <w:rFonts w:cstheme="minorHAnsi"/>
                <w:sz w:val="20"/>
                <w:szCs w:val="20"/>
              </w:rPr>
              <w:t xml:space="preserve"> </w:t>
            </w:r>
            <w:proofErr w:type="spellStart"/>
            <w:r w:rsidRPr="0015571A">
              <w:rPr>
                <w:rFonts w:cstheme="minorHAnsi"/>
                <w:sz w:val="20"/>
                <w:szCs w:val="20"/>
              </w:rPr>
              <w:t>fondova</w:t>
            </w:r>
            <w:proofErr w:type="spellEnd"/>
            <w:r w:rsidRPr="0015571A">
              <w:rPr>
                <w:rFonts w:cstheme="minorHAnsi"/>
                <w:sz w:val="20"/>
                <w:szCs w:val="20"/>
              </w:rPr>
              <w:t xml:space="preserve"> i </w:t>
            </w:r>
            <w:proofErr w:type="spellStart"/>
            <w:r w:rsidR="007B690C" w:rsidRPr="0015571A">
              <w:rPr>
                <w:rFonts w:cstheme="minorHAnsi"/>
                <w:sz w:val="20"/>
                <w:szCs w:val="20"/>
              </w:rPr>
              <w:t>financ</w:t>
            </w:r>
            <w:r w:rsidRPr="0015571A">
              <w:rPr>
                <w:rFonts w:cstheme="minorHAnsi"/>
                <w:sz w:val="20"/>
                <w:szCs w:val="20"/>
              </w:rPr>
              <w:t>ijskih</w:t>
            </w:r>
            <w:proofErr w:type="spellEnd"/>
            <w:r w:rsidRPr="0015571A">
              <w:rPr>
                <w:rFonts w:cstheme="minorHAnsi"/>
                <w:sz w:val="20"/>
                <w:szCs w:val="20"/>
              </w:rPr>
              <w:t xml:space="preserve"> </w:t>
            </w:r>
            <w:proofErr w:type="spellStart"/>
            <w:r w:rsidRPr="0015571A">
              <w:rPr>
                <w:rFonts w:cstheme="minorHAnsi"/>
                <w:sz w:val="20"/>
                <w:szCs w:val="20"/>
              </w:rPr>
              <w:t>modela</w:t>
            </w:r>
            <w:proofErr w:type="spellEnd"/>
            <w:r w:rsidRPr="0015571A">
              <w:rPr>
                <w:rFonts w:cstheme="minorHAnsi"/>
                <w:sz w:val="20"/>
                <w:szCs w:val="20"/>
              </w:rPr>
              <w:t>/</w:t>
            </w:r>
            <w:proofErr w:type="spellStart"/>
            <w:r w:rsidRPr="0015571A">
              <w:rPr>
                <w:rFonts w:cstheme="minorHAnsi"/>
                <w:sz w:val="20"/>
                <w:szCs w:val="20"/>
              </w:rPr>
              <w:t>proizvoda</w:t>
            </w:r>
            <w:proofErr w:type="spellEnd"/>
            <w:r w:rsidRPr="0015571A">
              <w:rPr>
                <w:rFonts w:cstheme="minorHAnsi"/>
                <w:sz w:val="20"/>
                <w:szCs w:val="20"/>
              </w:rPr>
              <w:t>)</w:t>
            </w:r>
          </w:p>
          <w:p w14:paraId="6B5C6D9E" w14:textId="77777777" w:rsidR="00A00D87" w:rsidRPr="0015571A" w:rsidRDefault="00A00D87" w:rsidP="00E6560A">
            <w:pPr>
              <w:spacing w:line="259" w:lineRule="auto"/>
              <w:ind w:left="1"/>
              <w:jc w:val="both"/>
              <w:rPr>
                <w:rFonts w:cstheme="minorHAnsi"/>
                <w:sz w:val="20"/>
                <w:szCs w:val="20"/>
              </w:rPr>
            </w:pPr>
            <w:proofErr w:type="spellStart"/>
            <w:r w:rsidRPr="0015571A">
              <w:rPr>
                <w:rFonts w:cstheme="minorHAnsi"/>
                <w:sz w:val="20"/>
                <w:szCs w:val="20"/>
              </w:rPr>
              <w:t>Mjera</w:t>
            </w:r>
            <w:proofErr w:type="spellEnd"/>
            <w:r w:rsidRPr="0015571A">
              <w:rPr>
                <w:rFonts w:cstheme="minorHAnsi"/>
                <w:sz w:val="20"/>
                <w:szCs w:val="20"/>
              </w:rPr>
              <w:t xml:space="preserve"> </w:t>
            </w:r>
            <w:proofErr w:type="spellStart"/>
            <w:r w:rsidRPr="0015571A">
              <w:rPr>
                <w:rFonts w:cstheme="minorHAnsi"/>
                <w:sz w:val="20"/>
                <w:szCs w:val="20"/>
              </w:rPr>
              <w:t>će</w:t>
            </w:r>
            <w:proofErr w:type="spellEnd"/>
            <w:r w:rsidRPr="0015571A">
              <w:rPr>
                <w:rFonts w:cstheme="minorHAnsi"/>
                <w:sz w:val="20"/>
                <w:szCs w:val="20"/>
              </w:rPr>
              <w:t xml:space="preserve"> se </w:t>
            </w:r>
            <w:proofErr w:type="spellStart"/>
            <w:r w:rsidRPr="0015571A">
              <w:rPr>
                <w:rFonts w:cstheme="minorHAnsi"/>
                <w:sz w:val="20"/>
                <w:szCs w:val="20"/>
              </w:rPr>
              <w:t>provoditi</w:t>
            </w:r>
            <w:proofErr w:type="spellEnd"/>
            <w:r w:rsidRPr="0015571A">
              <w:rPr>
                <w:rFonts w:cstheme="minorHAnsi"/>
                <w:sz w:val="20"/>
                <w:szCs w:val="20"/>
              </w:rPr>
              <w:t xml:space="preserve"> do 2050. </w:t>
            </w:r>
            <w:proofErr w:type="spellStart"/>
            <w:r w:rsidRPr="0015571A">
              <w:rPr>
                <w:rFonts w:cstheme="minorHAnsi"/>
                <w:sz w:val="20"/>
                <w:szCs w:val="20"/>
              </w:rPr>
              <w:t>godine</w:t>
            </w:r>
            <w:proofErr w:type="spellEnd"/>
            <w:r w:rsidRPr="0015571A">
              <w:rPr>
                <w:rFonts w:cstheme="minorHAnsi"/>
                <w:sz w:val="20"/>
                <w:szCs w:val="20"/>
              </w:rPr>
              <w:t xml:space="preserve">, </w:t>
            </w:r>
            <w:proofErr w:type="spellStart"/>
            <w:r w:rsidRPr="0015571A">
              <w:rPr>
                <w:rFonts w:cstheme="minorHAnsi"/>
                <w:sz w:val="20"/>
                <w:szCs w:val="20"/>
              </w:rPr>
              <w:t>uz</w:t>
            </w:r>
            <w:proofErr w:type="spellEnd"/>
            <w:r w:rsidRPr="0015571A">
              <w:rPr>
                <w:rFonts w:cstheme="minorHAnsi"/>
                <w:sz w:val="20"/>
                <w:szCs w:val="20"/>
              </w:rPr>
              <w:t xml:space="preserve"> </w:t>
            </w:r>
            <w:proofErr w:type="spellStart"/>
            <w:r w:rsidRPr="0015571A">
              <w:rPr>
                <w:rFonts w:cstheme="minorHAnsi"/>
                <w:sz w:val="20"/>
                <w:szCs w:val="20"/>
              </w:rPr>
              <w:t>moguće</w:t>
            </w:r>
            <w:proofErr w:type="spellEnd"/>
            <w:r w:rsidRPr="0015571A">
              <w:rPr>
                <w:rFonts w:cstheme="minorHAnsi"/>
                <w:sz w:val="20"/>
                <w:szCs w:val="20"/>
              </w:rPr>
              <w:t xml:space="preserve"> </w:t>
            </w:r>
            <w:proofErr w:type="spellStart"/>
            <w:r w:rsidRPr="0015571A">
              <w:rPr>
                <w:rFonts w:cstheme="minorHAnsi"/>
                <w:sz w:val="20"/>
                <w:szCs w:val="20"/>
              </w:rPr>
              <w:t>izmjene</w:t>
            </w:r>
            <w:proofErr w:type="spellEnd"/>
            <w:r w:rsidRPr="0015571A">
              <w:rPr>
                <w:rFonts w:cstheme="minorHAnsi"/>
                <w:sz w:val="20"/>
                <w:szCs w:val="20"/>
              </w:rPr>
              <w:t xml:space="preserve"> </w:t>
            </w:r>
            <w:proofErr w:type="spellStart"/>
            <w:r w:rsidRPr="0015571A">
              <w:rPr>
                <w:rFonts w:cstheme="minorHAnsi"/>
                <w:sz w:val="20"/>
                <w:szCs w:val="20"/>
              </w:rPr>
              <w:t>temeljene</w:t>
            </w:r>
            <w:proofErr w:type="spellEnd"/>
            <w:r w:rsidRPr="0015571A">
              <w:rPr>
                <w:rFonts w:cstheme="minorHAnsi"/>
                <w:sz w:val="20"/>
                <w:szCs w:val="20"/>
              </w:rPr>
              <w:t xml:space="preserve"> </w:t>
            </w:r>
            <w:proofErr w:type="spellStart"/>
            <w:r w:rsidRPr="0015571A">
              <w:rPr>
                <w:rFonts w:cstheme="minorHAnsi"/>
                <w:sz w:val="20"/>
                <w:szCs w:val="20"/>
              </w:rPr>
              <w:t>na</w:t>
            </w:r>
            <w:proofErr w:type="spellEnd"/>
            <w:r w:rsidRPr="0015571A">
              <w:rPr>
                <w:rFonts w:cstheme="minorHAnsi"/>
                <w:sz w:val="20"/>
                <w:szCs w:val="20"/>
              </w:rPr>
              <w:t xml:space="preserve"> </w:t>
            </w:r>
            <w:proofErr w:type="spellStart"/>
            <w:r w:rsidRPr="0015571A">
              <w:rPr>
                <w:rFonts w:cstheme="minorHAnsi"/>
                <w:sz w:val="20"/>
                <w:szCs w:val="20"/>
              </w:rPr>
              <w:t>prikupljenim</w:t>
            </w:r>
            <w:proofErr w:type="spellEnd"/>
            <w:r w:rsidRPr="0015571A">
              <w:rPr>
                <w:rFonts w:cstheme="minorHAnsi"/>
                <w:sz w:val="20"/>
                <w:szCs w:val="20"/>
              </w:rPr>
              <w:t xml:space="preserve"> </w:t>
            </w:r>
            <w:proofErr w:type="spellStart"/>
            <w:r w:rsidRPr="0015571A">
              <w:rPr>
                <w:rFonts w:cstheme="minorHAnsi"/>
                <w:sz w:val="20"/>
                <w:szCs w:val="20"/>
              </w:rPr>
              <w:t>iskustvima</w:t>
            </w:r>
            <w:proofErr w:type="spellEnd"/>
          </w:p>
        </w:tc>
      </w:tr>
      <w:tr w:rsidR="00A00D87" w:rsidRPr="0015571A" w14:paraId="727933E5" w14:textId="77777777" w:rsidTr="00122946">
        <w:trPr>
          <w:trHeight w:val="104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46A9AD"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Institucija</w:t>
            </w:r>
            <w:proofErr w:type="spellEnd"/>
            <w:r w:rsidRPr="0015571A">
              <w:rPr>
                <w:rFonts w:cstheme="minorHAnsi"/>
                <w:b/>
                <w:sz w:val="20"/>
                <w:szCs w:val="20"/>
              </w:rPr>
              <w:t xml:space="preserve"> </w:t>
            </w:r>
          </w:p>
          <w:p w14:paraId="2BE83C3F"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odgovorna</w:t>
            </w:r>
            <w:proofErr w:type="spellEnd"/>
            <w:r w:rsidRPr="0015571A">
              <w:rPr>
                <w:rFonts w:cstheme="minorHAnsi"/>
                <w:b/>
                <w:sz w:val="20"/>
                <w:szCs w:val="20"/>
              </w:rPr>
              <w:t xml:space="preserve"> za </w:t>
            </w:r>
            <w:proofErr w:type="spellStart"/>
            <w:r w:rsidRPr="0015571A">
              <w:rPr>
                <w:rFonts w:cstheme="minorHAnsi"/>
                <w:b/>
                <w:sz w:val="20"/>
                <w:szCs w:val="20"/>
              </w:rPr>
              <w:t>koordinaciju</w:t>
            </w:r>
            <w:proofErr w:type="spellEnd"/>
            <w:r w:rsidRPr="0015571A">
              <w:rPr>
                <w:rFonts w:cstheme="minorHAnsi"/>
                <w:b/>
                <w:sz w:val="20"/>
                <w:szCs w:val="20"/>
              </w:rPr>
              <w:t xml:space="preserve"> </w:t>
            </w:r>
            <w:proofErr w:type="spellStart"/>
            <w:r w:rsidRPr="0015571A">
              <w:rPr>
                <w:rFonts w:cstheme="minorHAnsi"/>
                <w:b/>
                <w:sz w:val="20"/>
                <w:szCs w:val="20"/>
              </w:rPr>
              <w:t>implementacije</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075C1408" w14:textId="3C96BA0E" w:rsidR="00A00D87" w:rsidRPr="0015571A" w:rsidRDefault="00A00D87" w:rsidP="00E6560A">
            <w:pPr>
              <w:spacing w:line="259" w:lineRule="auto"/>
              <w:ind w:left="1"/>
              <w:jc w:val="both"/>
              <w:rPr>
                <w:rFonts w:cstheme="minorHAnsi"/>
                <w:sz w:val="20"/>
                <w:szCs w:val="20"/>
              </w:rPr>
            </w:pPr>
            <w:r w:rsidRPr="0015571A">
              <w:rPr>
                <w:rFonts w:cstheme="minorHAnsi"/>
                <w:sz w:val="20"/>
                <w:szCs w:val="20"/>
              </w:rPr>
              <w:t xml:space="preserve">Federalno ministarstvo </w:t>
            </w:r>
            <w:proofErr w:type="spellStart"/>
            <w:r w:rsidR="007B690C" w:rsidRPr="0015571A">
              <w:rPr>
                <w:rFonts w:cstheme="minorHAnsi"/>
                <w:sz w:val="20"/>
                <w:szCs w:val="20"/>
              </w:rPr>
              <w:t>financ</w:t>
            </w:r>
            <w:r w:rsidRPr="0015571A">
              <w:rPr>
                <w:rFonts w:cstheme="minorHAnsi"/>
                <w:sz w:val="20"/>
                <w:szCs w:val="20"/>
              </w:rPr>
              <w:t>ija</w:t>
            </w:r>
            <w:proofErr w:type="spellEnd"/>
            <w:r w:rsidRPr="0015571A">
              <w:rPr>
                <w:rFonts w:cstheme="minorHAnsi"/>
                <w:sz w:val="20"/>
                <w:szCs w:val="20"/>
              </w:rPr>
              <w:t xml:space="preserve"> i Federalno ministarstvo prostornog uređenja </w:t>
            </w:r>
          </w:p>
        </w:tc>
      </w:tr>
      <w:tr w:rsidR="00A00D87" w:rsidRPr="0015571A" w14:paraId="654C4922" w14:textId="77777777" w:rsidTr="00122946">
        <w:trPr>
          <w:trHeight w:val="42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EC8D2DA"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lastRenderedPageBreak/>
              <w:t>Nosioci</w:t>
            </w:r>
            <w:proofErr w:type="spellEnd"/>
            <w:r w:rsidRPr="0015571A">
              <w:rPr>
                <w:rFonts w:cstheme="minorHAnsi"/>
                <w:b/>
                <w:sz w:val="20"/>
                <w:szCs w:val="20"/>
              </w:rPr>
              <w:t xml:space="preserve"> </w:t>
            </w:r>
            <w:proofErr w:type="spellStart"/>
            <w:r w:rsidRPr="0015571A">
              <w:rPr>
                <w:rFonts w:cstheme="minorHAnsi"/>
                <w:b/>
                <w:sz w:val="20"/>
                <w:szCs w:val="20"/>
              </w:rPr>
              <w:t>mjere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694DB602" w14:textId="6CA5AF4B" w:rsidR="00A00D87" w:rsidRPr="0015571A" w:rsidRDefault="00A00D87" w:rsidP="00E6560A">
            <w:pPr>
              <w:spacing w:line="259" w:lineRule="auto"/>
              <w:ind w:left="1" w:right="3"/>
              <w:jc w:val="both"/>
              <w:rPr>
                <w:rFonts w:cstheme="minorHAnsi"/>
                <w:sz w:val="20"/>
                <w:szCs w:val="20"/>
              </w:rPr>
            </w:pPr>
            <w:r w:rsidRPr="0015571A">
              <w:rPr>
                <w:rFonts w:cstheme="minorHAnsi"/>
                <w:sz w:val="20"/>
                <w:szCs w:val="20"/>
              </w:rPr>
              <w:t xml:space="preserve">Federalno ministarstvo prostornog uređenja, Federalno ministarstvo </w:t>
            </w:r>
            <w:proofErr w:type="spellStart"/>
            <w:r w:rsidR="007B690C" w:rsidRPr="0015571A">
              <w:rPr>
                <w:rFonts w:cstheme="minorHAnsi"/>
                <w:sz w:val="20"/>
                <w:szCs w:val="20"/>
              </w:rPr>
              <w:t>financ</w:t>
            </w:r>
            <w:r w:rsidRPr="0015571A">
              <w:rPr>
                <w:rFonts w:cstheme="minorHAnsi"/>
                <w:sz w:val="20"/>
                <w:szCs w:val="20"/>
              </w:rPr>
              <w:t>ija</w:t>
            </w:r>
            <w:proofErr w:type="spellEnd"/>
            <w:r w:rsidRPr="0015571A">
              <w:rPr>
                <w:rFonts w:cstheme="minorHAnsi"/>
                <w:sz w:val="20"/>
                <w:szCs w:val="20"/>
              </w:rPr>
              <w:t xml:space="preserve">, Zavod za zaštitu spomenika (Federalno ministarstvo </w:t>
            </w:r>
            <w:proofErr w:type="spellStart"/>
            <w:r w:rsidRPr="0015571A">
              <w:rPr>
                <w:rFonts w:cstheme="minorHAnsi"/>
                <w:sz w:val="20"/>
                <w:szCs w:val="20"/>
              </w:rPr>
              <w:t>kulture</w:t>
            </w:r>
            <w:proofErr w:type="spellEnd"/>
            <w:r w:rsidRPr="0015571A">
              <w:rPr>
                <w:rFonts w:cstheme="minorHAnsi"/>
                <w:sz w:val="20"/>
                <w:szCs w:val="20"/>
              </w:rPr>
              <w:t xml:space="preserve"> i </w:t>
            </w:r>
            <w:proofErr w:type="spellStart"/>
            <w:r w:rsidRPr="0015571A">
              <w:rPr>
                <w:rFonts w:cstheme="minorHAnsi"/>
                <w:sz w:val="20"/>
                <w:szCs w:val="20"/>
              </w:rPr>
              <w:t>sporta</w:t>
            </w:r>
            <w:proofErr w:type="spellEnd"/>
            <w:r w:rsidRPr="0015571A">
              <w:rPr>
                <w:rFonts w:cstheme="minorHAnsi"/>
                <w:sz w:val="20"/>
                <w:szCs w:val="20"/>
              </w:rPr>
              <w:t xml:space="preserve">), Fond za zaštitu okoliša FBiH, Federalno ministarstvo rada i </w:t>
            </w:r>
            <w:proofErr w:type="spellStart"/>
            <w:r w:rsidRPr="0015571A">
              <w:rPr>
                <w:rFonts w:cstheme="minorHAnsi"/>
                <w:sz w:val="20"/>
                <w:szCs w:val="20"/>
              </w:rPr>
              <w:t>socijalne</w:t>
            </w:r>
            <w:proofErr w:type="spellEnd"/>
            <w:r w:rsidRPr="0015571A">
              <w:rPr>
                <w:rFonts w:cstheme="minorHAnsi"/>
                <w:sz w:val="20"/>
                <w:szCs w:val="20"/>
              </w:rPr>
              <w:t xml:space="preserve"> </w:t>
            </w:r>
            <w:proofErr w:type="spellStart"/>
            <w:r w:rsidRPr="0015571A">
              <w:rPr>
                <w:rFonts w:cstheme="minorHAnsi"/>
                <w:sz w:val="20"/>
                <w:szCs w:val="20"/>
              </w:rPr>
              <w:t>politike</w:t>
            </w:r>
            <w:proofErr w:type="spellEnd"/>
            <w:r w:rsidRPr="0015571A">
              <w:rPr>
                <w:rFonts w:cstheme="minorHAnsi"/>
                <w:sz w:val="20"/>
                <w:szCs w:val="20"/>
              </w:rPr>
              <w:t>, Federalno ministarstv</w:t>
            </w:r>
            <w:r w:rsidR="003C2431" w:rsidRPr="0015571A">
              <w:rPr>
                <w:rFonts w:cstheme="minorHAnsi"/>
                <w:sz w:val="20"/>
                <w:szCs w:val="20"/>
              </w:rPr>
              <w:t>o</w:t>
            </w:r>
            <w:r w:rsidRPr="0015571A">
              <w:rPr>
                <w:rFonts w:cstheme="minorHAnsi"/>
                <w:sz w:val="20"/>
                <w:szCs w:val="20"/>
              </w:rPr>
              <w:t xml:space="preserve"> energije, rudarstva i industrije, </w:t>
            </w:r>
            <w:proofErr w:type="spellStart"/>
            <w:r w:rsidRPr="0015571A">
              <w:rPr>
                <w:rFonts w:cstheme="minorHAnsi"/>
                <w:sz w:val="20"/>
                <w:szCs w:val="20"/>
              </w:rPr>
              <w:t>kantonalna</w:t>
            </w:r>
            <w:proofErr w:type="spellEnd"/>
            <w:r w:rsidRPr="0015571A">
              <w:rPr>
                <w:rFonts w:cstheme="minorHAnsi"/>
                <w:sz w:val="20"/>
                <w:szCs w:val="20"/>
              </w:rPr>
              <w:t xml:space="preserve"> </w:t>
            </w:r>
            <w:proofErr w:type="spellStart"/>
            <w:r w:rsidRPr="0015571A">
              <w:rPr>
                <w:rFonts w:cstheme="minorHAnsi"/>
                <w:sz w:val="20"/>
                <w:szCs w:val="20"/>
              </w:rPr>
              <w:t>ministarstva</w:t>
            </w:r>
            <w:proofErr w:type="spellEnd"/>
            <w:r w:rsidRPr="0015571A">
              <w:rPr>
                <w:rFonts w:cstheme="minorHAnsi"/>
                <w:sz w:val="20"/>
                <w:szCs w:val="20"/>
              </w:rPr>
              <w:t xml:space="preserve"> </w:t>
            </w:r>
            <w:proofErr w:type="spellStart"/>
            <w:proofErr w:type="gramStart"/>
            <w:r w:rsidR="007B690C" w:rsidRPr="0015571A">
              <w:rPr>
                <w:rFonts w:cstheme="minorHAnsi"/>
                <w:sz w:val="20"/>
                <w:szCs w:val="20"/>
              </w:rPr>
              <w:t>financ</w:t>
            </w:r>
            <w:r w:rsidRPr="0015571A">
              <w:rPr>
                <w:rFonts w:cstheme="minorHAnsi"/>
                <w:sz w:val="20"/>
                <w:szCs w:val="20"/>
              </w:rPr>
              <w:t>ija</w:t>
            </w:r>
            <w:proofErr w:type="spellEnd"/>
            <w:r w:rsidRPr="0015571A">
              <w:rPr>
                <w:rFonts w:cstheme="minorHAnsi"/>
                <w:sz w:val="20"/>
                <w:szCs w:val="20"/>
              </w:rPr>
              <w:t xml:space="preserve">,  </w:t>
            </w:r>
            <w:proofErr w:type="spellStart"/>
            <w:r w:rsidRPr="0015571A">
              <w:rPr>
                <w:rFonts w:cstheme="minorHAnsi"/>
                <w:sz w:val="20"/>
                <w:szCs w:val="20"/>
              </w:rPr>
              <w:t>kantonalna</w:t>
            </w:r>
            <w:proofErr w:type="spellEnd"/>
            <w:proofErr w:type="gramEnd"/>
            <w:r w:rsidRPr="0015571A">
              <w:rPr>
                <w:rFonts w:cstheme="minorHAnsi"/>
                <w:sz w:val="20"/>
                <w:szCs w:val="20"/>
              </w:rPr>
              <w:t xml:space="preserve"> </w:t>
            </w:r>
            <w:proofErr w:type="spellStart"/>
            <w:r w:rsidRPr="0015571A">
              <w:rPr>
                <w:rFonts w:cstheme="minorHAnsi"/>
                <w:sz w:val="20"/>
                <w:szCs w:val="20"/>
              </w:rPr>
              <w:t>ministarstva</w:t>
            </w:r>
            <w:proofErr w:type="spellEnd"/>
            <w:r w:rsidRPr="0015571A">
              <w:rPr>
                <w:rFonts w:cstheme="minorHAnsi"/>
                <w:sz w:val="20"/>
                <w:szCs w:val="20"/>
              </w:rPr>
              <w:t xml:space="preserve"> </w:t>
            </w:r>
            <w:proofErr w:type="spellStart"/>
            <w:r w:rsidRPr="0015571A">
              <w:rPr>
                <w:rFonts w:cstheme="minorHAnsi"/>
                <w:sz w:val="20"/>
                <w:szCs w:val="20"/>
              </w:rPr>
              <w:t>nadležna</w:t>
            </w:r>
            <w:proofErr w:type="spellEnd"/>
            <w:r w:rsidRPr="0015571A">
              <w:rPr>
                <w:rFonts w:cstheme="minorHAnsi"/>
                <w:sz w:val="20"/>
                <w:szCs w:val="20"/>
              </w:rPr>
              <w:t xml:space="preserve"> za </w:t>
            </w:r>
            <w:proofErr w:type="spellStart"/>
            <w:r w:rsidRPr="0015571A">
              <w:rPr>
                <w:rFonts w:cstheme="minorHAnsi"/>
                <w:sz w:val="20"/>
                <w:szCs w:val="20"/>
              </w:rPr>
              <w:t>prostorno</w:t>
            </w:r>
            <w:proofErr w:type="spellEnd"/>
            <w:r w:rsidRPr="0015571A">
              <w:rPr>
                <w:rFonts w:cstheme="minorHAnsi"/>
                <w:sz w:val="20"/>
                <w:szCs w:val="20"/>
              </w:rPr>
              <w:t xml:space="preserve"> </w:t>
            </w:r>
            <w:proofErr w:type="spellStart"/>
            <w:r w:rsidRPr="0015571A">
              <w:rPr>
                <w:rFonts w:cstheme="minorHAnsi"/>
                <w:sz w:val="20"/>
                <w:szCs w:val="20"/>
              </w:rPr>
              <w:t>uređenje</w:t>
            </w:r>
            <w:proofErr w:type="spellEnd"/>
            <w:r w:rsidRPr="0015571A">
              <w:rPr>
                <w:rFonts w:cstheme="minorHAnsi"/>
                <w:sz w:val="20"/>
                <w:szCs w:val="20"/>
              </w:rPr>
              <w:t xml:space="preserve">, </w:t>
            </w:r>
            <w:proofErr w:type="spellStart"/>
            <w:r w:rsidRPr="0015571A">
              <w:rPr>
                <w:rFonts w:cstheme="minorHAnsi"/>
                <w:sz w:val="20"/>
                <w:szCs w:val="20"/>
              </w:rPr>
              <w:t>te</w:t>
            </w:r>
            <w:proofErr w:type="spellEnd"/>
            <w:r w:rsidRPr="0015571A">
              <w:rPr>
                <w:rFonts w:cstheme="minorHAnsi"/>
                <w:sz w:val="20"/>
                <w:szCs w:val="20"/>
              </w:rPr>
              <w:t xml:space="preserve"> </w:t>
            </w:r>
            <w:proofErr w:type="spellStart"/>
            <w:r w:rsidRPr="0015571A">
              <w:rPr>
                <w:rFonts w:cstheme="minorHAnsi"/>
                <w:sz w:val="20"/>
                <w:szCs w:val="20"/>
              </w:rPr>
              <w:t>jedinice</w:t>
            </w:r>
            <w:proofErr w:type="spellEnd"/>
            <w:r w:rsidRPr="0015571A">
              <w:rPr>
                <w:rFonts w:cstheme="minorHAnsi"/>
                <w:sz w:val="20"/>
                <w:szCs w:val="20"/>
              </w:rPr>
              <w:t xml:space="preserve"> </w:t>
            </w:r>
            <w:proofErr w:type="spellStart"/>
            <w:r w:rsidRPr="0015571A">
              <w:rPr>
                <w:rFonts w:cstheme="minorHAnsi"/>
                <w:sz w:val="20"/>
                <w:szCs w:val="20"/>
              </w:rPr>
              <w:t>lokalne</w:t>
            </w:r>
            <w:proofErr w:type="spellEnd"/>
            <w:r w:rsidRPr="0015571A">
              <w:rPr>
                <w:rFonts w:cstheme="minorHAnsi"/>
                <w:sz w:val="20"/>
                <w:szCs w:val="20"/>
              </w:rPr>
              <w:t xml:space="preserve"> </w:t>
            </w:r>
            <w:proofErr w:type="spellStart"/>
            <w:r w:rsidRPr="0015571A">
              <w:rPr>
                <w:rFonts w:cstheme="minorHAnsi"/>
                <w:sz w:val="20"/>
                <w:szCs w:val="20"/>
              </w:rPr>
              <w:t>samouprave</w:t>
            </w:r>
            <w:proofErr w:type="spellEnd"/>
            <w:r w:rsidRPr="0015571A">
              <w:rPr>
                <w:rFonts w:cstheme="minorHAnsi"/>
                <w:sz w:val="20"/>
                <w:szCs w:val="20"/>
              </w:rPr>
              <w:t>.</w:t>
            </w:r>
          </w:p>
        </w:tc>
      </w:tr>
      <w:tr w:rsidR="00A00D87" w:rsidRPr="0015571A" w14:paraId="7EEDF6CC"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A9E9876" w14:textId="77777777" w:rsidR="00A00D87" w:rsidRPr="0015571A" w:rsidRDefault="00A00D87" w:rsidP="00122946">
            <w:pPr>
              <w:spacing w:line="259" w:lineRule="auto"/>
              <w:rPr>
                <w:rFonts w:cstheme="minorHAnsi"/>
                <w:sz w:val="20"/>
                <w:szCs w:val="20"/>
              </w:rPr>
            </w:pPr>
            <w:proofErr w:type="spellStart"/>
            <w:r w:rsidRPr="0015571A">
              <w:rPr>
                <w:rFonts w:cstheme="minorHAnsi"/>
                <w:b/>
                <w:sz w:val="20"/>
                <w:szCs w:val="20"/>
              </w:rPr>
              <w:t>Ciljne</w:t>
            </w:r>
            <w:proofErr w:type="spellEnd"/>
            <w:r w:rsidRPr="0015571A">
              <w:rPr>
                <w:rFonts w:cstheme="minorHAnsi"/>
                <w:b/>
                <w:sz w:val="20"/>
                <w:szCs w:val="20"/>
              </w:rPr>
              <w:t xml:space="preserve"> </w:t>
            </w:r>
            <w:proofErr w:type="spellStart"/>
            <w:r w:rsidRPr="0015571A">
              <w:rPr>
                <w:rFonts w:cstheme="minorHAnsi"/>
                <w:b/>
                <w:sz w:val="20"/>
                <w:szCs w:val="20"/>
              </w:rPr>
              <w:t>grupe</w:t>
            </w:r>
            <w:proofErr w:type="spellEnd"/>
            <w:r w:rsidRPr="0015571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714BAB0D" w14:textId="77777777" w:rsidR="00A00D87" w:rsidRPr="0015571A" w:rsidRDefault="00A00D87" w:rsidP="00E6560A">
            <w:pPr>
              <w:spacing w:line="259" w:lineRule="auto"/>
              <w:ind w:left="1"/>
              <w:jc w:val="both"/>
              <w:rPr>
                <w:rFonts w:cstheme="minorHAnsi"/>
                <w:sz w:val="20"/>
                <w:szCs w:val="20"/>
              </w:rPr>
            </w:pPr>
            <w:proofErr w:type="spellStart"/>
            <w:r w:rsidRPr="0015571A">
              <w:rPr>
                <w:rFonts w:cstheme="minorHAnsi"/>
                <w:sz w:val="20"/>
                <w:szCs w:val="20"/>
              </w:rPr>
              <w:t>Vlasnici</w:t>
            </w:r>
            <w:proofErr w:type="spellEnd"/>
            <w:r w:rsidRPr="0015571A">
              <w:rPr>
                <w:rFonts w:cstheme="minorHAnsi"/>
                <w:sz w:val="20"/>
                <w:szCs w:val="20"/>
              </w:rPr>
              <w:t xml:space="preserve"> i </w:t>
            </w:r>
            <w:proofErr w:type="spellStart"/>
            <w:proofErr w:type="gramStart"/>
            <w:r w:rsidRPr="0015571A">
              <w:rPr>
                <w:rFonts w:cstheme="minorHAnsi"/>
                <w:sz w:val="20"/>
                <w:szCs w:val="20"/>
              </w:rPr>
              <w:t>korisnici</w:t>
            </w:r>
            <w:proofErr w:type="spellEnd"/>
            <w:r w:rsidRPr="0015571A">
              <w:rPr>
                <w:rFonts w:cstheme="minorHAnsi"/>
                <w:sz w:val="20"/>
                <w:szCs w:val="20"/>
              </w:rPr>
              <w:t xml:space="preserve">  </w:t>
            </w:r>
            <w:proofErr w:type="spellStart"/>
            <w:r w:rsidRPr="0015571A">
              <w:rPr>
                <w:rFonts w:cstheme="minorHAnsi"/>
                <w:sz w:val="20"/>
                <w:szCs w:val="20"/>
              </w:rPr>
              <w:t>stambenih</w:t>
            </w:r>
            <w:proofErr w:type="spellEnd"/>
            <w:proofErr w:type="gramEnd"/>
            <w:r w:rsidRPr="0015571A">
              <w:rPr>
                <w:rFonts w:cstheme="minorHAnsi"/>
                <w:sz w:val="20"/>
                <w:szCs w:val="20"/>
              </w:rPr>
              <w:t xml:space="preserve">, </w:t>
            </w:r>
            <w:proofErr w:type="spellStart"/>
            <w:r w:rsidRPr="0015571A">
              <w:rPr>
                <w:rFonts w:cstheme="minorHAnsi"/>
                <w:sz w:val="20"/>
                <w:szCs w:val="20"/>
              </w:rPr>
              <w:t>komercijalnih</w:t>
            </w:r>
            <w:proofErr w:type="spellEnd"/>
            <w:r w:rsidRPr="0015571A">
              <w:rPr>
                <w:rFonts w:cstheme="minorHAnsi"/>
                <w:sz w:val="20"/>
                <w:szCs w:val="20"/>
              </w:rPr>
              <w:t xml:space="preserve"> </w:t>
            </w:r>
            <w:proofErr w:type="spellStart"/>
            <w:r w:rsidRPr="0015571A">
              <w:rPr>
                <w:rFonts w:cstheme="minorHAnsi"/>
                <w:sz w:val="20"/>
                <w:szCs w:val="20"/>
              </w:rPr>
              <w:t>te</w:t>
            </w:r>
            <w:proofErr w:type="spellEnd"/>
            <w:r w:rsidRPr="0015571A">
              <w:rPr>
                <w:rFonts w:cstheme="minorHAnsi"/>
                <w:sz w:val="20"/>
                <w:szCs w:val="20"/>
              </w:rPr>
              <w:t xml:space="preserve"> </w:t>
            </w:r>
            <w:proofErr w:type="spellStart"/>
            <w:r w:rsidRPr="0015571A">
              <w:rPr>
                <w:rFonts w:cstheme="minorHAnsi"/>
                <w:sz w:val="20"/>
                <w:szCs w:val="20"/>
              </w:rPr>
              <w:t>zgrada</w:t>
            </w:r>
            <w:proofErr w:type="spellEnd"/>
            <w:r w:rsidRPr="0015571A">
              <w:rPr>
                <w:rFonts w:cstheme="minorHAnsi"/>
                <w:sz w:val="20"/>
                <w:szCs w:val="20"/>
              </w:rPr>
              <w:t xml:space="preserve"> </w:t>
            </w:r>
            <w:proofErr w:type="spellStart"/>
            <w:r w:rsidRPr="0015571A">
              <w:rPr>
                <w:rFonts w:cstheme="minorHAnsi"/>
                <w:sz w:val="20"/>
                <w:szCs w:val="20"/>
              </w:rPr>
              <w:t>sa</w:t>
            </w:r>
            <w:proofErr w:type="spellEnd"/>
            <w:r w:rsidRPr="0015571A">
              <w:rPr>
                <w:rFonts w:cstheme="minorHAnsi"/>
                <w:sz w:val="20"/>
                <w:szCs w:val="20"/>
              </w:rPr>
              <w:t xml:space="preserve"> </w:t>
            </w:r>
            <w:proofErr w:type="spellStart"/>
            <w:r w:rsidRPr="0015571A">
              <w:rPr>
                <w:rFonts w:cstheme="minorHAnsi"/>
                <w:sz w:val="20"/>
                <w:szCs w:val="20"/>
              </w:rPr>
              <w:t>statusom</w:t>
            </w:r>
            <w:proofErr w:type="spellEnd"/>
            <w:r w:rsidRPr="0015571A">
              <w:rPr>
                <w:rFonts w:cstheme="minorHAnsi"/>
                <w:sz w:val="20"/>
                <w:szCs w:val="20"/>
              </w:rPr>
              <w:t xml:space="preserve"> </w:t>
            </w:r>
            <w:proofErr w:type="spellStart"/>
            <w:r w:rsidRPr="0015571A">
              <w:rPr>
                <w:rFonts w:cstheme="minorHAnsi"/>
                <w:sz w:val="20"/>
                <w:szCs w:val="20"/>
              </w:rPr>
              <w:t>nacionalnih</w:t>
            </w:r>
            <w:proofErr w:type="spellEnd"/>
            <w:r w:rsidRPr="0015571A">
              <w:rPr>
                <w:rFonts w:cstheme="minorHAnsi"/>
                <w:sz w:val="20"/>
                <w:szCs w:val="20"/>
              </w:rPr>
              <w:t xml:space="preserve"> spomenika, </w:t>
            </w:r>
            <w:proofErr w:type="spellStart"/>
            <w:r w:rsidRPr="0015571A">
              <w:rPr>
                <w:rFonts w:cstheme="minorHAnsi"/>
                <w:sz w:val="20"/>
                <w:szCs w:val="20"/>
              </w:rPr>
              <w:t>kao</w:t>
            </w:r>
            <w:proofErr w:type="spellEnd"/>
            <w:r w:rsidRPr="0015571A">
              <w:rPr>
                <w:rFonts w:cstheme="minorHAnsi"/>
                <w:sz w:val="20"/>
                <w:szCs w:val="20"/>
              </w:rPr>
              <w:t xml:space="preserve"> i </w:t>
            </w:r>
            <w:proofErr w:type="spellStart"/>
            <w:r w:rsidRPr="0015571A">
              <w:rPr>
                <w:rFonts w:cstheme="minorHAnsi"/>
                <w:sz w:val="20"/>
                <w:szCs w:val="20"/>
              </w:rPr>
              <w:t>upravitelji</w:t>
            </w:r>
            <w:proofErr w:type="spellEnd"/>
            <w:r w:rsidRPr="0015571A">
              <w:rPr>
                <w:rFonts w:cstheme="minorHAnsi"/>
                <w:sz w:val="20"/>
                <w:szCs w:val="20"/>
              </w:rPr>
              <w:t xml:space="preserve">, </w:t>
            </w:r>
            <w:proofErr w:type="spellStart"/>
            <w:r w:rsidRPr="0015571A">
              <w:rPr>
                <w:rFonts w:cstheme="minorHAnsi"/>
                <w:sz w:val="20"/>
                <w:szCs w:val="20"/>
              </w:rPr>
              <w:t>te</w:t>
            </w:r>
            <w:proofErr w:type="spellEnd"/>
            <w:r w:rsidRPr="0015571A">
              <w:rPr>
                <w:rFonts w:cstheme="minorHAnsi"/>
                <w:sz w:val="20"/>
                <w:szCs w:val="20"/>
              </w:rPr>
              <w:t xml:space="preserve"> </w:t>
            </w:r>
            <w:proofErr w:type="spellStart"/>
            <w:r w:rsidRPr="0015571A">
              <w:rPr>
                <w:rFonts w:cstheme="minorHAnsi"/>
                <w:sz w:val="20"/>
                <w:szCs w:val="20"/>
              </w:rPr>
              <w:t>posebno</w:t>
            </w:r>
            <w:proofErr w:type="spellEnd"/>
            <w:r w:rsidRPr="0015571A">
              <w:rPr>
                <w:rFonts w:cstheme="minorHAnsi"/>
                <w:sz w:val="20"/>
                <w:szCs w:val="20"/>
              </w:rPr>
              <w:t xml:space="preserve"> </w:t>
            </w:r>
            <w:proofErr w:type="spellStart"/>
            <w:r w:rsidRPr="0015571A">
              <w:rPr>
                <w:rFonts w:cstheme="minorHAnsi"/>
                <w:sz w:val="20"/>
                <w:szCs w:val="20"/>
              </w:rPr>
              <w:t>ugrožene</w:t>
            </w:r>
            <w:proofErr w:type="spellEnd"/>
            <w:r w:rsidRPr="0015571A">
              <w:rPr>
                <w:rFonts w:cstheme="minorHAnsi"/>
                <w:sz w:val="20"/>
                <w:szCs w:val="20"/>
              </w:rPr>
              <w:t xml:space="preserve"> </w:t>
            </w:r>
            <w:proofErr w:type="spellStart"/>
            <w:r w:rsidRPr="0015571A">
              <w:rPr>
                <w:rFonts w:cstheme="minorHAnsi"/>
                <w:sz w:val="20"/>
                <w:szCs w:val="20"/>
              </w:rPr>
              <w:t>kategorije</w:t>
            </w:r>
            <w:proofErr w:type="spellEnd"/>
            <w:r w:rsidRPr="0015571A">
              <w:rPr>
                <w:rFonts w:cstheme="minorHAnsi"/>
                <w:sz w:val="20"/>
                <w:szCs w:val="20"/>
              </w:rPr>
              <w:t xml:space="preserve"> </w:t>
            </w:r>
            <w:proofErr w:type="spellStart"/>
            <w:r w:rsidRPr="0015571A">
              <w:rPr>
                <w:rFonts w:cstheme="minorHAnsi"/>
                <w:sz w:val="20"/>
                <w:szCs w:val="20"/>
              </w:rPr>
              <w:t>stanovništva</w:t>
            </w:r>
            <w:proofErr w:type="spellEnd"/>
            <w:r w:rsidRPr="0015571A">
              <w:rPr>
                <w:rFonts w:cstheme="minorHAnsi"/>
                <w:sz w:val="20"/>
                <w:szCs w:val="20"/>
              </w:rPr>
              <w:t>.</w:t>
            </w:r>
          </w:p>
        </w:tc>
      </w:tr>
    </w:tbl>
    <w:p w14:paraId="0A21F1AA" w14:textId="77777777" w:rsidR="00A00D87" w:rsidRDefault="00A00D87" w:rsidP="00A00D87"/>
    <w:p w14:paraId="5340BC7B" w14:textId="77777777" w:rsidR="00A00D87" w:rsidRDefault="00A00D87" w:rsidP="00A00D87"/>
    <w:p w14:paraId="758B9D96" w14:textId="77777777" w:rsidR="00A00D87" w:rsidRDefault="00A00D87" w:rsidP="00A00D87"/>
    <w:p w14:paraId="08297AB5" w14:textId="77777777" w:rsidR="00A00D87" w:rsidRDefault="00A00D87" w:rsidP="00A00D87"/>
    <w:p w14:paraId="3A5524EE" w14:textId="77777777" w:rsidR="00A00D87" w:rsidRDefault="00A00D87" w:rsidP="00A00D87"/>
    <w:p w14:paraId="6F769A9F" w14:textId="77777777" w:rsidR="00A00D87" w:rsidRDefault="00A00D87" w:rsidP="00A00D87"/>
    <w:p w14:paraId="3416AFA3" w14:textId="77777777" w:rsidR="00A00D87" w:rsidRDefault="00A00D87" w:rsidP="00A00D87"/>
    <w:p w14:paraId="655CCD04" w14:textId="77777777" w:rsidR="00A00D87" w:rsidRDefault="00A00D87" w:rsidP="00A00D87"/>
    <w:p w14:paraId="2790C092" w14:textId="77777777" w:rsidR="006D442E" w:rsidRDefault="006D442E" w:rsidP="00A00D87"/>
    <w:p w14:paraId="23A4AE88" w14:textId="77777777" w:rsidR="006D442E" w:rsidRDefault="006D442E" w:rsidP="00A00D87"/>
    <w:p w14:paraId="401E81A9" w14:textId="77777777" w:rsidR="006D442E" w:rsidRDefault="006D442E" w:rsidP="00A00D87"/>
    <w:p w14:paraId="4D1A89CC" w14:textId="77777777" w:rsidR="006D442E" w:rsidRDefault="006D442E" w:rsidP="00A00D87"/>
    <w:p w14:paraId="11AFE8F8" w14:textId="77777777" w:rsidR="006D442E" w:rsidRDefault="006D442E" w:rsidP="00A00D87"/>
    <w:p w14:paraId="394B87A4" w14:textId="77777777" w:rsidR="006D442E" w:rsidRDefault="006D442E" w:rsidP="00A00D87"/>
    <w:p w14:paraId="6A6CF29B" w14:textId="77777777" w:rsidR="00AA02AA" w:rsidRDefault="00AA02AA" w:rsidP="00A00D87"/>
    <w:p w14:paraId="63A3AC90" w14:textId="77777777" w:rsidR="00AA02AA" w:rsidRDefault="00AA02AA" w:rsidP="00A00D87"/>
    <w:p w14:paraId="7AAB51B6" w14:textId="77777777" w:rsidR="00AA02AA" w:rsidRDefault="00AA02AA" w:rsidP="00A00D87"/>
    <w:p w14:paraId="2F178F66" w14:textId="77777777" w:rsidR="00AA02AA" w:rsidRDefault="00AA02AA" w:rsidP="00A00D87"/>
    <w:p w14:paraId="2C55941A" w14:textId="77777777" w:rsidR="00AA02AA" w:rsidRDefault="00AA02AA" w:rsidP="00A00D87"/>
    <w:p w14:paraId="564FB571" w14:textId="77777777" w:rsidR="00AA02AA" w:rsidRDefault="00AA02AA" w:rsidP="00A00D87"/>
    <w:p w14:paraId="082BE9E9" w14:textId="77777777" w:rsidR="00AA02AA" w:rsidRDefault="00AA02AA" w:rsidP="00A00D87"/>
    <w:p w14:paraId="3925AFE0" w14:textId="77777777" w:rsidR="00AA02AA" w:rsidRDefault="00AA02AA" w:rsidP="00A00D87"/>
    <w:p w14:paraId="1E50102B" w14:textId="77777777" w:rsidR="00AA02AA" w:rsidRDefault="00AA02AA" w:rsidP="00A00D87"/>
    <w:p w14:paraId="2140D0FB" w14:textId="77777777" w:rsidR="00AA02AA" w:rsidRDefault="00AA02AA" w:rsidP="00A00D87"/>
    <w:p w14:paraId="1BBA79CF" w14:textId="77777777" w:rsidR="00AA02AA" w:rsidRDefault="00AA02AA" w:rsidP="00A00D87"/>
    <w:p w14:paraId="31BFD8DF" w14:textId="77777777" w:rsidR="00AA02AA" w:rsidRDefault="00AA02AA" w:rsidP="00A00D87"/>
    <w:p w14:paraId="3431F343" w14:textId="77777777" w:rsidR="00A00D87" w:rsidRDefault="00A00D87" w:rsidP="00A00D87"/>
    <w:tbl>
      <w:tblPr>
        <w:tblStyle w:val="TableGrid0"/>
        <w:tblW w:w="9016" w:type="dxa"/>
        <w:tblInd w:w="198" w:type="dxa"/>
        <w:tblCellMar>
          <w:top w:w="5" w:type="dxa"/>
          <w:left w:w="107" w:type="dxa"/>
          <w:right w:w="69" w:type="dxa"/>
        </w:tblCellMar>
        <w:tblLook w:val="04A0" w:firstRow="1" w:lastRow="0" w:firstColumn="1" w:lastColumn="0" w:noHBand="0" w:noVBand="1"/>
      </w:tblPr>
      <w:tblGrid>
        <w:gridCol w:w="1767"/>
        <w:gridCol w:w="3710"/>
        <w:gridCol w:w="2068"/>
        <w:gridCol w:w="1471"/>
      </w:tblGrid>
      <w:tr w:rsidR="00A00D87" w:rsidRPr="00AA02AA" w14:paraId="544B9412" w14:textId="77777777" w:rsidTr="00122946">
        <w:trPr>
          <w:trHeight w:val="42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4E1EE3" w14:textId="77777777" w:rsidR="00A00D87" w:rsidRPr="00AA02AA" w:rsidRDefault="00A00D87" w:rsidP="00122946">
            <w:pPr>
              <w:spacing w:line="259" w:lineRule="auto"/>
              <w:rPr>
                <w:rFonts w:cstheme="minorHAnsi"/>
                <w:sz w:val="20"/>
                <w:szCs w:val="20"/>
              </w:rPr>
            </w:pPr>
            <w:bookmarkStart w:id="264" w:name="_Hlk124235336"/>
            <w:proofErr w:type="spellStart"/>
            <w:r w:rsidRPr="00AA02AA">
              <w:rPr>
                <w:rFonts w:cstheme="minorHAnsi"/>
                <w:b/>
                <w:sz w:val="20"/>
                <w:szCs w:val="20"/>
              </w:rPr>
              <w:lastRenderedPageBreak/>
              <w:t>Veza</w:t>
            </w:r>
            <w:proofErr w:type="spellEnd"/>
            <w:r w:rsidRPr="00AA02AA">
              <w:rPr>
                <w:rFonts w:cstheme="minorHAnsi"/>
                <w:b/>
                <w:sz w:val="20"/>
                <w:szCs w:val="20"/>
              </w:rPr>
              <w:t xml:space="preserve"> </w:t>
            </w:r>
            <w:proofErr w:type="spellStart"/>
            <w:r w:rsidRPr="00AA02AA">
              <w:rPr>
                <w:rFonts w:cstheme="minorHAnsi"/>
                <w:b/>
                <w:sz w:val="20"/>
                <w:szCs w:val="20"/>
              </w:rPr>
              <w:t>sa</w:t>
            </w:r>
            <w:proofErr w:type="spellEnd"/>
            <w:r w:rsidRPr="00AA02AA">
              <w:rPr>
                <w:rFonts w:cstheme="minorHAnsi"/>
                <w:b/>
                <w:sz w:val="20"/>
                <w:szCs w:val="20"/>
              </w:rPr>
              <w:t xml:space="preserve"> </w:t>
            </w:r>
            <w:proofErr w:type="spellStart"/>
            <w:r w:rsidRPr="00AA02AA">
              <w:rPr>
                <w:rFonts w:cstheme="minorHAnsi"/>
                <w:b/>
                <w:sz w:val="20"/>
                <w:szCs w:val="20"/>
              </w:rPr>
              <w:t>strateškim</w:t>
            </w:r>
            <w:proofErr w:type="spellEnd"/>
            <w:r w:rsidRPr="00AA02AA">
              <w:rPr>
                <w:rFonts w:cstheme="minorHAnsi"/>
                <w:b/>
                <w:sz w:val="20"/>
                <w:szCs w:val="20"/>
              </w:rPr>
              <w:t xml:space="preserve"> </w:t>
            </w:r>
            <w:proofErr w:type="spellStart"/>
            <w:r w:rsidRPr="00AA02AA">
              <w:rPr>
                <w:rFonts w:cstheme="minorHAnsi"/>
                <w:b/>
                <w:sz w:val="20"/>
                <w:szCs w:val="20"/>
              </w:rPr>
              <w:t>ciljem</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7F03EA97" w14:textId="77777777" w:rsidR="00A00D87" w:rsidRPr="00AA02AA" w:rsidRDefault="00A00D87" w:rsidP="00122946">
            <w:pPr>
              <w:spacing w:line="259" w:lineRule="auto"/>
              <w:ind w:left="1"/>
              <w:rPr>
                <w:rFonts w:cstheme="minorHAnsi"/>
                <w:sz w:val="20"/>
                <w:szCs w:val="20"/>
              </w:rPr>
            </w:pPr>
            <w:r w:rsidRPr="00AA02AA">
              <w:rPr>
                <w:rFonts w:cstheme="minorHAnsi"/>
                <w:b/>
                <w:sz w:val="20"/>
                <w:szCs w:val="20"/>
              </w:rPr>
              <w:t xml:space="preserve">1. </w:t>
            </w:r>
            <w:proofErr w:type="spellStart"/>
            <w:r w:rsidRPr="00AA02AA">
              <w:rPr>
                <w:rFonts w:cstheme="minorHAnsi"/>
                <w:b/>
                <w:sz w:val="20"/>
                <w:szCs w:val="20"/>
              </w:rPr>
              <w:t>Postojeći</w:t>
            </w:r>
            <w:proofErr w:type="spellEnd"/>
            <w:r w:rsidRPr="00AA02AA">
              <w:rPr>
                <w:rFonts w:cstheme="minorHAnsi"/>
                <w:b/>
                <w:sz w:val="20"/>
                <w:szCs w:val="20"/>
              </w:rPr>
              <w:t xml:space="preserve"> fond </w:t>
            </w:r>
            <w:proofErr w:type="spellStart"/>
            <w:r w:rsidRPr="00AA02AA">
              <w:rPr>
                <w:rFonts w:cstheme="minorHAnsi"/>
                <w:b/>
                <w:sz w:val="20"/>
                <w:szCs w:val="20"/>
              </w:rPr>
              <w:t>zgrada</w:t>
            </w:r>
            <w:proofErr w:type="spellEnd"/>
            <w:r w:rsidRPr="00AA02AA">
              <w:rPr>
                <w:rFonts w:cstheme="minorHAnsi"/>
                <w:b/>
                <w:sz w:val="20"/>
                <w:szCs w:val="20"/>
              </w:rPr>
              <w:t xml:space="preserve"> u FBiH je </w:t>
            </w:r>
            <w:proofErr w:type="spellStart"/>
            <w:r w:rsidRPr="00AA02AA">
              <w:rPr>
                <w:rFonts w:cstheme="minorHAnsi"/>
                <w:b/>
                <w:sz w:val="20"/>
                <w:szCs w:val="20"/>
              </w:rPr>
              <w:t>transformiran</w:t>
            </w:r>
            <w:proofErr w:type="spellEnd"/>
            <w:r w:rsidRPr="00AA02AA">
              <w:rPr>
                <w:rFonts w:cstheme="minorHAnsi"/>
                <w:b/>
                <w:sz w:val="20"/>
                <w:szCs w:val="20"/>
              </w:rPr>
              <w:t xml:space="preserve"> u </w:t>
            </w:r>
            <w:proofErr w:type="spellStart"/>
            <w:r w:rsidRPr="00AA02AA">
              <w:rPr>
                <w:rFonts w:cstheme="minorHAnsi"/>
                <w:b/>
                <w:sz w:val="20"/>
                <w:szCs w:val="20"/>
              </w:rPr>
              <w:t>energijski</w:t>
            </w:r>
            <w:proofErr w:type="spellEnd"/>
            <w:r w:rsidRPr="00AA02AA">
              <w:rPr>
                <w:rFonts w:cstheme="minorHAnsi"/>
                <w:b/>
                <w:sz w:val="20"/>
                <w:szCs w:val="20"/>
              </w:rPr>
              <w:t xml:space="preserve"> </w:t>
            </w:r>
            <w:proofErr w:type="spellStart"/>
            <w:r w:rsidRPr="00AA02AA">
              <w:rPr>
                <w:rFonts w:cstheme="minorHAnsi"/>
                <w:b/>
                <w:sz w:val="20"/>
                <w:szCs w:val="20"/>
              </w:rPr>
              <w:t>visokoefikasan</w:t>
            </w:r>
            <w:proofErr w:type="spellEnd"/>
            <w:r w:rsidRPr="00AA02AA">
              <w:rPr>
                <w:rFonts w:cstheme="minorHAnsi"/>
                <w:b/>
                <w:sz w:val="20"/>
                <w:szCs w:val="20"/>
              </w:rPr>
              <w:t xml:space="preserve"> i </w:t>
            </w:r>
            <w:proofErr w:type="spellStart"/>
            <w:r w:rsidRPr="00AA02AA">
              <w:rPr>
                <w:rFonts w:cstheme="minorHAnsi"/>
                <w:b/>
                <w:sz w:val="20"/>
                <w:szCs w:val="20"/>
              </w:rPr>
              <w:t>dekarboniziran</w:t>
            </w:r>
            <w:proofErr w:type="spellEnd"/>
            <w:r w:rsidRPr="00AA02AA">
              <w:rPr>
                <w:rFonts w:cstheme="minorHAnsi"/>
                <w:b/>
                <w:sz w:val="20"/>
                <w:szCs w:val="20"/>
              </w:rPr>
              <w:t xml:space="preserve"> fond </w:t>
            </w:r>
            <w:proofErr w:type="spellStart"/>
            <w:r w:rsidRPr="00AA02AA">
              <w:rPr>
                <w:rFonts w:cstheme="minorHAnsi"/>
                <w:b/>
                <w:sz w:val="20"/>
                <w:szCs w:val="20"/>
              </w:rPr>
              <w:t>zgrada</w:t>
            </w:r>
            <w:proofErr w:type="spellEnd"/>
            <w:r w:rsidRPr="00AA02AA">
              <w:rPr>
                <w:rFonts w:cstheme="minorHAnsi"/>
                <w:b/>
                <w:sz w:val="20"/>
                <w:szCs w:val="20"/>
              </w:rPr>
              <w:t xml:space="preserve"> do 2050. </w:t>
            </w:r>
            <w:proofErr w:type="spellStart"/>
            <w:r w:rsidRPr="00AA02AA">
              <w:rPr>
                <w:rFonts w:cstheme="minorHAnsi"/>
                <w:b/>
                <w:sz w:val="20"/>
                <w:szCs w:val="20"/>
              </w:rPr>
              <w:t>godine</w:t>
            </w:r>
            <w:proofErr w:type="spellEnd"/>
          </w:p>
        </w:tc>
      </w:tr>
      <w:tr w:rsidR="00A00D87" w:rsidRPr="001972F5" w14:paraId="070FE462" w14:textId="77777777" w:rsidTr="00122946">
        <w:trPr>
          <w:trHeight w:val="21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7C620F"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Prioritet</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28CACC64" w14:textId="77777777" w:rsidR="00A00D87" w:rsidRPr="00AA02AA" w:rsidRDefault="00A00D87" w:rsidP="00581C1C">
            <w:pPr>
              <w:pStyle w:val="ListParagraph"/>
              <w:numPr>
                <w:ilvl w:val="1"/>
                <w:numId w:val="92"/>
              </w:numPr>
              <w:jc w:val="both"/>
              <w:rPr>
                <w:rFonts w:cstheme="minorHAnsi"/>
                <w:sz w:val="20"/>
                <w:szCs w:val="20"/>
              </w:rPr>
            </w:pPr>
            <w:r w:rsidRPr="00AA02AA">
              <w:rPr>
                <w:rFonts w:cstheme="minorHAnsi"/>
                <w:b/>
                <w:sz w:val="20"/>
                <w:szCs w:val="20"/>
              </w:rPr>
              <w:t>Transformirati postojeći fond zgrada FBiH u energijski visokoefikasan</w:t>
            </w:r>
          </w:p>
        </w:tc>
      </w:tr>
      <w:tr w:rsidR="00A00D87" w:rsidRPr="001972F5" w14:paraId="2D45E922" w14:textId="77777777" w:rsidTr="003C0473">
        <w:trPr>
          <w:trHeight w:val="425"/>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7B94518"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Naziv</w:t>
            </w:r>
            <w:proofErr w:type="spellEnd"/>
            <w:r w:rsidRPr="00AA02AA">
              <w:rPr>
                <w:rFonts w:cstheme="minorHAnsi"/>
                <w:b/>
                <w:sz w:val="20"/>
                <w:szCs w:val="20"/>
              </w:rPr>
              <w:t xml:space="preserve"> </w:t>
            </w:r>
            <w:proofErr w:type="spellStart"/>
            <w:r w:rsidRPr="00AA02AA">
              <w:rPr>
                <w:rFonts w:cstheme="minorHAnsi"/>
                <w:b/>
                <w:sz w:val="20"/>
                <w:szCs w:val="20"/>
              </w:rPr>
              <w:t>mjere</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699C53C0" w14:textId="77777777" w:rsidR="00A00D87" w:rsidRPr="001972F5" w:rsidRDefault="00A00D87" w:rsidP="00122946">
            <w:pPr>
              <w:spacing w:line="259" w:lineRule="auto"/>
              <w:ind w:left="635" w:hanging="574"/>
              <w:rPr>
                <w:rFonts w:cstheme="minorHAnsi"/>
                <w:sz w:val="20"/>
                <w:szCs w:val="20"/>
                <w:lang w:val="fi-FI"/>
              </w:rPr>
            </w:pPr>
            <w:r w:rsidRPr="001972F5">
              <w:rPr>
                <w:rFonts w:cstheme="minorHAnsi"/>
                <w:b/>
                <w:bCs/>
                <w:sz w:val="20"/>
                <w:szCs w:val="20"/>
                <w:lang w:val="fi-FI"/>
              </w:rPr>
              <w:t>1.1.4. Energijski obnoviti postojeći fond zgrada</w:t>
            </w:r>
          </w:p>
        </w:tc>
      </w:tr>
      <w:tr w:rsidR="00A00D87" w:rsidRPr="001972F5" w14:paraId="21AAE5FD"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0D84E8" w14:textId="77777777" w:rsidR="00A00D87" w:rsidRPr="001972F5" w:rsidRDefault="00A00D87" w:rsidP="00122946">
            <w:pPr>
              <w:spacing w:line="259" w:lineRule="auto"/>
              <w:rPr>
                <w:rFonts w:cstheme="minorHAnsi"/>
                <w:sz w:val="20"/>
                <w:szCs w:val="20"/>
                <w:lang w:val="fi-FI"/>
              </w:rPr>
            </w:pPr>
            <w:bookmarkStart w:id="265" w:name="_Hlk126068618"/>
            <w:r w:rsidRPr="001972F5">
              <w:rPr>
                <w:rFonts w:cstheme="minorHAnsi"/>
                <w:b/>
                <w:sz w:val="20"/>
                <w:szCs w:val="20"/>
                <w:lang w:val="fi-FI"/>
              </w:rPr>
              <w:t>Opis mjere sa okvirnim područjima djelovanja</w:t>
            </w:r>
          </w:p>
        </w:tc>
        <w:tc>
          <w:tcPr>
            <w:tcW w:w="7249" w:type="dxa"/>
            <w:gridSpan w:val="3"/>
            <w:tcBorders>
              <w:top w:val="single" w:sz="4" w:space="0" w:color="000000"/>
              <w:left w:val="single" w:sz="4" w:space="0" w:color="000000"/>
              <w:bottom w:val="single" w:sz="4" w:space="0" w:color="000000"/>
              <w:right w:val="single" w:sz="4" w:space="0" w:color="000000"/>
            </w:tcBorders>
          </w:tcPr>
          <w:p w14:paraId="17B0A408" w14:textId="77777777" w:rsidR="00A00D87" w:rsidRPr="001972F5" w:rsidRDefault="00A00D87" w:rsidP="00E6560A">
            <w:pPr>
              <w:spacing w:line="259" w:lineRule="auto"/>
              <w:ind w:left="1" w:right="32"/>
              <w:jc w:val="both"/>
              <w:rPr>
                <w:rFonts w:cstheme="minorHAnsi"/>
                <w:sz w:val="20"/>
                <w:szCs w:val="20"/>
                <w:lang w:val="fi-FI"/>
              </w:rPr>
            </w:pPr>
            <w:r w:rsidRPr="001972F5">
              <w:rPr>
                <w:rFonts w:cstheme="minorHAnsi"/>
                <w:sz w:val="20"/>
                <w:szCs w:val="20"/>
                <w:lang w:val="fi-FI"/>
              </w:rPr>
              <w:t>Cilj mjere je omogućiti energijsku obnovu zgrada na području FBiH, donošenjem okvirnih programa na nivou FBiH koji će definirati metodologiju, sadržaj i nosioce pripreme planova energijske obnove zgrada, a koji će biti doneseni i provedeni na nivou svih kantona u FBiH.</w:t>
            </w:r>
          </w:p>
          <w:p w14:paraId="6E91822C" w14:textId="77777777" w:rsidR="00A00D87" w:rsidRPr="001972F5" w:rsidRDefault="00A00D87" w:rsidP="00E6560A">
            <w:pPr>
              <w:spacing w:line="259" w:lineRule="auto"/>
              <w:ind w:left="1" w:right="32"/>
              <w:jc w:val="both"/>
              <w:rPr>
                <w:rFonts w:cstheme="minorHAnsi"/>
                <w:sz w:val="20"/>
                <w:szCs w:val="20"/>
                <w:lang w:val="fi-FI"/>
              </w:rPr>
            </w:pPr>
            <w:r w:rsidRPr="001972F5">
              <w:rPr>
                <w:rFonts w:cstheme="minorHAnsi"/>
                <w:sz w:val="20"/>
                <w:szCs w:val="20"/>
                <w:lang w:val="fi-FI"/>
              </w:rPr>
              <w:t>Okvirni programi obnove ponudit će između ostalog podatke o očekivanim rezultatima obnove stambenih zgrada po kantonima (preuzete iz Strategije), te dati detaljne instrukcije kantonalnim ministarstvima prostornog uređenja za pripremu planova energijske obnove i njihovu provedbu na nivou svih kantona.</w:t>
            </w:r>
          </w:p>
          <w:p w14:paraId="5F3BC5D2" w14:textId="77777777" w:rsidR="00A00D87" w:rsidRPr="001972F5" w:rsidRDefault="00A00D87" w:rsidP="00E6560A">
            <w:pPr>
              <w:spacing w:line="259" w:lineRule="auto"/>
              <w:ind w:right="32"/>
              <w:jc w:val="both"/>
              <w:rPr>
                <w:rFonts w:cstheme="minorHAnsi"/>
                <w:sz w:val="20"/>
                <w:szCs w:val="20"/>
                <w:lang w:val="fi-FI"/>
              </w:rPr>
            </w:pPr>
            <w:r w:rsidRPr="001972F5">
              <w:rPr>
                <w:rFonts w:cstheme="minorHAnsi"/>
                <w:sz w:val="20"/>
                <w:szCs w:val="20"/>
                <w:lang w:val="fi-FI"/>
              </w:rPr>
              <w:t>Strategija obnove zgrada, prilika je za provođenje sveobuhvatne obnove koja osim optimalnih mjera poboljšanja postojećeg stanja zgrade i mjera EE može uključivati i mjere poput povećanja sigurnosti u slučaju požara, mjere za osiguravanje zdravih unutarnjih klimatskih uvjeta, mjere za unapređenje mehaničke otpornosti i stabilnosti zgrade, posebno u smislu smanjenja rizika povezanih s djelovanjem potresa.</w:t>
            </w:r>
          </w:p>
          <w:p w14:paraId="1321029A" w14:textId="77777777" w:rsidR="00A00D87" w:rsidRPr="001972F5" w:rsidRDefault="00A00D87" w:rsidP="00E6560A">
            <w:pPr>
              <w:spacing w:line="259" w:lineRule="auto"/>
              <w:ind w:left="1" w:right="32"/>
              <w:jc w:val="both"/>
              <w:rPr>
                <w:rFonts w:cstheme="minorHAnsi"/>
                <w:sz w:val="20"/>
                <w:szCs w:val="20"/>
                <w:lang w:val="fi-FI"/>
              </w:rPr>
            </w:pPr>
            <w:r w:rsidRPr="001972F5">
              <w:rPr>
                <w:rFonts w:cstheme="minorHAnsi"/>
                <w:sz w:val="20"/>
                <w:szCs w:val="20"/>
                <w:lang w:val="fi-FI"/>
              </w:rPr>
              <w:t>Aktivnosti planirane u sklopu ove mjere su:</w:t>
            </w:r>
          </w:p>
          <w:p w14:paraId="746D8457" w14:textId="77777777" w:rsidR="00A00D87" w:rsidRPr="00AA02AA" w:rsidRDefault="00A00D87" w:rsidP="007F1ECE">
            <w:pPr>
              <w:pStyle w:val="ListParagraph"/>
              <w:numPr>
                <w:ilvl w:val="0"/>
                <w:numId w:val="99"/>
              </w:numPr>
              <w:ind w:right="32"/>
              <w:jc w:val="both"/>
              <w:rPr>
                <w:rFonts w:cstheme="minorHAnsi"/>
                <w:sz w:val="20"/>
                <w:szCs w:val="20"/>
              </w:rPr>
            </w:pPr>
            <w:r w:rsidRPr="00AA02AA">
              <w:rPr>
                <w:rFonts w:cstheme="minorHAnsi"/>
                <w:sz w:val="20"/>
                <w:szCs w:val="20"/>
              </w:rPr>
              <w:t>Donošenje programa/smjernica/planova energijske obnove za zgrade na području FBiH, što podrazumijeva:</w:t>
            </w:r>
          </w:p>
          <w:p w14:paraId="287AF8DD"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Izradu i usvajanje „Okvirnog programa energijske obnove stambenih zgrada period do 2030. godine“ na nivou FBiH, te kontinuirano ažuriranje istog (izrada dokumenta je u toku);</w:t>
            </w:r>
          </w:p>
          <w:p w14:paraId="10AA087C"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Izradu i usvajanje „Okvirnog programa energijske obnove komercijalnih zgrada na području FBiH za period do 2030. godine“ na nivou FBiH, te kontinuirano ažuriranje istog;</w:t>
            </w:r>
          </w:p>
          <w:p w14:paraId="66143A7C" w14:textId="77777777" w:rsidR="00A00D87" w:rsidRPr="00AA02AA" w:rsidRDefault="00A00D87" w:rsidP="00E6560A">
            <w:pPr>
              <w:pStyle w:val="ListParagraph"/>
              <w:numPr>
                <w:ilvl w:val="0"/>
                <w:numId w:val="50"/>
              </w:numPr>
              <w:jc w:val="both"/>
              <w:rPr>
                <w:rFonts w:cstheme="minorHAnsi"/>
                <w:sz w:val="20"/>
                <w:szCs w:val="20"/>
              </w:rPr>
            </w:pPr>
            <w:r w:rsidRPr="00AA02AA">
              <w:rPr>
                <w:rFonts w:cstheme="minorHAnsi"/>
                <w:sz w:val="20"/>
                <w:szCs w:val="20"/>
              </w:rPr>
              <w:t>Izradu i usvajanje „Programa energijske obnove javnih zgrada na području FBiH za period do 2030. godine“ , te kontinuirano ažuriranje istog;</w:t>
            </w:r>
          </w:p>
          <w:p w14:paraId="3114A527"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Izradu i usvajanje „Smjernica energijske obnove zgrada sa statusom nacionalnih spomenika za period do 2030. godine“ na nivou FBiH, te kontinuirano ažuriranje istih;</w:t>
            </w:r>
          </w:p>
          <w:p w14:paraId="0010978C"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Izradu i usvajanje „Plana energijske obnove stambenih zgrada za period do 2030. godine“ na nivoima svih kantona, te kontinuirano ažuriranje istog;</w:t>
            </w:r>
          </w:p>
          <w:p w14:paraId="17928930"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Izradu i usvajanje „Plana energijske obnove komercijalnih zgrada za period do 2030. godine“ na nivou svih kantona, te kontinuirano ažuriranje istih;</w:t>
            </w:r>
          </w:p>
          <w:p w14:paraId="6BA5BA2C"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Izradu i usvajanje plana energijske obnove zgrada koje imaju status zaštićene kulturne baštine na nivou svih kantona u FBiH;</w:t>
            </w:r>
          </w:p>
          <w:p w14:paraId="4FE41945" w14:textId="2B42C5A9" w:rsidR="00A00D87" w:rsidRPr="00AA02AA" w:rsidRDefault="003C2431" w:rsidP="00E6560A">
            <w:pPr>
              <w:pStyle w:val="ListParagraph"/>
              <w:numPr>
                <w:ilvl w:val="0"/>
                <w:numId w:val="50"/>
              </w:numPr>
              <w:ind w:right="32"/>
              <w:jc w:val="both"/>
              <w:rPr>
                <w:rFonts w:cstheme="minorHAnsi"/>
                <w:i/>
                <w:iCs/>
                <w:sz w:val="20"/>
                <w:szCs w:val="20"/>
              </w:rPr>
            </w:pPr>
            <w:r w:rsidRPr="00AA02AA">
              <w:rPr>
                <w:rFonts w:cstheme="minorHAnsi"/>
                <w:i/>
                <w:iCs/>
                <w:sz w:val="20"/>
                <w:szCs w:val="20"/>
              </w:rPr>
              <w:t xml:space="preserve">*) </w:t>
            </w:r>
            <w:r w:rsidR="00A00D87" w:rsidRPr="00AA02AA">
              <w:rPr>
                <w:rFonts w:cstheme="minorHAnsi"/>
                <w:i/>
                <w:iCs/>
                <w:sz w:val="20"/>
                <w:szCs w:val="20"/>
              </w:rPr>
              <w:t>Izradu i usvajanje programa energijske obnove zgrada koje koristi Ministarstvo odbrane BiH</w:t>
            </w:r>
            <w:r w:rsidRPr="00AA02AA">
              <w:rPr>
                <w:rFonts w:cstheme="minorHAnsi"/>
                <w:i/>
                <w:iCs/>
                <w:sz w:val="20"/>
                <w:szCs w:val="20"/>
              </w:rPr>
              <w:t>.</w:t>
            </w:r>
          </w:p>
          <w:p w14:paraId="7CAA5A6F" w14:textId="77777777" w:rsidR="00A00D87" w:rsidRPr="00AA02AA" w:rsidRDefault="00A00D87" w:rsidP="007F1ECE">
            <w:pPr>
              <w:pStyle w:val="ListParagraph"/>
              <w:numPr>
                <w:ilvl w:val="0"/>
                <w:numId w:val="99"/>
              </w:numPr>
              <w:ind w:right="32"/>
              <w:jc w:val="both"/>
              <w:rPr>
                <w:rFonts w:cstheme="minorHAnsi"/>
                <w:sz w:val="20"/>
                <w:szCs w:val="20"/>
              </w:rPr>
            </w:pPr>
            <w:r w:rsidRPr="00AA02AA">
              <w:rPr>
                <w:rFonts w:cstheme="minorHAnsi"/>
                <w:sz w:val="20"/>
                <w:szCs w:val="20"/>
              </w:rPr>
              <w:t>Provedba programa/planova energijske obnove zgrada na nivou FBiH i kantona, što podrazumijeva:</w:t>
            </w:r>
          </w:p>
          <w:p w14:paraId="2E5C4385" w14:textId="77777777" w:rsidR="00A00D87" w:rsidRPr="00AA02AA" w:rsidRDefault="00A00D87" w:rsidP="00E6560A">
            <w:pPr>
              <w:pStyle w:val="ListParagraph"/>
              <w:numPr>
                <w:ilvl w:val="0"/>
                <w:numId w:val="50"/>
              </w:numPr>
              <w:ind w:left="720"/>
              <w:jc w:val="both"/>
              <w:rPr>
                <w:rFonts w:cstheme="minorHAnsi"/>
                <w:sz w:val="20"/>
                <w:szCs w:val="20"/>
              </w:rPr>
            </w:pPr>
            <w:r w:rsidRPr="00AA02AA">
              <w:rPr>
                <w:rFonts w:cstheme="minorHAnsi"/>
                <w:sz w:val="20"/>
                <w:szCs w:val="20"/>
              </w:rPr>
              <w:t xml:space="preserve">Provedbu energijske obnove zgrada individualnog i kolektivnog stanovanja na nivou svih kantona prema Planovima obnove;  </w:t>
            </w:r>
          </w:p>
          <w:p w14:paraId="24970E13"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Provedbu energijske obnove komercijalnih zgrada na nivou svih kantona prema Planovima obnove;</w:t>
            </w:r>
          </w:p>
          <w:p w14:paraId="5203B0B0"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Provedbu energijske obnove javnih zgrada na nivou FBiH prema Programu obnove;</w:t>
            </w:r>
          </w:p>
          <w:p w14:paraId="729E3C35" w14:textId="77777777" w:rsidR="00A00D87" w:rsidRPr="00AA02AA" w:rsidRDefault="00A00D87" w:rsidP="00E6560A">
            <w:pPr>
              <w:pStyle w:val="ListParagraph"/>
              <w:numPr>
                <w:ilvl w:val="0"/>
                <w:numId w:val="50"/>
              </w:numPr>
              <w:ind w:left="720"/>
              <w:jc w:val="both"/>
              <w:rPr>
                <w:rFonts w:cstheme="minorHAnsi"/>
                <w:sz w:val="20"/>
                <w:szCs w:val="20"/>
              </w:rPr>
            </w:pPr>
            <w:r w:rsidRPr="00AA02AA">
              <w:rPr>
                <w:rFonts w:cstheme="minorHAnsi"/>
                <w:sz w:val="20"/>
                <w:szCs w:val="20"/>
              </w:rPr>
              <w:t>Provedbu energijske obnove zgrada sa statusom nacionalnih spomenika na nivou FBiH prema Smjernicama obnove;</w:t>
            </w:r>
          </w:p>
          <w:p w14:paraId="3B78A927" w14:textId="77777777" w:rsidR="00A00D87" w:rsidRPr="00AA02AA" w:rsidRDefault="00A00D87" w:rsidP="00E6560A">
            <w:pPr>
              <w:pStyle w:val="ListParagraph"/>
              <w:numPr>
                <w:ilvl w:val="0"/>
                <w:numId w:val="50"/>
              </w:numPr>
              <w:ind w:left="720"/>
              <w:jc w:val="both"/>
              <w:rPr>
                <w:rFonts w:cstheme="minorHAnsi"/>
                <w:sz w:val="20"/>
                <w:szCs w:val="20"/>
              </w:rPr>
            </w:pPr>
            <w:r w:rsidRPr="00AA02AA">
              <w:rPr>
                <w:rFonts w:cstheme="minorHAnsi"/>
                <w:sz w:val="20"/>
                <w:szCs w:val="20"/>
              </w:rPr>
              <w:t>Provedbu energijske obnove zgrada koje imaju status zaštićene kulturne baštine na nivou svih kantona prema Planovima obnove;</w:t>
            </w:r>
          </w:p>
          <w:p w14:paraId="1EFE063A" w14:textId="3BA5B026" w:rsidR="00A00D87" w:rsidRPr="00AA02AA" w:rsidRDefault="003C2431" w:rsidP="00E6560A">
            <w:pPr>
              <w:pStyle w:val="ListParagraph"/>
              <w:numPr>
                <w:ilvl w:val="0"/>
                <w:numId w:val="50"/>
              </w:numPr>
              <w:ind w:right="32"/>
              <w:jc w:val="both"/>
              <w:rPr>
                <w:rFonts w:cstheme="minorHAnsi"/>
                <w:i/>
                <w:iCs/>
                <w:sz w:val="20"/>
                <w:szCs w:val="20"/>
              </w:rPr>
            </w:pPr>
            <w:r w:rsidRPr="00AA02AA">
              <w:rPr>
                <w:rFonts w:cstheme="minorHAnsi"/>
                <w:i/>
                <w:iCs/>
                <w:sz w:val="20"/>
                <w:szCs w:val="20"/>
              </w:rPr>
              <w:t xml:space="preserve">*) </w:t>
            </w:r>
            <w:r w:rsidR="00A00D87" w:rsidRPr="00AA02AA">
              <w:rPr>
                <w:rFonts w:cstheme="minorHAnsi"/>
                <w:i/>
                <w:iCs/>
                <w:sz w:val="20"/>
                <w:szCs w:val="20"/>
              </w:rPr>
              <w:t>Provedbu energijske obnove zgrada koje koristi Ministarstvo  odbrane BiH prema Programu obnove;</w:t>
            </w:r>
          </w:p>
          <w:p w14:paraId="1241965F"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lastRenderedPageBreak/>
              <w:t>Unaprijeđenje zgrada u pogledu smanjenja rizika od požara i rizika povezanih sa povećanom seizmičkom aktivnošću;</w:t>
            </w:r>
          </w:p>
          <w:p w14:paraId="79326FEF"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 xml:space="preserve">Uklanjanje i zamjena materijala štetnih po zdravlje ljudi i okoliš; </w:t>
            </w:r>
          </w:p>
          <w:p w14:paraId="1EFD1139"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Omogućavanje zdravih unutarnjih klimatskih uvjeta;</w:t>
            </w:r>
          </w:p>
          <w:p w14:paraId="6D8A72AC"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Uspostavljanje dugoročnog i održivog fonda za energijsku obnovu stambenih  zgrada;</w:t>
            </w:r>
          </w:p>
          <w:p w14:paraId="735E2ED0" w14:textId="7DFBAAEC"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 xml:space="preserve">Povećanje atraktivnosti i operativnosti Revolving fonda za </w:t>
            </w:r>
            <w:r w:rsidR="007B690C" w:rsidRPr="00AA02AA">
              <w:rPr>
                <w:rFonts w:cstheme="minorHAnsi"/>
                <w:sz w:val="20"/>
                <w:szCs w:val="20"/>
              </w:rPr>
              <w:t>financ</w:t>
            </w:r>
            <w:r w:rsidRPr="00AA02AA">
              <w:rPr>
                <w:rFonts w:cstheme="minorHAnsi"/>
                <w:sz w:val="20"/>
                <w:szCs w:val="20"/>
              </w:rPr>
              <w:t>iranje projekata energijske efikasnosti, uspostavljenog od strane FZO 2017. godine;</w:t>
            </w:r>
          </w:p>
          <w:p w14:paraId="7F36C4FD"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Uspostavljanje povoljnih kreditnih linija za  energijsku obnovu komercijalnih zgrada u okviru banaka u nadležnosti Vlade FBiH;</w:t>
            </w:r>
          </w:p>
          <w:p w14:paraId="73301F9C" w14:textId="33976F5F"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 xml:space="preserve">Uspostavljanje povoljnih komercijalnih izvora </w:t>
            </w:r>
            <w:r w:rsidR="007B690C" w:rsidRPr="00AA02AA">
              <w:rPr>
                <w:rFonts w:cstheme="minorHAnsi"/>
                <w:sz w:val="20"/>
                <w:szCs w:val="20"/>
              </w:rPr>
              <w:t>financ</w:t>
            </w:r>
            <w:r w:rsidRPr="00AA02AA">
              <w:rPr>
                <w:rFonts w:cstheme="minorHAnsi"/>
                <w:sz w:val="20"/>
                <w:szCs w:val="20"/>
              </w:rPr>
              <w:t>iranja mjera energijske obnove u zgradarstvu;</w:t>
            </w:r>
          </w:p>
          <w:p w14:paraId="18398DB3" w14:textId="33FED2AD" w:rsidR="00A00D87" w:rsidRPr="00AA02AA" w:rsidRDefault="00F03625" w:rsidP="00E6560A">
            <w:pPr>
              <w:pStyle w:val="ListParagraph"/>
              <w:numPr>
                <w:ilvl w:val="0"/>
                <w:numId w:val="50"/>
              </w:numPr>
              <w:ind w:left="720" w:right="32"/>
              <w:jc w:val="both"/>
              <w:rPr>
                <w:rFonts w:cstheme="minorHAnsi"/>
                <w:sz w:val="20"/>
                <w:szCs w:val="20"/>
              </w:rPr>
            </w:pPr>
            <w:r w:rsidRPr="00AA02AA">
              <w:rPr>
                <w:rFonts w:cstheme="minorHAnsi"/>
                <w:sz w:val="20"/>
                <w:szCs w:val="20"/>
              </w:rPr>
              <w:t>Obvez</w:t>
            </w:r>
            <w:r w:rsidR="00A00D87" w:rsidRPr="00AA02AA">
              <w:rPr>
                <w:rFonts w:cstheme="minorHAnsi"/>
                <w:sz w:val="20"/>
                <w:szCs w:val="20"/>
              </w:rPr>
              <w:t>u pribavljanja EC za novoizgrađene i zgrade koje su podvrgnute značajnijoj obnovi, te one koje se prodaju ili izdaju, a u skladu sa važećim propisima u FBiH;</w:t>
            </w:r>
          </w:p>
          <w:p w14:paraId="72FDC066" w14:textId="58E10296" w:rsidR="00A00D87" w:rsidRPr="00AA02AA" w:rsidRDefault="00F03625" w:rsidP="00E6560A">
            <w:pPr>
              <w:pStyle w:val="ListParagraph"/>
              <w:numPr>
                <w:ilvl w:val="0"/>
                <w:numId w:val="50"/>
              </w:numPr>
              <w:ind w:left="720" w:right="32"/>
              <w:jc w:val="both"/>
              <w:rPr>
                <w:rFonts w:cstheme="minorHAnsi"/>
                <w:sz w:val="20"/>
                <w:szCs w:val="20"/>
              </w:rPr>
            </w:pPr>
            <w:r w:rsidRPr="00AA02AA">
              <w:rPr>
                <w:rFonts w:cstheme="minorHAnsi"/>
                <w:sz w:val="20"/>
                <w:szCs w:val="20"/>
              </w:rPr>
              <w:t>Obvez</w:t>
            </w:r>
            <w:r w:rsidR="00A00D87" w:rsidRPr="00AA02AA">
              <w:rPr>
                <w:rFonts w:cstheme="minorHAnsi"/>
                <w:sz w:val="20"/>
                <w:szCs w:val="20"/>
              </w:rPr>
              <w:t xml:space="preserve">u provođenja detaljnog energijskog audita (DEA) i izradu Glavnog projekta (energijske obnove);  </w:t>
            </w:r>
          </w:p>
          <w:p w14:paraId="0BCB07FD"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Usklađivanje Zakona o EE u FBiH sa propisima relevantnim za obnovu fonda zgrada (Zakon o stvarnim pravima, Zakon o obligacionim odnosima, Zakon o zajedničkim dijelovima zgrade, Zakon o stambenim odnosima);</w:t>
            </w:r>
          </w:p>
          <w:p w14:paraId="06FE1D00" w14:textId="1192CDCD"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Uspostavljanje digitalne baze stambenih, javnih i komercijalnih zgrada na nivou općina</w:t>
            </w:r>
            <w:r w:rsidR="00113EB3" w:rsidRPr="00AA02AA">
              <w:rPr>
                <w:rFonts w:cstheme="minorHAnsi"/>
                <w:sz w:val="20"/>
                <w:szCs w:val="20"/>
              </w:rPr>
              <w:t>/gradova</w:t>
            </w:r>
            <w:r w:rsidRPr="00AA02AA">
              <w:rPr>
                <w:rFonts w:cstheme="minorHAnsi"/>
                <w:sz w:val="20"/>
                <w:szCs w:val="20"/>
              </w:rPr>
              <w:t>, kantona i FBiH (broj individualnih i stambenih zgrada, kvadratura, energijske karakteristike, potrošnja energije) koja će biti na raspolaganju FZO i FMPU;</w:t>
            </w:r>
          </w:p>
          <w:p w14:paraId="5DAB434B" w14:textId="77777777" w:rsidR="00A00D87" w:rsidRPr="00AA02AA" w:rsidRDefault="00A00D87" w:rsidP="00E6560A">
            <w:pPr>
              <w:pStyle w:val="ListParagraph"/>
              <w:numPr>
                <w:ilvl w:val="0"/>
                <w:numId w:val="50"/>
              </w:numPr>
              <w:jc w:val="both"/>
              <w:rPr>
                <w:rFonts w:cstheme="minorHAnsi"/>
                <w:sz w:val="20"/>
                <w:szCs w:val="20"/>
              </w:rPr>
            </w:pPr>
            <w:r w:rsidRPr="00AA02AA">
              <w:rPr>
                <w:rFonts w:cstheme="minorHAnsi"/>
                <w:sz w:val="20"/>
                <w:szCs w:val="20"/>
              </w:rPr>
              <w:t xml:space="preserve">Uspostavljanje digitalne baze svih zgrada sa statusom nacionalnih spomenika na nivou FBiH; </w:t>
            </w:r>
          </w:p>
          <w:p w14:paraId="0E417A3A" w14:textId="77777777" w:rsidR="00A00D87" w:rsidRPr="00AA02AA" w:rsidRDefault="00A00D87" w:rsidP="00E6560A">
            <w:pPr>
              <w:pStyle w:val="ListParagraph"/>
              <w:numPr>
                <w:ilvl w:val="0"/>
                <w:numId w:val="50"/>
              </w:numPr>
              <w:jc w:val="both"/>
              <w:rPr>
                <w:rFonts w:cstheme="minorHAnsi"/>
                <w:sz w:val="20"/>
                <w:szCs w:val="20"/>
              </w:rPr>
            </w:pPr>
            <w:r w:rsidRPr="00AA02AA">
              <w:rPr>
                <w:rFonts w:cstheme="minorHAnsi"/>
                <w:sz w:val="20"/>
                <w:szCs w:val="20"/>
              </w:rPr>
              <w:t>Uspostavljanje digitalne baze svih zgrada sa statusom zaštićene kulturne baštine na nivou svih kantona koja će biti na raspolaganju FZO i FMPU;</w:t>
            </w:r>
          </w:p>
          <w:p w14:paraId="00FABEB8"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Promociju značaja EE u sektoru zgradarstva i edukacija korisnika/građana od strane FZO FBiH, te kantonanih fondova za zaštitu okoliša.</w:t>
            </w:r>
          </w:p>
          <w:p w14:paraId="2E733C70" w14:textId="16C6EDA0"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Razvoj i uspostavljanje posebnog programa za su</w:t>
            </w:r>
            <w:r w:rsidR="007B690C" w:rsidRPr="00AA02AA">
              <w:rPr>
                <w:rFonts w:cstheme="minorHAnsi"/>
                <w:sz w:val="20"/>
                <w:szCs w:val="20"/>
              </w:rPr>
              <w:t>financ</w:t>
            </w:r>
            <w:r w:rsidRPr="00AA02AA">
              <w:rPr>
                <w:rFonts w:cstheme="minorHAnsi"/>
                <w:sz w:val="20"/>
                <w:szCs w:val="20"/>
              </w:rPr>
              <w:t>iranje energijske obnove zgrada sa statusom nacionalnih spomenika i zaštićene kulturne baštine;</w:t>
            </w:r>
          </w:p>
          <w:p w14:paraId="15E252E2"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Osiguranje operativnost Revolving fonda za energijsku obnovu javnih zgrada (Revolving fond za EE javnih zgrada u FBiH uspostavljen 2021. godine);</w:t>
            </w:r>
          </w:p>
          <w:p w14:paraId="26925DF0"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 xml:space="preserve">Uspostavljanje energijskog menadžmenta u nestambenim zgradama; </w:t>
            </w:r>
          </w:p>
          <w:p w14:paraId="582A9A5D" w14:textId="77777777" w:rsidR="00A00D87" w:rsidRPr="00AA02AA" w:rsidRDefault="00A00D87" w:rsidP="00E6560A">
            <w:pPr>
              <w:pStyle w:val="ListParagraph"/>
              <w:numPr>
                <w:ilvl w:val="0"/>
                <w:numId w:val="50"/>
              </w:numPr>
              <w:ind w:left="720" w:right="32"/>
              <w:jc w:val="both"/>
              <w:rPr>
                <w:rFonts w:cstheme="minorHAnsi"/>
                <w:sz w:val="20"/>
                <w:szCs w:val="20"/>
              </w:rPr>
            </w:pPr>
            <w:r w:rsidRPr="00AA02AA">
              <w:rPr>
                <w:rFonts w:cstheme="minorHAnsi"/>
                <w:sz w:val="20"/>
                <w:szCs w:val="20"/>
              </w:rPr>
              <w:t>Preporuka za uvođenje ISO 50001 kao međunarodnog standarda za sisteme upravljanja energijom koji nije prilagođen nijednoj specifičnoj industriji/sektoru i primjenljiv je za široki spektar organizacija, institucija, javnih zgrada i kompanija svih veličina;</w:t>
            </w:r>
          </w:p>
          <w:p w14:paraId="7570BFA1" w14:textId="7A200131"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Povećanje su</w:t>
            </w:r>
            <w:r w:rsidR="007B690C" w:rsidRPr="00AA02AA">
              <w:rPr>
                <w:rFonts w:cstheme="minorHAnsi"/>
                <w:sz w:val="20"/>
                <w:szCs w:val="20"/>
              </w:rPr>
              <w:t>financ</w:t>
            </w:r>
            <w:r w:rsidRPr="00AA02AA">
              <w:rPr>
                <w:rFonts w:cstheme="minorHAnsi"/>
                <w:sz w:val="20"/>
                <w:szCs w:val="20"/>
              </w:rPr>
              <w:t>iranja obnove kroz IPA projekte  odnosno korištenje  sredstava koja su na raspolaganju BiH kroz instrumente pristupne pomoći (fondovi EU), kako bi se potaknula energijska obnova ovakvih zgrada;</w:t>
            </w:r>
          </w:p>
          <w:p w14:paraId="017483EB" w14:textId="77777777" w:rsidR="00A00D87" w:rsidRPr="00AA02AA" w:rsidRDefault="00A00D87" w:rsidP="00E6560A">
            <w:pPr>
              <w:pStyle w:val="ListParagraph"/>
              <w:numPr>
                <w:ilvl w:val="0"/>
                <w:numId w:val="50"/>
              </w:numPr>
              <w:jc w:val="both"/>
              <w:rPr>
                <w:rFonts w:cstheme="minorHAnsi"/>
                <w:sz w:val="20"/>
                <w:szCs w:val="20"/>
              </w:rPr>
            </w:pPr>
            <w:r w:rsidRPr="00AA02AA">
              <w:rPr>
                <w:rFonts w:cstheme="minorHAnsi"/>
                <w:sz w:val="20"/>
                <w:szCs w:val="20"/>
              </w:rPr>
              <w:t>Uspostavljanje energijskog menadžmenta u svim javnim zgradama (prema Pravilniku o informacionom sistemu energijske efikasnosti FBiH);</w:t>
            </w:r>
          </w:p>
          <w:p w14:paraId="6DF58EBB"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Unapređenje saradnje između FMPU i institucija nadležnih za zaštitu zgrada sa statusom nacionalnih spomenika (Zavod za zaštitu spomenika FBiH i Komisija za očuvanje nacionalnih spomenika BiH);</w:t>
            </w:r>
          </w:p>
          <w:p w14:paraId="00719D44" w14:textId="77777777" w:rsidR="00A00D87" w:rsidRPr="00AA02AA" w:rsidRDefault="00A00D87" w:rsidP="00E6560A">
            <w:pPr>
              <w:pStyle w:val="ListParagraph"/>
              <w:numPr>
                <w:ilvl w:val="0"/>
                <w:numId w:val="50"/>
              </w:numPr>
              <w:ind w:right="32"/>
              <w:jc w:val="both"/>
              <w:rPr>
                <w:rFonts w:cstheme="minorHAnsi"/>
                <w:sz w:val="20"/>
                <w:szCs w:val="20"/>
              </w:rPr>
            </w:pPr>
            <w:r w:rsidRPr="00AA02AA">
              <w:rPr>
                <w:rFonts w:cstheme="minorHAnsi"/>
                <w:sz w:val="20"/>
                <w:szCs w:val="20"/>
              </w:rPr>
              <w:t>Unaprijeđenje saradnje između Kantonalnih zavoda za zaštitu kulturno-historijskog i prirodnog naslijeđa i institucija nadležnih za zaštitu zgrada sa statusom nacionalnih spomenika (Zavod za zaštitu spomenika FBiH i Komisija za očuvanje nacionalnih spomenika BiH).</w:t>
            </w:r>
          </w:p>
        </w:tc>
      </w:tr>
      <w:bookmarkEnd w:id="265"/>
      <w:tr w:rsidR="00A00D87" w:rsidRPr="00AA02AA" w14:paraId="71D4F62E"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445DBCD"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lastRenderedPageBreak/>
              <w:t>Strateški</w:t>
            </w:r>
            <w:proofErr w:type="spellEnd"/>
            <w:r w:rsidRPr="00AA02AA">
              <w:rPr>
                <w:rFonts w:cstheme="minorHAnsi"/>
                <w:b/>
                <w:sz w:val="20"/>
                <w:szCs w:val="20"/>
              </w:rPr>
              <w:t xml:space="preserve"> </w:t>
            </w:r>
            <w:proofErr w:type="spellStart"/>
            <w:r w:rsidRPr="00AA02AA">
              <w:rPr>
                <w:rFonts w:cstheme="minorHAnsi"/>
                <w:b/>
                <w:sz w:val="20"/>
                <w:szCs w:val="20"/>
              </w:rPr>
              <w:t>projekti</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770E11FC" w14:textId="77777777" w:rsidR="00A00D87" w:rsidRPr="00AA02AA" w:rsidRDefault="00A00D87" w:rsidP="00122946">
            <w:pPr>
              <w:spacing w:line="259" w:lineRule="auto"/>
              <w:ind w:left="1"/>
              <w:rPr>
                <w:rFonts w:cstheme="minorHAnsi"/>
                <w:sz w:val="20"/>
                <w:szCs w:val="20"/>
              </w:rPr>
            </w:pPr>
            <w:r w:rsidRPr="00AA02AA">
              <w:rPr>
                <w:rFonts w:cstheme="minorHAnsi"/>
                <w:sz w:val="20"/>
                <w:szCs w:val="20"/>
              </w:rPr>
              <w:t xml:space="preserve"> -</w:t>
            </w:r>
          </w:p>
        </w:tc>
      </w:tr>
      <w:tr w:rsidR="00A00D87" w:rsidRPr="00AA02AA" w14:paraId="672EEF04" w14:textId="77777777" w:rsidTr="00122946">
        <w:trPr>
          <w:trHeight w:val="419"/>
        </w:trPr>
        <w:tc>
          <w:tcPr>
            <w:tcW w:w="1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11F52E16"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Indikatori</w:t>
            </w:r>
            <w:proofErr w:type="spellEnd"/>
            <w:r w:rsidRPr="00AA02AA">
              <w:rPr>
                <w:rFonts w:cstheme="minorHAnsi"/>
                <w:b/>
                <w:sz w:val="20"/>
                <w:szCs w:val="20"/>
              </w:rPr>
              <w:t xml:space="preserve"> za </w:t>
            </w:r>
            <w:proofErr w:type="spellStart"/>
            <w:r w:rsidRPr="00AA02AA">
              <w:rPr>
                <w:rFonts w:cstheme="minorHAnsi"/>
                <w:b/>
                <w:sz w:val="20"/>
                <w:szCs w:val="20"/>
              </w:rPr>
              <w:t>praćenje</w:t>
            </w:r>
            <w:proofErr w:type="spellEnd"/>
            <w:r w:rsidRPr="00AA02AA">
              <w:rPr>
                <w:rFonts w:cstheme="minorHAnsi"/>
                <w:b/>
                <w:sz w:val="20"/>
                <w:szCs w:val="20"/>
              </w:rPr>
              <w:t xml:space="preserve"> </w:t>
            </w:r>
            <w:proofErr w:type="spellStart"/>
            <w:r w:rsidRPr="00AA02AA">
              <w:rPr>
                <w:rFonts w:cstheme="minorHAnsi"/>
                <w:b/>
                <w:sz w:val="20"/>
                <w:szCs w:val="20"/>
              </w:rPr>
              <w:t>rezultata</w:t>
            </w:r>
            <w:proofErr w:type="spellEnd"/>
            <w:r w:rsidRPr="00AA02AA">
              <w:rPr>
                <w:rFonts w:cstheme="minorHAnsi"/>
                <w:b/>
                <w:sz w:val="20"/>
                <w:szCs w:val="20"/>
              </w:rPr>
              <w:t xml:space="preserve"> </w:t>
            </w:r>
            <w:proofErr w:type="spellStart"/>
            <w:r w:rsidRPr="00AA02AA">
              <w:rPr>
                <w:rFonts w:cstheme="minorHAnsi"/>
                <w:b/>
                <w:sz w:val="20"/>
                <w:szCs w:val="20"/>
              </w:rPr>
              <w:t>mjere</w:t>
            </w:r>
            <w:proofErr w:type="spellEnd"/>
            <w:r w:rsidRPr="00AA02AA">
              <w:rPr>
                <w:rFonts w:cstheme="minorHAnsi"/>
                <w:b/>
                <w:sz w:val="20"/>
                <w:szCs w:val="20"/>
              </w:rPr>
              <w:t xml:space="preserve"> </w:t>
            </w:r>
          </w:p>
        </w:tc>
        <w:tc>
          <w:tcPr>
            <w:tcW w:w="3710" w:type="dxa"/>
            <w:tcBorders>
              <w:top w:val="single" w:sz="4" w:space="0" w:color="000000"/>
              <w:left w:val="single" w:sz="4" w:space="0" w:color="000000"/>
              <w:right w:val="single" w:sz="4" w:space="0" w:color="000000"/>
            </w:tcBorders>
            <w:shd w:val="clear" w:color="auto" w:fill="D9D9D9" w:themeFill="background1" w:themeFillShade="D9"/>
            <w:vAlign w:val="center"/>
          </w:tcPr>
          <w:p w14:paraId="05F5C0B6" w14:textId="77777777" w:rsidR="00A00D87" w:rsidRPr="00AA02AA" w:rsidRDefault="00A00D87" w:rsidP="00122946">
            <w:pPr>
              <w:spacing w:line="259" w:lineRule="auto"/>
              <w:ind w:right="39"/>
              <w:jc w:val="center"/>
              <w:rPr>
                <w:rFonts w:cstheme="minorHAnsi"/>
                <w:sz w:val="20"/>
                <w:szCs w:val="20"/>
              </w:rPr>
            </w:pPr>
            <w:proofErr w:type="spellStart"/>
            <w:r w:rsidRPr="00AA02AA">
              <w:rPr>
                <w:rFonts w:cstheme="minorHAnsi"/>
                <w:b/>
                <w:sz w:val="20"/>
                <w:szCs w:val="20"/>
              </w:rPr>
              <w:t>Indikatori</w:t>
            </w:r>
            <w:proofErr w:type="spellEnd"/>
            <w:r w:rsidRPr="00AA02AA">
              <w:rPr>
                <w:rFonts w:cstheme="minorHAnsi"/>
                <w:b/>
                <w:sz w:val="20"/>
                <w:szCs w:val="20"/>
              </w:rPr>
              <w:t xml:space="preserve"> </w:t>
            </w:r>
          </w:p>
        </w:tc>
        <w:tc>
          <w:tcPr>
            <w:tcW w:w="2068" w:type="dxa"/>
            <w:tcBorders>
              <w:top w:val="single" w:sz="4" w:space="0" w:color="000000"/>
              <w:left w:val="single" w:sz="4" w:space="0" w:color="000000"/>
              <w:right w:val="single" w:sz="4" w:space="0" w:color="000000"/>
            </w:tcBorders>
            <w:shd w:val="clear" w:color="auto" w:fill="D9D9D9" w:themeFill="background1" w:themeFillShade="D9"/>
          </w:tcPr>
          <w:p w14:paraId="3FEEBADE" w14:textId="77777777" w:rsidR="00A00D87" w:rsidRPr="00AA02AA" w:rsidRDefault="00A00D87" w:rsidP="00122946">
            <w:pPr>
              <w:spacing w:line="259" w:lineRule="auto"/>
              <w:jc w:val="center"/>
              <w:rPr>
                <w:rFonts w:cstheme="minorHAnsi"/>
                <w:sz w:val="20"/>
                <w:szCs w:val="20"/>
              </w:rPr>
            </w:pPr>
            <w:proofErr w:type="spellStart"/>
            <w:r w:rsidRPr="00AA02AA">
              <w:rPr>
                <w:rFonts w:cstheme="minorHAnsi"/>
                <w:b/>
                <w:sz w:val="20"/>
                <w:szCs w:val="20"/>
              </w:rPr>
              <w:t>Polazne</w:t>
            </w:r>
            <w:proofErr w:type="spellEnd"/>
            <w:r w:rsidRPr="00AA02AA">
              <w:rPr>
                <w:rFonts w:cstheme="minorHAnsi"/>
                <w:b/>
                <w:sz w:val="20"/>
                <w:szCs w:val="20"/>
              </w:rPr>
              <w:t xml:space="preserve"> </w:t>
            </w:r>
            <w:proofErr w:type="spellStart"/>
            <w:r w:rsidRPr="00AA02AA">
              <w:rPr>
                <w:rFonts w:cstheme="minorHAnsi"/>
                <w:b/>
                <w:sz w:val="20"/>
                <w:szCs w:val="20"/>
              </w:rPr>
              <w:t>vrijednosti</w:t>
            </w:r>
            <w:proofErr w:type="spellEnd"/>
            <w:r w:rsidRPr="00AA02AA">
              <w:rPr>
                <w:rFonts w:cstheme="minorHAnsi"/>
                <w:b/>
                <w:sz w:val="20"/>
                <w:szCs w:val="20"/>
              </w:rPr>
              <w:t xml:space="preserve">**  </w:t>
            </w:r>
          </w:p>
        </w:tc>
        <w:tc>
          <w:tcPr>
            <w:tcW w:w="1471" w:type="dxa"/>
            <w:tcBorders>
              <w:top w:val="single" w:sz="4" w:space="0" w:color="000000"/>
              <w:left w:val="single" w:sz="4" w:space="0" w:color="000000"/>
              <w:right w:val="single" w:sz="4" w:space="0" w:color="000000"/>
            </w:tcBorders>
            <w:shd w:val="clear" w:color="auto" w:fill="D9D9D9" w:themeFill="background1" w:themeFillShade="D9"/>
          </w:tcPr>
          <w:p w14:paraId="4483ABB1" w14:textId="77777777" w:rsidR="00A00D87" w:rsidRPr="00AA02AA" w:rsidRDefault="00A00D87" w:rsidP="00122946">
            <w:pPr>
              <w:jc w:val="center"/>
              <w:rPr>
                <w:rFonts w:cstheme="minorHAnsi"/>
                <w:b/>
                <w:sz w:val="20"/>
                <w:szCs w:val="20"/>
              </w:rPr>
            </w:pPr>
            <w:proofErr w:type="spellStart"/>
            <w:r w:rsidRPr="00AA02AA">
              <w:rPr>
                <w:rFonts w:cstheme="minorHAnsi"/>
                <w:b/>
                <w:sz w:val="20"/>
                <w:szCs w:val="20"/>
              </w:rPr>
              <w:t>Ciljne</w:t>
            </w:r>
            <w:proofErr w:type="spellEnd"/>
            <w:r w:rsidRPr="00AA02AA">
              <w:rPr>
                <w:rFonts w:cstheme="minorHAnsi"/>
                <w:b/>
                <w:sz w:val="20"/>
                <w:szCs w:val="20"/>
              </w:rPr>
              <w:t xml:space="preserve"> </w:t>
            </w:r>
            <w:proofErr w:type="spellStart"/>
            <w:r w:rsidRPr="00AA02AA">
              <w:rPr>
                <w:rFonts w:cstheme="minorHAnsi"/>
                <w:b/>
                <w:sz w:val="20"/>
                <w:szCs w:val="20"/>
              </w:rPr>
              <w:t>vrijednosti</w:t>
            </w:r>
            <w:proofErr w:type="spellEnd"/>
            <w:r w:rsidRPr="00AA02AA">
              <w:rPr>
                <w:rFonts w:cstheme="minorHAnsi"/>
                <w:b/>
                <w:sz w:val="20"/>
                <w:szCs w:val="20"/>
              </w:rPr>
              <w:t xml:space="preserve">***  </w:t>
            </w:r>
          </w:p>
          <w:p w14:paraId="0A5E855D" w14:textId="77777777" w:rsidR="00A00D87" w:rsidRPr="00AA02AA" w:rsidRDefault="00A00D87" w:rsidP="00122946">
            <w:pPr>
              <w:jc w:val="center"/>
              <w:rPr>
                <w:rFonts w:cstheme="minorHAnsi"/>
                <w:b/>
                <w:sz w:val="20"/>
                <w:szCs w:val="20"/>
              </w:rPr>
            </w:pPr>
          </w:p>
        </w:tc>
      </w:tr>
      <w:tr w:rsidR="00A00D87" w:rsidRPr="00AA02AA" w14:paraId="1BC8FF95" w14:textId="77777777" w:rsidTr="00122946">
        <w:trPr>
          <w:trHeight w:val="374"/>
        </w:trPr>
        <w:tc>
          <w:tcPr>
            <w:tcW w:w="0" w:type="auto"/>
            <w:vMerge/>
            <w:tcBorders>
              <w:left w:val="single" w:sz="4" w:space="0" w:color="000000"/>
              <w:right w:val="single" w:sz="4" w:space="0" w:color="000000"/>
            </w:tcBorders>
            <w:shd w:val="clear" w:color="auto" w:fill="D9D9D9" w:themeFill="background1" w:themeFillShade="D9"/>
          </w:tcPr>
          <w:p w14:paraId="0E944911" w14:textId="77777777" w:rsidR="00A00D87" w:rsidRPr="00AA02AA" w:rsidRDefault="00A00D87" w:rsidP="00122946">
            <w:pPr>
              <w:spacing w:after="160" w:line="259" w:lineRule="auto"/>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vAlign w:val="center"/>
          </w:tcPr>
          <w:p w14:paraId="69C3D821" w14:textId="77777777" w:rsidR="00A00D87" w:rsidRPr="00AA02AA" w:rsidRDefault="00A00D87" w:rsidP="00122946">
            <w:pPr>
              <w:spacing w:line="259" w:lineRule="auto"/>
              <w:ind w:left="1"/>
              <w:rPr>
                <w:rFonts w:cstheme="minorHAnsi"/>
                <w:sz w:val="20"/>
                <w:szCs w:val="20"/>
              </w:rPr>
            </w:pPr>
            <w:r w:rsidRPr="00AA02AA">
              <w:rPr>
                <w:rFonts w:cstheme="minorHAnsi"/>
                <w:sz w:val="20"/>
                <w:szCs w:val="20"/>
              </w:rPr>
              <w:t xml:space="preserve">Status </w:t>
            </w:r>
            <w:proofErr w:type="spellStart"/>
            <w:r w:rsidRPr="00AA02AA">
              <w:rPr>
                <w:rFonts w:cstheme="minorHAnsi"/>
                <w:sz w:val="20"/>
                <w:szCs w:val="20"/>
              </w:rPr>
              <w:t>programa</w:t>
            </w:r>
            <w:proofErr w:type="spellEnd"/>
            <w:r w:rsidRPr="00AA02AA">
              <w:rPr>
                <w:rFonts w:cstheme="minorHAnsi"/>
                <w:sz w:val="20"/>
                <w:szCs w:val="20"/>
              </w:rPr>
              <w:t>/</w:t>
            </w:r>
            <w:proofErr w:type="spellStart"/>
            <w:r w:rsidRPr="00AA02AA">
              <w:rPr>
                <w:rFonts w:cstheme="minorHAnsi"/>
                <w:sz w:val="20"/>
                <w:szCs w:val="20"/>
              </w:rPr>
              <w:t>smjernica</w:t>
            </w:r>
            <w:proofErr w:type="spellEnd"/>
            <w:r w:rsidRPr="00AA02AA">
              <w:rPr>
                <w:rFonts w:cstheme="minorHAnsi"/>
                <w:sz w:val="20"/>
                <w:szCs w:val="20"/>
              </w:rPr>
              <w:t>/</w:t>
            </w:r>
            <w:proofErr w:type="spellStart"/>
            <w:r w:rsidRPr="00AA02AA">
              <w:rPr>
                <w:rFonts w:cstheme="minorHAnsi"/>
                <w:sz w:val="20"/>
                <w:szCs w:val="20"/>
              </w:rPr>
              <w:t>planova</w:t>
            </w:r>
            <w:proofErr w:type="spellEnd"/>
            <w:r w:rsidRPr="00AA02AA">
              <w:rPr>
                <w:rFonts w:cstheme="minorHAnsi"/>
                <w:sz w:val="20"/>
                <w:szCs w:val="20"/>
              </w:rPr>
              <w:t xml:space="preserve"> </w:t>
            </w:r>
            <w:proofErr w:type="spellStart"/>
            <w:r w:rsidRPr="00AA02AA">
              <w:rPr>
                <w:rFonts w:cstheme="minorHAnsi"/>
                <w:sz w:val="20"/>
                <w:szCs w:val="20"/>
              </w:rPr>
              <w:t>energijske</w:t>
            </w:r>
            <w:proofErr w:type="spellEnd"/>
            <w:r w:rsidRPr="00AA02AA">
              <w:rPr>
                <w:rFonts w:cstheme="minorHAnsi"/>
                <w:sz w:val="20"/>
                <w:szCs w:val="20"/>
              </w:rPr>
              <w:t xml:space="preserve"> </w:t>
            </w:r>
            <w:proofErr w:type="spellStart"/>
            <w:r w:rsidRPr="00AA02AA">
              <w:rPr>
                <w:rFonts w:cstheme="minorHAnsi"/>
                <w:sz w:val="20"/>
                <w:szCs w:val="20"/>
              </w:rPr>
              <w:t>obnove</w:t>
            </w:r>
            <w:proofErr w:type="spellEnd"/>
            <w:r w:rsidRPr="00AA02AA">
              <w:rPr>
                <w:rFonts w:cstheme="minorHAnsi"/>
                <w:sz w:val="20"/>
                <w:szCs w:val="20"/>
              </w:rPr>
              <w:t xml:space="preserve"> za </w:t>
            </w:r>
            <w:proofErr w:type="spellStart"/>
            <w:r w:rsidRPr="00AA02AA">
              <w:rPr>
                <w:rFonts w:cstheme="minorHAnsi"/>
                <w:sz w:val="20"/>
                <w:szCs w:val="20"/>
              </w:rPr>
              <w:t>zgrade</w:t>
            </w:r>
            <w:proofErr w:type="spellEnd"/>
            <w:r w:rsidRPr="00AA02AA">
              <w:rPr>
                <w:rFonts w:cstheme="minorHAnsi"/>
                <w:sz w:val="20"/>
                <w:szCs w:val="20"/>
              </w:rPr>
              <w:t xml:space="preserve"> </w:t>
            </w:r>
            <w:proofErr w:type="spellStart"/>
            <w:r w:rsidRPr="00AA02AA">
              <w:rPr>
                <w:rFonts w:cstheme="minorHAnsi"/>
                <w:sz w:val="20"/>
                <w:szCs w:val="20"/>
              </w:rPr>
              <w:t>na</w:t>
            </w:r>
            <w:proofErr w:type="spellEnd"/>
            <w:r w:rsidRPr="00AA02AA">
              <w:rPr>
                <w:rFonts w:cstheme="minorHAnsi"/>
                <w:sz w:val="20"/>
                <w:szCs w:val="20"/>
              </w:rPr>
              <w:t xml:space="preserve"> </w:t>
            </w:r>
            <w:proofErr w:type="spellStart"/>
            <w:r w:rsidRPr="00AA02AA">
              <w:rPr>
                <w:rFonts w:cstheme="minorHAnsi"/>
                <w:sz w:val="20"/>
                <w:szCs w:val="20"/>
              </w:rPr>
              <w:t>području</w:t>
            </w:r>
            <w:proofErr w:type="spellEnd"/>
            <w:r w:rsidRPr="00AA02AA">
              <w:rPr>
                <w:rFonts w:cstheme="minorHAnsi"/>
                <w:sz w:val="20"/>
                <w:szCs w:val="20"/>
              </w:rPr>
              <w:t xml:space="preserve"> FBiH </w:t>
            </w:r>
          </w:p>
        </w:tc>
        <w:tc>
          <w:tcPr>
            <w:tcW w:w="2068" w:type="dxa"/>
            <w:tcBorders>
              <w:top w:val="single" w:sz="4" w:space="0" w:color="auto"/>
              <w:left w:val="single" w:sz="4" w:space="0" w:color="auto"/>
              <w:bottom w:val="single" w:sz="4" w:space="0" w:color="auto"/>
              <w:right w:val="single" w:sz="4" w:space="0" w:color="auto"/>
            </w:tcBorders>
            <w:vAlign w:val="center"/>
          </w:tcPr>
          <w:p w14:paraId="19476AB8"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r w:rsidRPr="00AA02AA">
              <w:rPr>
                <w:rFonts w:cstheme="minorHAnsi"/>
                <w:sz w:val="20"/>
                <w:szCs w:val="20"/>
              </w:rPr>
              <w:t xml:space="preserve">Ne </w:t>
            </w:r>
            <w:proofErr w:type="spellStart"/>
            <w:r w:rsidRPr="00AA02AA">
              <w:rPr>
                <w:rFonts w:cstheme="minorHAnsi"/>
                <w:sz w:val="20"/>
                <w:szCs w:val="20"/>
              </w:rPr>
              <w:t>postoje</w:t>
            </w:r>
            <w:proofErr w:type="spellEnd"/>
          </w:p>
        </w:tc>
        <w:tc>
          <w:tcPr>
            <w:tcW w:w="1471" w:type="dxa"/>
            <w:tcBorders>
              <w:top w:val="single" w:sz="4" w:space="0" w:color="000000"/>
              <w:left w:val="single" w:sz="4" w:space="0" w:color="auto"/>
              <w:bottom w:val="single" w:sz="4" w:space="0" w:color="000000"/>
              <w:right w:val="single" w:sz="4" w:space="0" w:color="000000"/>
            </w:tcBorders>
            <w:vAlign w:val="center"/>
          </w:tcPr>
          <w:p w14:paraId="63D5CA91" w14:textId="77777777" w:rsidR="00A00D87" w:rsidRPr="00AA02AA" w:rsidRDefault="00A00D87" w:rsidP="00122946">
            <w:pPr>
              <w:jc w:val="center"/>
              <w:rPr>
                <w:rFonts w:cstheme="minorHAnsi"/>
                <w:sz w:val="20"/>
                <w:szCs w:val="20"/>
              </w:rPr>
            </w:pPr>
            <w:proofErr w:type="spellStart"/>
            <w:r w:rsidRPr="00AA02AA">
              <w:rPr>
                <w:rFonts w:cstheme="minorHAnsi"/>
                <w:sz w:val="20"/>
                <w:szCs w:val="20"/>
              </w:rPr>
              <w:t>Usvojen</w:t>
            </w:r>
            <w:proofErr w:type="spellEnd"/>
            <w:r w:rsidRPr="00AA02AA">
              <w:rPr>
                <w:rFonts w:cstheme="minorHAnsi"/>
                <w:sz w:val="20"/>
                <w:szCs w:val="20"/>
              </w:rPr>
              <w:t xml:space="preserve"> </w:t>
            </w:r>
          </w:p>
        </w:tc>
      </w:tr>
      <w:tr w:rsidR="00A00D87" w:rsidRPr="00AA02AA" w14:paraId="757EBCE2" w14:textId="77777777" w:rsidTr="00581C1C">
        <w:trPr>
          <w:trHeight w:val="374"/>
        </w:trPr>
        <w:tc>
          <w:tcPr>
            <w:tcW w:w="0" w:type="auto"/>
            <w:vMerge/>
            <w:tcBorders>
              <w:left w:val="single" w:sz="4" w:space="0" w:color="000000"/>
              <w:right w:val="single" w:sz="4" w:space="0" w:color="000000"/>
            </w:tcBorders>
            <w:shd w:val="clear" w:color="auto" w:fill="D9D9D9" w:themeFill="background1" w:themeFillShade="D9"/>
          </w:tcPr>
          <w:p w14:paraId="0901C7FB" w14:textId="77777777" w:rsidR="00A00D87" w:rsidRPr="00AA02A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vAlign w:val="center"/>
          </w:tcPr>
          <w:p w14:paraId="24619B49" w14:textId="77777777" w:rsidR="00A00D87" w:rsidRPr="00AA02AA" w:rsidRDefault="00A00D87" w:rsidP="00122946">
            <w:pPr>
              <w:ind w:left="1"/>
              <w:rPr>
                <w:rFonts w:cstheme="minorHAnsi"/>
                <w:sz w:val="20"/>
                <w:szCs w:val="20"/>
              </w:rPr>
            </w:pPr>
            <w:proofErr w:type="spellStart"/>
            <w:r w:rsidRPr="00AA02AA">
              <w:rPr>
                <w:rFonts w:cstheme="minorHAnsi"/>
                <w:sz w:val="20"/>
                <w:szCs w:val="20"/>
              </w:rPr>
              <w:t>Broj</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individualnog</w:t>
            </w:r>
            <w:proofErr w:type="spellEnd"/>
            <w:r w:rsidRPr="00AA02AA">
              <w:rPr>
                <w:rFonts w:cstheme="minorHAnsi"/>
                <w:sz w:val="20"/>
                <w:szCs w:val="20"/>
              </w:rPr>
              <w:t xml:space="preserve"> </w:t>
            </w:r>
            <w:proofErr w:type="spellStart"/>
            <w:r w:rsidRPr="00AA02AA">
              <w:rPr>
                <w:rFonts w:cstheme="minorHAnsi"/>
                <w:sz w:val="20"/>
                <w:szCs w:val="20"/>
              </w:rPr>
              <w:t>stanovanja</w:t>
            </w:r>
            <w:proofErr w:type="spellEnd"/>
            <w:r w:rsidRPr="00AA02AA">
              <w:rPr>
                <w:rFonts w:cstheme="minorHAnsi"/>
                <w:sz w:val="20"/>
                <w:szCs w:val="20"/>
              </w:rPr>
              <w:t xml:space="preserve"> </w:t>
            </w:r>
            <w:proofErr w:type="spellStart"/>
            <w:r w:rsidRPr="00AA02AA">
              <w:rPr>
                <w:rFonts w:cstheme="minorHAnsi"/>
                <w:sz w:val="20"/>
                <w:szCs w:val="20"/>
              </w:rPr>
              <w:t>obuhvaćenih</w:t>
            </w:r>
            <w:proofErr w:type="spellEnd"/>
            <w:r w:rsidRPr="00AA02AA">
              <w:rPr>
                <w:rFonts w:cstheme="minorHAnsi"/>
                <w:sz w:val="20"/>
                <w:szCs w:val="20"/>
              </w:rPr>
              <w:t xml:space="preserve"> </w:t>
            </w:r>
            <w:proofErr w:type="spellStart"/>
            <w:r w:rsidRPr="00AA02AA">
              <w:rPr>
                <w:rFonts w:cstheme="minorHAnsi"/>
                <w:sz w:val="20"/>
                <w:szCs w:val="20"/>
              </w:rPr>
              <w:t>energijskom</w:t>
            </w:r>
            <w:proofErr w:type="spellEnd"/>
            <w:r w:rsidRPr="00AA02AA">
              <w:rPr>
                <w:rFonts w:cstheme="minorHAnsi"/>
                <w:sz w:val="20"/>
                <w:szCs w:val="20"/>
              </w:rPr>
              <w:t xml:space="preserve"> </w:t>
            </w:r>
            <w:proofErr w:type="spellStart"/>
            <w:r w:rsidRPr="00AA02AA">
              <w:rPr>
                <w:rFonts w:cstheme="minorHAnsi"/>
                <w:sz w:val="20"/>
                <w:szCs w:val="20"/>
              </w:rPr>
              <w:t>sanacijom</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4F8F14B6"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r w:rsidRPr="00AA02AA">
              <w:rPr>
                <w:rFonts w:cstheme="minorHAnsi"/>
                <w:sz w:val="20"/>
                <w:szCs w:val="20"/>
              </w:rPr>
              <w:t>0</w:t>
            </w:r>
          </w:p>
        </w:tc>
        <w:tc>
          <w:tcPr>
            <w:tcW w:w="1471" w:type="dxa"/>
            <w:tcBorders>
              <w:top w:val="single" w:sz="4" w:space="0" w:color="000000"/>
              <w:left w:val="single" w:sz="4" w:space="0" w:color="auto"/>
              <w:bottom w:val="single" w:sz="4" w:space="0" w:color="000000"/>
              <w:right w:val="single" w:sz="4" w:space="0" w:color="000000"/>
            </w:tcBorders>
            <w:shd w:val="clear" w:color="auto" w:fill="auto"/>
            <w:vAlign w:val="center"/>
          </w:tcPr>
          <w:p w14:paraId="3F1A781D" w14:textId="77777777" w:rsidR="00A00D87" w:rsidRPr="00AA02AA" w:rsidRDefault="00A00D87" w:rsidP="00122946">
            <w:pPr>
              <w:jc w:val="center"/>
              <w:rPr>
                <w:rFonts w:cstheme="minorHAnsi"/>
                <w:sz w:val="20"/>
                <w:szCs w:val="20"/>
              </w:rPr>
            </w:pPr>
            <w:r w:rsidRPr="00AA02AA">
              <w:rPr>
                <w:rFonts w:cstheme="minorHAnsi"/>
                <w:sz w:val="20"/>
                <w:szCs w:val="20"/>
              </w:rPr>
              <w:t>154.016</w:t>
            </w:r>
          </w:p>
        </w:tc>
      </w:tr>
      <w:tr w:rsidR="00A00D87" w:rsidRPr="00AA02AA" w14:paraId="4C4D6520" w14:textId="77777777" w:rsidTr="00581C1C">
        <w:trPr>
          <w:trHeight w:val="374"/>
        </w:trPr>
        <w:tc>
          <w:tcPr>
            <w:tcW w:w="0" w:type="auto"/>
            <w:vMerge/>
            <w:tcBorders>
              <w:left w:val="single" w:sz="4" w:space="0" w:color="000000"/>
              <w:right w:val="single" w:sz="4" w:space="0" w:color="000000"/>
            </w:tcBorders>
            <w:shd w:val="clear" w:color="auto" w:fill="D9D9D9" w:themeFill="background1" w:themeFillShade="D9"/>
          </w:tcPr>
          <w:p w14:paraId="1A212DD4" w14:textId="77777777" w:rsidR="00A00D87" w:rsidRPr="00AA02A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05E7DE15" w14:textId="77777777" w:rsidR="00A00D87" w:rsidRPr="00AA02AA" w:rsidRDefault="00A00D87" w:rsidP="00122946">
            <w:pPr>
              <w:ind w:left="1"/>
              <w:rPr>
                <w:rFonts w:cstheme="minorHAnsi"/>
                <w:sz w:val="20"/>
                <w:szCs w:val="20"/>
              </w:rPr>
            </w:pPr>
            <w:proofErr w:type="spellStart"/>
            <w:r w:rsidRPr="00AA02AA">
              <w:rPr>
                <w:rFonts w:cstheme="minorHAnsi"/>
                <w:sz w:val="20"/>
                <w:szCs w:val="20"/>
              </w:rPr>
              <w:t>Broj</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kolektivnog</w:t>
            </w:r>
            <w:proofErr w:type="spellEnd"/>
            <w:r w:rsidRPr="00AA02AA">
              <w:rPr>
                <w:rFonts w:cstheme="minorHAnsi"/>
                <w:sz w:val="20"/>
                <w:szCs w:val="20"/>
              </w:rPr>
              <w:t xml:space="preserve"> </w:t>
            </w:r>
            <w:proofErr w:type="spellStart"/>
            <w:r w:rsidRPr="00AA02AA">
              <w:rPr>
                <w:rFonts w:cstheme="minorHAnsi"/>
                <w:sz w:val="20"/>
                <w:szCs w:val="20"/>
              </w:rPr>
              <w:t>stanovanja</w:t>
            </w:r>
            <w:proofErr w:type="spellEnd"/>
            <w:r w:rsidRPr="00AA02AA">
              <w:rPr>
                <w:rFonts w:cstheme="minorHAnsi"/>
                <w:sz w:val="20"/>
                <w:szCs w:val="20"/>
              </w:rPr>
              <w:t xml:space="preserve"> </w:t>
            </w:r>
            <w:proofErr w:type="spellStart"/>
            <w:r w:rsidRPr="00AA02AA">
              <w:rPr>
                <w:rFonts w:cstheme="minorHAnsi"/>
                <w:sz w:val="20"/>
                <w:szCs w:val="20"/>
              </w:rPr>
              <w:t>obuhvaćenih</w:t>
            </w:r>
            <w:proofErr w:type="spellEnd"/>
            <w:r w:rsidRPr="00AA02AA">
              <w:rPr>
                <w:rFonts w:cstheme="minorHAnsi"/>
                <w:sz w:val="20"/>
                <w:szCs w:val="20"/>
              </w:rPr>
              <w:t xml:space="preserve"> </w:t>
            </w:r>
            <w:proofErr w:type="spellStart"/>
            <w:r w:rsidRPr="00AA02AA">
              <w:rPr>
                <w:rFonts w:cstheme="minorHAnsi"/>
                <w:sz w:val="20"/>
                <w:szCs w:val="20"/>
              </w:rPr>
              <w:t>energijskom</w:t>
            </w:r>
            <w:proofErr w:type="spellEnd"/>
            <w:r w:rsidRPr="00AA02AA">
              <w:rPr>
                <w:rFonts w:cstheme="minorHAnsi"/>
                <w:sz w:val="20"/>
                <w:szCs w:val="20"/>
              </w:rPr>
              <w:t xml:space="preserve"> </w:t>
            </w:r>
            <w:proofErr w:type="spellStart"/>
            <w:r w:rsidRPr="00AA02AA">
              <w:rPr>
                <w:rFonts w:cstheme="minorHAnsi"/>
                <w:sz w:val="20"/>
                <w:szCs w:val="20"/>
              </w:rPr>
              <w:t>sanacijom</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2B3F8AB8"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r w:rsidRPr="00AA02AA">
              <w:rPr>
                <w:rFonts w:cstheme="minorHAnsi"/>
                <w:sz w:val="20"/>
                <w:szCs w:val="20"/>
              </w:rPr>
              <w:t>0</w:t>
            </w:r>
          </w:p>
        </w:tc>
        <w:tc>
          <w:tcPr>
            <w:tcW w:w="1471" w:type="dxa"/>
            <w:tcBorders>
              <w:top w:val="single" w:sz="4" w:space="0" w:color="000000"/>
              <w:left w:val="single" w:sz="4" w:space="0" w:color="auto"/>
              <w:bottom w:val="single" w:sz="4" w:space="0" w:color="000000"/>
              <w:right w:val="single" w:sz="4" w:space="0" w:color="000000"/>
            </w:tcBorders>
            <w:shd w:val="clear" w:color="auto" w:fill="auto"/>
            <w:vAlign w:val="center"/>
          </w:tcPr>
          <w:p w14:paraId="3FB98C6F" w14:textId="77777777" w:rsidR="00A00D87" w:rsidRPr="00AA02AA" w:rsidRDefault="00A00D87" w:rsidP="00122946">
            <w:pPr>
              <w:jc w:val="center"/>
              <w:rPr>
                <w:rFonts w:cstheme="minorHAnsi"/>
                <w:sz w:val="20"/>
                <w:szCs w:val="20"/>
              </w:rPr>
            </w:pPr>
            <w:r w:rsidRPr="00AA02AA">
              <w:rPr>
                <w:rFonts w:cstheme="minorHAnsi"/>
                <w:sz w:val="20"/>
                <w:szCs w:val="20"/>
              </w:rPr>
              <w:t>23.616</w:t>
            </w:r>
          </w:p>
        </w:tc>
      </w:tr>
      <w:tr w:rsidR="00A00D87" w:rsidRPr="00AA02AA" w14:paraId="515F8292" w14:textId="77777777" w:rsidTr="00581C1C">
        <w:trPr>
          <w:trHeight w:val="374"/>
        </w:trPr>
        <w:tc>
          <w:tcPr>
            <w:tcW w:w="0" w:type="auto"/>
            <w:vMerge/>
            <w:tcBorders>
              <w:left w:val="single" w:sz="4" w:space="0" w:color="000000"/>
              <w:right w:val="single" w:sz="4" w:space="0" w:color="000000"/>
            </w:tcBorders>
            <w:shd w:val="clear" w:color="auto" w:fill="D9D9D9" w:themeFill="background1" w:themeFillShade="D9"/>
          </w:tcPr>
          <w:p w14:paraId="502D5E8E" w14:textId="77777777" w:rsidR="00A00D87" w:rsidRPr="00AA02A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779156EF" w14:textId="77777777" w:rsidR="00A00D87" w:rsidRPr="00AA02AA" w:rsidRDefault="00A00D87" w:rsidP="00122946">
            <w:pPr>
              <w:ind w:left="1"/>
              <w:rPr>
                <w:rFonts w:cstheme="minorHAnsi"/>
                <w:sz w:val="20"/>
                <w:szCs w:val="20"/>
              </w:rPr>
            </w:pPr>
            <w:proofErr w:type="spellStart"/>
            <w:r w:rsidRPr="00AA02AA">
              <w:rPr>
                <w:rFonts w:cstheme="minorHAnsi"/>
                <w:sz w:val="20"/>
                <w:szCs w:val="20"/>
              </w:rPr>
              <w:t>Broj</w:t>
            </w:r>
            <w:proofErr w:type="spellEnd"/>
            <w:r w:rsidRPr="00AA02AA">
              <w:rPr>
                <w:rFonts w:cstheme="minorHAnsi"/>
                <w:sz w:val="20"/>
                <w:szCs w:val="20"/>
              </w:rPr>
              <w:t xml:space="preserve"> </w:t>
            </w:r>
            <w:proofErr w:type="spellStart"/>
            <w:r w:rsidRPr="00AA02AA">
              <w:rPr>
                <w:rFonts w:cstheme="minorHAnsi"/>
                <w:sz w:val="20"/>
                <w:szCs w:val="20"/>
              </w:rPr>
              <w:t>javnih</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obuhvaćenih</w:t>
            </w:r>
            <w:proofErr w:type="spellEnd"/>
            <w:r w:rsidRPr="00AA02AA">
              <w:rPr>
                <w:rFonts w:cstheme="minorHAnsi"/>
                <w:sz w:val="20"/>
                <w:szCs w:val="20"/>
              </w:rPr>
              <w:t xml:space="preserve"> </w:t>
            </w:r>
            <w:proofErr w:type="spellStart"/>
            <w:r w:rsidRPr="00AA02AA">
              <w:rPr>
                <w:rFonts w:cstheme="minorHAnsi"/>
                <w:sz w:val="20"/>
                <w:szCs w:val="20"/>
              </w:rPr>
              <w:t>energijskom</w:t>
            </w:r>
            <w:proofErr w:type="spellEnd"/>
            <w:r w:rsidRPr="00AA02AA">
              <w:rPr>
                <w:rFonts w:cstheme="minorHAnsi"/>
                <w:sz w:val="20"/>
                <w:szCs w:val="20"/>
              </w:rPr>
              <w:t xml:space="preserve"> </w:t>
            </w:r>
            <w:proofErr w:type="spellStart"/>
            <w:r w:rsidRPr="00AA02AA">
              <w:rPr>
                <w:rFonts w:cstheme="minorHAnsi"/>
                <w:sz w:val="20"/>
                <w:szCs w:val="20"/>
              </w:rPr>
              <w:t>sanacijom</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1DC0F780"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r w:rsidRPr="00AA02AA">
              <w:rPr>
                <w:rFonts w:cstheme="minorHAnsi"/>
                <w:sz w:val="20"/>
                <w:szCs w:val="20"/>
              </w:rPr>
              <w:t>0</w:t>
            </w:r>
          </w:p>
        </w:tc>
        <w:tc>
          <w:tcPr>
            <w:tcW w:w="1471" w:type="dxa"/>
            <w:tcBorders>
              <w:top w:val="single" w:sz="4" w:space="0" w:color="000000"/>
              <w:left w:val="single" w:sz="4" w:space="0" w:color="auto"/>
              <w:bottom w:val="single" w:sz="4" w:space="0" w:color="000000"/>
              <w:right w:val="single" w:sz="4" w:space="0" w:color="000000"/>
            </w:tcBorders>
            <w:shd w:val="clear" w:color="auto" w:fill="auto"/>
            <w:vAlign w:val="center"/>
          </w:tcPr>
          <w:p w14:paraId="0EE3B9E7" w14:textId="77777777" w:rsidR="00A00D87" w:rsidRPr="00AA02AA" w:rsidRDefault="00A00D87" w:rsidP="00122946">
            <w:pPr>
              <w:jc w:val="center"/>
              <w:rPr>
                <w:rFonts w:cstheme="minorHAnsi"/>
                <w:sz w:val="20"/>
                <w:szCs w:val="20"/>
              </w:rPr>
            </w:pPr>
            <w:r w:rsidRPr="00AA02AA">
              <w:rPr>
                <w:rFonts w:cstheme="minorHAnsi"/>
                <w:sz w:val="20"/>
                <w:szCs w:val="20"/>
              </w:rPr>
              <w:t>3.689</w:t>
            </w:r>
          </w:p>
        </w:tc>
      </w:tr>
      <w:tr w:rsidR="00A00D87" w:rsidRPr="00AA02AA" w14:paraId="6AC43847" w14:textId="77777777" w:rsidTr="00581C1C">
        <w:trPr>
          <w:trHeight w:val="374"/>
        </w:trPr>
        <w:tc>
          <w:tcPr>
            <w:tcW w:w="0" w:type="auto"/>
            <w:vMerge/>
            <w:tcBorders>
              <w:left w:val="single" w:sz="4" w:space="0" w:color="000000"/>
              <w:right w:val="single" w:sz="4" w:space="0" w:color="000000"/>
            </w:tcBorders>
            <w:shd w:val="clear" w:color="auto" w:fill="D9D9D9" w:themeFill="background1" w:themeFillShade="D9"/>
          </w:tcPr>
          <w:p w14:paraId="582108F5" w14:textId="77777777" w:rsidR="00A00D87" w:rsidRPr="00AA02A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06618AC1" w14:textId="77777777" w:rsidR="00A00D87" w:rsidRPr="00AA02AA" w:rsidRDefault="00A00D87" w:rsidP="00122946">
            <w:pPr>
              <w:ind w:left="1"/>
              <w:rPr>
                <w:rFonts w:cstheme="minorHAnsi"/>
                <w:sz w:val="20"/>
                <w:szCs w:val="20"/>
              </w:rPr>
            </w:pPr>
            <w:proofErr w:type="spellStart"/>
            <w:r w:rsidRPr="00AA02AA">
              <w:rPr>
                <w:rFonts w:cstheme="minorHAnsi"/>
                <w:sz w:val="20"/>
                <w:szCs w:val="20"/>
              </w:rPr>
              <w:t>Broj</w:t>
            </w:r>
            <w:proofErr w:type="spellEnd"/>
            <w:r w:rsidRPr="00AA02AA">
              <w:rPr>
                <w:rFonts w:cstheme="minorHAnsi"/>
                <w:sz w:val="20"/>
                <w:szCs w:val="20"/>
              </w:rPr>
              <w:t xml:space="preserve"> </w:t>
            </w:r>
            <w:proofErr w:type="spellStart"/>
            <w:r w:rsidRPr="00AA02AA">
              <w:rPr>
                <w:rFonts w:cstheme="minorHAnsi"/>
                <w:sz w:val="20"/>
                <w:szCs w:val="20"/>
              </w:rPr>
              <w:t>komercijalnih</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obuhvaćenih</w:t>
            </w:r>
            <w:proofErr w:type="spellEnd"/>
            <w:r w:rsidRPr="00AA02AA">
              <w:rPr>
                <w:rFonts w:cstheme="minorHAnsi"/>
                <w:sz w:val="20"/>
                <w:szCs w:val="20"/>
              </w:rPr>
              <w:t xml:space="preserve"> </w:t>
            </w:r>
            <w:proofErr w:type="spellStart"/>
            <w:r w:rsidRPr="00AA02AA">
              <w:rPr>
                <w:rFonts w:cstheme="minorHAnsi"/>
                <w:sz w:val="20"/>
                <w:szCs w:val="20"/>
              </w:rPr>
              <w:t>energijskom</w:t>
            </w:r>
            <w:proofErr w:type="spellEnd"/>
            <w:r w:rsidRPr="00AA02AA">
              <w:rPr>
                <w:rFonts w:cstheme="minorHAnsi"/>
                <w:sz w:val="20"/>
                <w:szCs w:val="20"/>
              </w:rPr>
              <w:t xml:space="preserve"> </w:t>
            </w:r>
            <w:proofErr w:type="spellStart"/>
            <w:r w:rsidRPr="00AA02AA">
              <w:rPr>
                <w:rFonts w:cstheme="minorHAnsi"/>
                <w:sz w:val="20"/>
                <w:szCs w:val="20"/>
              </w:rPr>
              <w:t>sanacijom</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6714C93B"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r w:rsidRPr="00AA02AA">
              <w:rPr>
                <w:rFonts w:cstheme="minorHAnsi"/>
                <w:sz w:val="20"/>
                <w:szCs w:val="20"/>
              </w:rPr>
              <w:t>0</w:t>
            </w:r>
          </w:p>
        </w:tc>
        <w:tc>
          <w:tcPr>
            <w:tcW w:w="1471" w:type="dxa"/>
            <w:tcBorders>
              <w:top w:val="single" w:sz="4" w:space="0" w:color="000000"/>
              <w:left w:val="single" w:sz="4" w:space="0" w:color="auto"/>
              <w:bottom w:val="single" w:sz="4" w:space="0" w:color="000000"/>
              <w:right w:val="single" w:sz="4" w:space="0" w:color="000000"/>
            </w:tcBorders>
            <w:shd w:val="clear" w:color="auto" w:fill="auto"/>
            <w:vAlign w:val="center"/>
          </w:tcPr>
          <w:p w14:paraId="2378C257" w14:textId="77777777" w:rsidR="00A00D87" w:rsidRPr="00AA02AA" w:rsidRDefault="00A00D87" w:rsidP="00122946">
            <w:pPr>
              <w:jc w:val="center"/>
              <w:rPr>
                <w:rFonts w:cstheme="minorHAnsi"/>
                <w:sz w:val="20"/>
                <w:szCs w:val="20"/>
              </w:rPr>
            </w:pPr>
            <w:r w:rsidRPr="00AA02AA">
              <w:rPr>
                <w:rFonts w:cstheme="minorHAnsi"/>
                <w:sz w:val="20"/>
                <w:szCs w:val="20"/>
              </w:rPr>
              <w:t>4.827</w:t>
            </w:r>
          </w:p>
        </w:tc>
      </w:tr>
      <w:tr w:rsidR="00A00D87" w:rsidRPr="00AA02AA" w14:paraId="19208DF4" w14:textId="77777777" w:rsidTr="00122946">
        <w:trPr>
          <w:trHeight w:val="374"/>
        </w:trPr>
        <w:tc>
          <w:tcPr>
            <w:tcW w:w="0" w:type="auto"/>
            <w:vMerge/>
            <w:tcBorders>
              <w:left w:val="single" w:sz="4" w:space="0" w:color="000000"/>
              <w:right w:val="single" w:sz="4" w:space="0" w:color="000000"/>
            </w:tcBorders>
            <w:shd w:val="clear" w:color="auto" w:fill="D9D9D9" w:themeFill="background1" w:themeFillShade="D9"/>
          </w:tcPr>
          <w:p w14:paraId="04AFF03C" w14:textId="77777777" w:rsidR="00A00D87" w:rsidRPr="00AA02A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6C9FEB9C" w14:textId="77777777" w:rsidR="00A00D87" w:rsidRPr="00AA02AA" w:rsidRDefault="00A00D87" w:rsidP="00122946">
            <w:pPr>
              <w:ind w:left="1"/>
              <w:rPr>
                <w:rFonts w:cstheme="minorHAnsi"/>
                <w:sz w:val="20"/>
                <w:szCs w:val="20"/>
              </w:rPr>
            </w:pPr>
            <w:proofErr w:type="spellStart"/>
            <w:r w:rsidRPr="00AA02AA">
              <w:rPr>
                <w:rFonts w:cstheme="minorHAnsi"/>
                <w:sz w:val="20"/>
                <w:szCs w:val="20"/>
              </w:rPr>
              <w:t>Broj</w:t>
            </w:r>
            <w:proofErr w:type="spellEnd"/>
            <w:r w:rsidRPr="00AA02AA">
              <w:rPr>
                <w:rFonts w:cstheme="minorHAnsi"/>
                <w:sz w:val="20"/>
                <w:szCs w:val="20"/>
              </w:rPr>
              <w:t xml:space="preserve"> </w:t>
            </w:r>
            <w:proofErr w:type="spellStart"/>
            <w:r w:rsidRPr="00AA02AA">
              <w:rPr>
                <w:rFonts w:cstheme="minorHAnsi"/>
                <w:sz w:val="20"/>
                <w:szCs w:val="20"/>
              </w:rPr>
              <w:t>obnovljenih</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sa</w:t>
            </w:r>
            <w:proofErr w:type="spellEnd"/>
            <w:r w:rsidRPr="00AA02AA">
              <w:rPr>
                <w:rFonts w:cstheme="minorHAnsi"/>
                <w:sz w:val="20"/>
                <w:szCs w:val="20"/>
              </w:rPr>
              <w:t xml:space="preserve"> </w:t>
            </w:r>
            <w:proofErr w:type="spellStart"/>
            <w:r w:rsidRPr="00AA02AA">
              <w:rPr>
                <w:rFonts w:cstheme="minorHAnsi"/>
                <w:sz w:val="20"/>
                <w:szCs w:val="20"/>
              </w:rPr>
              <w:t>statusom</w:t>
            </w:r>
            <w:proofErr w:type="spellEnd"/>
            <w:r w:rsidRPr="00AA02AA">
              <w:rPr>
                <w:rFonts w:cstheme="minorHAnsi"/>
                <w:sz w:val="20"/>
                <w:szCs w:val="20"/>
              </w:rPr>
              <w:t xml:space="preserve"> </w:t>
            </w:r>
            <w:proofErr w:type="spellStart"/>
            <w:r w:rsidRPr="00AA02AA">
              <w:rPr>
                <w:rFonts w:cstheme="minorHAnsi"/>
                <w:sz w:val="20"/>
                <w:szCs w:val="20"/>
              </w:rPr>
              <w:t>nacionalnih</w:t>
            </w:r>
            <w:proofErr w:type="spellEnd"/>
            <w:r w:rsidRPr="00AA02AA">
              <w:rPr>
                <w:rFonts w:cstheme="minorHAnsi"/>
                <w:sz w:val="20"/>
                <w:szCs w:val="20"/>
              </w:rPr>
              <w:t xml:space="preserve"> spomenika</w:t>
            </w:r>
          </w:p>
        </w:tc>
        <w:tc>
          <w:tcPr>
            <w:tcW w:w="2068" w:type="dxa"/>
            <w:tcBorders>
              <w:top w:val="single" w:sz="4" w:space="0" w:color="auto"/>
              <w:left w:val="single" w:sz="4" w:space="0" w:color="auto"/>
              <w:bottom w:val="single" w:sz="4" w:space="0" w:color="auto"/>
              <w:right w:val="single" w:sz="4" w:space="0" w:color="auto"/>
            </w:tcBorders>
            <w:vAlign w:val="center"/>
          </w:tcPr>
          <w:p w14:paraId="4E1EBA41"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AA02AA">
              <w:rPr>
                <w:rFonts w:cstheme="minorHAnsi"/>
                <w:sz w:val="20"/>
                <w:szCs w:val="20"/>
              </w:rPr>
              <w:t>Nepoznato</w:t>
            </w:r>
            <w:proofErr w:type="spellEnd"/>
          </w:p>
        </w:tc>
        <w:tc>
          <w:tcPr>
            <w:tcW w:w="1471" w:type="dxa"/>
            <w:tcBorders>
              <w:top w:val="single" w:sz="4" w:space="0" w:color="000000"/>
              <w:left w:val="single" w:sz="4" w:space="0" w:color="auto"/>
              <w:bottom w:val="single" w:sz="4" w:space="0" w:color="000000"/>
              <w:right w:val="single" w:sz="4" w:space="0" w:color="000000"/>
            </w:tcBorders>
            <w:vAlign w:val="center"/>
          </w:tcPr>
          <w:p w14:paraId="0BDC2FC0" w14:textId="77777777" w:rsidR="00A00D87" w:rsidRPr="00AA02AA" w:rsidRDefault="00A00D87" w:rsidP="00122946">
            <w:pPr>
              <w:jc w:val="center"/>
              <w:rPr>
                <w:rFonts w:cstheme="minorHAnsi"/>
                <w:sz w:val="20"/>
                <w:szCs w:val="20"/>
              </w:rPr>
            </w:pPr>
            <w:r w:rsidRPr="00AA02AA">
              <w:rPr>
                <w:rFonts w:cstheme="minorHAnsi"/>
                <w:sz w:val="20"/>
                <w:szCs w:val="20"/>
              </w:rPr>
              <w:t>n/d</w:t>
            </w:r>
          </w:p>
        </w:tc>
      </w:tr>
      <w:tr w:rsidR="00A00D87" w:rsidRPr="00AA02AA" w14:paraId="1214618D" w14:textId="77777777" w:rsidTr="00122946">
        <w:trPr>
          <w:trHeight w:val="374"/>
        </w:trPr>
        <w:tc>
          <w:tcPr>
            <w:tcW w:w="0" w:type="auto"/>
            <w:vMerge/>
            <w:tcBorders>
              <w:left w:val="single" w:sz="4" w:space="0" w:color="000000"/>
              <w:right w:val="single" w:sz="4" w:space="0" w:color="000000"/>
            </w:tcBorders>
            <w:shd w:val="clear" w:color="auto" w:fill="D9D9D9" w:themeFill="background1" w:themeFillShade="D9"/>
          </w:tcPr>
          <w:p w14:paraId="10F27BC5" w14:textId="77777777" w:rsidR="00A00D87" w:rsidRPr="00AA02A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4182FBE6" w14:textId="77777777" w:rsidR="00A00D87" w:rsidRPr="00AA02AA" w:rsidRDefault="00A00D87" w:rsidP="00122946">
            <w:pPr>
              <w:ind w:left="1"/>
              <w:rPr>
                <w:rFonts w:cstheme="minorHAnsi"/>
                <w:sz w:val="20"/>
                <w:szCs w:val="20"/>
              </w:rPr>
            </w:pPr>
            <w:proofErr w:type="spellStart"/>
            <w:r w:rsidRPr="00AA02AA">
              <w:rPr>
                <w:rFonts w:cstheme="minorHAnsi"/>
                <w:sz w:val="20"/>
                <w:szCs w:val="20"/>
              </w:rPr>
              <w:t>Broj</w:t>
            </w:r>
            <w:proofErr w:type="spellEnd"/>
            <w:r w:rsidRPr="00AA02AA">
              <w:rPr>
                <w:rFonts w:cstheme="minorHAnsi"/>
                <w:sz w:val="20"/>
                <w:szCs w:val="20"/>
              </w:rPr>
              <w:t xml:space="preserve"> </w:t>
            </w:r>
            <w:proofErr w:type="spellStart"/>
            <w:r w:rsidRPr="00AA02AA">
              <w:rPr>
                <w:rFonts w:cstheme="minorHAnsi"/>
                <w:sz w:val="20"/>
                <w:szCs w:val="20"/>
              </w:rPr>
              <w:t>obnovljenih</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sa</w:t>
            </w:r>
            <w:proofErr w:type="spellEnd"/>
            <w:r w:rsidRPr="00AA02AA">
              <w:rPr>
                <w:rFonts w:cstheme="minorHAnsi"/>
                <w:sz w:val="20"/>
                <w:szCs w:val="20"/>
              </w:rPr>
              <w:t xml:space="preserve"> </w:t>
            </w:r>
            <w:proofErr w:type="spellStart"/>
            <w:r w:rsidRPr="00AA02AA">
              <w:rPr>
                <w:rFonts w:cstheme="minorHAnsi"/>
                <w:sz w:val="20"/>
                <w:szCs w:val="20"/>
              </w:rPr>
              <w:t>statusom</w:t>
            </w:r>
            <w:proofErr w:type="spellEnd"/>
            <w:r w:rsidRPr="00AA02AA">
              <w:rPr>
                <w:rFonts w:cstheme="minorHAnsi"/>
                <w:sz w:val="20"/>
                <w:szCs w:val="20"/>
              </w:rPr>
              <w:t xml:space="preserve"> </w:t>
            </w:r>
            <w:proofErr w:type="spellStart"/>
            <w:r w:rsidRPr="00AA02AA">
              <w:rPr>
                <w:rFonts w:cstheme="minorHAnsi"/>
                <w:sz w:val="20"/>
                <w:szCs w:val="20"/>
              </w:rPr>
              <w:t>zaštićene</w:t>
            </w:r>
            <w:proofErr w:type="spellEnd"/>
            <w:r w:rsidRPr="00AA02AA">
              <w:rPr>
                <w:rFonts w:cstheme="minorHAnsi"/>
                <w:sz w:val="20"/>
                <w:szCs w:val="20"/>
              </w:rPr>
              <w:t xml:space="preserve"> </w:t>
            </w:r>
            <w:proofErr w:type="spellStart"/>
            <w:r w:rsidRPr="00AA02AA">
              <w:rPr>
                <w:rFonts w:cstheme="minorHAnsi"/>
                <w:sz w:val="20"/>
                <w:szCs w:val="20"/>
              </w:rPr>
              <w:t>kulturne</w:t>
            </w:r>
            <w:proofErr w:type="spellEnd"/>
            <w:r w:rsidRPr="00AA02AA">
              <w:rPr>
                <w:rFonts w:cstheme="minorHAnsi"/>
                <w:sz w:val="20"/>
                <w:szCs w:val="20"/>
              </w:rPr>
              <w:t xml:space="preserve"> </w:t>
            </w:r>
            <w:proofErr w:type="spellStart"/>
            <w:r w:rsidRPr="00AA02AA">
              <w:rPr>
                <w:rFonts w:cstheme="minorHAnsi"/>
                <w:sz w:val="20"/>
                <w:szCs w:val="20"/>
              </w:rPr>
              <w:t>baštine</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59067D65"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AA02AA">
              <w:rPr>
                <w:rFonts w:cstheme="minorHAnsi"/>
                <w:sz w:val="20"/>
                <w:szCs w:val="20"/>
              </w:rPr>
              <w:t>Nepoznato</w:t>
            </w:r>
            <w:proofErr w:type="spellEnd"/>
          </w:p>
        </w:tc>
        <w:tc>
          <w:tcPr>
            <w:tcW w:w="1471" w:type="dxa"/>
            <w:tcBorders>
              <w:top w:val="single" w:sz="4" w:space="0" w:color="000000"/>
              <w:left w:val="single" w:sz="4" w:space="0" w:color="auto"/>
              <w:bottom w:val="single" w:sz="4" w:space="0" w:color="000000"/>
              <w:right w:val="single" w:sz="4" w:space="0" w:color="000000"/>
            </w:tcBorders>
            <w:vAlign w:val="center"/>
          </w:tcPr>
          <w:p w14:paraId="69057989" w14:textId="77777777" w:rsidR="00A00D87" w:rsidRPr="00AA02AA" w:rsidRDefault="00A00D87" w:rsidP="00122946">
            <w:pPr>
              <w:jc w:val="center"/>
              <w:rPr>
                <w:rFonts w:cstheme="minorHAnsi"/>
                <w:sz w:val="20"/>
                <w:szCs w:val="20"/>
              </w:rPr>
            </w:pPr>
            <w:r w:rsidRPr="00AA02AA">
              <w:rPr>
                <w:rFonts w:cstheme="minorHAnsi"/>
                <w:sz w:val="20"/>
                <w:szCs w:val="20"/>
              </w:rPr>
              <w:t>n/d</w:t>
            </w:r>
          </w:p>
        </w:tc>
      </w:tr>
      <w:tr w:rsidR="00A00D87" w:rsidRPr="00AA02AA" w14:paraId="4E24DBC4" w14:textId="77777777" w:rsidTr="00122946">
        <w:trPr>
          <w:trHeight w:val="374"/>
        </w:trPr>
        <w:tc>
          <w:tcPr>
            <w:tcW w:w="0" w:type="auto"/>
            <w:vMerge/>
            <w:tcBorders>
              <w:left w:val="single" w:sz="4" w:space="0" w:color="000000"/>
              <w:right w:val="single" w:sz="4" w:space="0" w:color="000000"/>
            </w:tcBorders>
            <w:shd w:val="clear" w:color="auto" w:fill="D9D9D9" w:themeFill="background1" w:themeFillShade="D9"/>
          </w:tcPr>
          <w:p w14:paraId="32EF1D77" w14:textId="77777777" w:rsidR="00A00D87" w:rsidRPr="00AA02AA"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1A4A1D66" w14:textId="77777777" w:rsidR="00A00D87" w:rsidRPr="00AA02AA" w:rsidRDefault="00A00D87" w:rsidP="00122946">
            <w:pPr>
              <w:ind w:left="1"/>
              <w:rPr>
                <w:rFonts w:cstheme="minorHAnsi"/>
                <w:sz w:val="20"/>
                <w:szCs w:val="20"/>
              </w:rPr>
            </w:pPr>
            <w:proofErr w:type="spellStart"/>
            <w:r w:rsidRPr="00AA02AA">
              <w:rPr>
                <w:rFonts w:cstheme="minorHAnsi"/>
                <w:sz w:val="20"/>
                <w:szCs w:val="20"/>
              </w:rPr>
              <w:t>Broj</w:t>
            </w:r>
            <w:proofErr w:type="spellEnd"/>
            <w:r w:rsidRPr="00AA02AA">
              <w:rPr>
                <w:rFonts w:cstheme="minorHAnsi"/>
                <w:sz w:val="20"/>
                <w:szCs w:val="20"/>
              </w:rPr>
              <w:t xml:space="preserve"> </w:t>
            </w:r>
            <w:proofErr w:type="spellStart"/>
            <w:r w:rsidRPr="00AA02AA">
              <w:rPr>
                <w:rFonts w:cstheme="minorHAnsi"/>
                <w:sz w:val="20"/>
                <w:szCs w:val="20"/>
              </w:rPr>
              <w:t>obnovljenih</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OSBiH</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14:paraId="28568A41" w14:textId="77777777" w:rsidR="00A00D87" w:rsidRPr="00AA02AA"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AA02AA">
              <w:rPr>
                <w:rFonts w:cstheme="minorHAnsi"/>
                <w:sz w:val="20"/>
                <w:szCs w:val="20"/>
              </w:rPr>
              <w:t>Nedostupne</w:t>
            </w:r>
            <w:proofErr w:type="spellEnd"/>
            <w:r w:rsidRPr="00AA02AA">
              <w:rPr>
                <w:rFonts w:cstheme="minorHAnsi"/>
                <w:sz w:val="20"/>
                <w:szCs w:val="20"/>
              </w:rPr>
              <w:t xml:space="preserve"> </w:t>
            </w:r>
            <w:proofErr w:type="spellStart"/>
            <w:r w:rsidRPr="00AA02AA">
              <w:rPr>
                <w:rFonts w:cstheme="minorHAnsi"/>
                <w:sz w:val="20"/>
                <w:szCs w:val="20"/>
              </w:rPr>
              <w:t>informacije</w:t>
            </w:r>
            <w:proofErr w:type="spellEnd"/>
          </w:p>
        </w:tc>
        <w:tc>
          <w:tcPr>
            <w:tcW w:w="1471" w:type="dxa"/>
            <w:tcBorders>
              <w:top w:val="single" w:sz="4" w:space="0" w:color="000000"/>
              <w:left w:val="single" w:sz="4" w:space="0" w:color="auto"/>
              <w:bottom w:val="single" w:sz="4" w:space="0" w:color="000000"/>
              <w:right w:val="single" w:sz="4" w:space="0" w:color="000000"/>
            </w:tcBorders>
            <w:vAlign w:val="center"/>
          </w:tcPr>
          <w:p w14:paraId="1B029BEF" w14:textId="77777777" w:rsidR="00A00D87" w:rsidRPr="00AA02AA" w:rsidRDefault="00A00D87" w:rsidP="00122946">
            <w:pPr>
              <w:jc w:val="center"/>
              <w:rPr>
                <w:rFonts w:cstheme="minorHAnsi"/>
                <w:sz w:val="20"/>
                <w:szCs w:val="20"/>
              </w:rPr>
            </w:pPr>
            <w:r w:rsidRPr="00AA02AA">
              <w:rPr>
                <w:rFonts w:cstheme="minorHAnsi"/>
                <w:sz w:val="20"/>
                <w:szCs w:val="20"/>
              </w:rPr>
              <w:t>n/d</w:t>
            </w:r>
          </w:p>
        </w:tc>
      </w:tr>
      <w:tr w:rsidR="00A00D87" w:rsidRPr="00AA02AA" w14:paraId="5B1FEB2A"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0FD407"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Razvojni</w:t>
            </w:r>
            <w:proofErr w:type="spellEnd"/>
            <w:r w:rsidRPr="00AA02AA">
              <w:rPr>
                <w:rFonts w:cstheme="minorHAnsi"/>
                <w:b/>
                <w:sz w:val="20"/>
                <w:szCs w:val="20"/>
              </w:rPr>
              <w:t xml:space="preserve"> </w:t>
            </w:r>
            <w:proofErr w:type="spellStart"/>
            <w:r w:rsidRPr="00AA02AA">
              <w:rPr>
                <w:rFonts w:cstheme="minorHAnsi"/>
                <w:b/>
                <w:sz w:val="20"/>
                <w:szCs w:val="20"/>
              </w:rPr>
              <w:t>efekat</w:t>
            </w:r>
            <w:proofErr w:type="spellEnd"/>
            <w:r w:rsidRPr="00AA02AA">
              <w:rPr>
                <w:rFonts w:cstheme="minorHAnsi"/>
                <w:b/>
                <w:sz w:val="20"/>
                <w:szCs w:val="20"/>
              </w:rPr>
              <w:t xml:space="preserve"> i </w:t>
            </w:r>
            <w:proofErr w:type="spellStart"/>
            <w:r w:rsidRPr="00AA02AA">
              <w:rPr>
                <w:rFonts w:cstheme="minorHAnsi"/>
                <w:b/>
                <w:sz w:val="20"/>
                <w:szCs w:val="20"/>
              </w:rPr>
              <w:t>doprinos</w:t>
            </w:r>
            <w:proofErr w:type="spellEnd"/>
            <w:r w:rsidRPr="00AA02AA">
              <w:rPr>
                <w:rFonts w:cstheme="minorHAnsi"/>
                <w:b/>
                <w:sz w:val="20"/>
                <w:szCs w:val="20"/>
              </w:rPr>
              <w:t xml:space="preserve"> </w:t>
            </w:r>
            <w:proofErr w:type="spellStart"/>
            <w:r w:rsidRPr="00AA02AA">
              <w:rPr>
                <w:rFonts w:cstheme="minorHAnsi"/>
                <w:b/>
                <w:sz w:val="20"/>
                <w:szCs w:val="20"/>
              </w:rPr>
              <w:t>mjere</w:t>
            </w:r>
            <w:proofErr w:type="spellEnd"/>
            <w:r w:rsidRPr="00AA02AA">
              <w:rPr>
                <w:rFonts w:cstheme="minorHAnsi"/>
                <w:b/>
                <w:sz w:val="20"/>
                <w:szCs w:val="20"/>
              </w:rPr>
              <w:t xml:space="preserve"> </w:t>
            </w:r>
            <w:proofErr w:type="spellStart"/>
            <w:r w:rsidRPr="00AA02AA">
              <w:rPr>
                <w:rFonts w:cstheme="minorHAnsi"/>
                <w:b/>
                <w:sz w:val="20"/>
                <w:szCs w:val="20"/>
              </w:rPr>
              <w:t>ostvarenju</w:t>
            </w:r>
            <w:proofErr w:type="spellEnd"/>
            <w:r w:rsidRPr="00AA02AA">
              <w:rPr>
                <w:rFonts w:cstheme="minorHAnsi"/>
                <w:b/>
                <w:sz w:val="20"/>
                <w:szCs w:val="20"/>
              </w:rPr>
              <w:t xml:space="preserve"> </w:t>
            </w:r>
            <w:proofErr w:type="spellStart"/>
            <w:r w:rsidRPr="00AA02AA">
              <w:rPr>
                <w:rFonts w:cstheme="minorHAnsi"/>
                <w:b/>
                <w:sz w:val="20"/>
                <w:szCs w:val="20"/>
              </w:rPr>
              <w:t>prioriteta</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35460AFA" w14:textId="77777777" w:rsidR="00A00D87" w:rsidRPr="00AA02AA" w:rsidRDefault="00A00D87" w:rsidP="00E6560A">
            <w:pPr>
              <w:spacing w:after="160" w:line="259" w:lineRule="auto"/>
              <w:ind w:left="1"/>
              <w:jc w:val="both"/>
              <w:rPr>
                <w:rFonts w:cstheme="minorHAnsi"/>
                <w:sz w:val="20"/>
                <w:szCs w:val="20"/>
              </w:rPr>
            </w:pPr>
            <w:bookmarkStart w:id="266" w:name="_Hlk126229170"/>
            <w:proofErr w:type="spellStart"/>
            <w:r w:rsidRPr="00AA02AA">
              <w:rPr>
                <w:rFonts w:cstheme="minorHAnsi"/>
                <w:sz w:val="20"/>
                <w:szCs w:val="20"/>
              </w:rPr>
              <w:t>Implementacijom</w:t>
            </w:r>
            <w:proofErr w:type="spellEnd"/>
            <w:r w:rsidRPr="00AA02AA">
              <w:rPr>
                <w:rFonts w:cstheme="minorHAnsi"/>
                <w:sz w:val="20"/>
                <w:szCs w:val="20"/>
              </w:rPr>
              <w:t xml:space="preserve"> </w:t>
            </w:r>
            <w:proofErr w:type="spellStart"/>
            <w:r w:rsidRPr="00AA02AA">
              <w:rPr>
                <w:rFonts w:cstheme="minorHAnsi"/>
                <w:sz w:val="20"/>
                <w:szCs w:val="20"/>
              </w:rPr>
              <w:t>ove</w:t>
            </w:r>
            <w:proofErr w:type="spellEnd"/>
            <w:r w:rsidRPr="00AA02AA">
              <w:rPr>
                <w:rFonts w:cstheme="minorHAnsi"/>
                <w:sz w:val="20"/>
                <w:szCs w:val="20"/>
              </w:rPr>
              <w:t xml:space="preserve"> </w:t>
            </w:r>
            <w:proofErr w:type="spellStart"/>
            <w:r w:rsidRPr="00AA02AA">
              <w:rPr>
                <w:rFonts w:cstheme="minorHAnsi"/>
                <w:sz w:val="20"/>
                <w:szCs w:val="20"/>
              </w:rPr>
              <w:t>mjere</w:t>
            </w:r>
            <w:proofErr w:type="spellEnd"/>
            <w:r w:rsidRPr="00AA02AA">
              <w:rPr>
                <w:rFonts w:cstheme="minorHAnsi"/>
                <w:sz w:val="20"/>
                <w:szCs w:val="20"/>
              </w:rPr>
              <w:t xml:space="preserve"> </w:t>
            </w:r>
            <w:proofErr w:type="spellStart"/>
            <w:r w:rsidRPr="00AA02AA">
              <w:rPr>
                <w:rFonts w:cstheme="minorHAnsi"/>
                <w:sz w:val="20"/>
                <w:szCs w:val="20"/>
              </w:rPr>
              <w:t>osigurat</w:t>
            </w:r>
            <w:proofErr w:type="spellEnd"/>
            <w:r w:rsidRPr="00AA02AA">
              <w:rPr>
                <w:rFonts w:cstheme="minorHAnsi"/>
                <w:sz w:val="20"/>
                <w:szCs w:val="20"/>
              </w:rPr>
              <w:t xml:space="preserve"> </w:t>
            </w:r>
            <w:proofErr w:type="spellStart"/>
            <w:r w:rsidRPr="00AA02AA">
              <w:rPr>
                <w:rFonts w:cstheme="minorHAnsi"/>
                <w:sz w:val="20"/>
                <w:szCs w:val="20"/>
              </w:rPr>
              <w:t>će</w:t>
            </w:r>
            <w:proofErr w:type="spellEnd"/>
            <w:r w:rsidRPr="00AA02AA">
              <w:rPr>
                <w:rFonts w:cstheme="minorHAnsi"/>
                <w:sz w:val="20"/>
                <w:szCs w:val="20"/>
              </w:rPr>
              <w:t xml:space="preserve"> se </w:t>
            </w:r>
            <w:proofErr w:type="spellStart"/>
            <w:r w:rsidRPr="00AA02AA">
              <w:rPr>
                <w:rFonts w:cstheme="minorHAnsi"/>
                <w:sz w:val="20"/>
                <w:szCs w:val="20"/>
              </w:rPr>
              <w:t>kvalitetna</w:t>
            </w:r>
            <w:proofErr w:type="spellEnd"/>
            <w:r w:rsidRPr="00AA02AA">
              <w:rPr>
                <w:rFonts w:cstheme="minorHAnsi"/>
                <w:sz w:val="20"/>
                <w:szCs w:val="20"/>
              </w:rPr>
              <w:t xml:space="preserve"> i </w:t>
            </w:r>
            <w:proofErr w:type="spellStart"/>
            <w:r w:rsidRPr="00AA02AA">
              <w:rPr>
                <w:rFonts w:cstheme="minorHAnsi"/>
                <w:sz w:val="20"/>
                <w:szCs w:val="20"/>
              </w:rPr>
              <w:t>sistemska</w:t>
            </w:r>
            <w:proofErr w:type="spellEnd"/>
            <w:r w:rsidRPr="00AA02AA">
              <w:rPr>
                <w:rFonts w:cstheme="minorHAnsi"/>
                <w:sz w:val="20"/>
                <w:szCs w:val="20"/>
              </w:rPr>
              <w:t xml:space="preserve"> </w:t>
            </w:r>
            <w:proofErr w:type="spellStart"/>
            <w:r w:rsidRPr="00AA02AA">
              <w:rPr>
                <w:rFonts w:cstheme="minorHAnsi"/>
                <w:sz w:val="20"/>
                <w:szCs w:val="20"/>
              </w:rPr>
              <w:t>obnova</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na</w:t>
            </w:r>
            <w:proofErr w:type="spellEnd"/>
            <w:r w:rsidRPr="00AA02AA">
              <w:rPr>
                <w:rFonts w:cstheme="minorHAnsi"/>
                <w:sz w:val="20"/>
                <w:szCs w:val="20"/>
              </w:rPr>
              <w:t xml:space="preserve"> </w:t>
            </w:r>
            <w:proofErr w:type="spellStart"/>
            <w:r w:rsidRPr="00AA02AA">
              <w:rPr>
                <w:rFonts w:cstheme="minorHAnsi"/>
                <w:sz w:val="20"/>
                <w:szCs w:val="20"/>
              </w:rPr>
              <w:t>nivou</w:t>
            </w:r>
            <w:proofErr w:type="spellEnd"/>
            <w:r w:rsidRPr="00AA02AA">
              <w:rPr>
                <w:rFonts w:cstheme="minorHAnsi"/>
                <w:sz w:val="20"/>
                <w:szCs w:val="20"/>
              </w:rPr>
              <w:t xml:space="preserve"> </w:t>
            </w:r>
            <w:proofErr w:type="spellStart"/>
            <w:r w:rsidRPr="00AA02AA">
              <w:rPr>
                <w:rFonts w:cstheme="minorHAnsi"/>
                <w:sz w:val="20"/>
                <w:szCs w:val="20"/>
              </w:rPr>
              <w:t>svih</w:t>
            </w:r>
            <w:proofErr w:type="spellEnd"/>
            <w:r w:rsidRPr="00AA02AA">
              <w:rPr>
                <w:rFonts w:cstheme="minorHAnsi"/>
                <w:sz w:val="20"/>
                <w:szCs w:val="20"/>
              </w:rPr>
              <w:t xml:space="preserve"> </w:t>
            </w:r>
            <w:proofErr w:type="spellStart"/>
            <w:r w:rsidRPr="00AA02AA">
              <w:rPr>
                <w:rFonts w:cstheme="minorHAnsi"/>
                <w:sz w:val="20"/>
                <w:szCs w:val="20"/>
              </w:rPr>
              <w:t>kantona</w:t>
            </w:r>
            <w:proofErr w:type="spellEnd"/>
            <w:r w:rsidRPr="00AA02AA">
              <w:rPr>
                <w:rFonts w:cstheme="minorHAnsi"/>
                <w:sz w:val="20"/>
                <w:szCs w:val="20"/>
              </w:rPr>
              <w:t xml:space="preserve">, </w:t>
            </w:r>
            <w:proofErr w:type="spellStart"/>
            <w:r w:rsidRPr="00AA02AA">
              <w:rPr>
                <w:rFonts w:cstheme="minorHAnsi"/>
                <w:sz w:val="20"/>
                <w:szCs w:val="20"/>
              </w:rPr>
              <w:t>što</w:t>
            </w:r>
            <w:proofErr w:type="spellEnd"/>
            <w:r w:rsidRPr="00AA02AA">
              <w:rPr>
                <w:rFonts w:cstheme="minorHAnsi"/>
                <w:sz w:val="20"/>
                <w:szCs w:val="20"/>
              </w:rPr>
              <w:t xml:space="preserve"> </w:t>
            </w:r>
            <w:proofErr w:type="spellStart"/>
            <w:r w:rsidRPr="00AA02AA">
              <w:rPr>
                <w:rFonts w:cstheme="minorHAnsi"/>
                <w:sz w:val="20"/>
                <w:szCs w:val="20"/>
              </w:rPr>
              <w:t>podrazumijeva</w:t>
            </w:r>
            <w:proofErr w:type="spellEnd"/>
            <w:r w:rsidRPr="00AA02AA">
              <w:rPr>
                <w:rFonts w:cstheme="minorHAnsi"/>
                <w:sz w:val="20"/>
                <w:szCs w:val="20"/>
              </w:rPr>
              <w:t xml:space="preserve"> </w:t>
            </w:r>
            <w:proofErr w:type="spellStart"/>
            <w:r w:rsidRPr="00AA02AA">
              <w:rPr>
                <w:rFonts w:cstheme="minorHAnsi"/>
                <w:sz w:val="20"/>
                <w:szCs w:val="20"/>
              </w:rPr>
              <w:t>toplotni</w:t>
            </w:r>
            <w:proofErr w:type="spellEnd"/>
            <w:r w:rsidRPr="00AA02AA">
              <w:rPr>
                <w:rFonts w:cstheme="minorHAnsi"/>
                <w:sz w:val="20"/>
                <w:szCs w:val="20"/>
              </w:rPr>
              <w:t xml:space="preserve"> </w:t>
            </w:r>
            <w:proofErr w:type="spellStart"/>
            <w:r w:rsidRPr="00AA02AA">
              <w:rPr>
                <w:rFonts w:cstheme="minorHAnsi"/>
                <w:sz w:val="20"/>
                <w:szCs w:val="20"/>
              </w:rPr>
              <w:t>komfor</w:t>
            </w:r>
            <w:proofErr w:type="spellEnd"/>
            <w:r w:rsidRPr="00AA02AA">
              <w:rPr>
                <w:rFonts w:cstheme="minorHAnsi"/>
                <w:sz w:val="20"/>
                <w:szCs w:val="20"/>
              </w:rPr>
              <w:t xml:space="preserve"> i </w:t>
            </w:r>
            <w:proofErr w:type="spellStart"/>
            <w:r w:rsidRPr="00AA02AA">
              <w:rPr>
                <w:rFonts w:cstheme="minorHAnsi"/>
                <w:sz w:val="20"/>
                <w:szCs w:val="20"/>
              </w:rPr>
              <w:t>bolje</w:t>
            </w:r>
            <w:proofErr w:type="spellEnd"/>
            <w:r w:rsidRPr="00AA02AA">
              <w:rPr>
                <w:rFonts w:cstheme="minorHAnsi"/>
                <w:sz w:val="20"/>
                <w:szCs w:val="20"/>
              </w:rPr>
              <w:t xml:space="preserve"> </w:t>
            </w:r>
            <w:proofErr w:type="spellStart"/>
            <w:r w:rsidRPr="00AA02AA">
              <w:rPr>
                <w:rFonts w:cstheme="minorHAnsi"/>
                <w:sz w:val="20"/>
                <w:szCs w:val="20"/>
              </w:rPr>
              <w:t>uvjete</w:t>
            </w:r>
            <w:proofErr w:type="spellEnd"/>
            <w:r w:rsidRPr="00AA02AA">
              <w:rPr>
                <w:rFonts w:cstheme="minorHAnsi"/>
                <w:sz w:val="20"/>
                <w:szCs w:val="20"/>
              </w:rPr>
              <w:t xml:space="preserve"> rada/</w:t>
            </w:r>
            <w:proofErr w:type="spellStart"/>
            <w:r w:rsidRPr="00AA02AA">
              <w:rPr>
                <w:rFonts w:cstheme="minorHAnsi"/>
                <w:sz w:val="20"/>
                <w:szCs w:val="20"/>
              </w:rPr>
              <w:t>boravka</w:t>
            </w:r>
            <w:proofErr w:type="spellEnd"/>
            <w:r w:rsidRPr="00AA02AA">
              <w:rPr>
                <w:rFonts w:cstheme="minorHAnsi"/>
                <w:sz w:val="20"/>
                <w:szCs w:val="20"/>
              </w:rPr>
              <w:t xml:space="preserve"> u </w:t>
            </w:r>
            <w:proofErr w:type="spellStart"/>
            <w:r w:rsidRPr="00AA02AA">
              <w:rPr>
                <w:rFonts w:cstheme="minorHAnsi"/>
                <w:sz w:val="20"/>
                <w:szCs w:val="20"/>
              </w:rPr>
              <w:t>zgradama</w:t>
            </w:r>
            <w:proofErr w:type="spellEnd"/>
            <w:r w:rsidRPr="00AA02AA">
              <w:rPr>
                <w:rFonts w:cstheme="minorHAnsi"/>
                <w:sz w:val="20"/>
                <w:szCs w:val="20"/>
              </w:rPr>
              <w:t xml:space="preserve">, </w:t>
            </w:r>
            <w:proofErr w:type="spellStart"/>
            <w:r w:rsidRPr="00AA02AA">
              <w:rPr>
                <w:rFonts w:cstheme="minorHAnsi"/>
                <w:sz w:val="20"/>
                <w:szCs w:val="20"/>
              </w:rPr>
              <w:t>smanjenje</w:t>
            </w:r>
            <w:proofErr w:type="spellEnd"/>
            <w:r w:rsidRPr="00AA02AA">
              <w:rPr>
                <w:rFonts w:cstheme="minorHAnsi"/>
                <w:sz w:val="20"/>
                <w:szCs w:val="20"/>
              </w:rPr>
              <w:t xml:space="preserve"> </w:t>
            </w:r>
            <w:proofErr w:type="spellStart"/>
            <w:r w:rsidRPr="00AA02AA">
              <w:rPr>
                <w:rFonts w:cstheme="minorHAnsi"/>
                <w:sz w:val="20"/>
                <w:szCs w:val="20"/>
              </w:rPr>
              <w:t>troškova</w:t>
            </w:r>
            <w:proofErr w:type="spellEnd"/>
            <w:r w:rsidRPr="00AA02AA">
              <w:rPr>
                <w:rFonts w:cstheme="minorHAnsi"/>
                <w:sz w:val="20"/>
                <w:szCs w:val="20"/>
              </w:rPr>
              <w:t xml:space="preserve"> za </w:t>
            </w:r>
            <w:proofErr w:type="spellStart"/>
            <w:r w:rsidRPr="00AA02AA">
              <w:rPr>
                <w:rFonts w:cstheme="minorHAnsi"/>
                <w:sz w:val="20"/>
                <w:szCs w:val="20"/>
              </w:rPr>
              <w:t>grijanje</w:t>
            </w:r>
            <w:proofErr w:type="spellEnd"/>
            <w:r w:rsidRPr="00AA02AA">
              <w:rPr>
                <w:rFonts w:cstheme="minorHAnsi"/>
                <w:sz w:val="20"/>
                <w:szCs w:val="20"/>
              </w:rPr>
              <w:t xml:space="preserve"> i </w:t>
            </w:r>
            <w:proofErr w:type="spellStart"/>
            <w:r w:rsidRPr="00AA02AA">
              <w:rPr>
                <w:rFonts w:cstheme="minorHAnsi"/>
                <w:sz w:val="20"/>
                <w:szCs w:val="20"/>
              </w:rPr>
              <w:t>hlađenje</w:t>
            </w:r>
            <w:proofErr w:type="spellEnd"/>
            <w:r w:rsidRPr="00AA02AA">
              <w:rPr>
                <w:rFonts w:cstheme="minorHAnsi"/>
                <w:sz w:val="20"/>
                <w:szCs w:val="20"/>
              </w:rPr>
              <w:t xml:space="preserve"> </w:t>
            </w:r>
            <w:proofErr w:type="spellStart"/>
            <w:r w:rsidRPr="00AA02AA">
              <w:rPr>
                <w:rFonts w:cstheme="minorHAnsi"/>
                <w:sz w:val="20"/>
                <w:szCs w:val="20"/>
              </w:rPr>
              <w:t>na</w:t>
            </w:r>
            <w:proofErr w:type="spellEnd"/>
            <w:r w:rsidRPr="00AA02AA">
              <w:rPr>
                <w:rFonts w:cstheme="minorHAnsi"/>
                <w:sz w:val="20"/>
                <w:szCs w:val="20"/>
              </w:rPr>
              <w:t xml:space="preserve"> </w:t>
            </w:r>
            <w:proofErr w:type="spellStart"/>
            <w:r w:rsidRPr="00AA02AA">
              <w:rPr>
                <w:rFonts w:cstheme="minorHAnsi"/>
                <w:sz w:val="20"/>
                <w:szCs w:val="20"/>
              </w:rPr>
              <w:t>strani</w:t>
            </w:r>
            <w:proofErr w:type="spellEnd"/>
            <w:r w:rsidRPr="00AA02AA">
              <w:rPr>
                <w:rFonts w:cstheme="minorHAnsi"/>
                <w:sz w:val="20"/>
                <w:szCs w:val="20"/>
              </w:rPr>
              <w:t xml:space="preserve"> </w:t>
            </w:r>
            <w:proofErr w:type="spellStart"/>
            <w:r w:rsidRPr="00AA02AA">
              <w:rPr>
                <w:rFonts w:cstheme="minorHAnsi"/>
                <w:sz w:val="20"/>
                <w:szCs w:val="20"/>
              </w:rPr>
              <w:t>vlasnika</w:t>
            </w:r>
            <w:proofErr w:type="spellEnd"/>
            <w:r w:rsidRPr="00AA02AA">
              <w:rPr>
                <w:rFonts w:cstheme="minorHAnsi"/>
                <w:sz w:val="20"/>
                <w:szCs w:val="20"/>
              </w:rPr>
              <w:t xml:space="preserve"> </w:t>
            </w:r>
            <w:proofErr w:type="spellStart"/>
            <w:r w:rsidRPr="00AA02AA">
              <w:rPr>
                <w:rFonts w:cstheme="minorHAnsi"/>
                <w:sz w:val="20"/>
                <w:szCs w:val="20"/>
              </w:rPr>
              <w:t>te</w:t>
            </w:r>
            <w:proofErr w:type="spellEnd"/>
            <w:r w:rsidRPr="00AA02AA">
              <w:rPr>
                <w:rFonts w:cstheme="minorHAnsi"/>
                <w:sz w:val="20"/>
                <w:szCs w:val="20"/>
              </w:rPr>
              <w:t xml:space="preserve"> </w:t>
            </w:r>
            <w:proofErr w:type="spellStart"/>
            <w:r w:rsidRPr="00AA02AA">
              <w:rPr>
                <w:rFonts w:cstheme="minorHAnsi"/>
                <w:sz w:val="20"/>
                <w:szCs w:val="20"/>
              </w:rPr>
              <w:t>smanjenje</w:t>
            </w:r>
            <w:proofErr w:type="spellEnd"/>
            <w:r w:rsidRPr="00AA02AA">
              <w:rPr>
                <w:rFonts w:cstheme="minorHAnsi"/>
                <w:sz w:val="20"/>
                <w:szCs w:val="20"/>
              </w:rPr>
              <w:t xml:space="preserve"> </w:t>
            </w:r>
            <w:proofErr w:type="spellStart"/>
            <w:r w:rsidRPr="00AA02AA">
              <w:rPr>
                <w:rFonts w:cstheme="minorHAnsi"/>
                <w:sz w:val="20"/>
                <w:szCs w:val="20"/>
              </w:rPr>
              <w:t>emisija</w:t>
            </w:r>
            <w:proofErr w:type="spellEnd"/>
            <w:r w:rsidRPr="00AA02AA">
              <w:rPr>
                <w:rFonts w:cstheme="minorHAnsi"/>
                <w:sz w:val="20"/>
                <w:szCs w:val="20"/>
              </w:rPr>
              <w:t xml:space="preserve"> </w:t>
            </w:r>
            <w:proofErr w:type="spellStart"/>
            <w:r w:rsidRPr="00AA02AA">
              <w:rPr>
                <w:rFonts w:cstheme="minorHAnsi"/>
                <w:sz w:val="20"/>
                <w:szCs w:val="20"/>
              </w:rPr>
              <w:t>zagađujućih</w:t>
            </w:r>
            <w:proofErr w:type="spellEnd"/>
            <w:r w:rsidRPr="00AA02AA">
              <w:rPr>
                <w:rFonts w:cstheme="minorHAnsi"/>
                <w:sz w:val="20"/>
                <w:szCs w:val="20"/>
              </w:rPr>
              <w:t xml:space="preserve"> </w:t>
            </w:r>
            <w:proofErr w:type="spellStart"/>
            <w:r w:rsidRPr="00AA02AA">
              <w:rPr>
                <w:rFonts w:cstheme="minorHAnsi"/>
                <w:sz w:val="20"/>
                <w:szCs w:val="20"/>
              </w:rPr>
              <w:t>čestica</w:t>
            </w:r>
            <w:proofErr w:type="spellEnd"/>
            <w:r w:rsidRPr="00AA02AA">
              <w:rPr>
                <w:rFonts w:cstheme="minorHAnsi"/>
                <w:sz w:val="20"/>
                <w:szCs w:val="20"/>
              </w:rPr>
              <w:t xml:space="preserve"> u </w:t>
            </w:r>
            <w:proofErr w:type="spellStart"/>
            <w:r w:rsidRPr="00AA02AA">
              <w:rPr>
                <w:rFonts w:cstheme="minorHAnsi"/>
                <w:sz w:val="20"/>
                <w:szCs w:val="20"/>
              </w:rPr>
              <w:t>zrak</w:t>
            </w:r>
            <w:proofErr w:type="spellEnd"/>
            <w:r w:rsidRPr="00AA02AA">
              <w:rPr>
                <w:rFonts w:cstheme="minorHAnsi"/>
                <w:sz w:val="20"/>
                <w:szCs w:val="20"/>
              </w:rPr>
              <w:t xml:space="preserve">. </w:t>
            </w:r>
            <w:proofErr w:type="spellStart"/>
            <w:r w:rsidRPr="00AA02AA">
              <w:rPr>
                <w:rFonts w:cstheme="minorHAnsi"/>
                <w:sz w:val="20"/>
                <w:szCs w:val="20"/>
              </w:rPr>
              <w:t>Dodatno</w:t>
            </w:r>
            <w:proofErr w:type="spellEnd"/>
            <w:r w:rsidRPr="00AA02AA">
              <w:rPr>
                <w:rFonts w:cstheme="minorHAnsi"/>
                <w:sz w:val="20"/>
                <w:szCs w:val="20"/>
              </w:rPr>
              <w:t xml:space="preserve">, </w:t>
            </w:r>
            <w:proofErr w:type="spellStart"/>
            <w:r w:rsidRPr="00AA02AA">
              <w:rPr>
                <w:rFonts w:cstheme="minorHAnsi"/>
                <w:sz w:val="20"/>
                <w:szCs w:val="20"/>
              </w:rPr>
              <w:t>upošljavanje</w:t>
            </w:r>
            <w:proofErr w:type="spellEnd"/>
            <w:r w:rsidRPr="00AA02AA">
              <w:rPr>
                <w:rFonts w:cstheme="minorHAnsi"/>
                <w:sz w:val="20"/>
                <w:szCs w:val="20"/>
              </w:rPr>
              <w:t xml:space="preserve"> </w:t>
            </w:r>
            <w:proofErr w:type="spellStart"/>
            <w:r w:rsidRPr="00AA02AA">
              <w:rPr>
                <w:rFonts w:cstheme="minorHAnsi"/>
                <w:sz w:val="20"/>
                <w:szCs w:val="20"/>
              </w:rPr>
              <w:t>postojeće</w:t>
            </w:r>
            <w:proofErr w:type="spellEnd"/>
            <w:r w:rsidRPr="00AA02AA">
              <w:rPr>
                <w:rFonts w:cstheme="minorHAnsi"/>
                <w:sz w:val="20"/>
                <w:szCs w:val="20"/>
              </w:rPr>
              <w:t xml:space="preserve"> </w:t>
            </w:r>
            <w:proofErr w:type="spellStart"/>
            <w:r w:rsidRPr="00AA02AA">
              <w:rPr>
                <w:rFonts w:cstheme="minorHAnsi"/>
                <w:sz w:val="20"/>
                <w:szCs w:val="20"/>
              </w:rPr>
              <w:t>građevinske</w:t>
            </w:r>
            <w:proofErr w:type="spellEnd"/>
            <w:r w:rsidRPr="00AA02AA">
              <w:rPr>
                <w:rFonts w:cstheme="minorHAnsi"/>
                <w:sz w:val="20"/>
                <w:szCs w:val="20"/>
              </w:rPr>
              <w:t xml:space="preserve"> operative i </w:t>
            </w:r>
            <w:proofErr w:type="spellStart"/>
            <w:r w:rsidRPr="00AA02AA">
              <w:rPr>
                <w:rFonts w:cstheme="minorHAnsi"/>
                <w:sz w:val="20"/>
                <w:szCs w:val="20"/>
              </w:rPr>
              <w:t>nove</w:t>
            </w:r>
            <w:proofErr w:type="spellEnd"/>
            <w:r w:rsidRPr="00AA02AA">
              <w:rPr>
                <w:rFonts w:cstheme="minorHAnsi"/>
                <w:sz w:val="20"/>
                <w:szCs w:val="20"/>
              </w:rPr>
              <w:t xml:space="preserve"> </w:t>
            </w:r>
            <w:proofErr w:type="spellStart"/>
            <w:r w:rsidRPr="00AA02AA">
              <w:rPr>
                <w:rFonts w:cstheme="minorHAnsi"/>
                <w:sz w:val="20"/>
                <w:szCs w:val="20"/>
              </w:rPr>
              <w:t>radne</w:t>
            </w:r>
            <w:proofErr w:type="spellEnd"/>
            <w:r w:rsidRPr="00AA02AA">
              <w:rPr>
                <w:rFonts w:cstheme="minorHAnsi"/>
                <w:sz w:val="20"/>
                <w:szCs w:val="20"/>
              </w:rPr>
              <w:t xml:space="preserve"> </w:t>
            </w:r>
            <w:proofErr w:type="spellStart"/>
            <w:r w:rsidRPr="00AA02AA">
              <w:rPr>
                <w:rFonts w:cstheme="minorHAnsi"/>
                <w:sz w:val="20"/>
                <w:szCs w:val="20"/>
              </w:rPr>
              <w:t>snage</w:t>
            </w:r>
            <w:proofErr w:type="spellEnd"/>
            <w:r w:rsidRPr="00AA02AA">
              <w:rPr>
                <w:rFonts w:cstheme="minorHAnsi"/>
                <w:sz w:val="20"/>
                <w:szCs w:val="20"/>
              </w:rPr>
              <w:t xml:space="preserve">, </w:t>
            </w:r>
            <w:proofErr w:type="spellStart"/>
            <w:r w:rsidRPr="00AA02AA">
              <w:rPr>
                <w:rFonts w:cstheme="minorHAnsi"/>
                <w:sz w:val="20"/>
                <w:szCs w:val="20"/>
              </w:rPr>
              <w:t>doprinijet</w:t>
            </w:r>
            <w:proofErr w:type="spellEnd"/>
            <w:r w:rsidRPr="00AA02AA">
              <w:rPr>
                <w:rFonts w:cstheme="minorHAnsi"/>
                <w:sz w:val="20"/>
                <w:szCs w:val="20"/>
              </w:rPr>
              <w:t xml:space="preserve"> </w:t>
            </w:r>
            <w:proofErr w:type="spellStart"/>
            <w:r w:rsidRPr="00AA02AA">
              <w:rPr>
                <w:rFonts w:cstheme="minorHAnsi"/>
                <w:sz w:val="20"/>
                <w:szCs w:val="20"/>
              </w:rPr>
              <w:t>će</w:t>
            </w:r>
            <w:proofErr w:type="spellEnd"/>
            <w:r w:rsidRPr="00AA02AA">
              <w:rPr>
                <w:rFonts w:cstheme="minorHAnsi"/>
                <w:sz w:val="20"/>
                <w:szCs w:val="20"/>
              </w:rPr>
              <w:t xml:space="preserve"> </w:t>
            </w:r>
            <w:proofErr w:type="spellStart"/>
            <w:r w:rsidRPr="00AA02AA">
              <w:rPr>
                <w:rFonts w:cstheme="minorHAnsi"/>
                <w:sz w:val="20"/>
                <w:szCs w:val="20"/>
              </w:rPr>
              <w:t>privrednom</w:t>
            </w:r>
            <w:proofErr w:type="spellEnd"/>
            <w:r w:rsidRPr="00AA02AA">
              <w:rPr>
                <w:rFonts w:cstheme="minorHAnsi"/>
                <w:sz w:val="20"/>
                <w:szCs w:val="20"/>
              </w:rPr>
              <w:t xml:space="preserve"> </w:t>
            </w:r>
            <w:proofErr w:type="spellStart"/>
            <w:r w:rsidRPr="00AA02AA">
              <w:rPr>
                <w:rFonts w:cstheme="minorHAnsi"/>
                <w:sz w:val="20"/>
                <w:szCs w:val="20"/>
              </w:rPr>
              <w:t>razvoju</w:t>
            </w:r>
            <w:proofErr w:type="spellEnd"/>
            <w:r w:rsidRPr="00AA02AA">
              <w:rPr>
                <w:rFonts w:cstheme="minorHAnsi"/>
                <w:sz w:val="20"/>
                <w:szCs w:val="20"/>
              </w:rPr>
              <w:t xml:space="preserve"> FBiH.</w:t>
            </w:r>
            <w:bookmarkEnd w:id="266"/>
          </w:p>
        </w:tc>
      </w:tr>
      <w:tr w:rsidR="00A00D87" w:rsidRPr="00AA02AA" w14:paraId="34194B82" w14:textId="77777777" w:rsidTr="00122946">
        <w:trPr>
          <w:trHeight w:val="104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28D9BFF" w14:textId="4F857866"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Indikativna</w:t>
            </w:r>
            <w:proofErr w:type="spellEnd"/>
            <w:r w:rsidRPr="00AA02AA">
              <w:rPr>
                <w:rFonts w:cstheme="minorHAnsi"/>
                <w:b/>
                <w:sz w:val="20"/>
                <w:szCs w:val="20"/>
              </w:rPr>
              <w:t xml:space="preserve"> </w:t>
            </w:r>
            <w:proofErr w:type="spellStart"/>
            <w:r w:rsidR="007B690C" w:rsidRPr="00AA02AA">
              <w:rPr>
                <w:rFonts w:cstheme="minorHAnsi"/>
                <w:b/>
                <w:sz w:val="20"/>
                <w:szCs w:val="20"/>
              </w:rPr>
              <w:t>financ</w:t>
            </w:r>
            <w:r w:rsidRPr="00AA02AA">
              <w:rPr>
                <w:rFonts w:cstheme="minorHAnsi"/>
                <w:b/>
                <w:sz w:val="20"/>
                <w:szCs w:val="20"/>
              </w:rPr>
              <w:t>ijska</w:t>
            </w:r>
            <w:proofErr w:type="spellEnd"/>
            <w:r w:rsidRPr="00AA02AA">
              <w:rPr>
                <w:rFonts w:cstheme="minorHAnsi"/>
                <w:b/>
                <w:sz w:val="20"/>
                <w:szCs w:val="20"/>
              </w:rPr>
              <w:t xml:space="preserve"> </w:t>
            </w:r>
            <w:proofErr w:type="spellStart"/>
            <w:r w:rsidRPr="00AA02AA">
              <w:rPr>
                <w:rFonts w:cstheme="minorHAnsi"/>
                <w:b/>
                <w:sz w:val="20"/>
                <w:szCs w:val="20"/>
              </w:rPr>
              <w:t>konstrukcija</w:t>
            </w:r>
            <w:proofErr w:type="spellEnd"/>
            <w:r w:rsidRPr="00AA02AA">
              <w:rPr>
                <w:rFonts w:cstheme="minorHAnsi"/>
                <w:b/>
                <w:sz w:val="20"/>
                <w:szCs w:val="20"/>
              </w:rPr>
              <w:t xml:space="preserve"> </w:t>
            </w:r>
            <w:proofErr w:type="spellStart"/>
            <w:r w:rsidRPr="00AA02AA">
              <w:rPr>
                <w:rFonts w:cstheme="minorHAnsi"/>
                <w:b/>
                <w:sz w:val="20"/>
                <w:szCs w:val="20"/>
              </w:rPr>
              <w:t>sa</w:t>
            </w:r>
            <w:proofErr w:type="spellEnd"/>
            <w:r w:rsidRPr="00AA02AA">
              <w:rPr>
                <w:rFonts w:cstheme="minorHAnsi"/>
                <w:b/>
                <w:sz w:val="20"/>
                <w:szCs w:val="20"/>
              </w:rPr>
              <w:t xml:space="preserve"> </w:t>
            </w:r>
            <w:proofErr w:type="spellStart"/>
            <w:r w:rsidRPr="00AA02AA">
              <w:rPr>
                <w:rFonts w:cstheme="minorHAnsi"/>
                <w:b/>
                <w:sz w:val="20"/>
                <w:szCs w:val="20"/>
              </w:rPr>
              <w:t>izvorima</w:t>
            </w:r>
            <w:proofErr w:type="spellEnd"/>
            <w:r w:rsidRPr="00AA02AA">
              <w:rPr>
                <w:rFonts w:cstheme="minorHAnsi"/>
                <w:b/>
                <w:sz w:val="20"/>
                <w:szCs w:val="20"/>
              </w:rPr>
              <w:t xml:space="preserve"> </w:t>
            </w:r>
            <w:proofErr w:type="spellStart"/>
            <w:r w:rsidR="007B690C" w:rsidRPr="00AA02AA">
              <w:rPr>
                <w:rFonts w:cstheme="minorHAnsi"/>
                <w:b/>
                <w:sz w:val="20"/>
                <w:szCs w:val="20"/>
              </w:rPr>
              <w:t>financ</w:t>
            </w:r>
            <w:r w:rsidRPr="00AA02AA">
              <w:rPr>
                <w:rFonts w:cstheme="minorHAnsi"/>
                <w:b/>
                <w:sz w:val="20"/>
                <w:szCs w:val="20"/>
              </w:rPr>
              <w:t>iranja</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3DA67B80" w14:textId="77777777" w:rsidR="00A00D87" w:rsidRPr="00AA02AA" w:rsidRDefault="00A00D87" w:rsidP="00122946">
            <w:pPr>
              <w:spacing w:line="259" w:lineRule="auto"/>
              <w:rPr>
                <w:rFonts w:cstheme="minorHAnsi"/>
                <w:color w:val="FF0000"/>
                <w:sz w:val="20"/>
                <w:szCs w:val="20"/>
              </w:rPr>
            </w:pPr>
            <w:proofErr w:type="spellStart"/>
            <w:r w:rsidRPr="00AA02AA">
              <w:rPr>
                <w:rFonts w:cstheme="minorHAnsi"/>
                <w:sz w:val="20"/>
                <w:szCs w:val="20"/>
              </w:rPr>
              <w:t>Iznos</w:t>
            </w:r>
            <w:proofErr w:type="spellEnd"/>
            <w:r w:rsidRPr="00AA02AA">
              <w:rPr>
                <w:rFonts w:cstheme="minorHAnsi"/>
                <w:sz w:val="20"/>
                <w:szCs w:val="20"/>
              </w:rPr>
              <w:t>: 16.528,64 mil. KM</w:t>
            </w:r>
          </w:p>
          <w:p w14:paraId="36DCACB3" w14:textId="77777777" w:rsidR="00A00D87" w:rsidRPr="00AA02AA" w:rsidRDefault="00A00D87" w:rsidP="00122946">
            <w:pPr>
              <w:spacing w:line="259" w:lineRule="auto"/>
              <w:ind w:left="1"/>
              <w:rPr>
                <w:rFonts w:cstheme="minorHAnsi"/>
                <w:sz w:val="20"/>
                <w:szCs w:val="20"/>
              </w:rPr>
            </w:pPr>
            <w:proofErr w:type="spellStart"/>
            <w:r w:rsidRPr="00AA02AA">
              <w:rPr>
                <w:rFonts w:cstheme="minorHAnsi"/>
                <w:sz w:val="20"/>
                <w:szCs w:val="20"/>
              </w:rPr>
              <w:t>Izvor</w:t>
            </w:r>
            <w:proofErr w:type="spellEnd"/>
            <w:r w:rsidRPr="00AA02AA">
              <w:rPr>
                <w:rFonts w:cstheme="minorHAnsi"/>
                <w:sz w:val="20"/>
                <w:szCs w:val="20"/>
              </w:rPr>
              <w:t xml:space="preserve">: </w:t>
            </w:r>
            <w:proofErr w:type="spellStart"/>
            <w:r w:rsidRPr="00AA02AA">
              <w:rPr>
                <w:rFonts w:cstheme="minorHAnsi"/>
                <w:sz w:val="20"/>
                <w:szCs w:val="20"/>
              </w:rPr>
              <w:t>Vlastita</w:t>
            </w:r>
            <w:proofErr w:type="spellEnd"/>
            <w:r w:rsidRPr="00AA02AA">
              <w:rPr>
                <w:rFonts w:cstheme="minorHAnsi"/>
                <w:sz w:val="20"/>
                <w:szCs w:val="20"/>
              </w:rPr>
              <w:t xml:space="preserve"> </w:t>
            </w:r>
            <w:proofErr w:type="spellStart"/>
            <w:r w:rsidRPr="00AA02AA">
              <w:rPr>
                <w:rFonts w:cstheme="minorHAnsi"/>
                <w:sz w:val="20"/>
                <w:szCs w:val="20"/>
              </w:rPr>
              <w:t>sredstva</w:t>
            </w:r>
            <w:proofErr w:type="spellEnd"/>
            <w:r w:rsidRPr="00AA02AA">
              <w:rPr>
                <w:rFonts w:cstheme="minorHAnsi"/>
                <w:sz w:val="20"/>
                <w:szCs w:val="20"/>
              </w:rPr>
              <w:t xml:space="preserve"> </w:t>
            </w:r>
            <w:proofErr w:type="spellStart"/>
            <w:r w:rsidRPr="00AA02AA">
              <w:rPr>
                <w:rFonts w:cstheme="minorHAnsi"/>
                <w:sz w:val="20"/>
                <w:szCs w:val="20"/>
              </w:rPr>
              <w:t>vlasnika</w:t>
            </w:r>
            <w:proofErr w:type="spellEnd"/>
            <w:r w:rsidRPr="00AA02AA">
              <w:rPr>
                <w:rFonts w:cstheme="minorHAnsi"/>
                <w:sz w:val="20"/>
                <w:szCs w:val="20"/>
              </w:rPr>
              <w:t>/</w:t>
            </w:r>
            <w:proofErr w:type="spellStart"/>
            <w:r w:rsidRPr="00AA02AA">
              <w:rPr>
                <w:rFonts w:cstheme="minorHAnsi"/>
                <w:sz w:val="20"/>
                <w:szCs w:val="20"/>
              </w:rPr>
              <w:t>građana</w:t>
            </w:r>
            <w:proofErr w:type="spellEnd"/>
            <w:r w:rsidRPr="00AA02AA">
              <w:rPr>
                <w:rFonts w:cstheme="minorHAnsi"/>
                <w:sz w:val="20"/>
                <w:szCs w:val="20"/>
              </w:rPr>
              <w:t xml:space="preserve">, </w:t>
            </w:r>
            <w:proofErr w:type="spellStart"/>
            <w:r w:rsidRPr="00AA02AA">
              <w:rPr>
                <w:rFonts w:cstheme="minorHAnsi"/>
                <w:sz w:val="20"/>
                <w:szCs w:val="20"/>
              </w:rPr>
              <w:t>budžet</w:t>
            </w:r>
            <w:proofErr w:type="spellEnd"/>
            <w:r w:rsidRPr="00AA02AA">
              <w:rPr>
                <w:rFonts w:cstheme="minorHAnsi"/>
                <w:sz w:val="20"/>
                <w:szCs w:val="20"/>
              </w:rPr>
              <w:t xml:space="preserve"> </w:t>
            </w:r>
            <w:proofErr w:type="spellStart"/>
            <w:r w:rsidRPr="00AA02AA">
              <w:rPr>
                <w:rFonts w:cstheme="minorHAnsi"/>
                <w:sz w:val="20"/>
                <w:szCs w:val="20"/>
              </w:rPr>
              <w:t>institucija</w:t>
            </w:r>
            <w:proofErr w:type="spellEnd"/>
            <w:r w:rsidRPr="00AA02AA">
              <w:rPr>
                <w:rFonts w:cstheme="minorHAnsi"/>
                <w:sz w:val="20"/>
                <w:szCs w:val="20"/>
              </w:rPr>
              <w:t xml:space="preserve">, </w:t>
            </w:r>
            <w:proofErr w:type="spellStart"/>
            <w:r w:rsidRPr="00AA02AA">
              <w:rPr>
                <w:rFonts w:cstheme="minorHAnsi"/>
                <w:sz w:val="20"/>
                <w:szCs w:val="20"/>
              </w:rPr>
              <w:t>ostali</w:t>
            </w:r>
            <w:proofErr w:type="spellEnd"/>
            <w:r w:rsidRPr="00AA02AA">
              <w:rPr>
                <w:rFonts w:cstheme="minorHAnsi"/>
                <w:sz w:val="20"/>
                <w:szCs w:val="20"/>
              </w:rPr>
              <w:t xml:space="preserve"> </w:t>
            </w:r>
            <w:proofErr w:type="spellStart"/>
            <w:r w:rsidRPr="00AA02AA">
              <w:rPr>
                <w:rFonts w:cstheme="minorHAnsi"/>
                <w:sz w:val="20"/>
                <w:szCs w:val="20"/>
              </w:rPr>
              <w:t>izvori</w:t>
            </w:r>
            <w:proofErr w:type="spellEnd"/>
          </w:p>
          <w:p w14:paraId="4ADA28A4" w14:textId="232A111D" w:rsidR="00A00D87" w:rsidRPr="0056270B" w:rsidRDefault="00A00D87" w:rsidP="00122946">
            <w:pPr>
              <w:spacing w:line="259" w:lineRule="auto"/>
              <w:ind w:left="1"/>
              <w:rPr>
                <w:rFonts w:cstheme="minorHAnsi"/>
                <w:i/>
                <w:iCs/>
                <w:sz w:val="20"/>
                <w:szCs w:val="20"/>
              </w:rPr>
            </w:pPr>
            <w:proofErr w:type="spellStart"/>
            <w:r w:rsidRPr="0056270B">
              <w:rPr>
                <w:rFonts w:cstheme="minorHAnsi"/>
                <w:i/>
                <w:iCs/>
                <w:sz w:val="20"/>
                <w:szCs w:val="20"/>
              </w:rPr>
              <w:t>Detaljna</w:t>
            </w:r>
            <w:proofErr w:type="spellEnd"/>
            <w:r w:rsidRPr="0056270B">
              <w:rPr>
                <w:rFonts w:cstheme="minorHAnsi"/>
                <w:i/>
                <w:iCs/>
                <w:sz w:val="20"/>
                <w:szCs w:val="20"/>
              </w:rPr>
              <w:t xml:space="preserve"> </w:t>
            </w:r>
            <w:proofErr w:type="spellStart"/>
            <w:r w:rsidR="007B690C" w:rsidRPr="0056270B">
              <w:rPr>
                <w:rFonts w:cstheme="minorHAnsi"/>
                <w:i/>
                <w:iCs/>
                <w:sz w:val="20"/>
                <w:szCs w:val="20"/>
              </w:rPr>
              <w:t>financ</w:t>
            </w:r>
            <w:r w:rsidRPr="0056270B">
              <w:rPr>
                <w:rFonts w:cstheme="minorHAnsi"/>
                <w:i/>
                <w:iCs/>
                <w:sz w:val="20"/>
                <w:szCs w:val="20"/>
              </w:rPr>
              <w:t>ijska</w:t>
            </w:r>
            <w:proofErr w:type="spellEnd"/>
            <w:r w:rsidRPr="0056270B">
              <w:rPr>
                <w:rFonts w:cstheme="minorHAnsi"/>
                <w:i/>
                <w:iCs/>
                <w:sz w:val="20"/>
                <w:szCs w:val="20"/>
              </w:rPr>
              <w:t xml:space="preserve"> </w:t>
            </w:r>
            <w:proofErr w:type="spellStart"/>
            <w:r w:rsidRPr="0056270B">
              <w:rPr>
                <w:rFonts w:cstheme="minorHAnsi"/>
                <w:i/>
                <w:iCs/>
                <w:sz w:val="20"/>
                <w:szCs w:val="20"/>
              </w:rPr>
              <w:t>procjena</w:t>
            </w:r>
            <w:proofErr w:type="spellEnd"/>
            <w:r w:rsidRPr="0056270B">
              <w:rPr>
                <w:rFonts w:cstheme="minorHAnsi"/>
                <w:i/>
                <w:iCs/>
                <w:sz w:val="20"/>
                <w:szCs w:val="20"/>
              </w:rPr>
              <w:t xml:space="preserve"> </w:t>
            </w:r>
            <w:proofErr w:type="spellStart"/>
            <w:r w:rsidRPr="0056270B">
              <w:rPr>
                <w:rFonts w:cstheme="minorHAnsi"/>
                <w:i/>
                <w:iCs/>
                <w:sz w:val="20"/>
                <w:szCs w:val="20"/>
              </w:rPr>
              <w:t>iznosa</w:t>
            </w:r>
            <w:proofErr w:type="spellEnd"/>
            <w:r w:rsidRPr="0056270B">
              <w:rPr>
                <w:rFonts w:cstheme="minorHAnsi"/>
                <w:i/>
                <w:iCs/>
                <w:sz w:val="20"/>
                <w:szCs w:val="20"/>
              </w:rPr>
              <w:t xml:space="preserve"> </w:t>
            </w:r>
            <w:proofErr w:type="spellStart"/>
            <w:r w:rsidRPr="0056270B">
              <w:rPr>
                <w:rFonts w:cstheme="minorHAnsi"/>
                <w:i/>
                <w:iCs/>
                <w:sz w:val="20"/>
                <w:szCs w:val="20"/>
              </w:rPr>
              <w:t>potrebnog</w:t>
            </w:r>
            <w:proofErr w:type="spellEnd"/>
            <w:r w:rsidRPr="0056270B">
              <w:rPr>
                <w:rFonts w:cstheme="minorHAnsi"/>
                <w:i/>
                <w:iCs/>
                <w:sz w:val="20"/>
                <w:szCs w:val="20"/>
              </w:rPr>
              <w:t xml:space="preserve"> za </w:t>
            </w:r>
            <w:proofErr w:type="spellStart"/>
            <w:r w:rsidRPr="0056270B">
              <w:rPr>
                <w:rFonts w:cstheme="minorHAnsi"/>
                <w:i/>
                <w:iCs/>
                <w:sz w:val="20"/>
                <w:szCs w:val="20"/>
              </w:rPr>
              <w:t>provedbu</w:t>
            </w:r>
            <w:proofErr w:type="spellEnd"/>
            <w:r w:rsidRPr="0056270B">
              <w:rPr>
                <w:rFonts w:cstheme="minorHAnsi"/>
                <w:i/>
                <w:iCs/>
                <w:sz w:val="20"/>
                <w:szCs w:val="20"/>
              </w:rPr>
              <w:t xml:space="preserve"> </w:t>
            </w:r>
            <w:proofErr w:type="spellStart"/>
            <w:r w:rsidRPr="0056270B">
              <w:rPr>
                <w:rFonts w:cstheme="minorHAnsi"/>
                <w:i/>
                <w:iCs/>
                <w:sz w:val="20"/>
                <w:szCs w:val="20"/>
              </w:rPr>
              <w:t>energijske</w:t>
            </w:r>
            <w:proofErr w:type="spellEnd"/>
            <w:r w:rsidRPr="0056270B">
              <w:rPr>
                <w:rFonts w:cstheme="minorHAnsi"/>
                <w:i/>
                <w:iCs/>
                <w:sz w:val="20"/>
                <w:szCs w:val="20"/>
              </w:rPr>
              <w:t xml:space="preserve"> </w:t>
            </w:r>
            <w:proofErr w:type="spellStart"/>
            <w:r w:rsidRPr="0056270B">
              <w:rPr>
                <w:rFonts w:cstheme="minorHAnsi"/>
                <w:i/>
                <w:iCs/>
                <w:sz w:val="20"/>
                <w:szCs w:val="20"/>
              </w:rPr>
              <w:t>obnove</w:t>
            </w:r>
            <w:proofErr w:type="spellEnd"/>
            <w:r w:rsidRPr="0056270B">
              <w:rPr>
                <w:rFonts w:cstheme="minorHAnsi"/>
                <w:i/>
                <w:iCs/>
                <w:sz w:val="20"/>
                <w:szCs w:val="20"/>
              </w:rPr>
              <w:t xml:space="preserve"> </w:t>
            </w:r>
            <w:proofErr w:type="spellStart"/>
            <w:r w:rsidRPr="0056270B">
              <w:rPr>
                <w:rFonts w:cstheme="minorHAnsi"/>
                <w:i/>
                <w:iCs/>
                <w:sz w:val="20"/>
                <w:szCs w:val="20"/>
              </w:rPr>
              <w:t>zgrada</w:t>
            </w:r>
            <w:proofErr w:type="spellEnd"/>
            <w:r w:rsidRPr="0056270B">
              <w:rPr>
                <w:rFonts w:cstheme="minorHAnsi"/>
                <w:i/>
                <w:iCs/>
                <w:sz w:val="20"/>
                <w:szCs w:val="20"/>
              </w:rPr>
              <w:t xml:space="preserve"> </w:t>
            </w:r>
            <w:proofErr w:type="spellStart"/>
            <w:r w:rsidRPr="0056270B">
              <w:rPr>
                <w:rFonts w:cstheme="minorHAnsi"/>
                <w:i/>
                <w:iCs/>
                <w:sz w:val="20"/>
                <w:szCs w:val="20"/>
              </w:rPr>
              <w:t>sa</w:t>
            </w:r>
            <w:proofErr w:type="spellEnd"/>
            <w:r w:rsidRPr="0056270B">
              <w:rPr>
                <w:rFonts w:cstheme="minorHAnsi"/>
                <w:i/>
                <w:iCs/>
                <w:sz w:val="20"/>
                <w:szCs w:val="20"/>
              </w:rPr>
              <w:t xml:space="preserve"> </w:t>
            </w:r>
            <w:proofErr w:type="spellStart"/>
            <w:r w:rsidRPr="0056270B">
              <w:rPr>
                <w:rFonts w:cstheme="minorHAnsi"/>
                <w:i/>
                <w:iCs/>
                <w:sz w:val="20"/>
                <w:szCs w:val="20"/>
              </w:rPr>
              <w:t>statusom</w:t>
            </w:r>
            <w:proofErr w:type="spellEnd"/>
            <w:r w:rsidRPr="0056270B">
              <w:rPr>
                <w:rFonts w:cstheme="minorHAnsi"/>
                <w:i/>
                <w:iCs/>
                <w:sz w:val="20"/>
                <w:szCs w:val="20"/>
              </w:rPr>
              <w:t xml:space="preserve"> </w:t>
            </w:r>
            <w:proofErr w:type="spellStart"/>
            <w:r w:rsidRPr="0056270B">
              <w:rPr>
                <w:rFonts w:cstheme="minorHAnsi"/>
                <w:i/>
                <w:iCs/>
                <w:sz w:val="20"/>
                <w:szCs w:val="20"/>
              </w:rPr>
              <w:t>nacionalnih</w:t>
            </w:r>
            <w:proofErr w:type="spellEnd"/>
            <w:r w:rsidRPr="0056270B">
              <w:rPr>
                <w:rFonts w:cstheme="minorHAnsi"/>
                <w:i/>
                <w:iCs/>
                <w:sz w:val="20"/>
                <w:szCs w:val="20"/>
              </w:rPr>
              <w:t xml:space="preserve"> spomenika i </w:t>
            </w:r>
            <w:proofErr w:type="spellStart"/>
            <w:r w:rsidRPr="0056270B">
              <w:rPr>
                <w:rFonts w:cstheme="minorHAnsi"/>
                <w:i/>
                <w:iCs/>
                <w:sz w:val="20"/>
                <w:szCs w:val="20"/>
              </w:rPr>
              <w:t>zgrada</w:t>
            </w:r>
            <w:proofErr w:type="spellEnd"/>
            <w:r w:rsidRPr="0056270B">
              <w:rPr>
                <w:rFonts w:cstheme="minorHAnsi"/>
                <w:i/>
                <w:iCs/>
                <w:sz w:val="20"/>
                <w:szCs w:val="20"/>
              </w:rPr>
              <w:t xml:space="preserve"> </w:t>
            </w:r>
            <w:proofErr w:type="spellStart"/>
            <w:r w:rsidRPr="0056270B">
              <w:rPr>
                <w:rFonts w:cstheme="minorHAnsi"/>
                <w:i/>
                <w:iCs/>
                <w:sz w:val="20"/>
                <w:szCs w:val="20"/>
              </w:rPr>
              <w:t>koje</w:t>
            </w:r>
            <w:proofErr w:type="spellEnd"/>
            <w:r w:rsidRPr="0056270B">
              <w:rPr>
                <w:rFonts w:cstheme="minorHAnsi"/>
                <w:i/>
                <w:iCs/>
                <w:sz w:val="20"/>
                <w:szCs w:val="20"/>
              </w:rPr>
              <w:t xml:space="preserve"> </w:t>
            </w:r>
            <w:proofErr w:type="spellStart"/>
            <w:r w:rsidRPr="0056270B">
              <w:rPr>
                <w:rFonts w:cstheme="minorHAnsi"/>
                <w:i/>
                <w:iCs/>
                <w:sz w:val="20"/>
                <w:szCs w:val="20"/>
              </w:rPr>
              <w:t>imaju</w:t>
            </w:r>
            <w:proofErr w:type="spellEnd"/>
            <w:r w:rsidRPr="0056270B">
              <w:rPr>
                <w:rFonts w:cstheme="minorHAnsi"/>
                <w:i/>
                <w:iCs/>
                <w:sz w:val="20"/>
                <w:szCs w:val="20"/>
              </w:rPr>
              <w:t xml:space="preserve"> status </w:t>
            </w:r>
            <w:proofErr w:type="spellStart"/>
            <w:r w:rsidRPr="0056270B">
              <w:rPr>
                <w:rFonts w:cstheme="minorHAnsi"/>
                <w:i/>
                <w:iCs/>
                <w:sz w:val="20"/>
                <w:szCs w:val="20"/>
              </w:rPr>
              <w:t>zaštićene</w:t>
            </w:r>
            <w:proofErr w:type="spellEnd"/>
            <w:r w:rsidRPr="0056270B">
              <w:rPr>
                <w:rFonts w:cstheme="minorHAnsi"/>
                <w:i/>
                <w:iCs/>
                <w:sz w:val="20"/>
                <w:szCs w:val="20"/>
              </w:rPr>
              <w:t xml:space="preserve"> </w:t>
            </w:r>
            <w:proofErr w:type="spellStart"/>
            <w:r w:rsidRPr="0056270B">
              <w:rPr>
                <w:rFonts w:cstheme="minorHAnsi"/>
                <w:i/>
                <w:iCs/>
                <w:sz w:val="20"/>
                <w:szCs w:val="20"/>
              </w:rPr>
              <w:t>kulturne</w:t>
            </w:r>
            <w:proofErr w:type="spellEnd"/>
            <w:r w:rsidRPr="0056270B">
              <w:rPr>
                <w:rFonts w:cstheme="minorHAnsi"/>
                <w:i/>
                <w:iCs/>
                <w:sz w:val="20"/>
                <w:szCs w:val="20"/>
              </w:rPr>
              <w:t xml:space="preserve"> </w:t>
            </w:r>
            <w:proofErr w:type="spellStart"/>
            <w:r w:rsidRPr="0056270B">
              <w:rPr>
                <w:rFonts w:cstheme="minorHAnsi"/>
                <w:i/>
                <w:iCs/>
                <w:sz w:val="20"/>
                <w:szCs w:val="20"/>
              </w:rPr>
              <w:t>baštine</w:t>
            </w:r>
            <w:proofErr w:type="spellEnd"/>
            <w:r w:rsidRPr="0056270B">
              <w:rPr>
                <w:rFonts w:cstheme="minorHAnsi"/>
                <w:i/>
                <w:iCs/>
                <w:sz w:val="20"/>
                <w:szCs w:val="20"/>
              </w:rPr>
              <w:t xml:space="preserve">, </w:t>
            </w:r>
            <w:proofErr w:type="spellStart"/>
            <w:r w:rsidRPr="0056270B">
              <w:rPr>
                <w:rFonts w:cstheme="minorHAnsi"/>
                <w:i/>
                <w:iCs/>
                <w:sz w:val="20"/>
                <w:szCs w:val="20"/>
              </w:rPr>
              <w:t>biti</w:t>
            </w:r>
            <w:proofErr w:type="spellEnd"/>
            <w:r w:rsidRPr="0056270B">
              <w:rPr>
                <w:rFonts w:cstheme="minorHAnsi"/>
                <w:i/>
                <w:iCs/>
                <w:sz w:val="20"/>
                <w:szCs w:val="20"/>
              </w:rPr>
              <w:t xml:space="preserve"> </w:t>
            </w:r>
            <w:proofErr w:type="spellStart"/>
            <w:r w:rsidRPr="0056270B">
              <w:rPr>
                <w:rFonts w:cstheme="minorHAnsi"/>
                <w:i/>
                <w:iCs/>
                <w:sz w:val="20"/>
                <w:szCs w:val="20"/>
              </w:rPr>
              <w:t>će</w:t>
            </w:r>
            <w:proofErr w:type="spellEnd"/>
            <w:r w:rsidRPr="0056270B">
              <w:rPr>
                <w:rFonts w:cstheme="minorHAnsi"/>
                <w:i/>
                <w:iCs/>
                <w:sz w:val="20"/>
                <w:szCs w:val="20"/>
              </w:rPr>
              <w:t xml:space="preserve"> </w:t>
            </w:r>
            <w:proofErr w:type="spellStart"/>
            <w:r w:rsidRPr="0056270B">
              <w:rPr>
                <w:rFonts w:cstheme="minorHAnsi"/>
                <w:i/>
                <w:iCs/>
                <w:sz w:val="20"/>
                <w:szCs w:val="20"/>
              </w:rPr>
              <w:t>definirana</w:t>
            </w:r>
            <w:proofErr w:type="spellEnd"/>
            <w:r w:rsidRPr="0056270B">
              <w:rPr>
                <w:rFonts w:cstheme="minorHAnsi"/>
                <w:i/>
                <w:iCs/>
                <w:sz w:val="20"/>
                <w:szCs w:val="20"/>
              </w:rPr>
              <w:t xml:space="preserve"> u </w:t>
            </w:r>
            <w:proofErr w:type="spellStart"/>
            <w:r w:rsidRPr="0056270B">
              <w:rPr>
                <w:rFonts w:cstheme="minorHAnsi"/>
                <w:i/>
                <w:iCs/>
                <w:sz w:val="20"/>
                <w:szCs w:val="20"/>
              </w:rPr>
              <w:t>okviru</w:t>
            </w:r>
            <w:proofErr w:type="spellEnd"/>
            <w:r w:rsidRPr="0056270B">
              <w:rPr>
                <w:rFonts w:cstheme="minorHAnsi"/>
                <w:i/>
                <w:iCs/>
                <w:sz w:val="20"/>
                <w:szCs w:val="20"/>
              </w:rPr>
              <w:t xml:space="preserve"> </w:t>
            </w:r>
            <w:proofErr w:type="spellStart"/>
            <w:r w:rsidRPr="0056270B">
              <w:rPr>
                <w:rFonts w:cstheme="minorHAnsi"/>
                <w:i/>
                <w:iCs/>
                <w:sz w:val="20"/>
                <w:szCs w:val="20"/>
              </w:rPr>
              <w:t>programa</w:t>
            </w:r>
            <w:proofErr w:type="spellEnd"/>
            <w:r w:rsidRPr="0056270B">
              <w:rPr>
                <w:rFonts w:cstheme="minorHAnsi"/>
                <w:i/>
                <w:iCs/>
                <w:sz w:val="20"/>
                <w:szCs w:val="20"/>
              </w:rPr>
              <w:t xml:space="preserve"> </w:t>
            </w:r>
            <w:proofErr w:type="spellStart"/>
            <w:r w:rsidRPr="0056270B">
              <w:rPr>
                <w:rFonts w:cstheme="minorHAnsi"/>
                <w:i/>
                <w:iCs/>
                <w:sz w:val="20"/>
                <w:szCs w:val="20"/>
              </w:rPr>
              <w:t>odnosno</w:t>
            </w:r>
            <w:proofErr w:type="spellEnd"/>
            <w:r w:rsidRPr="0056270B">
              <w:rPr>
                <w:rFonts w:cstheme="minorHAnsi"/>
                <w:i/>
                <w:iCs/>
                <w:sz w:val="20"/>
                <w:szCs w:val="20"/>
              </w:rPr>
              <w:t xml:space="preserve"> </w:t>
            </w:r>
            <w:proofErr w:type="spellStart"/>
            <w:r w:rsidRPr="0056270B">
              <w:rPr>
                <w:rFonts w:cstheme="minorHAnsi"/>
                <w:i/>
                <w:iCs/>
                <w:sz w:val="20"/>
                <w:szCs w:val="20"/>
              </w:rPr>
              <w:t>planova</w:t>
            </w:r>
            <w:proofErr w:type="spellEnd"/>
            <w:r w:rsidRPr="0056270B">
              <w:rPr>
                <w:rFonts w:cstheme="minorHAnsi"/>
                <w:i/>
                <w:iCs/>
                <w:sz w:val="20"/>
                <w:szCs w:val="20"/>
              </w:rPr>
              <w:t xml:space="preserve"> </w:t>
            </w:r>
            <w:proofErr w:type="spellStart"/>
            <w:r w:rsidRPr="0056270B">
              <w:rPr>
                <w:rFonts w:cstheme="minorHAnsi"/>
                <w:i/>
                <w:iCs/>
                <w:sz w:val="20"/>
                <w:szCs w:val="20"/>
              </w:rPr>
              <w:t>obnove</w:t>
            </w:r>
            <w:proofErr w:type="spellEnd"/>
            <w:r w:rsidRPr="0056270B">
              <w:rPr>
                <w:rFonts w:cstheme="minorHAnsi"/>
                <w:i/>
                <w:iCs/>
                <w:sz w:val="20"/>
                <w:szCs w:val="20"/>
              </w:rPr>
              <w:t>.</w:t>
            </w:r>
          </w:p>
          <w:p w14:paraId="2E55FEB6" w14:textId="19BDE2E7" w:rsidR="00A00D87" w:rsidRPr="00AA02AA" w:rsidRDefault="00A00D87" w:rsidP="00122946">
            <w:pPr>
              <w:ind w:left="1"/>
              <w:rPr>
                <w:rFonts w:cstheme="minorHAnsi"/>
                <w:i/>
                <w:iCs/>
                <w:sz w:val="20"/>
                <w:szCs w:val="20"/>
              </w:rPr>
            </w:pPr>
            <w:r w:rsidRPr="00AA02AA">
              <w:rPr>
                <w:rFonts w:cstheme="minorHAnsi"/>
                <w:i/>
                <w:iCs/>
                <w:sz w:val="20"/>
                <w:szCs w:val="20"/>
              </w:rPr>
              <w:t>*</w:t>
            </w:r>
            <w:r w:rsidR="003C2431" w:rsidRPr="00AA02AA">
              <w:rPr>
                <w:rFonts w:cstheme="minorHAnsi"/>
                <w:i/>
                <w:iCs/>
                <w:sz w:val="20"/>
                <w:szCs w:val="20"/>
              </w:rPr>
              <w:t xml:space="preserve">) </w:t>
            </w:r>
            <w:proofErr w:type="spellStart"/>
            <w:r w:rsidRPr="00AA02AA">
              <w:rPr>
                <w:rFonts w:cstheme="minorHAnsi"/>
                <w:i/>
                <w:iCs/>
                <w:sz w:val="20"/>
                <w:szCs w:val="20"/>
              </w:rPr>
              <w:t>Detaljna</w:t>
            </w:r>
            <w:proofErr w:type="spellEnd"/>
            <w:r w:rsidRPr="00AA02AA">
              <w:rPr>
                <w:rFonts w:cstheme="minorHAnsi"/>
                <w:i/>
                <w:iCs/>
                <w:sz w:val="20"/>
                <w:szCs w:val="20"/>
              </w:rPr>
              <w:t xml:space="preserve"> </w:t>
            </w:r>
            <w:proofErr w:type="spellStart"/>
            <w:r w:rsidR="007B690C" w:rsidRPr="00AA02AA">
              <w:rPr>
                <w:rFonts w:cstheme="minorHAnsi"/>
                <w:i/>
                <w:iCs/>
                <w:sz w:val="20"/>
                <w:szCs w:val="20"/>
              </w:rPr>
              <w:t>financ</w:t>
            </w:r>
            <w:r w:rsidRPr="00AA02AA">
              <w:rPr>
                <w:rFonts w:cstheme="minorHAnsi"/>
                <w:i/>
                <w:iCs/>
                <w:sz w:val="20"/>
                <w:szCs w:val="20"/>
              </w:rPr>
              <w:t>ijska</w:t>
            </w:r>
            <w:proofErr w:type="spellEnd"/>
            <w:r w:rsidRPr="00AA02AA">
              <w:rPr>
                <w:rFonts w:cstheme="minorHAnsi"/>
                <w:i/>
                <w:iCs/>
                <w:sz w:val="20"/>
                <w:szCs w:val="20"/>
              </w:rPr>
              <w:t xml:space="preserve"> </w:t>
            </w:r>
            <w:proofErr w:type="spellStart"/>
            <w:r w:rsidRPr="00AA02AA">
              <w:rPr>
                <w:rFonts w:cstheme="minorHAnsi"/>
                <w:i/>
                <w:iCs/>
                <w:sz w:val="20"/>
                <w:szCs w:val="20"/>
              </w:rPr>
              <w:t>procjena</w:t>
            </w:r>
            <w:proofErr w:type="spellEnd"/>
            <w:r w:rsidRPr="00AA02AA">
              <w:rPr>
                <w:rFonts w:cstheme="minorHAnsi"/>
                <w:i/>
                <w:iCs/>
                <w:sz w:val="20"/>
                <w:szCs w:val="20"/>
              </w:rPr>
              <w:t xml:space="preserve"> </w:t>
            </w:r>
            <w:proofErr w:type="spellStart"/>
            <w:r w:rsidRPr="00AA02AA">
              <w:rPr>
                <w:rFonts w:cstheme="minorHAnsi"/>
                <w:i/>
                <w:iCs/>
                <w:sz w:val="20"/>
                <w:szCs w:val="20"/>
              </w:rPr>
              <w:t>iznosa</w:t>
            </w:r>
            <w:proofErr w:type="spellEnd"/>
            <w:r w:rsidRPr="00AA02AA">
              <w:rPr>
                <w:rFonts w:cstheme="minorHAnsi"/>
                <w:i/>
                <w:iCs/>
                <w:sz w:val="20"/>
                <w:szCs w:val="20"/>
              </w:rPr>
              <w:t xml:space="preserve"> </w:t>
            </w:r>
            <w:proofErr w:type="spellStart"/>
            <w:r w:rsidRPr="00AA02AA">
              <w:rPr>
                <w:rFonts w:cstheme="minorHAnsi"/>
                <w:i/>
                <w:iCs/>
                <w:sz w:val="20"/>
                <w:szCs w:val="20"/>
              </w:rPr>
              <w:t>potrebnog</w:t>
            </w:r>
            <w:proofErr w:type="spellEnd"/>
            <w:r w:rsidRPr="00AA02AA">
              <w:rPr>
                <w:rFonts w:cstheme="minorHAnsi"/>
                <w:i/>
                <w:iCs/>
                <w:sz w:val="20"/>
                <w:szCs w:val="20"/>
              </w:rPr>
              <w:t xml:space="preserve"> za </w:t>
            </w:r>
            <w:proofErr w:type="spellStart"/>
            <w:r w:rsidRPr="00AA02AA">
              <w:rPr>
                <w:rFonts w:cstheme="minorHAnsi"/>
                <w:i/>
                <w:iCs/>
                <w:sz w:val="20"/>
                <w:szCs w:val="20"/>
              </w:rPr>
              <w:t>donošenje</w:t>
            </w:r>
            <w:proofErr w:type="spellEnd"/>
            <w:r w:rsidRPr="00AA02AA">
              <w:rPr>
                <w:rFonts w:cstheme="minorHAnsi"/>
                <w:i/>
                <w:iCs/>
                <w:sz w:val="20"/>
                <w:szCs w:val="20"/>
              </w:rPr>
              <w:t xml:space="preserve"> i </w:t>
            </w:r>
            <w:proofErr w:type="spellStart"/>
            <w:r w:rsidRPr="00AA02AA">
              <w:rPr>
                <w:rFonts w:cstheme="minorHAnsi"/>
                <w:i/>
                <w:iCs/>
                <w:sz w:val="20"/>
                <w:szCs w:val="20"/>
              </w:rPr>
              <w:t>provedbu</w:t>
            </w:r>
            <w:proofErr w:type="spellEnd"/>
            <w:r w:rsidRPr="00AA02AA">
              <w:rPr>
                <w:rFonts w:cstheme="minorHAnsi"/>
                <w:i/>
                <w:iCs/>
                <w:sz w:val="20"/>
                <w:szCs w:val="20"/>
              </w:rPr>
              <w:t xml:space="preserve"> </w:t>
            </w:r>
            <w:proofErr w:type="spellStart"/>
            <w:r w:rsidRPr="00AA02AA">
              <w:rPr>
                <w:rFonts w:cstheme="minorHAnsi"/>
                <w:i/>
                <w:iCs/>
                <w:sz w:val="20"/>
                <w:szCs w:val="20"/>
              </w:rPr>
              <w:t>programa</w:t>
            </w:r>
            <w:proofErr w:type="spellEnd"/>
            <w:r w:rsidRPr="00AA02AA">
              <w:rPr>
                <w:rFonts w:cstheme="minorHAnsi"/>
                <w:i/>
                <w:iCs/>
                <w:sz w:val="20"/>
                <w:szCs w:val="20"/>
              </w:rPr>
              <w:t xml:space="preserve"> </w:t>
            </w:r>
            <w:proofErr w:type="spellStart"/>
            <w:r w:rsidRPr="00AA02AA">
              <w:rPr>
                <w:rFonts w:cstheme="minorHAnsi"/>
                <w:i/>
                <w:iCs/>
                <w:sz w:val="20"/>
                <w:szCs w:val="20"/>
              </w:rPr>
              <w:t>energijske</w:t>
            </w:r>
            <w:proofErr w:type="spellEnd"/>
            <w:r w:rsidRPr="00AA02AA">
              <w:rPr>
                <w:rFonts w:cstheme="minorHAnsi"/>
                <w:i/>
                <w:iCs/>
                <w:sz w:val="20"/>
                <w:szCs w:val="20"/>
              </w:rPr>
              <w:t xml:space="preserve"> </w:t>
            </w:r>
            <w:proofErr w:type="spellStart"/>
            <w:r w:rsidRPr="00AA02AA">
              <w:rPr>
                <w:rFonts w:cstheme="minorHAnsi"/>
                <w:i/>
                <w:iCs/>
                <w:sz w:val="20"/>
                <w:szCs w:val="20"/>
              </w:rPr>
              <w:t>obnove</w:t>
            </w:r>
            <w:proofErr w:type="spellEnd"/>
            <w:r w:rsidRPr="00AA02AA">
              <w:rPr>
                <w:rFonts w:cstheme="minorHAnsi"/>
                <w:i/>
                <w:iCs/>
                <w:sz w:val="20"/>
                <w:szCs w:val="20"/>
              </w:rPr>
              <w:t xml:space="preserve"> </w:t>
            </w:r>
            <w:proofErr w:type="spellStart"/>
            <w:r w:rsidRPr="00AA02AA">
              <w:rPr>
                <w:rFonts w:cstheme="minorHAnsi"/>
                <w:i/>
                <w:iCs/>
                <w:sz w:val="20"/>
                <w:szCs w:val="20"/>
              </w:rPr>
              <w:t>zgrada</w:t>
            </w:r>
            <w:proofErr w:type="spellEnd"/>
            <w:r w:rsidRPr="00AA02AA">
              <w:rPr>
                <w:rFonts w:cstheme="minorHAnsi"/>
                <w:i/>
                <w:iCs/>
                <w:sz w:val="20"/>
                <w:szCs w:val="20"/>
              </w:rPr>
              <w:t xml:space="preserve"> </w:t>
            </w:r>
            <w:proofErr w:type="spellStart"/>
            <w:r w:rsidRPr="00AA02AA">
              <w:rPr>
                <w:rFonts w:cstheme="minorHAnsi"/>
                <w:i/>
                <w:iCs/>
                <w:sz w:val="20"/>
                <w:szCs w:val="20"/>
              </w:rPr>
              <w:t>koje</w:t>
            </w:r>
            <w:proofErr w:type="spellEnd"/>
            <w:r w:rsidRPr="00AA02AA">
              <w:rPr>
                <w:rFonts w:cstheme="minorHAnsi"/>
                <w:i/>
                <w:iCs/>
                <w:sz w:val="20"/>
                <w:szCs w:val="20"/>
              </w:rPr>
              <w:t xml:space="preserve"> </w:t>
            </w:r>
            <w:proofErr w:type="spellStart"/>
            <w:r w:rsidRPr="00AA02AA">
              <w:rPr>
                <w:rFonts w:cstheme="minorHAnsi"/>
                <w:i/>
                <w:iCs/>
                <w:sz w:val="20"/>
                <w:szCs w:val="20"/>
              </w:rPr>
              <w:t>koristi</w:t>
            </w:r>
            <w:proofErr w:type="spellEnd"/>
            <w:r w:rsidRPr="00AA02AA">
              <w:rPr>
                <w:rFonts w:cstheme="minorHAnsi"/>
                <w:i/>
                <w:iCs/>
                <w:sz w:val="20"/>
                <w:szCs w:val="20"/>
              </w:rPr>
              <w:t xml:space="preserve"> Ministarstvo </w:t>
            </w:r>
            <w:proofErr w:type="spellStart"/>
            <w:r w:rsidRPr="00AA02AA">
              <w:rPr>
                <w:rFonts w:cstheme="minorHAnsi"/>
                <w:i/>
                <w:iCs/>
                <w:sz w:val="20"/>
                <w:szCs w:val="20"/>
              </w:rPr>
              <w:t>odbrane</w:t>
            </w:r>
            <w:proofErr w:type="spellEnd"/>
            <w:r w:rsidRPr="00AA02AA">
              <w:rPr>
                <w:rFonts w:cstheme="minorHAnsi"/>
                <w:i/>
                <w:iCs/>
                <w:sz w:val="20"/>
                <w:szCs w:val="20"/>
              </w:rPr>
              <w:t xml:space="preserve"> BiH </w:t>
            </w:r>
            <w:proofErr w:type="spellStart"/>
            <w:r w:rsidRPr="00AA02AA">
              <w:rPr>
                <w:rFonts w:cstheme="minorHAnsi"/>
                <w:i/>
                <w:iCs/>
                <w:sz w:val="20"/>
                <w:szCs w:val="20"/>
              </w:rPr>
              <w:t>biti</w:t>
            </w:r>
            <w:proofErr w:type="spellEnd"/>
            <w:r w:rsidRPr="00AA02AA">
              <w:rPr>
                <w:rFonts w:cstheme="minorHAnsi"/>
                <w:i/>
                <w:iCs/>
                <w:sz w:val="20"/>
                <w:szCs w:val="20"/>
              </w:rPr>
              <w:t xml:space="preserve"> </w:t>
            </w:r>
            <w:proofErr w:type="spellStart"/>
            <w:r w:rsidRPr="00AA02AA">
              <w:rPr>
                <w:rFonts w:cstheme="minorHAnsi"/>
                <w:i/>
                <w:iCs/>
                <w:sz w:val="20"/>
                <w:szCs w:val="20"/>
              </w:rPr>
              <w:t>će</w:t>
            </w:r>
            <w:proofErr w:type="spellEnd"/>
            <w:r w:rsidRPr="00AA02AA">
              <w:rPr>
                <w:rFonts w:cstheme="minorHAnsi"/>
                <w:i/>
                <w:iCs/>
                <w:sz w:val="20"/>
                <w:szCs w:val="20"/>
              </w:rPr>
              <w:t xml:space="preserve"> </w:t>
            </w:r>
            <w:proofErr w:type="spellStart"/>
            <w:r w:rsidRPr="00AA02AA">
              <w:rPr>
                <w:rFonts w:cstheme="minorHAnsi"/>
                <w:i/>
                <w:iCs/>
                <w:sz w:val="20"/>
                <w:szCs w:val="20"/>
              </w:rPr>
              <w:t>definirana</w:t>
            </w:r>
            <w:proofErr w:type="spellEnd"/>
            <w:r w:rsidRPr="00AA02AA">
              <w:rPr>
                <w:rFonts w:cstheme="minorHAnsi"/>
                <w:i/>
                <w:iCs/>
                <w:sz w:val="20"/>
                <w:szCs w:val="20"/>
              </w:rPr>
              <w:t xml:space="preserve"> u </w:t>
            </w:r>
            <w:proofErr w:type="spellStart"/>
            <w:r w:rsidRPr="00AA02AA">
              <w:rPr>
                <w:rFonts w:cstheme="minorHAnsi"/>
                <w:i/>
                <w:iCs/>
                <w:sz w:val="20"/>
                <w:szCs w:val="20"/>
              </w:rPr>
              <w:t>okviru</w:t>
            </w:r>
            <w:proofErr w:type="spellEnd"/>
            <w:r w:rsidRPr="00AA02AA">
              <w:rPr>
                <w:rFonts w:cstheme="minorHAnsi"/>
                <w:i/>
                <w:iCs/>
                <w:sz w:val="20"/>
                <w:szCs w:val="20"/>
              </w:rPr>
              <w:t xml:space="preserve"> </w:t>
            </w:r>
            <w:proofErr w:type="spellStart"/>
            <w:r w:rsidRPr="00AA02AA">
              <w:rPr>
                <w:rFonts w:cstheme="minorHAnsi"/>
                <w:i/>
                <w:iCs/>
                <w:sz w:val="20"/>
                <w:szCs w:val="20"/>
              </w:rPr>
              <w:t>programa</w:t>
            </w:r>
            <w:proofErr w:type="spellEnd"/>
            <w:r w:rsidRPr="00AA02AA">
              <w:rPr>
                <w:rFonts w:cstheme="minorHAnsi"/>
                <w:i/>
                <w:iCs/>
                <w:sz w:val="20"/>
                <w:szCs w:val="20"/>
              </w:rPr>
              <w:t xml:space="preserve"> </w:t>
            </w:r>
            <w:proofErr w:type="spellStart"/>
            <w:r w:rsidRPr="00AA02AA">
              <w:rPr>
                <w:rFonts w:cstheme="minorHAnsi"/>
                <w:i/>
                <w:iCs/>
                <w:sz w:val="20"/>
                <w:szCs w:val="20"/>
              </w:rPr>
              <w:t>obnove</w:t>
            </w:r>
            <w:proofErr w:type="spellEnd"/>
            <w:r w:rsidRPr="00AA02AA">
              <w:rPr>
                <w:rFonts w:cstheme="minorHAnsi"/>
                <w:i/>
                <w:iCs/>
                <w:sz w:val="20"/>
                <w:szCs w:val="20"/>
              </w:rPr>
              <w:t xml:space="preserve"> </w:t>
            </w:r>
            <w:proofErr w:type="spellStart"/>
            <w:r w:rsidRPr="00AA02AA">
              <w:rPr>
                <w:rFonts w:cstheme="minorHAnsi"/>
                <w:i/>
                <w:iCs/>
                <w:sz w:val="20"/>
                <w:szCs w:val="20"/>
              </w:rPr>
              <w:t>kao</w:t>
            </w:r>
            <w:proofErr w:type="spellEnd"/>
            <w:r w:rsidRPr="00AA02AA">
              <w:rPr>
                <w:rFonts w:cstheme="minorHAnsi"/>
                <w:i/>
                <w:iCs/>
                <w:sz w:val="20"/>
                <w:szCs w:val="20"/>
              </w:rPr>
              <w:t xml:space="preserve"> i </w:t>
            </w:r>
            <w:proofErr w:type="spellStart"/>
            <w:r w:rsidRPr="00AA02AA">
              <w:rPr>
                <w:rFonts w:cstheme="minorHAnsi"/>
                <w:i/>
                <w:iCs/>
                <w:sz w:val="20"/>
                <w:szCs w:val="20"/>
              </w:rPr>
              <w:t>izvori</w:t>
            </w:r>
            <w:proofErr w:type="spellEnd"/>
            <w:r w:rsidRPr="00AA02AA">
              <w:rPr>
                <w:rFonts w:cstheme="minorHAnsi"/>
                <w:i/>
                <w:iCs/>
                <w:sz w:val="20"/>
                <w:szCs w:val="20"/>
              </w:rPr>
              <w:t xml:space="preserve"> </w:t>
            </w:r>
            <w:proofErr w:type="spellStart"/>
            <w:r w:rsidR="007B690C" w:rsidRPr="00AA02AA">
              <w:rPr>
                <w:rFonts w:cstheme="minorHAnsi"/>
                <w:i/>
                <w:iCs/>
                <w:sz w:val="20"/>
                <w:szCs w:val="20"/>
              </w:rPr>
              <w:t>financ</w:t>
            </w:r>
            <w:r w:rsidRPr="00AA02AA">
              <w:rPr>
                <w:rFonts w:cstheme="minorHAnsi"/>
                <w:i/>
                <w:iCs/>
                <w:sz w:val="20"/>
                <w:szCs w:val="20"/>
              </w:rPr>
              <w:t>iranja</w:t>
            </w:r>
            <w:proofErr w:type="spellEnd"/>
            <w:r w:rsidRPr="00AA02AA">
              <w:rPr>
                <w:rFonts w:cstheme="minorHAnsi"/>
                <w:i/>
                <w:iCs/>
                <w:sz w:val="20"/>
                <w:szCs w:val="20"/>
              </w:rPr>
              <w:t>.</w:t>
            </w:r>
          </w:p>
        </w:tc>
      </w:tr>
      <w:tr w:rsidR="00A00D87" w:rsidRPr="00AA02AA" w14:paraId="6C4302D8" w14:textId="77777777" w:rsidTr="00122946">
        <w:trPr>
          <w:trHeight w:val="63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9728754" w14:textId="77777777" w:rsidR="00A00D87" w:rsidRPr="00AA02AA" w:rsidRDefault="00A00D87" w:rsidP="00122946">
            <w:pPr>
              <w:spacing w:line="259" w:lineRule="auto"/>
              <w:rPr>
                <w:rFonts w:cstheme="minorHAnsi"/>
                <w:sz w:val="20"/>
                <w:szCs w:val="20"/>
              </w:rPr>
            </w:pPr>
            <w:r w:rsidRPr="00AA02AA">
              <w:rPr>
                <w:rFonts w:cstheme="minorHAnsi"/>
                <w:b/>
                <w:sz w:val="20"/>
                <w:szCs w:val="20"/>
              </w:rPr>
              <w:t xml:space="preserve">Period </w:t>
            </w:r>
            <w:proofErr w:type="spellStart"/>
            <w:r w:rsidRPr="00AA02AA">
              <w:rPr>
                <w:rFonts w:cstheme="minorHAnsi"/>
                <w:b/>
                <w:sz w:val="20"/>
                <w:szCs w:val="20"/>
              </w:rPr>
              <w:t>implementacije</w:t>
            </w:r>
            <w:proofErr w:type="spellEnd"/>
            <w:r w:rsidRPr="00AA02AA">
              <w:rPr>
                <w:rFonts w:cstheme="minorHAnsi"/>
                <w:b/>
                <w:sz w:val="20"/>
                <w:szCs w:val="20"/>
              </w:rPr>
              <w:t xml:space="preserve"> </w:t>
            </w:r>
            <w:proofErr w:type="spellStart"/>
            <w:r w:rsidRPr="00AA02AA">
              <w:rPr>
                <w:rFonts w:cstheme="minorHAnsi"/>
                <w:b/>
                <w:sz w:val="20"/>
                <w:szCs w:val="20"/>
              </w:rPr>
              <w:t>mjere</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49BE77D5" w14:textId="77777777" w:rsidR="00A00D87" w:rsidRPr="00AA02AA" w:rsidRDefault="00A00D87" w:rsidP="00E6560A">
            <w:pPr>
              <w:ind w:left="1"/>
              <w:jc w:val="both"/>
              <w:rPr>
                <w:rFonts w:cstheme="minorHAnsi"/>
                <w:sz w:val="20"/>
                <w:szCs w:val="20"/>
              </w:rPr>
            </w:pPr>
            <w:r w:rsidRPr="00AA02AA">
              <w:rPr>
                <w:rFonts w:cstheme="minorHAnsi"/>
                <w:sz w:val="20"/>
                <w:szCs w:val="20"/>
              </w:rPr>
              <w:t>2022-2024. (</w:t>
            </w:r>
            <w:proofErr w:type="spellStart"/>
            <w:r w:rsidRPr="00AA02AA">
              <w:rPr>
                <w:rFonts w:cstheme="minorHAnsi"/>
                <w:sz w:val="20"/>
                <w:szCs w:val="20"/>
              </w:rPr>
              <w:t>donošenje</w:t>
            </w:r>
            <w:proofErr w:type="spellEnd"/>
            <w:r w:rsidRPr="00AA02AA">
              <w:rPr>
                <w:rFonts w:cstheme="minorHAnsi"/>
                <w:sz w:val="20"/>
                <w:szCs w:val="20"/>
              </w:rPr>
              <w:t xml:space="preserve"> </w:t>
            </w:r>
            <w:proofErr w:type="spellStart"/>
            <w:r w:rsidRPr="00AA02AA">
              <w:rPr>
                <w:rFonts w:cstheme="minorHAnsi"/>
                <w:sz w:val="20"/>
                <w:szCs w:val="20"/>
              </w:rPr>
              <w:t>programa</w:t>
            </w:r>
            <w:proofErr w:type="spellEnd"/>
            <w:r w:rsidRPr="00AA02AA">
              <w:rPr>
                <w:rFonts w:cstheme="minorHAnsi"/>
                <w:sz w:val="20"/>
                <w:szCs w:val="20"/>
              </w:rPr>
              <w:t>/</w:t>
            </w:r>
            <w:proofErr w:type="spellStart"/>
            <w:r w:rsidRPr="00AA02AA">
              <w:rPr>
                <w:rFonts w:cstheme="minorHAnsi"/>
                <w:sz w:val="20"/>
                <w:szCs w:val="20"/>
              </w:rPr>
              <w:t>smjernica</w:t>
            </w:r>
            <w:proofErr w:type="spellEnd"/>
            <w:r w:rsidRPr="00AA02AA">
              <w:rPr>
                <w:rFonts w:cstheme="minorHAnsi"/>
                <w:sz w:val="20"/>
                <w:szCs w:val="20"/>
              </w:rPr>
              <w:t>/</w:t>
            </w:r>
            <w:proofErr w:type="spellStart"/>
            <w:r w:rsidRPr="00AA02AA">
              <w:rPr>
                <w:rFonts w:cstheme="minorHAnsi"/>
                <w:sz w:val="20"/>
                <w:szCs w:val="20"/>
              </w:rPr>
              <w:t>planova</w:t>
            </w:r>
            <w:proofErr w:type="spellEnd"/>
            <w:r w:rsidRPr="00AA02AA">
              <w:rPr>
                <w:rFonts w:cstheme="minorHAnsi"/>
                <w:sz w:val="20"/>
                <w:szCs w:val="20"/>
              </w:rPr>
              <w:t xml:space="preserve"> </w:t>
            </w:r>
            <w:proofErr w:type="spellStart"/>
            <w:r w:rsidRPr="00AA02AA">
              <w:rPr>
                <w:rFonts w:cstheme="minorHAnsi"/>
                <w:sz w:val="20"/>
                <w:szCs w:val="20"/>
              </w:rPr>
              <w:t>obnove</w:t>
            </w:r>
            <w:proofErr w:type="spellEnd"/>
            <w:r w:rsidRPr="00AA02AA">
              <w:rPr>
                <w:rFonts w:cstheme="minorHAnsi"/>
                <w:sz w:val="20"/>
                <w:szCs w:val="20"/>
              </w:rPr>
              <w:t>)</w:t>
            </w:r>
          </w:p>
          <w:p w14:paraId="2B0809CF" w14:textId="77777777" w:rsidR="00A00D87" w:rsidRPr="00AA02AA" w:rsidRDefault="00A00D87" w:rsidP="00E6560A">
            <w:pPr>
              <w:ind w:left="1"/>
              <w:jc w:val="both"/>
              <w:rPr>
                <w:rFonts w:cstheme="minorHAnsi"/>
                <w:sz w:val="20"/>
                <w:szCs w:val="20"/>
              </w:rPr>
            </w:pPr>
            <w:r w:rsidRPr="00AA02AA">
              <w:rPr>
                <w:rFonts w:cstheme="minorHAnsi"/>
                <w:sz w:val="20"/>
                <w:szCs w:val="20"/>
              </w:rPr>
              <w:t>2024-2050. (</w:t>
            </w:r>
            <w:proofErr w:type="spellStart"/>
            <w:proofErr w:type="gramStart"/>
            <w:r w:rsidRPr="00AA02AA">
              <w:rPr>
                <w:rFonts w:cstheme="minorHAnsi"/>
                <w:sz w:val="20"/>
                <w:szCs w:val="20"/>
              </w:rPr>
              <w:t>implementacija</w:t>
            </w:r>
            <w:proofErr w:type="spellEnd"/>
            <w:proofErr w:type="gramEnd"/>
            <w:r w:rsidRPr="00AA02AA">
              <w:rPr>
                <w:rFonts w:cstheme="minorHAnsi"/>
                <w:sz w:val="20"/>
                <w:szCs w:val="20"/>
              </w:rPr>
              <w:t xml:space="preserve"> </w:t>
            </w:r>
            <w:proofErr w:type="spellStart"/>
            <w:r w:rsidRPr="00AA02AA">
              <w:rPr>
                <w:rFonts w:cstheme="minorHAnsi"/>
                <w:sz w:val="20"/>
                <w:szCs w:val="20"/>
              </w:rPr>
              <w:t>mjere</w:t>
            </w:r>
            <w:proofErr w:type="spellEnd"/>
            <w:r w:rsidRPr="00AA02AA">
              <w:rPr>
                <w:rFonts w:cstheme="minorHAnsi"/>
                <w:sz w:val="20"/>
                <w:szCs w:val="20"/>
              </w:rPr>
              <w:t>)</w:t>
            </w:r>
          </w:p>
          <w:p w14:paraId="6E6D2576" w14:textId="77777777" w:rsidR="00A00D87" w:rsidRPr="00AA02AA" w:rsidRDefault="00A00D87" w:rsidP="00E6560A">
            <w:pPr>
              <w:jc w:val="both"/>
              <w:rPr>
                <w:rFonts w:cstheme="minorHAnsi"/>
                <w:sz w:val="20"/>
                <w:szCs w:val="20"/>
              </w:rPr>
            </w:pPr>
            <w:proofErr w:type="spellStart"/>
            <w:r w:rsidRPr="00AA02AA">
              <w:rPr>
                <w:rFonts w:cstheme="minorHAnsi"/>
                <w:sz w:val="20"/>
                <w:szCs w:val="20"/>
              </w:rPr>
              <w:t>Mjera</w:t>
            </w:r>
            <w:proofErr w:type="spellEnd"/>
            <w:r w:rsidRPr="00AA02AA">
              <w:rPr>
                <w:rFonts w:cstheme="minorHAnsi"/>
                <w:sz w:val="20"/>
                <w:szCs w:val="20"/>
              </w:rPr>
              <w:t xml:space="preserve"> </w:t>
            </w:r>
            <w:proofErr w:type="spellStart"/>
            <w:r w:rsidRPr="00AA02AA">
              <w:rPr>
                <w:rFonts w:cstheme="minorHAnsi"/>
                <w:sz w:val="20"/>
                <w:szCs w:val="20"/>
              </w:rPr>
              <w:t>će</w:t>
            </w:r>
            <w:proofErr w:type="spellEnd"/>
            <w:r w:rsidRPr="00AA02AA">
              <w:rPr>
                <w:rFonts w:cstheme="minorHAnsi"/>
                <w:sz w:val="20"/>
                <w:szCs w:val="20"/>
              </w:rPr>
              <w:t xml:space="preserve"> se </w:t>
            </w:r>
            <w:proofErr w:type="spellStart"/>
            <w:r w:rsidRPr="00AA02AA">
              <w:rPr>
                <w:rFonts w:cstheme="minorHAnsi"/>
                <w:sz w:val="20"/>
                <w:szCs w:val="20"/>
              </w:rPr>
              <w:t>provoditi</w:t>
            </w:r>
            <w:proofErr w:type="spellEnd"/>
            <w:r w:rsidRPr="00AA02AA">
              <w:rPr>
                <w:rFonts w:cstheme="minorHAnsi"/>
                <w:sz w:val="20"/>
                <w:szCs w:val="20"/>
              </w:rPr>
              <w:t xml:space="preserve"> do 2050. </w:t>
            </w:r>
            <w:proofErr w:type="spellStart"/>
            <w:r w:rsidRPr="00AA02AA">
              <w:rPr>
                <w:rFonts w:cstheme="minorHAnsi"/>
                <w:sz w:val="20"/>
                <w:szCs w:val="20"/>
              </w:rPr>
              <w:t>godine</w:t>
            </w:r>
            <w:proofErr w:type="spellEnd"/>
            <w:r w:rsidRPr="00AA02AA">
              <w:rPr>
                <w:rFonts w:cstheme="minorHAnsi"/>
                <w:sz w:val="20"/>
                <w:szCs w:val="20"/>
              </w:rPr>
              <w:t xml:space="preserve">, </w:t>
            </w:r>
            <w:proofErr w:type="spellStart"/>
            <w:r w:rsidRPr="00AA02AA">
              <w:rPr>
                <w:rFonts w:cstheme="minorHAnsi"/>
                <w:sz w:val="20"/>
                <w:szCs w:val="20"/>
              </w:rPr>
              <w:t>uz</w:t>
            </w:r>
            <w:proofErr w:type="spellEnd"/>
            <w:r w:rsidRPr="00AA02AA">
              <w:rPr>
                <w:rFonts w:cstheme="minorHAnsi"/>
                <w:sz w:val="20"/>
                <w:szCs w:val="20"/>
              </w:rPr>
              <w:t xml:space="preserve"> </w:t>
            </w:r>
            <w:proofErr w:type="spellStart"/>
            <w:r w:rsidRPr="00AA02AA">
              <w:rPr>
                <w:rFonts w:cstheme="minorHAnsi"/>
                <w:sz w:val="20"/>
                <w:szCs w:val="20"/>
              </w:rPr>
              <w:t>moguće</w:t>
            </w:r>
            <w:proofErr w:type="spellEnd"/>
            <w:r w:rsidRPr="00AA02AA">
              <w:rPr>
                <w:rFonts w:cstheme="minorHAnsi"/>
                <w:sz w:val="20"/>
                <w:szCs w:val="20"/>
              </w:rPr>
              <w:t xml:space="preserve"> </w:t>
            </w:r>
            <w:proofErr w:type="spellStart"/>
            <w:r w:rsidRPr="00AA02AA">
              <w:rPr>
                <w:rFonts w:cstheme="minorHAnsi"/>
                <w:sz w:val="20"/>
                <w:szCs w:val="20"/>
              </w:rPr>
              <w:t>izmjene</w:t>
            </w:r>
            <w:proofErr w:type="spellEnd"/>
            <w:r w:rsidRPr="00AA02AA">
              <w:rPr>
                <w:rFonts w:cstheme="minorHAnsi"/>
                <w:sz w:val="20"/>
                <w:szCs w:val="20"/>
              </w:rPr>
              <w:t xml:space="preserve"> </w:t>
            </w:r>
            <w:proofErr w:type="spellStart"/>
            <w:r w:rsidRPr="00AA02AA">
              <w:rPr>
                <w:rFonts w:cstheme="minorHAnsi"/>
                <w:sz w:val="20"/>
                <w:szCs w:val="20"/>
              </w:rPr>
              <w:t>temeljene</w:t>
            </w:r>
            <w:proofErr w:type="spellEnd"/>
            <w:r w:rsidRPr="00AA02AA">
              <w:rPr>
                <w:rFonts w:cstheme="minorHAnsi"/>
                <w:sz w:val="20"/>
                <w:szCs w:val="20"/>
              </w:rPr>
              <w:t xml:space="preserve"> </w:t>
            </w:r>
            <w:proofErr w:type="spellStart"/>
            <w:r w:rsidRPr="00AA02AA">
              <w:rPr>
                <w:rFonts w:cstheme="minorHAnsi"/>
                <w:sz w:val="20"/>
                <w:szCs w:val="20"/>
              </w:rPr>
              <w:t>na</w:t>
            </w:r>
            <w:proofErr w:type="spellEnd"/>
            <w:r w:rsidRPr="00AA02AA">
              <w:rPr>
                <w:rFonts w:cstheme="minorHAnsi"/>
                <w:sz w:val="20"/>
                <w:szCs w:val="20"/>
              </w:rPr>
              <w:t xml:space="preserve"> </w:t>
            </w:r>
            <w:proofErr w:type="spellStart"/>
            <w:r w:rsidRPr="00AA02AA">
              <w:rPr>
                <w:rFonts w:cstheme="minorHAnsi"/>
                <w:sz w:val="20"/>
                <w:szCs w:val="20"/>
              </w:rPr>
              <w:t>prikupljenim</w:t>
            </w:r>
            <w:proofErr w:type="spellEnd"/>
            <w:r w:rsidRPr="00AA02AA">
              <w:rPr>
                <w:rFonts w:cstheme="minorHAnsi"/>
                <w:sz w:val="20"/>
                <w:szCs w:val="20"/>
              </w:rPr>
              <w:t xml:space="preserve"> </w:t>
            </w:r>
            <w:proofErr w:type="spellStart"/>
            <w:r w:rsidRPr="00AA02AA">
              <w:rPr>
                <w:rFonts w:cstheme="minorHAnsi"/>
                <w:sz w:val="20"/>
                <w:szCs w:val="20"/>
              </w:rPr>
              <w:t>iskustvima</w:t>
            </w:r>
            <w:proofErr w:type="spellEnd"/>
          </w:p>
        </w:tc>
      </w:tr>
      <w:tr w:rsidR="00A00D87" w:rsidRPr="00AA02AA" w14:paraId="46F0F002" w14:textId="77777777" w:rsidTr="00122946">
        <w:trPr>
          <w:trHeight w:val="104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1D116B9"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Institucija</w:t>
            </w:r>
            <w:proofErr w:type="spellEnd"/>
            <w:r w:rsidRPr="00AA02AA">
              <w:rPr>
                <w:rFonts w:cstheme="minorHAnsi"/>
                <w:b/>
                <w:sz w:val="20"/>
                <w:szCs w:val="20"/>
              </w:rPr>
              <w:t xml:space="preserve"> </w:t>
            </w:r>
          </w:p>
          <w:p w14:paraId="2D619398"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odgovorna</w:t>
            </w:r>
            <w:proofErr w:type="spellEnd"/>
            <w:r w:rsidRPr="00AA02AA">
              <w:rPr>
                <w:rFonts w:cstheme="minorHAnsi"/>
                <w:b/>
                <w:sz w:val="20"/>
                <w:szCs w:val="20"/>
              </w:rPr>
              <w:t xml:space="preserve"> za </w:t>
            </w:r>
            <w:proofErr w:type="spellStart"/>
            <w:r w:rsidRPr="00AA02AA">
              <w:rPr>
                <w:rFonts w:cstheme="minorHAnsi"/>
                <w:b/>
                <w:sz w:val="20"/>
                <w:szCs w:val="20"/>
              </w:rPr>
              <w:t>koordinaciju</w:t>
            </w:r>
            <w:proofErr w:type="spellEnd"/>
            <w:r w:rsidRPr="00AA02AA">
              <w:rPr>
                <w:rFonts w:cstheme="minorHAnsi"/>
                <w:b/>
                <w:sz w:val="20"/>
                <w:szCs w:val="20"/>
              </w:rPr>
              <w:t xml:space="preserve"> </w:t>
            </w:r>
            <w:proofErr w:type="spellStart"/>
            <w:r w:rsidRPr="00AA02AA">
              <w:rPr>
                <w:rFonts w:cstheme="minorHAnsi"/>
                <w:b/>
                <w:sz w:val="20"/>
                <w:szCs w:val="20"/>
              </w:rPr>
              <w:t>implementacije</w:t>
            </w:r>
            <w:proofErr w:type="spellEnd"/>
            <w:r w:rsidRPr="00AA02AA">
              <w:rPr>
                <w:rFonts w:cstheme="minorHAnsi"/>
                <w:b/>
                <w:sz w:val="20"/>
                <w:szCs w:val="20"/>
              </w:rPr>
              <w:t xml:space="preserve"> </w:t>
            </w:r>
            <w:proofErr w:type="spellStart"/>
            <w:r w:rsidRPr="00AA02AA">
              <w:rPr>
                <w:rFonts w:cstheme="minorHAnsi"/>
                <w:b/>
                <w:sz w:val="20"/>
                <w:szCs w:val="20"/>
              </w:rPr>
              <w:t>mjere</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136806A3" w14:textId="77777777" w:rsidR="00A00D87" w:rsidRPr="00AA02AA" w:rsidRDefault="00A00D87" w:rsidP="00E6560A">
            <w:pPr>
              <w:spacing w:line="259" w:lineRule="auto"/>
              <w:ind w:left="1"/>
              <w:jc w:val="both"/>
              <w:rPr>
                <w:rFonts w:cstheme="minorHAnsi"/>
                <w:sz w:val="20"/>
                <w:szCs w:val="20"/>
              </w:rPr>
            </w:pPr>
            <w:r w:rsidRPr="00AA02AA">
              <w:rPr>
                <w:rFonts w:cstheme="minorHAnsi"/>
                <w:sz w:val="20"/>
                <w:szCs w:val="20"/>
              </w:rPr>
              <w:t>Federalno ministarstvo prostornog uređenja</w:t>
            </w:r>
          </w:p>
          <w:p w14:paraId="18D35B95" w14:textId="77777777" w:rsidR="00A00D87" w:rsidRPr="00AA02AA" w:rsidRDefault="00A00D87" w:rsidP="00E6560A">
            <w:pPr>
              <w:spacing w:line="259" w:lineRule="auto"/>
              <w:ind w:left="1"/>
              <w:jc w:val="both"/>
              <w:rPr>
                <w:rFonts w:cstheme="minorHAnsi"/>
                <w:sz w:val="20"/>
                <w:szCs w:val="20"/>
              </w:rPr>
            </w:pPr>
            <w:r w:rsidRPr="00AA02AA">
              <w:rPr>
                <w:rFonts w:cstheme="minorHAnsi"/>
                <w:sz w:val="20"/>
                <w:szCs w:val="20"/>
              </w:rPr>
              <w:t>Fond za zaštitu okoliša FBiH</w:t>
            </w:r>
          </w:p>
          <w:p w14:paraId="7F6D17BA" w14:textId="77777777" w:rsidR="00A00D87" w:rsidRPr="00AA02AA" w:rsidRDefault="00A00D87" w:rsidP="00E6560A">
            <w:pPr>
              <w:spacing w:line="259" w:lineRule="auto"/>
              <w:ind w:left="1"/>
              <w:jc w:val="both"/>
              <w:rPr>
                <w:rFonts w:cstheme="minorHAnsi"/>
                <w:sz w:val="20"/>
                <w:szCs w:val="20"/>
              </w:rPr>
            </w:pPr>
            <w:r w:rsidRPr="00AA02AA">
              <w:rPr>
                <w:rFonts w:cstheme="minorHAnsi"/>
                <w:sz w:val="20"/>
                <w:szCs w:val="20"/>
              </w:rPr>
              <w:t xml:space="preserve">Zavod za zaštitu </w:t>
            </w:r>
            <w:proofErr w:type="gramStart"/>
            <w:r w:rsidRPr="00AA02AA">
              <w:rPr>
                <w:rFonts w:cstheme="minorHAnsi"/>
                <w:sz w:val="20"/>
                <w:szCs w:val="20"/>
              </w:rPr>
              <w:t>spomenika  FBiH</w:t>
            </w:r>
            <w:proofErr w:type="gramEnd"/>
            <w:r w:rsidRPr="00AA02AA">
              <w:rPr>
                <w:rFonts w:cstheme="minorHAnsi"/>
                <w:sz w:val="20"/>
                <w:szCs w:val="20"/>
              </w:rPr>
              <w:t xml:space="preserve"> (Federalno ministarstvo </w:t>
            </w:r>
            <w:proofErr w:type="spellStart"/>
            <w:r w:rsidRPr="00AA02AA">
              <w:rPr>
                <w:rFonts w:cstheme="minorHAnsi"/>
                <w:sz w:val="20"/>
                <w:szCs w:val="20"/>
              </w:rPr>
              <w:t>kulture</w:t>
            </w:r>
            <w:proofErr w:type="spellEnd"/>
            <w:r w:rsidRPr="00AA02AA">
              <w:rPr>
                <w:rFonts w:cstheme="minorHAnsi"/>
                <w:sz w:val="20"/>
                <w:szCs w:val="20"/>
              </w:rPr>
              <w:t xml:space="preserve"> i </w:t>
            </w:r>
            <w:proofErr w:type="spellStart"/>
            <w:r w:rsidRPr="00AA02AA">
              <w:rPr>
                <w:rFonts w:cstheme="minorHAnsi"/>
                <w:sz w:val="20"/>
                <w:szCs w:val="20"/>
              </w:rPr>
              <w:t>sporta</w:t>
            </w:r>
            <w:proofErr w:type="spellEnd"/>
            <w:r w:rsidRPr="00AA02AA">
              <w:rPr>
                <w:rFonts w:cstheme="minorHAnsi"/>
                <w:sz w:val="20"/>
                <w:szCs w:val="20"/>
              </w:rPr>
              <w:t>)</w:t>
            </w:r>
          </w:p>
          <w:p w14:paraId="1734280B" w14:textId="5E636DC8" w:rsidR="00A00D87" w:rsidRPr="00AA02AA" w:rsidRDefault="003C2431" w:rsidP="00E6560A">
            <w:pPr>
              <w:spacing w:line="259" w:lineRule="auto"/>
              <w:ind w:left="1"/>
              <w:jc w:val="both"/>
              <w:rPr>
                <w:rFonts w:cstheme="minorHAnsi"/>
                <w:i/>
                <w:iCs/>
                <w:sz w:val="20"/>
                <w:szCs w:val="20"/>
              </w:rPr>
            </w:pPr>
            <w:r w:rsidRPr="00AA02AA">
              <w:rPr>
                <w:rFonts w:cstheme="minorHAnsi"/>
                <w:i/>
                <w:iCs/>
                <w:sz w:val="20"/>
                <w:szCs w:val="20"/>
              </w:rPr>
              <w:t xml:space="preserve">*) </w:t>
            </w:r>
            <w:r w:rsidR="00A00D87" w:rsidRPr="00AA02AA">
              <w:rPr>
                <w:rFonts w:cstheme="minorHAnsi"/>
                <w:i/>
                <w:iCs/>
                <w:sz w:val="20"/>
                <w:szCs w:val="20"/>
              </w:rPr>
              <w:t xml:space="preserve">Ministarstvo </w:t>
            </w:r>
            <w:proofErr w:type="spellStart"/>
            <w:r w:rsidR="00A00D87" w:rsidRPr="00AA02AA">
              <w:rPr>
                <w:rFonts w:cstheme="minorHAnsi"/>
                <w:i/>
                <w:iCs/>
                <w:sz w:val="20"/>
                <w:szCs w:val="20"/>
              </w:rPr>
              <w:t>odbrane</w:t>
            </w:r>
            <w:proofErr w:type="spellEnd"/>
            <w:r w:rsidR="00A00D87" w:rsidRPr="00AA02AA">
              <w:rPr>
                <w:rFonts w:cstheme="minorHAnsi"/>
                <w:i/>
                <w:iCs/>
                <w:sz w:val="20"/>
                <w:szCs w:val="20"/>
              </w:rPr>
              <w:t xml:space="preserve"> BiH</w:t>
            </w:r>
          </w:p>
        </w:tc>
      </w:tr>
      <w:tr w:rsidR="00A00D87" w:rsidRPr="00AA02AA" w14:paraId="6B97F24C" w14:textId="77777777" w:rsidTr="00122946">
        <w:trPr>
          <w:trHeight w:val="42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434578B"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Nosioci</w:t>
            </w:r>
            <w:proofErr w:type="spellEnd"/>
            <w:r w:rsidRPr="00AA02AA">
              <w:rPr>
                <w:rFonts w:cstheme="minorHAnsi"/>
                <w:b/>
                <w:sz w:val="20"/>
                <w:szCs w:val="20"/>
              </w:rPr>
              <w:t xml:space="preserve"> </w:t>
            </w:r>
            <w:proofErr w:type="spellStart"/>
            <w:r w:rsidRPr="00AA02AA">
              <w:rPr>
                <w:rFonts w:cstheme="minorHAnsi"/>
                <w:b/>
                <w:sz w:val="20"/>
                <w:szCs w:val="20"/>
              </w:rPr>
              <w:t>mjere</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070F28AC" w14:textId="2C71ECA7" w:rsidR="00A00D87" w:rsidRPr="00AA02AA" w:rsidRDefault="00A00D87" w:rsidP="00E6560A">
            <w:pPr>
              <w:spacing w:line="259" w:lineRule="auto"/>
              <w:ind w:left="1" w:right="3"/>
              <w:jc w:val="both"/>
              <w:rPr>
                <w:rFonts w:cstheme="minorHAnsi"/>
                <w:sz w:val="20"/>
                <w:szCs w:val="20"/>
              </w:rPr>
            </w:pPr>
            <w:r w:rsidRPr="00AA02AA">
              <w:rPr>
                <w:rFonts w:cstheme="minorHAnsi"/>
                <w:sz w:val="20"/>
                <w:szCs w:val="20"/>
              </w:rPr>
              <w:t xml:space="preserve">Federalno ministarstvo energije, rudarstva i industrije, Federalno ministarstvo prostornog uređenja, Fond za zaštitu okoliša FBiH, Federalno ministarstvo </w:t>
            </w:r>
            <w:proofErr w:type="spellStart"/>
            <w:r w:rsidR="007B690C" w:rsidRPr="00AA02AA">
              <w:rPr>
                <w:rFonts w:cstheme="minorHAnsi"/>
                <w:sz w:val="20"/>
                <w:szCs w:val="20"/>
              </w:rPr>
              <w:t>financ</w:t>
            </w:r>
            <w:r w:rsidRPr="00AA02AA">
              <w:rPr>
                <w:rFonts w:cstheme="minorHAnsi"/>
                <w:sz w:val="20"/>
                <w:szCs w:val="20"/>
              </w:rPr>
              <w:t>ija</w:t>
            </w:r>
            <w:proofErr w:type="spellEnd"/>
            <w:r w:rsidRPr="00AA02AA">
              <w:rPr>
                <w:rFonts w:cstheme="minorHAnsi"/>
                <w:sz w:val="20"/>
                <w:szCs w:val="20"/>
              </w:rPr>
              <w:t xml:space="preserve"> Federalni zavod za </w:t>
            </w:r>
            <w:proofErr w:type="spellStart"/>
            <w:r w:rsidRPr="00AA02AA">
              <w:rPr>
                <w:rFonts w:cstheme="minorHAnsi"/>
                <w:sz w:val="20"/>
                <w:szCs w:val="20"/>
              </w:rPr>
              <w:t>statistiku</w:t>
            </w:r>
            <w:proofErr w:type="spellEnd"/>
            <w:r w:rsidRPr="00AA02AA">
              <w:rPr>
                <w:rFonts w:cstheme="minorHAnsi"/>
                <w:sz w:val="20"/>
                <w:szCs w:val="20"/>
              </w:rPr>
              <w:t xml:space="preserve">,  Federalno ministarstvo razvoja, </w:t>
            </w:r>
            <w:proofErr w:type="spellStart"/>
            <w:r w:rsidRPr="00AA02AA">
              <w:rPr>
                <w:rFonts w:cstheme="minorHAnsi"/>
                <w:sz w:val="20"/>
                <w:szCs w:val="20"/>
              </w:rPr>
              <w:t>poduzetništva</w:t>
            </w:r>
            <w:proofErr w:type="spellEnd"/>
            <w:r w:rsidRPr="00AA02AA">
              <w:rPr>
                <w:rFonts w:cstheme="minorHAnsi"/>
                <w:sz w:val="20"/>
                <w:szCs w:val="20"/>
              </w:rPr>
              <w:t xml:space="preserve"> i obrta, </w:t>
            </w:r>
            <w:proofErr w:type="spellStart"/>
            <w:r w:rsidRPr="00AA02AA">
              <w:rPr>
                <w:rFonts w:cstheme="minorHAnsi"/>
                <w:sz w:val="20"/>
                <w:szCs w:val="20"/>
              </w:rPr>
              <w:t>kantonalna</w:t>
            </w:r>
            <w:proofErr w:type="spellEnd"/>
            <w:r w:rsidRPr="00AA02AA">
              <w:rPr>
                <w:rFonts w:cstheme="minorHAnsi"/>
                <w:sz w:val="20"/>
                <w:szCs w:val="20"/>
              </w:rPr>
              <w:t xml:space="preserve"> </w:t>
            </w:r>
            <w:proofErr w:type="spellStart"/>
            <w:r w:rsidRPr="00AA02AA">
              <w:rPr>
                <w:rFonts w:cstheme="minorHAnsi"/>
                <w:sz w:val="20"/>
                <w:szCs w:val="20"/>
              </w:rPr>
              <w:t>ministarstva</w:t>
            </w:r>
            <w:proofErr w:type="spellEnd"/>
            <w:r w:rsidRPr="00AA02AA">
              <w:rPr>
                <w:rFonts w:cstheme="minorHAnsi"/>
                <w:sz w:val="20"/>
                <w:szCs w:val="20"/>
              </w:rPr>
              <w:t xml:space="preserve"> </w:t>
            </w:r>
            <w:proofErr w:type="spellStart"/>
            <w:r w:rsidRPr="00AA02AA">
              <w:rPr>
                <w:rFonts w:cstheme="minorHAnsi"/>
                <w:sz w:val="20"/>
                <w:szCs w:val="20"/>
              </w:rPr>
              <w:t>nadležna</w:t>
            </w:r>
            <w:proofErr w:type="spellEnd"/>
            <w:r w:rsidRPr="00AA02AA">
              <w:rPr>
                <w:rFonts w:cstheme="minorHAnsi"/>
                <w:sz w:val="20"/>
                <w:szCs w:val="20"/>
              </w:rPr>
              <w:t xml:space="preserve"> za </w:t>
            </w:r>
            <w:proofErr w:type="spellStart"/>
            <w:r w:rsidRPr="00AA02AA">
              <w:rPr>
                <w:rFonts w:cstheme="minorHAnsi"/>
                <w:sz w:val="20"/>
                <w:szCs w:val="20"/>
              </w:rPr>
              <w:t>prostorno</w:t>
            </w:r>
            <w:proofErr w:type="spellEnd"/>
            <w:r w:rsidRPr="00AA02AA">
              <w:rPr>
                <w:rFonts w:cstheme="minorHAnsi"/>
                <w:sz w:val="20"/>
                <w:szCs w:val="20"/>
              </w:rPr>
              <w:t xml:space="preserve"> </w:t>
            </w:r>
            <w:proofErr w:type="spellStart"/>
            <w:r w:rsidRPr="00AA02AA">
              <w:rPr>
                <w:rFonts w:cstheme="minorHAnsi"/>
                <w:sz w:val="20"/>
                <w:szCs w:val="20"/>
              </w:rPr>
              <w:t>uređenje</w:t>
            </w:r>
            <w:proofErr w:type="spellEnd"/>
            <w:r w:rsidRPr="00AA02AA">
              <w:rPr>
                <w:rFonts w:cstheme="minorHAnsi"/>
                <w:sz w:val="20"/>
                <w:szCs w:val="20"/>
              </w:rPr>
              <w:t xml:space="preserve">, </w:t>
            </w:r>
            <w:proofErr w:type="spellStart"/>
            <w:r w:rsidRPr="00AA02AA">
              <w:rPr>
                <w:rFonts w:cstheme="minorHAnsi"/>
                <w:sz w:val="20"/>
                <w:szCs w:val="20"/>
              </w:rPr>
              <w:t>kantonalna</w:t>
            </w:r>
            <w:proofErr w:type="spellEnd"/>
            <w:r w:rsidRPr="00AA02AA">
              <w:rPr>
                <w:rFonts w:cstheme="minorHAnsi"/>
                <w:sz w:val="20"/>
                <w:szCs w:val="20"/>
              </w:rPr>
              <w:t xml:space="preserve"> </w:t>
            </w:r>
            <w:proofErr w:type="spellStart"/>
            <w:r w:rsidRPr="00AA02AA">
              <w:rPr>
                <w:rFonts w:cstheme="minorHAnsi"/>
                <w:sz w:val="20"/>
                <w:szCs w:val="20"/>
              </w:rPr>
              <w:t>ministarstva</w:t>
            </w:r>
            <w:proofErr w:type="spellEnd"/>
            <w:r w:rsidRPr="00AA02AA">
              <w:rPr>
                <w:rFonts w:cstheme="minorHAnsi"/>
                <w:sz w:val="20"/>
                <w:szCs w:val="20"/>
              </w:rPr>
              <w:t xml:space="preserve"> za </w:t>
            </w:r>
            <w:proofErr w:type="spellStart"/>
            <w:r w:rsidR="007B690C" w:rsidRPr="00AA02AA">
              <w:rPr>
                <w:rFonts w:cstheme="minorHAnsi"/>
                <w:sz w:val="20"/>
                <w:szCs w:val="20"/>
              </w:rPr>
              <w:t>financ</w:t>
            </w:r>
            <w:r w:rsidRPr="00AA02AA">
              <w:rPr>
                <w:rFonts w:cstheme="minorHAnsi"/>
                <w:sz w:val="20"/>
                <w:szCs w:val="20"/>
              </w:rPr>
              <w:t>ije</w:t>
            </w:r>
            <w:proofErr w:type="spellEnd"/>
            <w:r w:rsidRPr="00AA02AA">
              <w:rPr>
                <w:rFonts w:cstheme="minorHAnsi"/>
                <w:sz w:val="20"/>
                <w:szCs w:val="20"/>
              </w:rPr>
              <w:t xml:space="preserve">, </w:t>
            </w:r>
            <w:proofErr w:type="spellStart"/>
            <w:r w:rsidRPr="00AA02AA">
              <w:rPr>
                <w:rFonts w:cstheme="minorHAnsi"/>
                <w:sz w:val="20"/>
                <w:szCs w:val="20"/>
              </w:rPr>
              <w:t>te</w:t>
            </w:r>
            <w:proofErr w:type="spellEnd"/>
            <w:r w:rsidRPr="00AA02AA">
              <w:rPr>
                <w:rFonts w:cstheme="minorHAnsi"/>
                <w:sz w:val="20"/>
                <w:szCs w:val="20"/>
              </w:rPr>
              <w:t xml:space="preserve"> </w:t>
            </w:r>
            <w:proofErr w:type="spellStart"/>
            <w:r w:rsidRPr="00AA02AA">
              <w:rPr>
                <w:rFonts w:cstheme="minorHAnsi"/>
                <w:sz w:val="20"/>
                <w:szCs w:val="20"/>
              </w:rPr>
              <w:t>jedinice</w:t>
            </w:r>
            <w:proofErr w:type="spellEnd"/>
            <w:r w:rsidRPr="00AA02AA">
              <w:rPr>
                <w:rFonts w:cstheme="minorHAnsi"/>
                <w:sz w:val="20"/>
                <w:szCs w:val="20"/>
              </w:rPr>
              <w:t xml:space="preserve"> </w:t>
            </w:r>
            <w:proofErr w:type="spellStart"/>
            <w:r w:rsidRPr="00AA02AA">
              <w:rPr>
                <w:rFonts w:cstheme="minorHAnsi"/>
                <w:sz w:val="20"/>
                <w:szCs w:val="20"/>
              </w:rPr>
              <w:t>lokalne</w:t>
            </w:r>
            <w:proofErr w:type="spellEnd"/>
            <w:r w:rsidRPr="00AA02AA">
              <w:rPr>
                <w:rFonts w:cstheme="minorHAnsi"/>
                <w:sz w:val="20"/>
                <w:szCs w:val="20"/>
              </w:rPr>
              <w:t xml:space="preserve"> </w:t>
            </w:r>
            <w:proofErr w:type="spellStart"/>
            <w:r w:rsidRPr="00AA02AA">
              <w:rPr>
                <w:rFonts w:cstheme="minorHAnsi"/>
                <w:sz w:val="20"/>
                <w:szCs w:val="20"/>
              </w:rPr>
              <w:t>samouprave</w:t>
            </w:r>
            <w:proofErr w:type="spellEnd"/>
            <w:r w:rsidRPr="00AA02AA">
              <w:rPr>
                <w:rFonts w:cstheme="minorHAnsi"/>
                <w:sz w:val="20"/>
                <w:szCs w:val="20"/>
              </w:rPr>
              <w:t xml:space="preserve">, Zavod za zaštitu spomenika  FBiH (Federalno ministarstvo </w:t>
            </w:r>
            <w:proofErr w:type="spellStart"/>
            <w:r w:rsidRPr="00AA02AA">
              <w:rPr>
                <w:rFonts w:cstheme="minorHAnsi"/>
                <w:sz w:val="20"/>
                <w:szCs w:val="20"/>
              </w:rPr>
              <w:t>kulture</w:t>
            </w:r>
            <w:proofErr w:type="spellEnd"/>
            <w:r w:rsidRPr="00AA02AA">
              <w:rPr>
                <w:rFonts w:cstheme="minorHAnsi"/>
                <w:sz w:val="20"/>
                <w:szCs w:val="20"/>
              </w:rPr>
              <w:t xml:space="preserve"> i </w:t>
            </w:r>
            <w:proofErr w:type="spellStart"/>
            <w:r w:rsidRPr="00AA02AA">
              <w:rPr>
                <w:rFonts w:cstheme="minorHAnsi"/>
                <w:sz w:val="20"/>
                <w:szCs w:val="20"/>
              </w:rPr>
              <w:t>sporta</w:t>
            </w:r>
            <w:proofErr w:type="spellEnd"/>
            <w:r w:rsidRPr="00AA02AA">
              <w:rPr>
                <w:rFonts w:cstheme="minorHAnsi"/>
                <w:sz w:val="20"/>
                <w:szCs w:val="20"/>
              </w:rPr>
              <w:t xml:space="preserve">), </w:t>
            </w:r>
            <w:proofErr w:type="spellStart"/>
            <w:r w:rsidRPr="00AA02AA">
              <w:rPr>
                <w:rFonts w:cstheme="minorHAnsi"/>
                <w:sz w:val="20"/>
                <w:szCs w:val="20"/>
              </w:rPr>
              <w:t>kantonalni</w:t>
            </w:r>
            <w:proofErr w:type="spellEnd"/>
            <w:r w:rsidRPr="00AA02AA">
              <w:rPr>
                <w:rFonts w:cstheme="minorHAnsi"/>
                <w:sz w:val="20"/>
                <w:szCs w:val="20"/>
              </w:rPr>
              <w:t xml:space="preserve"> zavod za zaštitu </w:t>
            </w:r>
            <w:proofErr w:type="spellStart"/>
            <w:r w:rsidRPr="00AA02AA">
              <w:rPr>
                <w:rFonts w:cstheme="minorHAnsi"/>
                <w:sz w:val="20"/>
                <w:szCs w:val="20"/>
              </w:rPr>
              <w:t>kulturno-historijskog</w:t>
            </w:r>
            <w:proofErr w:type="spellEnd"/>
            <w:r w:rsidRPr="00AA02AA">
              <w:rPr>
                <w:rFonts w:cstheme="minorHAnsi"/>
                <w:sz w:val="20"/>
                <w:szCs w:val="20"/>
              </w:rPr>
              <w:t xml:space="preserve"> i </w:t>
            </w:r>
            <w:proofErr w:type="spellStart"/>
            <w:r w:rsidRPr="00AA02AA">
              <w:rPr>
                <w:rFonts w:cstheme="minorHAnsi"/>
                <w:sz w:val="20"/>
                <w:szCs w:val="20"/>
              </w:rPr>
              <w:t>prirodnog</w:t>
            </w:r>
            <w:proofErr w:type="spellEnd"/>
            <w:r w:rsidRPr="00AA02AA">
              <w:rPr>
                <w:rFonts w:cstheme="minorHAnsi"/>
                <w:sz w:val="20"/>
                <w:szCs w:val="20"/>
              </w:rPr>
              <w:t xml:space="preserve"> </w:t>
            </w:r>
            <w:proofErr w:type="spellStart"/>
            <w:r w:rsidRPr="00AA02AA">
              <w:rPr>
                <w:rFonts w:cstheme="minorHAnsi"/>
                <w:sz w:val="20"/>
                <w:szCs w:val="20"/>
              </w:rPr>
              <w:t>naslijeđa</w:t>
            </w:r>
            <w:proofErr w:type="spellEnd"/>
            <w:r w:rsidRPr="00AA02AA">
              <w:rPr>
                <w:rFonts w:cstheme="minorHAnsi"/>
                <w:sz w:val="20"/>
                <w:szCs w:val="20"/>
              </w:rPr>
              <w:t xml:space="preserve"> </w:t>
            </w:r>
            <w:proofErr w:type="spellStart"/>
            <w:r w:rsidRPr="00AA02AA">
              <w:rPr>
                <w:rFonts w:cstheme="minorHAnsi"/>
                <w:sz w:val="20"/>
                <w:szCs w:val="20"/>
              </w:rPr>
              <w:t>na</w:t>
            </w:r>
            <w:proofErr w:type="spellEnd"/>
            <w:r w:rsidRPr="00AA02AA">
              <w:rPr>
                <w:rFonts w:cstheme="minorHAnsi"/>
                <w:sz w:val="20"/>
                <w:szCs w:val="20"/>
              </w:rPr>
              <w:t xml:space="preserve"> </w:t>
            </w:r>
            <w:proofErr w:type="spellStart"/>
            <w:r w:rsidRPr="00AA02AA">
              <w:rPr>
                <w:rFonts w:cstheme="minorHAnsi"/>
                <w:sz w:val="20"/>
                <w:szCs w:val="20"/>
              </w:rPr>
              <w:t>nivou</w:t>
            </w:r>
            <w:proofErr w:type="spellEnd"/>
            <w:r w:rsidRPr="00AA02AA">
              <w:rPr>
                <w:rFonts w:cstheme="minorHAnsi"/>
                <w:sz w:val="20"/>
                <w:szCs w:val="20"/>
              </w:rPr>
              <w:t xml:space="preserve"> </w:t>
            </w:r>
            <w:proofErr w:type="spellStart"/>
            <w:r w:rsidRPr="00AA02AA">
              <w:rPr>
                <w:rFonts w:cstheme="minorHAnsi"/>
                <w:sz w:val="20"/>
                <w:szCs w:val="20"/>
              </w:rPr>
              <w:t>svih</w:t>
            </w:r>
            <w:proofErr w:type="spellEnd"/>
            <w:r w:rsidRPr="00AA02AA">
              <w:rPr>
                <w:rFonts w:cstheme="minorHAnsi"/>
                <w:sz w:val="20"/>
                <w:szCs w:val="20"/>
              </w:rPr>
              <w:t xml:space="preserve"> </w:t>
            </w:r>
            <w:proofErr w:type="spellStart"/>
            <w:r w:rsidRPr="00AA02AA">
              <w:rPr>
                <w:rFonts w:cstheme="minorHAnsi"/>
                <w:sz w:val="20"/>
                <w:szCs w:val="20"/>
              </w:rPr>
              <w:t>kantona</w:t>
            </w:r>
            <w:proofErr w:type="spellEnd"/>
            <w:r w:rsidRPr="00AA02AA">
              <w:rPr>
                <w:rFonts w:cstheme="minorHAnsi"/>
                <w:sz w:val="20"/>
                <w:szCs w:val="20"/>
              </w:rPr>
              <w:t xml:space="preserve">, </w:t>
            </w:r>
            <w:r w:rsidR="003C2431" w:rsidRPr="00AA02AA">
              <w:rPr>
                <w:rFonts w:cstheme="minorHAnsi"/>
                <w:i/>
                <w:iCs/>
                <w:sz w:val="20"/>
                <w:szCs w:val="20"/>
              </w:rPr>
              <w:t xml:space="preserve">*) Ministarstvo </w:t>
            </w:r>
            <w:proofErr w:type="spellStart"/>
            <w:r w:rsidR="003C2431" w:rsidRPr="00AA02AA">
              <w:rPr>
                <w:rFonts w:cstheme="minorHAnsi"/>
                <w:i/>
                <w:iCs/>
                <w:sz w:val="20"/>
                <w:szCs w:val="20"/>
              </w:rPr>
              <w:t>odbrane</w:t>
            </w:r>
            <w:proofErr w:type="spellEnd"/>
            <w:r w:rsidR="003C2431" w:rsidRPr="00AA02AA">
              <w:rPr>
                <w:rFonts w:cstheme="minorHAnsi"/>
                <w:i/>
                <w:iCs/>
                <w:sz w:val="20"/>
                <w:szCs w:val="20"/>
              </w:rPr>
              <w:t xml:space="preserve"> BiH, </w:t>
            </w:r>
            <w:proofErr w:type="spellStart"/>
            <w:r w:rsidRPr="00AA02AA">
              <w:rPr>
                <w:rFonts w:cstheme="minorHAnsi"/>
                <w:i/>
                <w:iCs/>
                <w:sz w:val="20"/>
                <w:szCs w:val="20"/>
              </w:rPr>
              <w:t>Komisija</w:t>
            </w:r>
            <w:proofErr w:type="spellEnd"/>
            <w:r w:rsidRPr="00AA02AA">
              <w:rPr>
                <w:rFonts w:cstheme="minorHAnsi"/>
                <w:i/>
                <w:iCs/>
                <w:sz w:val="20"/>
                <w:szCs w:val="20"/>
              </w:rPr>
              <w:t xml:space="preserve"> za zaštitu </w:t>
            </w:r>
            <w:proofErr w:type="spellStart"/>
            <w:r w:rsidRPr="00AA02AA">
              <w:rPr>
                <w:rFonts w:cstheme="minorHAnsi"/>
                <w:i/>
                <w:iCs/>
                <w:sz w:val="20"/>
                <w:szCs w:val="20"/>
              </w:rPr>
              <w:t>nacionalnih</w:t>
            </w:r>
            <w:proofErr w:type="spellEnd"/>
            <w:r w:rsidRPr="00AA02AA">
              <w:rPr>
                <w:rFonts w:cstheme="minorHAnsi"/>
                <w:i/>
                <w:iCs/>
                <w:sz w:val="20"/>
                <w:szCs w:val="20"/>
              </w:rPr>
              <w:t xml:space="preserve"> spomenika BiH i Ministarstvo </w:t>
            </w:r>
            <w:proofErr w:type="spellStart"/>
            <w:r w:rsidR="007B690C" w:rsidRPr="00AA02AA">
              <w:rPr>
                <w:rFonts w:cstheme="minorHAnsi"/>
                <w:i/>
                <w:iCs/>
                <w:sz w:val="20"/>
                <w:szCs w:val="20"/>
              </w:rPr>
              <w:t>financ</w:t>
            </w:r>
            <w:r w:rsidRPr="00AA02AA">
              <w:rPr>
                <w:rFonts w:cstheme="minorHAnsi"/>
                <w:i/>
                <w:iCs/>
                <w:sz w:val="20"/>
                <w:szCs w:val="20"/>
              </w:rPr>
              <w:t>ija</w:t>
            </w:r>
            <w:proofErr w:type="spellEnd"/>
            <w:r w:rsidRPr="00AA02AA">
              <w:rPr>
                <w:rFonts w:cstheme="minorHAnsi"/>
                <w:i/>
                <w:iCs/>
                <w:sz w:val="20"/>
                <w:szCs w:val="20"/>
              </w:rPr>
              <w:t xml:space="preserve"> BiH.</w:t>
            </w:r>
            <w:r w:rsidRPr="00AA02AA">
              <w:rPr>
                <w:rFonts w:cstheme="minorHAnsi"/>
                <w:sz w:val="20"/>
                <w:szCs w:val="20"/>
              </w:rPr>
              <w:t xml:space="preserve"> </w:t>
            </w:r>
          </w:p>
        </w:tc>
      </w:tr>
      <w:tr w:rsidR="00A00D87" w:rsidRPr="00AA02AA" w14:paraId="2624DAE6"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F374712" w14:textId="77777777" w:rsidR="00A00D87" w:rsidRPr="00AA02AA" w:rsidRDefault="00A00D87" w:rsidP="00122946">
            <w:pPr>
              <w:spacing w:line="259" w:lineRule="auto"/>
              <w:rPr>
                <w:rFonts w:cstheme="minorHAnsi"/>
                <w:sz w:val="20"/>
                <w:szCs w:val="20"/>
              </w:rPr>
            </w:pPr>
            <w:proofErr w:type="spellStart"/>
            <w:r w:rsidRPr="00AA02AA">
              <w:rPr>
                <w:rFonts w:cstheme="minorHAnsi"/>
                <w:b/>
                <w:sz w:val="20"/>
                <w:szCs w:val="20"/>
              </w:rPr>
              <w:t>Ciljne</w:t>
            </w:r>
            <w:proofErr w:type="spellEnd"/>
            <w:r w:rsidRPr="00AA02AA">
              <w:rPr>
                <w:rFonts w:cstheme="minorHAnsi"/>
                <w:b/>
                <w:sz w:val="20"/>
                <w:szCs w:val="20"/>
              </w:rPr>
              <w:t xml:space="preserve"> </w:t>
            </w:r>
            <w:proofErr w:type="spellStart"/>
            <w:r w:rsidRPr="00AA02AA">
              <w:rPr>
                <w:rFonts w:cstheme="minorHAnsi"/>
                <w:b/>
                <w:sz w:val="20"/>
                <w:szCs w:val="20"/>
              </w:rPr>
              <w:t>grupe</w:t>
            </w:r>
            <w:proofErr w:type="spellEnd"/>
            <w:r w:rsidRPr="00AA02AA">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46AE41F3" w14:textId="77777777" w:rsidR="00A00D87" w:rsidRPr="00AA02AA" w:rsidRDefault="00A00D87" w:rsidP="00E6560A">
            <w:pPr>
              <w:spacing w:line="259" w:lineRule="auto"/>
              <w:ind w:left="1"/>
              <w:jc w:val="both"/>
              <w:rPr>
                <w:rFonts w:cstheme="minorHAnsi"/>
                <w:sz w:val="20"/>
                <w:szCs w:val="20"/>
              </w:rPr>
            </w:pPr>
            <w:proofErr w:type="spellStart"/>
            <w:r w:rsidRPr="00AA02AA">
              <w:rPr>
                <w:rFonts w:cstheme="minorHAnsi"/>
                <w:sz w:val="20"/>
                <w:szCs w:val="20"/>
              </w:rPr>
              <w:t>Vlasnici</w:t>
            </w:r>
            <w:proofErr w:type="spellEnd"/>
            <w:r w:rsidRPr="00AA02AA">
              <w:rPr>
                <w:rFonts w:cstheme="minorHAnsi"/>
                <w:sz w:val="20"/>
                <w:szCs w:val="20"/>
              </w:rPr>
              <w:t>/</w:t>
            </w:r>
            <w:proofErr w:type="spellStart"/>
            <w:r w:rsidRPr="00AA02AA">
              <w:rPr>
                <w:rFonts w:cstheme="minorHAnsi"/>
                <w:sz w:val="20"/>
                <w:szCs w:val="20"/>
              </w:rPr>
              <w:t>korisnici</w:t>
            </w:r>
            <w:proofErr w:type="spellEnd"/>
            <w:r w:rsidRPr="00AA02AA">
              <w:rPr>
                <w:rFonts w:cstheme="minorHAnsi"/>
                <w:sz w:val="20"/>
                <w:szCs w:val="20"/>
              </w:rPr>
              <w:t xml:space="preserve"> </w:t>
            </w:r>
            <w:proofErr w:type="spellStart"/>
            <w:r w:rsidRPr="00AA02AA">
              <w:rPr>
                <w:rFonts w:cstheme="minorHAnsi"/>
                <w:sz w:val="20"/>
                <w:szCs w:val="20"/>
              </w:rPr>
              <w:t>stambenih</w:t>
            </w:r>
            <w:proofErr w:type="spellEnd"/>
            <w:r w:rsidRPr="00AA02AA">
              <w:rPr>
                <w:rFonts w:cstheme="minorHAnsi"/>
                <w:sz w:val="20"/>
                <w:szCs w:val="20"/>
              </w:rPr>
              <w:t xml:space="preserve">, </w:t>
            </w:r>
            <w:proofErr w:type="spellStart"/>
            <w:r w:rsidRPr="00AA02AA">
              <w:rPr>
                <w:rFonts w:cstheme="minorHAnsi"/>
                <w:sz w:val="20"/>
                <w:szCs w:val="20"/>
              </w:rPr>
              <w:t>javnih</w:t>
            </w:r>
            <w:proofErr w:type="spellEnd"/>
            <w:r w:rsidRPr="00AA02AA">
              <w:rPr>
                <w:rFonts w:cstheme="minorHAnsi"/>
                <w:sz w:val="20"/>
                <w:szCs w:val="20"/>
              </w:rPr>
              <w:t xml:space="preserve"> i </w:t>
            </w:r>
            <w:proofErr w:type="spellStart"/>
            <w:r w:rsidRPr="00AA02AA">
              <w:rPr>
                <w:rFonts w:cstheme="minorHAnsi"/>
                <w:sz w:val="20"/>
                <w:szCs w:val="20"/>
              </w:rPr>
              <w:t>komercijalnih</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u FBiH, </w:t>
            </w:r>
            <w:proofErr w:type="spellStart"/>
            <w:r w:rsidRPr="00AA02AA">
              <w:rPr>
                <w:rFonts w:cstheme="minorHAnsi"/>
                <w:sz w:val="20"/>
                <w:szCs w:val="20"/>
              </w:rPr>
              <w:t>te</w:t>
            </w:r>
            <w:proofErr w:type="spellEnd"/>
            <w:r w:rsidRPr="00AA02AA">
              <w:rPr>
                <w:rFonts w:cstheme="minorHAnsi"/>
                <w:sz w:val="20"/>
                <w:szCs w:val="20"/>
              </w:rPr>
              <w:t xml:space="preserve"> </w:t>
            </w:r>
            <w:proofErr w:type="spellStart"/>
            <w:r w:rsidRPr="00AA02AA">
              <w:rPr>
                <w:rFonts w:cstheme="minorHAnsi"/>
                <w:sz w:val="20"/>
                <w:szCs w:val="20"/>
              </w:rPr>
              <w:t>zgrada</w:t>
            </w:r>
            <w:proofErr w:type="spellEnd"/>
            <w:r w:rsidRPr="00AA02AA">
              <w:rPr>
                <w:rFonts w:cstheme="minorHAnsi"/>
                <w:sz w:val="20"/>
                <w:szCs w:val="20"/>
              </w:rPr>
              <w:t xml:space="preserve"> </w:t>
            </w:r>
            <w:proofErr w:type="spellStart"/>
            <w:r w:rsidRPr="00AA02AA">
              <w:rPr>
                <w:rFonts w:cstheme="minorHAnsi"/>
                <w:sz w:val="20"/>
                <w:szCs w:val="20"/>
              </w:rPr>
              <w:t>sa</w:t>
            </w:r>
            <w:proofErr w:type="spellEnd"/>
            <w:r w:rsidRPr="00AA02AA">
              <w:rPr>
                <w:rFonts w:cstheme="minorHAnsi"/>
                <w:sz w:val="20"/>
                <w:szCs w:val="20"/>
              </w:rPr>
              <w:t xml:space="preserve"> </w:t>
            </w:r>
            <w:proofErr w:type="spellStart"/>
            <w:r w:rsidRPr="00AA02AA">
              <w:rPr>
                <w:rFonts w:cstheme="minorHAnsi"/>
                <w:sz w:val="20"/>
                <w:szCs w:val="20"/>
              </w:rPr>
              <w:t>statusom</w:t>
            </w:r>
            <w:proofErr w:type="spellEnd"/>
            <w:r w:rsidRPr="00AA02AA">
              <w:rPr>
                <w:rFonts w:cstheme="minorHAnsi"/>
                <w:sz w:val="20"/>
                <w:szCs w:val="20"/>
              </w:rPr>
              <w:t xml:space="preserve"> </w:t>
            </w:r>
            <w:proofErr w:type="spellStart"/>
            <w:r w:rsidRPr="00AA02AA">
              <w:rPr>
                <w:rFonts w:cstheme="minorHAnsi"/>
                <w:sz w:val="20"/>
                <w:szCs w:val="20"/>
              </w:rPr>
              <w:t>nacionalnih</w:t>
            </w:r>
            <w:proofErr w:type="spellEnd"/>
            <w:r w:rsidRPr="00AA02AA">
              <w:rPr>
                <w:rFonts w:cstheme="minorHAnsi"/>
                <w:sz w:val="20"/>
                <w:szCs w:val="20"/>
              </w:rPr>
              <w:t xml:space="preserve"> spomenika i </w:t>
            </w:r>
            <w:proofErr w:type="spellStart"/>
            <w:r w:rsidRPr="00AA02AA">
              <w:rPr>
                <w:rFonts w:cstheme="minorHAnsi"/>
                <w:sz w:val="20"/>
                <w:szCs w:val="20"/>
              </w:rPr>
              <w:t>zaštićene</w:t>
            </w:r>
            <w:proofErr w:type="spellEnd"/>
            <w:r w:rsidRPr="00AA02AA">
              <w:rPr>
                <w:rFonts w:cstheme="minorHAnsi"/>
                <w:sz w:val="20"/>
                <w:szCs w:val="20"/>
              </w:rPr>
              <w:t xml:space="preserve"> </w:t>
            </w:r>
            <w:proofErr w:type="spellStart"/>
            <w:r w:rsidRPr="00AA02AA">
              <w:rPr>
                <w:rFonts w:cstheme="minorHAnsi"/>
                <w:sz w:val="20"/>
                <w:szCs w:val="20"/>
              </w:rPr>
              <w:t>kulturne</w:t>
            </w:r>
            <w:proofErr w:type="spellEnd"/>
            <w:r w:rsidRPr="00AA02AA">
              <w:rPr>
                <w:rFonts w:cstheme="minorHAnsi"/>
                <w:sz w:val="20"/>
                <w:szCs w:val="20"/>
              </w:rPr>
              <w:t xml:space="preserve"> </w:t>
            </w:r>
            <w:proofErr w:type="spellStart"/>
            <w:r w:rsidRPr="00AA02AA">
              <w:rPr>
                <w:rFonts w:cstheme="minorHAnsi"/>
                <w:sz w:val="20"/>
                <w:szCs w:val="20"/>
              </w:rPr>
              <w:t>baštine</w:t>
            </w:r>
            <w:proofErr w:type="spellEnd"/>
            <w:r w:rsidRPr="00AA02AA">
              <w:rPr>
                <w:rFonts w:cstheme="minorHAnsi"/>
                <w:sz w:val="20"/>
                <w:szCs w:val="20"/>
              </w:rPr>
              <w:t xml:space="preserve">, </w:t>
            </w:r>
            <w:proofErr w:type="spellStart"/>
            <w:r w:rsidRPr="00AA02AA">
              <w:rPr>
                <w:rFonts w:cstheme="minorHAnsi"/>
                <w:sz w:val="20"/>
                <w:szCs w:val="20"/>
              </w:rPr>
              <w:t>kao</w:t>
            </w:r>
            <w:proofErr w:type="spellEnd"/>
            <w:r w:rsidRPr="00AA02AA">
              <w:rPr>
                <w:rFonts w:cstheme="minorHAnsi"/>
                <w:sz w:val="20"/>
                <w:szCs w:val="20"/>
              </w:rPr>
              <w:t xml:space="preserve"> i </w:t>
            </w:r>
            <w:proofErr w:type="spellStart"/>
            <w:r w:rsidRPr="00AA02AA">
              <w:rPr>
                <w:rFonts w:cstheme="minorHAnsi"/>
                <w:sz w:val="20"/>
                <w:szCs w:val="20"/>
              </w:rPr>
              <w:t>uposlenici</w:t>
            </w:r>
            <w:proofErr w:type="spellEnd"/>
            <w:r w:rsidRPr="00AA02AA">
              <w:rPr>
                <w:rFonts w:cstheme="minorHAnsi"/>
                <w:sz w:val="20"/>
                <w:szCs w:val="20"/>
              </w:rPr>
              <w:t xml:space="preserve"> </w:t>
            </w:r>
            <w:proofErr w:type="spellStart"/>
            <w:r w:rsidRPr="00AA02AA">
              <w:rPr>
                <w:rFonts w:cstheme="minorHAnsi"/>
                <w:sz w:val="20"/>
                <w:szCs w:val="20"/>
              </w:rPr>
              <w:t>OSBiH</w:t>
            </w:r>
            <w:proofErr w:type="spellEnd"/>
          </w:p>
        </w:tc>
      </w:tr>
    </w:tbl>
    <w:p w14:paraId="46C11082" w14:textId="2B300024" w:rsidR="00A00D87" w:rsidRDefault="003C2431" w:rsidP="00A00D87">
      <w:pPr>
        <w:rPr>
          <w:i/>
          <w:iCs/>
          <w:lang w:val="bs-Latn-BA"/>
        </w:rPr>
      </w:pPr>
      <w:bookmarkStart w:id="267" w:name="_Hlk126055775"/>
      <w:bookmarkEnd w:id="264"/>
      <w:r>
        <w:rPr>
          <w:i/>
          <w:iCs/>
          <w:lang w:val="bs-Latn-BA"/>
        </w:rPr>
        <w:t xml:space="preserve">*) </w:t>
      </w:r>
      <w:r w:rsidR="00273809">
        <w:rPr>
          <w:i/>
          <w:iCs/>
          <w:lang w:val="bs-Latn-BA"/>
        </w:rPr>
        <w:t>Izrada</w:t>
      </w:r>
      <w:r w:rsidR="00273809" w:rsidRPr="00CC64F5">
        <w:rPr>
          <w:i/>
          <w:iCs/>
          <w:lang w:val="bs-Latn-BA"/>
        </w:rPr>
        <w:t xml:space="preserve"> </w:t>
      </w:r>
      <w:r w:rsidR="00A00D87" w:rsidRPr="00CC64F5">
        <w:rPr>
          <w:i/>
          <w:iCs/>
          <w:lang w:val="bs-Latn-BA"/>
        </w:rPr>
        <w:t>i provedba programa energijske obnove zgrada koje koristi Ministarstvo odbrane BiH, navedeno je kao prijedlog imajući u vidu da se dio zgrada OSBiH nalazi na teritoriji FBiH. U svakom slučaju, fond zgrada OSBiH u nadležnosti je države te će energijska obnova ovih zgrada biti provedena od strane  Ministarstva odbrane BiH.</w:t>
      </w:r>
    </w:p>
    <w:tbl>
      <w:tblPr>
        <w:tblStyle w:val="TableGrid0"/>
        <w:tblW w:w="9016" w:type="dxa"/>
        <w:tblInd w:w="198" w:type="dxa"/>
        <w:tblCellMar>
          <w:top w:w="5" w:type="dxa"/>
          <w:left w:w="107" w:type="dxa"/>
          <w:right w:w="69" w:type="dxa"/>
        </w:tblCellMar>
        <w:tblLook w:val="04A0" w:firstRow="1" w:lastRow="0" w:firstColumn="1" w:lastColumn="0" w:noHBand="0" w:noVBand="1"/>
      </w:tblPr>
      <w:tblGrid>
        <w:gridCol w:w="1767"/>
        <w:gridCol w:w="3710"/>
        <w:gridCol w:w="2068"/>
        <w:gridCol w:w="1471"/>
      </w:tblGrid>
      <w:tr w:rsidR="00A00D87" w:rsidRPr="0056270B" w14:paraId="709E64DB" w14:textId="77777777" w:rsidTr="00122946">
        <w:trPr>
          <w:trHeight w:val="42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bookmarkEnd w:id="267"/>
          <w:p w14:paraId="469B8853"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lastRenderedPageBreak/>
              <w:t>Veza</w:t>
            </w:r>
            <w:proofErr w:type="spellEnd"/>
            <w:r w:rsidRPr="0056270B">
              <w:rPr>
                <w:rFonts w:cstheme="minorHAnsi"/>
                <w:b/>
                <w:sz w:val="20"/>
                <w:szCs w:val="20"/>
              </w:rPr>
              <w:t xml:space="preserve"> </w:t>
            </w:r>
            <w:proofErr w:type="spellStart"/>
            <w:r w:rsidRPr="0056270B">
              <w:rPr>
                <w:rFonts w:cstheme="minorHAnsi"/>
                <w:b/>
                <w:sz w:val="20"/>
                <w:szCs w:val="20"/>
              </w:rPr>
              <w:t>sa</w:t>
            </w:r>
            <w:proofErr w:type="spellEnd"/>
            <w:r w:rsidRPr="0056270B">
              <w:rPr>
                <w:rFonts w:cstheme="minorHAnsi"/>
                <w:b/>
                <w:sz w:val="20"/>
                <w:szCs w:val="20"/>
              </w:rPr>
              <w:t xml:space="preserve"> </w:t>
            </w:r>
            <w:proofErr w:type="spellStart"/>
            <w:r w:rsidRPr="0056270B">
              <w:rPr>
                <w:rFonts w:cstheme="minorHAnsi"/>
                <w:b/>
                <w:sz w:val="20"/>
                <w:szCs w:val="20"/>
              </w:rPr>
              <w:t>strateškim</w:t>
            </w:r>
            <w:proofErr w:type="spellEnd"/>
            <w:r w:rsidRPr="0056270B">
              <w:rPr>
                <w:rFonts w:cstheme="minorHAnsi"/>
                <w:b/>
                <w:sz w:val="20"/>
                <w:szCs w:val="20"/>
              </w:rPr>
              <w:t xml:space="preserve"> </w:t>
            </w:r>
            <w:proofErr w:type="spellStart"/>
            <w:r w:rsidRPr="0056270B">
              <w:rPr>
                <w:rFonts w:cstheme="minorHAnsi"/>
                <w:b/>
                <w:sz w:val="20"/>
                <w:szCs w:val="20"/>
              </w:rPr>
              <w:t>ciljem</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57C9B7D6" w14:textId="77777777" w:rsidR="00A00D87" w:rsidRPr="0056270B" w:rsidRDefault="00A00D87" w:rsidP="00122946">
            <w:pPr>
              <w:spacing w:line="259" w:lineRule="auto"/>
              <w:ind w:left="1"/>
              <w:rPr>
                <w:rFonts w:cstheme="minorHAnsi"/>
                <w:sz w:val="20"/>
                <w:szCs w:val="20"/>
              </w:rPr>
            </w:pPr>
            <w:r w:rsidRPr="0056270B">
              <w:rPr>
                <w:rFonts w:cstheme="minorHAnsi"/>
                <w:b/>
                <w:sz w:val="20"/>
                <w:szCs w:val="20"/>
              </w:rPr>
              <w:t xml:space="preserve">1. </w:t>
            </w:r>
            <w:proofErr w:type="spellStart"/>
            <w:r w:rsidRPr="0056270B">
              <w:rPr>
                <w:rFonts w:cstheme="minorHAnsi"/>
                <w:b/>
                <w:sz w:val="20"/>
                <w:szCs w:val="20"/>
              </w:rPr>
              <w:t>Postojeći</w:t>
            </w:r>
            <w:proofErr w:type="spellEnd"/>
            <w:r w:rsidRPr="0056270B">
              <w:rPr>
                <w:rFonts w:cstheme="minorHAnsi"/>
                <w:b/>
                <w:sz w:val="20"/>
                <w:szCs w:val="20"/>
              </w:rPr>
              <w:t xml:space="preserve"> fond </w:t>
            </w:r>
            <w:proofErr w:type="spellStart"/>
            <w:r w:rsidRPr="0056270B">
              <w:rPr>
                <w:rFonts w:cstheme="minorHAnsi"/>
                <w:b/>
                <w:sz w:val="20"/>
                <w:szCs w:val="20"/>
              </w:rPr>
              <w:t>zgrada</w:t>
            </w:r>
            <w:proofErr w:type="spellEnd"/>
            <w:r w:rsidRPr="0056270B">
              <w:rPr>
                <w:rFonts w:cstheme="minorHAnsi"/>
                <w:b/>
                <w:sz w:val="20"/>
                <w:szCs w:val="20"/>
              </w:rPr>
              <w:t xml:space="preserve"> u FBiH je </w:t>
            </w:r>
            <w:proofErr w:type="spellStart"/>
            <w:r w:rsidRPr="0056270B">
              <w:rPr>
                <w:rFonts w:cstheme="minorHAnsi"/>
                <w:b/>
                <w:sz w:val="20"/>
                <w:szCs w:val="20"/>
              </w:rPr>
              <w:t>transformiran</w:t>
            </w:r>
            <w:proofErr w:type="spellEnd"/>
            <w:r w:rsidRPr="0056270B">
              <w:rPr>
                <w:rFonts w:cstheme="minorHAnsi"/>
                <w:b/>
                <w:sz w:val="20"/>
                <w:szCs w:val="20"/>
              </w:rPr>
              <w:t xml:space="preserve"> u </w:t>
            </w:r>
            <w:proofErr w:type="spellStart"/>
            <w:r w:rsidRPr="0056270B">
              <w:rPr>
                <w:rFonts w:cstheme="minorHAnsi"/>
                <w:b/>
                <w:sz w:val="20"/>
                <w:szCs w:val="20"/>
              </w:rPr>
              <w:t>energijski</w:t>
            </w:r>
            <w:proofErr w:type="spellEnd"/>
            <w:r w:rsidRPr="0056270B">
              <w:rPr>
                <w:rFonts w:cstheme="minorHAnsi"/>
                <w:b/>
                <w:sz w:val="20"/>
                <w:szCs w:val="20"/>
              </w:rPr>
              <w:t xml:space="preserve"> </w:t>
            </w:r>
            <w:proofErr w:type="spellStart"/>
            <w:r w:rsidRPr="0056270B">
              <w:rPr>
                <w:rFonts w:cstheme="minorHAnsi"/>
                <w:b/>
                <w:sz w:val="20"/>
                <w:szCs w:val="20"/>
              </w:rPr>
              <w:t>visokoefikasan</w:t>
            </w:r>
            <w:proofErr w:type="spellEnd"/>
            <w:r w:rsidRPr="0056270B">
              <w:rPr>
                <w:rFonts w:cstheme="minorHAnsi"/>
                <w:b/>
                <w:sz w:val="20"/>
                <w:szCs w:val="20"/>
              </w:rPr>
              <w:t xml:space="preserve"> i </w:t>
            </w:r>
            <w:proofErr w:type="spellStart"/>
            <w:r w:rsidRPr="0056270B">
              <w:rPr>
                <w:rFonts w:cstheme="minorHAnsi"/>
                <w:b/>
                <w:sz w:val="20"/>
                <w:szCs w:val="20"/>
              </w:rPr>
              <w:t>dekarboniziran</w:t>
            </w:r>
            <w:proofErr w:type="spellEnd"/>
            <w:r w:rsidRPr="0056270B">
              <w:rPr>
                <w:rFonts w:cstheme="minorHAnsi"/>
                <w:b/>
                <w:sz w:val="20"/>
                <w:szCs w:val="20"/>
              </w:rPr>
              <w:t xml:space="preserve"> fond </w:t>
            </w:r>
            <w:proofErr w:type="spellStart"/>
            <w:r w:rsidRPr="0056270B">
              <w:rPr>
                <w:rFonts w:cstheme="minorHAnsi"/>
                <w:b/>
                <w:sz w:val="20"/>
                <w:szCs w:val="20"/>
              </w:rPr>
              <w:t>zgrada</w:t>
            </w:r>
            <w:proofErr w:type="spellEnd"/>
            <w:r w:rsidRPr="0056270B">
              <w:rPr>
                <w:rFonts w:cstheme="minorHAnsi"/>
                <w:b/>
                <w:sz w:val="20"/>
                <w:szCs w:val="20"/>
              </w:rPr>
              <w:t xml:space="preserve"> do 2050. </w:t>
            </w:r>
            <w:proofErr w:type="spellStart"/>
            <w:r w:rsidRPr="0056270B">
              <w:rPr>
                <w:rFonts w:cstheme="minorHAnsi"/>
                <w:b/>
                <w:sz w:val="20"/>
                <w:szCs w:val="20"/>
              </w:rPr>
              <w:t>godine</w:t>
            </w:r>
            <w:proofErr w:type="spellEnd"/>
          </w:p>
        </w:tc>
      </w:tr>
      <w:tr w:rsidR="00A00D87" w:rsidRPr="001972F5" w14:paraId="06604FB9" w14:textId="77777777" w:rsidTr="00122946">
        <w:trPr>
          <w:trHeight w:val="21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9016C7"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Prioritet</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3DC69574" w14:textId="77777777" w:rsidR="00A00D87" w:rsidRPr="0056270B" w:rsidRDefault="00A00D87" w:rsidP="00581C1C">
            <w:pPr>
              <w:pStyle w:val="ListParagraph"/>
              <w:numPr>
                <w:ilvl w:val="1"/>
                <w:numId w:val="93"/>
              </w:numPr>
              <w:jc w:val="both"/>
              <w:rPr>
                <w:rFonts w:cstheme="minorHAnsi"/>
                <w:sz w:val="20"/>
                <w:szCs w:val="20"/>
              </w:rPr>
            </w:pPr>
            <w:r w:rsidRPr="0056270B">
              <w:rPr>
                <w:rFonts w:cstheme="minorHAnsi"/>
                <w:b/>
                <w:sz w:val="20"/>
                <w:szCs w:val="20"/>
              </w:rPr>
              <w:t>Transformirati postojeći fond zgrada FBiH u energijski visokoefikasan</w:t>
            </w:r>
          </w:p>
        </w:tc>
      </w:tr>
      <w:tr w:rsidR="00A00D87" w:rsidRPr="0056270B" w14:paraId="5DD0B09D" w14:textId="77777777" w:rsidTr="00122946">
        <w:trPr>
          <w:trHeight w:val="425"/>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7DF11BF"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Naziv</w:t>
            </w:r>
            <w:proofErr w:type="spellEnd"/>
            <w:r w:rsidRPr="0056270B">
              <w:rPr>
                <w:rFonts w:cstheme="minorHAnsi"/>
                <w:b/>
                <w:sz w:val="20"/>
                <w:szCs w:val="20"/>
              </w:rPr>
              <w:t xml:space="preserve"> </w:t>
            </w:r>
            <w:proofErr w:type="spellStart"/>
            <w:r w:rsidRPr="0056270B">
              <w:rPr>
                <w:rFonts w:cstheme="minorHAnsi"/>
                <w:b/>
                <w:sz w:val="20"/>
                <w:szCs w:val="20"/>
              </w:rPr>
              <w:t>mjere</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03B8A64E" w14:textId="77777777" w:rsidR="00A00D87" w:rsidRPr="0056270B" w:rsidRDefault="00A00D87" w:rsidP="00122946">
            <w:pPr>
              <w:spacing w:line="259" w:lineRule="auto"/>
              <w:ind w:left="635" w:hanging="574"/>
              <w:rPr>
                <w:rFonts w:cstheme="minorHAnsi"/>
                <w:sz w:val="20"/>
                <w:szCs w:val="20"/>
              </w:rPr>
            </w:pPr>
            <w:r w:rsidRPr="0056270B">
              <w:rPr>
                <w:rFonts w:cstheme="minorHAnsi"/>
                <w:b/>
                <w:sz w:val="20"/>
                <w:szCs w:val="20"/>
              </w:rPr>
              <w:t xml:space="preserve">1.1.5. </w:t>
            </w:r>
            <w:proofErr w:type="spellStart"/>
            <w:r w:rsidRPr="0056270B">
              <w:rPr>
                <w:rFonts w:cstheme="minorHAnsi"/>
                <w:b/>
                <w:sz w:val="20"/>
                <w:szCs w:val="20"/>
              </w:rPr>
              <w:t>Promoviranje</w:t>
            </w:r>
            <w:proofErr w:type="spellEnd"/>
            <w:r w:rsidRPr="0056270B">
              <w:rPr>
                <w:rFonts w:cstheme="minorHAnsi"/>
                <w:b/>
                <w:sz w:val="20"/>
                <w:szCs w:val="20"/>
              </w:rPr>
              <w:t xml:space="preserve"> </w:t>
            </w:r>
            <w:proofErr w:type="spellStart"/>
            <w:r w:rsidRPr="0056270B">
              <w:rPr>
                <w:rFonts w:cstheme="minorHAnsi"/>
                <w:b/>
                <w:sz w:val="20"/>
                <w:szCs w:val="20"/>
              </w:rPr>
              <w:t>izgradnje</w:t>
            </w:r>
            <w:proofErr w:type="spellEnd"/>
            <w:r w:rsidRPr="0056270B">
              <w:rPr>
                <w:rFonts w:cstheme="minorHAnsi"/>
                <w:b/>
                <w:sz w:val="20"/>
                <w:szCs w:val="20"/>
              </w:rPr>
              <w:t xml:space="preserve"> </w:t>
            </w:r>
            <w:proofErr w:type="spellStart"/>
            <w:r w:rsidRPr="0056270B">
              <w:rPr>
                <w:rFonts w:cstheme="minorHAnsi"/>
                <w:b/>
                <w:sz w:val="20"/>
                <w:szCs w:val="20"/>
              </w:rPr>
              <w:t>novih</w:t>
            </w:r>
            <w:proofErr w:type="spellEnd"/>
            <w:r w:rsidRPr="0056270B">
              <w:rPr>
                <w:rFonts w:cstheme="minorHAnsi"/>
                <w:b/>
                <w:sz w:val="20"/>
                <w:szCs w:val="20"/>
              </w:rPr>
              <w:t xml:space="preserve"> </w:t>
            </w:r>
            <w:proofErr w:type="spellStart"/>
            <w:r w:rsidRPr="0056270B">
              <w:rPr>
                <w:rFonts w:cstheme="minorHAnsi"/>
                <w:b/>
                <w:sz w:val="20"/>
                <w:szCs w:val="20"/>
              </w:rPr>
              <w:t>stambenih</w:t>
            </w:r>
            <w:proofErr w:type="spellEnd"/>
            <w:r w:rsidRPr="0056270B">
              <w:rPr>
                <w:rFonts w:cstheme="minorHAnsi"/>
                <w:b/>
                <w:sz w:val="20"/>
                <w:szCs w:val="20"/>
              </w:rPr>
              <w:t xml:space="preserve"> i </w:t>
            </w:r>
            <w:proofErr w:type="spellStart"/>
            <w:r w:rsidRPr="0056270B">
              <w:rPr>
                <w:rFonts w:cstheme="minorHAnsi"/>
                <w:b/>
                <w:sz w:val="20"/>
                <w:szCs w:val="20"/>
              </w:rPr>
              <w:t>nestambenih</w:t>
            </w:r>
            <w:proofErr w:type="spellEnd"/>
            <w:r w:rsidRPr="0056270B">
              <w:rPr>
                <w:rFonts w:cstheme="minorHAnsi"/>
                <w:b/>
                <w:sz w:val="20"/>
                <w:szCs w:val="20"/>
              </w:rPr>
              <w:t xml:space="preserve"> </w:t>
            </w:r>
            <w:proofErr w:type="spellStart"/>
            <w:r w:rsidRPr="0056270B">
              <w:rPr>
                <w:rFonts w:cstheme="minorHAnsi"/>
                <w:b/>
                <w:sz w:val="20"/>
                <w:szCs w:val="20"/>
              </w:rPr>
              <w:t>zgrada</w:t>
            </w:r>
            <w:proofErr w:type="spellEnd"/>
            <w:r w:rsidRPr="0056270B">
              <w:rPr>
                <w:rFonts w:cstheme="minorHAnsi"/>
                <w:b/>
                <w:sz w:val="20"/>
                <w:szCs w:val="20"/>
              </w:rPr>
              <w:t xml:space="preserve"> </w:t>
            </w:r>
            <w:proofErr w:type="spellStart"/>
            <w:r w:rsidRPr="0056270B">
              <w:rPr>
                <w:rFonts w:cstheme="minorHAnsi"/>
                <w:b/>
                <w:sz w:val="20"/>
                <w:szCs w:val="20"/>
              </w:rPr>
              <w:t>prema</w:t>
            </w:r>
            <w:proofErr w:type="spellEnd"/>
            <w:r w:rsidRPr="0056270B">
              <w:rPr>
                <w:rFonts w:cstheme="minorHAnsi"/>
                <w:b/>
                <w:sz w:val="20"/>
                <w:szCs w:val="20"/>
              </w:rPr>
              <w:t xml:space="preserve"> </w:t>
            </w:r>
            <w:proofErr w:type="spellStart"/>
            <w:r w:rsidRPr="0056270B">
              <w:rPr>
                <w:rFonts w:cstheme="minorHAnsi"/>
                <w:b/>
                <w:sz w:val="20"/>
                <w:szCs w:val="20"/>
              </w:rPr>
              <w:t>standardima</w:t>
            </w:r>
            <w:proofErr w:type="spellEnd"/>
            <w:r w:rsidRPr="0056270B">
              <w:rPr>
                <w:rFonts w:cstheme="minorHAnsi"/>
                <w:b/>
                <w:sz w:val="20"/>
                <w:szCs w:val="20"/>
              </w:rPr>
              <w:t xml:space="preserve"> </w:t>
            </w:r>
            <w:proofErr w:type="spellStart"/>
            <w:r w:rsidRPr="0056270B">
              <w:rPr>
                <w:rFonts w:cstheme="minorHAnsi"/>
                <w:b/>
                <w:sz w:val="20"/>
                <w:szCs w:val="20"/>
              </w:rPr>
              <w:t>propisanim</w:t>
            </w:r>
            <w:proofErr w:type="spellEnd"/>
            <w:r w:rsidRPr="0056270B">
              <w:rPr>
                <w:rFonts w:cstheme="minorHAnsi"/>
                <w:b/>
                <w:sz w:val="20"/>
                <w:szCs w:val="20"/>
              </w:rPr>
              <w:t xml:space="preserve"> za </w:t>
            </w:r>
            <w:proofErr w:type="spellStart"/>
            <w:r w:rsidRPr="0056270B">
              <w:rPr>
                <w:rFonts w:cstheme="minorHAnsi"/>
                <w:b/>
                <w:sz w:val="20"/>
                <w:szCs w:val="20"/>
              </w:rPr>
              <w:t>nZEB</w:t>
            </w:r>
            <w:proofErr w:type="spellEnd"/>
          </w:p>
        </w:tc>
      </w:tr>
      <w:tr w:rsidR="00A00D87" w:rsidRPr="001972F5" w14:paraId="04089D49"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144C4E" w14:textId="77777777" w:rsidR="00A00D87" w:rsidRPr="0056270B" w:rsidRDefault="00A00D87" w:rsidP="00122946">
            <w:pPr>
              <w:spacing w:line="259" w:lineRule="auto"/>
              <w:rPr>
                <w:rFonts w:cstheme="minorHAnsi"/>
                <w:sz w:val="20"/>
                <w:szCs w:val="20"/>
              </w:rPr>
            </w:pPr>
            <w:bookmarkStart w:id="268" w:name="_Hlk126068389"/>
            <w:proofErr w:type="spellStart"/>
            <w:r w:rsidRPr="0056270B">
              <w:rPr>
                <w:rFonts w:cstheme="minorHAnsi"/>
                <w:b/>
                <w:sz w:val="20"/>
                <w:szCs w:val="20"/>
              </w:rPr>
              <w:t>Opis</w:t>
            </w:r>
            <w:proofErr w:type="spellEnd"/>
            <w:r w:rsidRPr="0056270B">
              <w:rPr>
                <w:rFonts w:cstheme="minorHAnsi"/>
                <w:b/>
                <w:sz w:val="20"/>
                <w:szCs w:val="20"/>
              </w:rPr>
              <w:t xml:space="preserve"> </w:t>
            </w:r>
            <w:proofErr w:type="spellStart"/>
            <w:r w:rsidRPr="0056270B">
              <w:rPr>
                <w:rFonts w:cstheme="minorHAnsi"/>
                <w:b/>
                <w:sz w:val="20"/>
                <w:szCs w:val="20"/>
              </w:rPr>
              <w:t>mjere</w:t>
            </w:r>
            <w:proofErr w:type="spellEnd"/>
            <w:r w:rsidRPr="0056270B">
              <w:rPr>
                <w:rFonts w:cstheme="minorHAnsi"/>
                <w:b/>
                <w:sz w:val="20"/>
                <w:szCs w:val="20"/>
              </w:rPr>
              <w:t xml:space="preserve"> </w:t>
            </w:r>
            <w:proofErr w:type="spellStart"/>
            <w:r w:rsidRPr="0056270B">
              <w:rPr>
                <w:rFonts w:cstheme="minorHAnsi"/>
                <w:b/>
                <w:sz w:val="20"/>
                <w:szCs w:val="20"/>
              </w:rPr>
              <w:t>sa</w:t>
            </w:r>
            <w:proofErr w:type="spellEnd"/>
            <w:r w:rsidRPr="0056270B">
              <w:rPr>
                <w:rFonts w:cstheme="minorHAnsi"/>
                <w:b/>
                <w:sz w:val="20"/>
                <w:szCs w:val="20"/>
              </w:rPr>
              <w:t xml:space="preserve"> </w:t>
            </w:r>
            <w:proofErr w:type="spellStart"/>
            <w:r w:rsidRPr="0056270B">
              <w:rPr>
                <w:rFonts w:cstheme="minorHAnsi"/>
                <w:b/>
                <w:sz w:val="20"/>
                <w:szCs w:val="20"/>
              </w:rPr>
              <w:t>okvirnim</w:t>
            </w:r>
            <w:proofErr w:type="spellEnd"/>
            <w:r w:rsidRPr="0056270B">
              <w:rPr>
                <w:rFonts w:cstheme="minorHAnsi"/>
                <w:b/>
                <w:sz w:val="20"/>
                <w:szCs w:val="20"/>
              </w:rPr>
              <w:t xml:space="preserve"> </w:t>
            </w:r>
            <w:proofErr w:type="spellStart"/>
            <w:r w:rsidRPr="0056270B">
              <w:rPr>
                <w:rFonts w:cstheme="minorHAnsi"/>
                <w:b/>
                <w:sz w:val="20"/>
                <w:szCs w:val="20"/>
              </w:rPr>
              <w:t>područjima</w:t>
            </w:r>
            <w:proofErr w:type="spellEnd"/>
            <w:r w:rsidRPr="0056270B">
              <w:rPr>
                <w:rFonts w:cstheme="minorHAnsi"/>
                <w:b/>
                <w:sz w:val="20"/>
                <w:szCs w:val="20"/>
              </w:rPr>
              <w:t xml:space="preserve"> </w:t>
            </w:r>
            <w:proofErr w:type="spellStart"/>
            <w:r w:rsidRPr="0056270B">
              <w:rPr>
                <w:rFonts w:cstheme="minorHAnsi"/>
                <w:b/>
                <w:sz w:val="20"/>
                <w:szCs w:val="20"/>
              </w:rPr>
              <w:t>djelovanja</w:t>
            </w:r>
            <w:proofErr w:type="spellEnd"/>
          </w:p>
        </w:tc>
        <w:tc>
          <w:tcPr>
            <w:tcW w:w="7249" w:type="dxa"/>
            <w:gridSpan w:val="3"/>
            <w:tcBorders>
              <w:top w:val="single" w:sz="4" w:space="0" w:color="000000"/>
              <w:left w:val="single" w:sz="4" w:space="0" w:color="000000"/>
              <w:bottom w:val="single" w:sz="4" w:space="0" w:color="000000"/>
              <w:right w:val="single" w:sz="4" w:space="0" w:color="000000"/>
            </w:tcBorders>
          </w:tcPr>
          <w:p w14:paraId="67C01AEF" w14:textId="77777777" w:rsidR="00A00D87" w:rsidRPr="0056270B" w:rsidRDefault="00A00D87" w:rsidP="00122946">
            <w:pPr>
              <w:ind w:left="1" w:right="32"/>
              <w:rPr>
                <w:rFonts w:cstheme="minorHAnsi"/>
                <w:sz w:val="20"/>
                <w:szCs w:val="20"/>
              </w:rPr>
            </w:pPr>
            <w:proofErr w:type="spellStart"/>
            <w:r w:rsidRPr="0056270B">
              <w:rPr>
                <w:rFonts w:cstheme="minorHAnsi"/>
                <w:sz w:val="20"/>
                <w:szCs w:val="20"/>
              </w:rPr>
              <w:t>Cilj</w:t>
            </w:r>
            <w:proofErr w:type="spellEnd"/>
            <w:r w:rsidRPr="0056270B">
              <w:rPr>
                <w:rFonts w:cstheme="minorHAnsi"/>
                <w:sz w:val="20"/>
                <w:szCs w:val="20"/>
              </w:rPr>
              <w:t xml:space="preserve"> </w:t>
            </w:r>
            <w:proofErr w:type="spellStart"/>
            <w:r w:rsidRPr="0056270B">
              <w:rPr>
                <w:rFonts w:cstheme="minorHAnsi"/>
                <w:sz w:val="20"/>
                <w:szCs w:val="20"/>
              </w:rPr>
              <w:t>mjere</w:t>
            </w:r>
            <w:proofErr w:type="spellEnd"/>
            <w:r w:rsidRPr="0056270B">
              <w:rPr>
                <w:rFonts w:cstheme="minorHAnsi"/>
                <w:sz w:val="20"/>
                <w:szCs w:val="20"/>
              </w:rPr>
              <w:t xml:space="preserve"> je </w:t>
            </w:r>
            <w:proofErr w:type="spellStart"/>
            <w:r w:rsidRPr="0056270B">
              <w:rPr>
                <w:rFonts w:cstheme="minorHAnsi"/>
                <w:sz w:val="20"/>
                <w:szCs w:val="20"/>
              </w:rPr>
              <w:t>usvajanjem</w:t>
            </w:r>
            <w:proofErr w:type="spellEnd"/>
            <w:r w:rsidRPr="0056270B">
              <w:rPr>
                <w:rFonts w:cstheme="minorHAnsi"/>
                <w:sz w:val="20"/>
                <w:szCs w:val="20"/>
              </w:rPr>
              <w:t xml:space="preserve"> </w:t>
            </w:r>
            <w:proofErr w:type="spellStart"/>
            <w:r w:rsidRPr="0056270B">
              <w:rPr>
                <w:rFonts w:cstheme="minorHAnsi"/>
                <w:sz w:val="20"/>
                <w:szCs w:val="20"/>
              </w:rPr>
              <w:t>potrebne</w:t>
            </w:r>
            <w:proofErr w:type="spellEnd"/>
            <w:r w:rsidRPr="0056270B">
              <w:rPr>
                <w:rFonts w:cstheme="minorHAnsi"/>
                <w:sz w:val="20"/>
                <w:szCs w:val="20"/>
              </w:rPr>
              <w:t xml:space="preserve"> legislative </w:t>
            </w:r>
            <w:proofErr w:type="spellStart"/>
            <w:r w:rsidRPr="0056270B">
              <w:rPr>
                <w:rFonts w:cstheme="minorHAnsi"/>
                <w:sz w:val="20"/>
                <w:szCs w:val="20"/>
              </w:rPr>
              <w:t>podstaći</w:t>
            </w:r>
            <w:proofErr w:type="spellEnd"/>
            <w:r w:rsidRPr="0056270B">
              <w:rPr>
                <w:rFonts w:cstheme="minorHAnsi"/>
                <w:sz w:val="20"/>
                <w:szCs w:val="20"/>
              </w:rPr>
              <w:t xml:space="preserve"> </w:t>
            </w:r>
            <w:proofErr w:type="spellStart"/>
            <w:r w:rsidRPr="0056270B">
              <w:rPr>
                <w:rFonts w:cstheme="minorHAnsi"/>
                <w:sz w:val="20"/>
                <w:szCs w:val="20"/>
              </w:rPr>
              <w:t>izgradnju</w:t>
            </w:r>
            <w:proofErr w:type="spellEnd"/>
            <w:r w:rsidRPr="0056270B">
              <w:rPr>
                <w:rFonts w:cstheme="minorHAnsi"/>
                <w:sz w:val="20"/>
                <w:szCs w:val="20"/>
              </w:rPr>
              <w:t xml:space="preserve"> </w:t>
            </w:r>
            <w:proofErr w:type="spellStart"/>
            <w:r w:rsidRPr="0056270B">
              <w:rPr>
                <w:rFonts w:cstheme="minorHAnsi"/>
                <w:sz w:val="20"/>
                <w:szCs w:val="20"/>
              </w:rPr>
              <w:t>zgrada</w:t>
            </w:r>
            <w:proofErr w:type="spellEnd"/>
            <w:r w:rsidRPr="0056270B">
              <w:rPr>
                <w:rFonts w:cstheme="minorHAnsi"/>
                <w:sz w:val="20"/>
                <w:szCs w:val="20"/>
              </w:rPr>
              <w:t xml:space="preserve"> </w:t>
            </w:r>
            <w:proofErr w:type="spellStart"/>
            <w:r w:rsidRPr="0056270B">
              <w:rPr>
                <w:rFonts w:cstheme="minorHAnsi"/>
                <w:sz w:val="20"/>
                <w:szCs w:val="20"/>
              </w:rPr>
              <w:t>gotovo</w:t>
            </w:r>
            <w:proofErr w:type="spellEnd"/>
            <w:r w:rsidRPr="0056270B">
              <w:rPr>
                <w:rFonts w:cstheme="minorHAnsi"/>
                <w:sz w:val="20"/>
                <w:szCs w:val="20"/>
              </w:rPr>
              <w:t xml:space="preserve"> </w:t>
            </w:r>
            <w:proofErr w:type="spellStart"/>
            <w:r w:rsidRPr="0056270B">
              <w:rPr>
                <w:rFonts w:cstheme="minorHAnsi"/>
                <w:sz w:val="20"/>
                <w:szCs w:val="20"/>
              </w:rPr>
              <w:t>nulte</w:t>
            </w:r>
            <w:proofErr w:type="spellEnd"/>
            <w:r w:rsidRPr="0056270B">
              <w:rPr>
                <w:rFonts w:cstheme="minorHAnsi"/>
                <w:sz w:val="20"/>
                <w:szCs w:val="20"/>
              </w:rPr>
              <w:t xml:space="preserve"> </w:t>
            </w:r>
            <w:proofErr w:type="spellStart"/>
            <w:r w:rsidRPr="0056270B">
              <w:rPr>
                <w:rFonts w:cstheme="minorHAnsi"/>
                <w:sz w:val="20"/>
                <w:szCs w:val="20"/>
              </w:rPr>
              <w:t>potrošnje</w:t>
            </w:r>
            <w:proofErr w:type="spellEnd"/>
            <w:r w:rsidRPr="0056270B">
              <w:rPr>
                <w:rFonts w:cstheme="minorHAnsi"/>
                <w:sz w:val="20"/>
                <w:szCs w:val="20"/>
              </w:rPr>
              <w:t xml:space="preserve"> energije (</w:t>
            </w:r>
            <w:proofErr w:type="spellStart"/>
            <w:r w:rsidRPr="0056270B">
              <w:rPr>
                <w:rFonts w:cstheme="minorHAnsi"/>
                <w:sz w:val="20"/>
                <w:szCs w:val="20"/>
              </w:rPr>
              <w:t>nZEB</w:t>
            </w:r>
            <w:proofErr w:type="spellEnd"/>
            <w:r w:rsidRPr="0056270B">
              <w:rPr>
                <w:rFonts w:cstheme="minorHAnsi"/>
                <w:sz w:val="20"/>
                <w:szCs w:val="20"/>
              </w:rPr>
              <w:t xml:space="preserve">) i </w:t>
            </w:r>
            <w:proofErr w:type="spellStart"/>
            <w:r w:rsidRPr="0056270B">
              <w:rPr>
                <w:rFonts w:cstheme="minorHAnsi"/>
                <w:sz w:val="20"/>
                <w:szCs w:val="20"/>
              </w:rPr>
              <w:t>zgrada</w:t>
            </w:r>
            <w:proofErr w:type="spellEnd"/>
            <w:r w:rsidRPr="0056270B">
              <w:rPr>
                <w:rFonts w:cstheme="minorHAnsi"/>
                <w:sz w:val="20"/>
                <w:szCs w:val="20"/>
              </w:rPr>
              <w:t xml:space="preserve"> </w:t>
            </w:r>
            <w:proofErr w:type="spellStart"/>
            <w:r w:rsidRPr="0056270B">
              <w:rPr>
                <w:rFonts w:cstheme="minorHAnsi"/>
                <w:sz w:val="20"/>
                <w:szCs w:val="20"/>
              </w:rPr>
              <w:t>nulte</w:t>
            </w:r>
            <w:proofErr w:type="spellEnd"/>
            <w:r w:rsidRPr="0056270B">
              <w:rPr>
                <w:rFonts w:cstheme="minorHAnsi"/>
                <w:sz w:val="20"/>
                <w:szCs w:val="20"/>
              </w:rPr>
              <w:t xml:space="preserve"> </w:t>
            </w:r>
            <w:proofErr w:type="spellStart"/>
            <w:r w:rsidRPr="0056270B">
              <w:rPr>
                <w:rFonts w:cstheme="minorHAnsi"/>
                <w:sz w:val="20"/>
                <w:szCs w:val="20"/>
              </w:rPr>
              <w:t>potrošnje</w:t>
            </w:r>
            <w:proofErr w:type="spellEnd"/>
            <w:r w:rsidRPr="0056270B">
              <w:rPr>
                <w:rFonts w:cstheme="minorHAnsi"/>
                <w:sz w:val="20"/>
                <w:szCs w:val="20"/>
              </w:rPr>
              <w:t xml:space="preserve"> energije.</w:t>
            </w:r>
          </w:p>
          <w:p w14:paraId="4FD6316B" w14:textId="77777777" w:rsidR="00A00D87" w:rsidRPr="0056270B" w:rsidRDefault="00A00D87" w:rsidP="00122946">
            <w:pPr>
              <w:ind w:left="1" w:right="32"/>
              <w:rPr>
                <w:rFonts w:cstheme="minorHAnsi"/>
                <w:sz w:val="20"/>
                <w:szCs w:val="20"/>
              </w:rPr>
            </w:pPr>
            <w:proofErr w:type="spellStart"/>
            <w:r w:rsidRPr="0056270B">
              <w:rPr>
                <w:rFonts w:cstheme="minorHAnsi"/>
                <w:sz w:val="20"/>
                <w:szCs w:val="20"/>
              </w:rPr>
              <w:t>Zakon</w:t>
            </w:r>
            <w:proofErr w:type="spellEnd"/>
            <w:r w:rsidRPr="0056270B">
              <w:rPr>
                <w:rFonts w:cstheme="minorHAnsi"/>
                <w:sz w:val="20"/>
                <w:szCs w:val="20"/>
              </w:rPr>
              <w:t xml:space="preserve"> o EE u FBiH </w:t>
            </w:r>
            <w:proofErr w:type="spellStart"/>
            <w:r w:rsidRPr="0056270B">
              <w:rPr>
                <w:rFonts w:cstheme="minorHAnsi"/>
                <w:sz w:val="20"/>
                <w:szCs w:val="20"/>
              </w:rPr>
              <w:t>nije</w:t>
            </w:r>
            <w:proofErr w:type="spellEnd"/>
            <w:r w:rsidRPr="0056270B">
              <w:rPr>
                <w:rFonts w:cstheme="minorHAnsi"/>
                <w:sz w:val="20"/>
                <w:szCs w:val="20"/>
              </w:rPr>
              <w:t xml:space="preserve"> </w:t>
            </w:r>
            <w:proofErr w:type="spellStart"/>
            <w:r w:rsidRPr="0056270B">
              <w:rPr>
                <w:rFonts w:cstheme="minorHAnsi"/>
                <w:sz w:val="20"/>
                <w:szCs w:val="20"/>
              </w:rPr>
              <w:t>usaglašen</w:t>
            </w:r>
            <w:proofErr w:type="spellEnd"/>
            <w:r w:rsidRPr="0056270B">
              <w:rPr>
                <w:rFonts w:cstheme="minorHAnsi"/>
                <w:sz w:val="20"/>
                <w:szCs w:val="20"/>
              </w:rPr>
              <w:t xml:space="preserve"> </w:t>
            </w:r>
            <w:proofErr w:type="spellStart"/>
            <w:r w:rsidRPr="0056270B">
              <w:rPr>
                <w:rFonts w:cstheme="minorHAnsi"/>
                <w:sz w:val="20"/>
                <w:szCs w:val="20"/>
              </w:rPr>
              <w:t>sa</w:t>
            </w:r>
            <w:proofErr w:type="spellEnd"/>
            <w:r w:rsidRPr="0056270B">
              <w:rPr>
                <w:rFonts w:cstheme="minorHAnsi"/>
                <w:sz w:val="20"/>
                <w:szCs w:val="20"/>
              </w:rPr>
              <w:t xml:space="preserve"> </w:t>
            </w:r>
            <w:proofErr w:type="spellStart"/>
            <w:r w:rsidRPr="0056270B">
              <w:rPr>
                <w:rFonts w:cstheme="minorHAnsi"/>
                <w:sz w:val="20"/>
                <w:szCs w:val="20"/>
              </w:rPr>
              <w:t>Direktivom</w:t>
            </w:r>
            <w:proofErr w:type="spellEnd"/>
            <w:r w:rsidRPr="0056270B">
              <w:rPr>
                <w:rFonts w:cstheme="minorHAnsi"/>
                <w:sz w:val="20"/>
                <w:szCs w:val="20"/>
              </w:rPr>
              <w:t xml:space="preserve"> u </w:t>
            </w:r>
            <w:proofErr w:type="spellStart"/>
            <w:r w:rsidRPr="0056270B">
              <w:rPr>
                <w:rFonts w:cstheme="minorHAnsi"/>
                <w:sz w:val="20"/>
                <w:szCs w:val="20"/>
              </w:rPr>
              <w:t>oblasti</w:t>
            </w:r>
            <w:proofErr w:type="spellEnd"/>
            <w:r w:rsidRPr="0056270B">
              <w:rPr>
                <w:rFonts w:cstheme="minorHAnsi"/>
                <w:sz w:val="20"/>
                <w:szCs w:val="20"/>
              </w:rPr>
              <w:t xml:space="preserve"> </w:t>
            </w:r>
            <w:proofErr w:type="spellStart"/>
            <w:r w:rsidRPr="0056270B">
              <w:rPr>
                <w:rFonts w:cstheme="minorHAnsi"/>
                <w:sz w:val="20"/>
                <w:szCs w:val="20"/>
              </w:rPr>
              <w:t>definiranja</w:t>
            </w:r>
            <w:proofErr w:type="spellEnd"/>
            <w:r w:rsidRPr="0056270B">
              <w:rPr>
                <w:rFonts w:cstheme="minorHAnsi"/>
                <w:sz w:val="20"/>
                <w:szCs w:val="20"/>
              </w:rPr>
              <w:t xml:space="preserve"> </w:t>
            </w:r>
            <w:proofErr w:type="spellStart"/>
            <w:r w:rsidRPr="0056270B">
              <w:rPr>
                <w:rFonts w:cstheme="minorHAnsi"/>
                <w:sz w:val="20"/>
                <w:szCs w:val="20"/>
              </w:rPr>
              <w:t>energijskih</w:t>
            </w:r>
            <w:proofErr w:type="spellEnd"/>
            <w:r w:rsidRPr="0056270B">
              <w:rPr>
                <w:rFonts w:cstheme="minorHAnsi"/>
                <w:sz w:val="20"/>
                <w:szCs w:val="20"/>
              </w:rPr>
              <w:t xml:space="preserve"> </w:t>
            </w:r>
            <w:proofErr w:type="spellStart"/>
            <w:r w:rsidRPr="0056270B">
              <w:rPr>
                <w:rFonts w:cstheme="minorHAnsi"/>
                <w:sz w:val="20"/>
                <w:szCs w:val="20"/>
              </w:rPr>
              <w:t>tipova</w:t>
            </w:r>
            <w:proofErr w:type="spellEnd"/>
            <w:r w:rsidRPr="0056270B">
              <w:rPr>
                <w:rFonts w:cstheme="minorHAnsi"/>
                <w:sz w:val="20"/>
                <w:szCs w:val="20"/>
              </w:rPr>
              <w:t xml:space="preserve"> </w:t>
            </w:r>
            <w:proofErr w:type="spellStart"/>
            <w:r w:rsidRPr="0056270B">
              <w:rPr>
                <w:rFonts w:cstheme="minorHAnsi"/>
                <w:sz w:val="20"/>
                <w:szCs w:val="20"/>
              </w:rPr>
              <w:t>zgrada</w:t>
            </w:r>
            <w:proofErr w:type="spellEnd"/>
            <w:r w:rsidRPr="0056270B">
              <w:rPr>
                <w:rFonts w:cstheme="minorHAnsi"/>
                <w:sz w:val="20"/>
                <w:szCs w:val="20"/>
              </w:rPr>
              <w:t xml:space="preserve">, </w:t>
            </w:r>
            <w:proofErr w:type="spellStart"/>
            <w:r w:rsidRPr="0056270B">
              <w:rPr>
                <w:rFonts w:cstheme="minorHAnsi"/>
                <w:sz w:val="20"/>
                <w:szCs w:val="20"/>
              </w:rPr>
              <w:t>prvenstveno</w:t>
            </w:r>
            <w:proofErr w:type="spellEnd"/>
            <w:r w:rsidRPr="0056270B">
              <w:rPr>
                <w:rFonts w:cstheme="minorHAnsi"/>
                <w:sz w:val="20"/>
                <w:szCs w:val="20"/>
              </w:rPr>
              <w:t xml:space="preserve"> </w:t>
            </w:r>
            <w:proofErr w:type="spellStart"/>
            <w:r w:rsidRPr="0056270B">
              <w:rPr>
                <w:rFonts w:cstheme="minorHAnsi"/>
                <w:sz w:val="20"/>
                <w:szCs w:val="20"/>
              </w:rPr>
              <w:t>zgrada</w:t>
            </w:r>
            <w:proofErr w:type="spellEnd"/>
            <w:r w:rsidRPr="0056270B">
              <w:rPr>
                <w:rFonts w:cstheme="minorHAnsi"/>
                <w:sz w:val="20"/>
                <w:szCs w:val="20"/>
              </w:rPr>
              <w:t xml:space="preserve"> </w:t>
            </w:r>
            <w:proofErr w:type="spellStart"/>
            <w:r w:rsidRPr="0056270B">
              <w:rPr>
                <w:rFonts w:cstheme="minorHAnsi"/>
                <w:sz w:val="20"/>
                <w:szCs w:val="20"/>
              </w:rPr>
              <w:t>gotovo</w:t>
            </w:r>
            <w:proofErr w:type="spellEnd"/>
            <w:r w:rsidRPr="0056270B">
              <w:rPr>
                <w:rFonts w:cstheme="minorHAnsi"/>
                <w:sz w:val="20"/>
                <w:szCs w:val="20"/>
              </w:rPr>
              <w:t xml:space="preserve"> </w:t>
            </w:r>
            <w:proofErr w:type="spellStart"/>
            <w:r w:rsidRPr="0056270B">
              <w:rPr>
                <w:rFonts w:cstheme="minorHAnsi"/>
                <w:sz w:val="20"/>
                <w:szCs w:val="20"/>
              </w:rPr>
              <w:t>nulte</w:t>
            </w:r>
            <w:proofErr w:type="spellEnd"/>
            <w:r w:rsidRPr="0056270B">
              <w:rPr>
                <w:rFonts w:cstheme="minorHAnsi"/>
                <w:sz w:val="20"/>
                <w:szCs w:val="20"/>
              </w:rPr>
              <w:t xml:space="preserve"> energije</w:t>
            </w:r>
            <w:r w:rsidRPr="0056270B">
              <w:rPr>
                <w:rFonts w:cstheme="minorHAnsi"/>
                <w:i/>
                <w:iCs/>
                <w:sz w:val="20"/>
                <w:szCs w:val="20"/>
              </w:rPr>
              <w:t xml:space="preserve">. </w:t>
            </w:r>
            <w:proofErr w:type="spellStart"/>
            <w:r w:rsidRPr="0056270B">
              <w:rPr>
                <w:rFonts w:cstheme="minorHAnsi"/>
                <w:sz w:val="20"/>
                <w:szCs w:val="20"/>
              </w:rPr>
              <w:t>Shodno</w:t>
            </w:r>
            <w:proofErr w:type="spellEnd"/>
            <w:r w:rsidRPr="0056270B">
              <w:rPr>
                <w:rFonts w:cstheme="minorHAnsi"/>
                <w:sz w:val="20"/>
                <w:szCs w:val="20"/>
              </w:rPr>
              <w:t xml:space="preserve"> </w:t>
            </w:r>
            <w:proofErr w:type="spellStart"/>
            <w:r w:rsidRPr="0056270B">
              <w:rPr>
                <w:rFonts w:cstheme="minorHAnsi"/>
                <w:sz w:val="20"/>
                <w:szCs w:val="20"/>
              </w:rPr>
              <w:t>navedenom</w:t>
            </w:r>
            <w:proofErr w:type="spellEnd"/>
            <w:r w:rsidRPr="0056270B">
              <w:rPr>
                <w:rFonts w:cstheme="minorHAnsi"/>
                <w:sz w:val="20"/>
                <w:szCs w:val="20"/>
              </w:rPr>
              <w:t xml:space="preserve">, i </w:t>
            </w:r>
            <w:proofErr w:type="spellStart"/>
            <w:r w:rsidRPr="0056270B">
              <w:rPr>
                <w:rFonts w:cstheme="minorHAnsi"/>
                <w:sz w:val="20"/>
                <w:szCs w:val="20"/>
              </w:rPr>
              <w:t>činjenici</w:t>
            </w:r>
            <w:proofErr w:type="spellEnd"/>
            <w:r w:rsidRPr="0056270B">
              <w:rPr>
                <w:rFonts w:cstheme="minorHAnsi"/>
                <w:sz w:val="20"/>
                <w:szCs w:val="20"/>
              </w:rPr>
              <w:t xml:space="preserve"> da u FBiH </w:t>
            </w:r>
            <w:proofErr w:type="spellStart"/>
            <w:r w:rsidRPr="0056270B">
              <w:rPr>
                <w:rFonts w:cstheme="minorHAnsi"/>
                <w:sz w:val="20"/>
                <w:szCs w:val="20"/>
              </w:rPr>
              <w:t>još</w:t>
            </w:r>
            <w:proofErr w:type="spellEnd"/>
            <w:r w:rsidRPr="0056270B">
              <w:rPr>
                <w:rFonts w:cstheme="minorHAnsi"/>
                <w:sz w:val="20"/>
                <w:szCs w:val="20"/>
              </w:rPr>
              <w:t xml:space="preserve"> </w:t>
            </w:r>
            <w:proofErr w:type="spellStart"/>
            <w:r w:rsidRPr="0056270B">
              <w:rPr>
                <w:rFonts w:cstheme="minorHAnsi"/>
                <w:sz w:val="20"/>
                <w:szCs w:val="20"/>
              </w:rPr>
              <w:t>uvijek</w:t>
            </w:r>
            <w:proofErr w:type="spellEnd"/>
            <w:r w:rsidRPr="0056270B">
              <w:rPr>
                <w:rFonts w:cstheme="minorHAnsi"/>
                <w:sz w:val="20"/>
                <w:szCs w:val="20"/>
              </w:rPr>
              <w:t xml:space="preserve"> </w:t>
            </w:r>
            <w:proofErr w:type="spellStart"/>
            <w:proofErr w:type="gramStart"/>
            <w:r w:rsidRPr="0056270B">
              <w:rPr>
                <w:rFonts w:cstheme="minorHAnsi"/>
                <w:sz w:val="20"/>
                <w:szCs w:val="20"/>
              </w:rPr>
              <w:t>nisu</w:t>
            </w:r>
            <w:proofErr w:type="spellEnd"/>
            <w:r w:rsidRPr="0056270B">
              <w:rPr>
                <w:rFonts w:cstheme="minorHAnsi"/>
                <w:sz w:val="20"/>
                <w:szCs w:val="20"/>
              </w:rPr>
              <w:t xml:space="preserve">  </w:t>
            </w:r>
            <w:proofErr w:type="spellStart"/>
            <w:r w:rsidRPr="0056270B">
              <w:rPr>
                <w:rFonts w:cstheme="minorHAnsi"/>
                <w:sz w:val="20"/>
                <w:szCs w:val="20"/>
              </w:rPr>
              <w:t>donesene</w:t>
            </w:r>
            <w:proofErr w:type="spellEnd"/>
            <w:proofErr w:type="gramEnd"/>
            <w:r w:rsidRPr="0056270B">
              <w:rPr>
                <w:rFonts w:cstheme="minorHAnsi"/>
                <w:sz w:val="20"/>
                <w:szCs w:val="20"/>
              </w:rPr>
              <w:t xml:space="preserve"> procedure i </w:t>
            </w:r>
            <w:proofErr w:type="spellStart"/>
            <w:r w:rsidRPr="0056270B">
              <w:rPr>
                <w:rFonts w:cstheme="minorHAnsi"/>
                <w:sz w:val="20"/>
                <w:szCs w:val="20"/>
              </w:rPr>
              <w:t>standardi</w:t>
            </w:r>
            <w:proofErr w:type="spellEnd"/>
            <w:r w:rsidRPr="0056270B">
              <w:rPr>
                <w:rFonts w:cstheme="minorHAnsi"/>
                <w:sz w:val="20"/>
                <w:szCs w:val="20"/>
              </w:rPr>
              <w:t xml:space="preserve"> za </w:t>
            </w:r>
            <w:proofErr w:type="spellStart"/>
            <w:r w:rsidRPr="0056270B">
              <w:rPr>
                <w:rFonts w:cstheme="minorHAnsi"/>
                <w:sz w:val="20"/>
                <w:szCs w:val="20"/>
              </w:rPr>
              <w:t>nZEB</w:t>
            </w:r>
            <w:proofErr w:type="spellEnd"/>
            <w:r w:rsidRPr="0056270B">
              <w:rPr>
                <w:rFonts w:cstheme="minorHAnsi"/>
                <w:sz w:val="20"/>
                <w:szCs w:val="20"/>
              </w:rPr>
              <w:t xml:space="preserve">, </w:t>
            </w:r>
            <w:proofErr w:type="spellStart"/>
            <w:r w:rsidRPr="0056270B">
              <w:rPr>
                <w:rFonts w:cstheme="minorHAnsi"/>
                <w:sz w:val="20"/>
                <w:szCs w:val="20"/>
              </w:rPr>
              <w:t>usvojena</w:t>
            </w:r>
            <w:proofErr w:type="spellEnd"/>
            <w:r w:rsidRPr="0056270B">
              <w:rPr>
                <w:rFonts w:cstheme="minorHAnsi"/>
                <w:sz w:val="20"/>
                <w:szCs w:val="20"/>
              </w:rPr>
              <w:t xml:space="preserve"> je </w:t>
            </w:r>
            <w:proofErr w:type="spellStart"/>
            <w:r w:rsidRPr="0056270B">
              <w:rPr>
                <w:rFonts w:cstheme="minorHAnsi"/>
                <w:sz w:val="20"/>
                <w:szCs w:val="20"/>
              </w:rPr>
              <w:t>realna</w:t>
            </w:r>
            <w:proofErr w:type="spellEnd"/>
            <w:r w:rsidRPr="0056270B">
              <w:rPr>
                <w:rFonts w:cstheme="minorHAnsi"/>
                <w:sz w:val="20"/>
                <w:szCs w:val="20"/>
              </w:rPr>
              <w:t xml:space="preserve"> </w:t>
            </w:r>
            <w:proofErr w:type="spellStart"/>
            <w:r w:rsidRPr="0056270B">
              <w:rPr>
                <w:rFonts w:cstheme="minorHAnsi"/>
                <w:sz w:val="20"/>
                <w:szCs w:val="20"/>
              </w:rPr>
              <w:t>pretpostavka</w:t>
            </w:r>
            <w:proofErr w:type="spellEnd"/>
            <w:r w:rsidRPr="0056270B">
              <w:rPr>
                <w:rFonts w:cstheme="minorHAnsi"/>
                <w:sz w:val="20"/>
                <w:szCs w:val="20"/>
              </w:rPr>
              <w:t xml:space="preserve"> da </w:t>
            </w:r>
            <w:proofErr w:type="spellStart"/>
            <w:r w:rsidRPr="0056270B">
              <w:rPr>
                <w:rFonts w:cstheme="minorHAnsi"/>
                <w:sz w:val="20"/>
                <w:szCs w:val="20"/>
              </w:rPr>
              <w:t>će</w:t>
            </w:r>
            <w:proofErr w:type="spellEnd"/>
            <w:r w:rsidRPr="0056270B">
              <w:rPr>
                <w:rFonts w:cstheme="minorHAnsi"/>
                <w:sz w:val="20"/>
                <w:szCs w:val="20"/>
              </w:rPr>
              <w:t xml:space="preserve"> </w:t>
            </w:r>
            <w:proofErr w:type="spellStart"/>
            <w:r w:rsidRPr="0056270B">
              <w:rPr>
                <w:rFonts w:cstheme="minorHAnsi"/>
                <w:sz w:val="20"/>
                <w:szCs w:val="20"/>
              </w:rPr>
              <w:t>sve</w:t>
            </w:r>
            <w:proofErr w:type="spellEnd"/>
            <w:r w:rsidRPr="0056270B">
              <w:rPr>
                <w:rFonts w:cstheme="minorHAnsi"/>
                <w:sz w:val="20"/>
                <w:szCs w:val="20"/>
              </w:rPr>
              <w:t xml:space="preserve"> </w:t>
            </w:r>
            <w:proofErr w:type="spellStart"/>
            <w:r w:rsidRPr="0056270B">
              <w:rPr>
                <w:rFonts w:cstheme="minorHAnsi"/>
                <w:sz w:val="20"/>
                <w:szCs w:val="20"/>
              </w:rPr>
              <w:t>nove</w:t>
            </w:r>
            <w:proofErr w:type="spellEnd"/>
            <w:r w:rsidRPr="0056270B">
              <w:rPr>
                <w:rFonts w:cstheme="minorHAnsi"/>
                <w:sz w:val="20"/>
                <w:szCs w:val="20"/>
              </w:rPr>
              <w:t xml:space="preserve"> </w:t>
            </w:r>
            <w:proofErr w:type="spellStart"/>
            <w:r w:rsidRPr="0056270B">
              <w:rPr>
                <w:rFonts w:cstheme="minorHAnsi"/>
                <w:sz w:val="20"/>
                <w:szCs w:val="20"/>
              </w:rPr>
              <w:t>zgrade</w:t>
            </w:r>
            <w:proofErr w:type="spellEnd"/>
            <w:r w:rsidRPr="0056270B">
              <w:rPr>
                <w:rFonts w:cstheme="minorHAnsi"/>
                <w:sz w:val="20"/>
                <w:szCs w:val="20"/>
              </w:rPr>
              <w:t xml:space="preserve"> </w:t>
            </w:r>
            <w:proofErr w:type="spellStart"/>
            <w:r w:rsidRPr="0056270B">
              <w:rPr>
                <w:rFonts w:cstheme="minorHAnsi"/>
                <w:sz w:val="20"/>
                <w:szCs w:val="20"/>
              </w:rPr>
              <w:t>izgrađene</w:t>
            </w:r>
            <w:proofErr w:type="spellEnd"/>
            <w:r w:rsidRPr="0056270B">
              <w:rPr>
                <w:rFonts w:cstheme="minorHAnsi"/>
                <w:sz w:val="20"/>
                <w:szCs w:val="20"/>
              </w:rPr>
              <w:t xml:space="preserve"> </w:t>
            </w:r>
            <w:proofErr w:type="spellStart"/>
            <w:r w:rsidRPr="0056270B">
              <w:rPr>
                <w:rFonts w:cstheme="minorHAnsi"/>
                <w:sz w:val="20"/>
                <w:szCs w:val="20"/>
              </w:rPr>
              <w:t>nakon</w:t>
            </w:r>
            <w:proofErr w:type="spellEnd"/>
            <w:r w:rsidRPr="0056270B">
              <w:rPr>
                <w:rFonts w:cstheme="minorHAnsi"/>
                <w:sz w:val="20"/>
                <w:szCs w:val="20"/>
              </w:rPr>
              <w:t xml:space="preserve"> 2030. </w:t>
            </w:r>
            <w:proofErr w:type="spellStart"/>
            <w:r w:rsidRPr="0056270B">
              <w:rPr>
                <w:rFonts w:cstheme="minorHAnsi"/>
                <w:sz w:val="20"/>
                <w:szCs w:val="20"/>
              </w:rPr>
              <w:t>godine</w:t>
            </w:r>
            <w:proofErr w:type="spellEnd"/>
            <w:r w:rsidRPr="0056270B">
              <w:rPr>
                <w:rFonts w:cstheme="minorHAnsi"/>
                <w:sz w:val="20"/>
                <w:szCs w:val="20"/>
              </w:rPr>
              <w:t xml:space="preserve">, </w:t>
            </w:r>
            <w:proofErr w:type="spellStart"/>
            <w:r w:rsidRPr="0056270B">
              <w:rPr>
                <w:rFonts w:cstheme="minorHAnsi"/>
                <w:sz w:val="20"/>
                <w:szCs w:val="20"/>
              </w:rPr>
              <w:t>biti</w:t>
            </w:r>
            <w:proofErr w:type="spellEnd"/>
            <w:r w:rsidRPr="0056270B">
              <w:rPr>
                <w:rFonts w:cstheme="minorHAnsi"/>
                <w:sz w:val="20"/>
                <w:szCs w:val="20"/>
              </w:rPr>
              <w:t xml:space="preserve"> </w:t>
            </w:r>
            <w:proofErr w:type="spellStart"/>
            <w:r w:rsidRPr="0056270B">
              <w:rPr>
                <w:rFonts w:cstheme="minorHAnsi"/>
                <w:sz w:val="20"/>
                <w:szCs w:val="20"/>
              </w:rPr>
              <w:t>zgrade</w:t>
            </w:r>
            <w:proofErr w:type="spellEnd"/>
            <w:r w:rsidRPr="0056270B">
              <w:rPr>
                <w:rFonts w:cstheme="minorHAnsi"/>
                <w:sz w:val="20"/>
                <w:szCs w:val="20"/>
              </w:rPr>
              <w:t xml:space="preserve"> </w:t>
            </w:r>
            <w:proofErr w:type="spellStart"/>
            <w:r w:rsidRPr="0056270B">
              <w:rPr>
                <w:rFonts w:cstheme="minorHAnsi"/>
                <w:sz w:val="20"/>
                <w:szCs w:val="20"/>
              </w:rPr>
              <w:t>gotovo</w:t>
            </w:r>
            <w:proofErr w:type="spellEnd"/>
            <w:r w:rsidRPr="0056270B">
              <w:rPr>
                <w:rFonts w:cstheme="minorHAnsi"/>
                <w:sz w:val="20"/>
                <w:szCs w:val="20"/>
              </w:rPr>
              <w:t xml:space="preserve"> </w:t>
            </w:r>
            <w:proofErr w:type="spellStart"/>
            <w:r w:rsidRPr="0056270B">
              <w:rPr>
                <w:rFonts w:cstheme="minorHAnsi"/>
                <w:sz w:val="20"/>
                <w:szCs w:val="20"/>
              </w:rPr>
              <w:t>nulte</w:t>
            </w:r>
            <w:proofErr w:type="spellEnd"/>
            <w:r w:rsidRPr="0056270B">
              <w:rPr>
                <w:rFonts w:cstheme="minorHAnsi"/>
                <w:sz w:val="20"/>
                <w:szCs w:val="20"/>
              </w:rPr>
              <w:t xml:space="preserve"> energije </w:t>
            </w:r>
            <w:proofErr w:type="spellStart"/>
            <w:r w:rsidRPr="0056270B">
              <w:rPr>
                <w:rFonts w:cstheme="minorHAnsi"/>
                <w:sz w:val="20"/>
                <w:szCs w:val="20"/>
              </w:rPr>
              <w:t>odnosno</w:t>
            </w:r>
            <w:proofErr w:type="spellEnd"/>
            <w:r w:rsidRPr="0056270B">
              <w:rPr>
                <w:rFonts w:cstheme="minorHAnsi"/>
                <w:sz w:val="20"/>
                <w:szCs w:val="20"/>
              </w:rPr>
              <w:t xml:space="preserve"> </w:t>
            </w:r>
            <w:proofErr w:type="spellStart"/>
            <w:r w:rsidRPr="0056270B">
              <w:rPr>
                <w:rFonts w:cstheme="minorHAnsi"/>
                <w:sz w:val="20"/>
                <w:szCs w:val="20"/>
              </w:rPr>
              <w:t>izuzetno</w:t>
            </w:r>
            <w:proofErr w:type="spellEnd"/>
            <w:r w:rsidRPr="0056270B">
              <w:rPr>
                <w:rFonts w:cstheme="minorHAnsi"/>
                <w:sz w:val="20"/>
                <w:szCs w:val="20"/>
              </w:rPr>
              <w:t xml:space="preserve"> </w:t>
            </w:r>
            <w:proofErr w:type="spellStart"/>
            <w:r w:rsidRPr="0056270B">
              <w:rPr>
                <w:rFonts w:cstheme="minorHAnsi"/>
                <w:sz w:val="20"/>
                <w:szCs w:val="20"/>
              </w:rPr>
              <w:t>energijski</w:t>
            </w:r>
            <w:proofErr w:type="spellEnd"/>
            <w:r w:rsidRPr="0056270B">
              <w:rPr>
                <w:rFonts w:cstheme="minorHAnsi"/>
                <w:sz w:val="20"/>
                <w:szCs w:val="20"/>
              </w:rPr>
              <w:t xml:space="preserve"> </w:t>
            </w:r>
            <w:proofErr w:type="spellStart"/>
            <w:r w:rsidRPr="0056270B">
              <w:rPr>
                <w:rFonts w:cstheme="minorHAnsi"/>
                <w:sz w:val="20"/>
                <w:szCs w:val="20"/>
              </w:rPr>
              <w:t>efikasne</w:t>
            </w:r>
            <w:proofErr w:type="spellEnd"/>
            <w:r w:rsidRPr="0056270B">
              <w:rPr>
                <w:rFonts w:cstheme="minorHAnsi"/>
                <w:sz w:val="20"/>
                <w:szCs w:val="20"/>
              </w:rPr>
              <w:t xml:space="preserve">, </w:t>
            </w:r>
            <w:proofErr w:type="spellStart"/>
            <w:r w:rsidRPr="0056270B">
              <w:rPr>
                <w:rFonts w:cstheme="minorHAnsi"/>
                <w:sz w:val="20"/>
                <w:szCs w:val="20"/>
              </w:rPr>
              <w:t>gdje</w:t>
            </w:r>
            <w:proofErr w:type="spellEnd"/>
            <w:r w:rsidRPr="0056270B">
              <w:rPr>
                <w:rFonts w:cstheme="minorHAnsi"/>
                <w:sz w:val="20"/>
                <w:szCs w:val="20"/>
              </w:rPr>
              <w:t xml:space="preserve"> je </w:t>
            </w:r>
            <w:proofErr w:type="spellStart"/>
            <w:r w:rsidRPr="0056270B">
              <w:rPr>
                <w:rFonts w:cstheme="minorHAnsi"/>
                <w:sz w:val="20"/>
                <w:szCs w:val="20"/>
              </w:rPr>
              <w:t>skoro</w:t>
            </w:r>
            <w:proofErr w:type="spellEnd"/>
            <w:r w:rsidRPr="0056270B">
              <w:rPr>
                <w:rFonts w:cstheme="minorHAnsi"/>
                <w:sz w:val="20"/>
                <w:szCs w:val="20"/>
              </w:rPr>
              <w:t xml:space="preserve"> </w:t>
            </w:r>
            <w:proofErr w:type="spellStart"/>
            <w:r w:rsidRPr="0056270B">
              <w:rPr>
                <w:rFonts w:cstheme="minorHAnsi"/>
                <w:sz w:val="20"/>
                <w:szCs w:val="20"/>
              </w:rPr>
              <w:t>nulta</w:t>
            </w:r>
            <w:proofErr w:type="spellEnd"/>
            <w:r w:rsidRPr="0056270B">
              <w:rPr>
                <w:rFonts w:cstheme="minorHAnsi"/>
                <w:sz w:val="20"/>
                <w:szCs w:val="20"/>
              </w:rPr>
              <w:t xml:space="preserve"> </w:t>
            </w:r>
            <w:proofErr w:type="spellStart"/>
            <w:r w:rsidRPr="0056270B">
              <w:rPr>
                <w:rFonts w:cstheme="minorHAnsi"/>
                <w:sz w:val="20"/>
                <w:szCs w:val="20"/>
              </w:rPr>
              <w:t>ili</w:t>
            </w:r>
            <w:proofErr w:type="spellEnd"/>
            <w:r w:rsidRPr="0056270B">
              <w:rPr>
                <w:rFonts w:cstheme="minorHAnsi"/>
                <w:sz w:val="20"/>
                <w:szCs w:val="20"/>
              </w:rPr>
              <w:t xml:space="preserve"> </w:t>
            </w:r>
            <w:proofErr w:type="spellStart"/>
            <w:r w:rsidRPr="0056270B">
              <w:rPr>
                <w:rFonts w:cstheme="minorHAnsi"/>
                <w:sz w:val="20"/>
                <w:szCs w:val="20"/>
              </w:rPr>
              <w:t>niska</w:t>
            </w:r>
            <w:proofErr w:type="spellEnd"/>
            <w:r w:rsidRPr="0056270B">
              <w:rPr>
                <w:rFonts w:cstheme="minorHAnsi"/>
                <w:sz w:val="20"/>
                <w:szCs w:val="20"/>
              </w:rPr>
              <w:t xml:space="preserve"> </w:t>
            </w:r>
            <w:proofErr w:type="spellStart"/>
            <w:r w:rsidRPr="0056270B">
              <w:rPr>
                <w:rFonts w:cstheme="minorHAnsi"/>
                <w:sz w:val="20"/>
                <w:szCs w:val="20"/>
              </w:rPr>
              <w:t>potrošnja</w:t>
            </w:r>
            <w:proofErr w:type="spellEnd"/>
            <w:r w:rsidRPr="0056270B">
              <w:rPr>
                <w:rFonts w:cstheme="minorHAnsi"/>
                <w:sz w:val="20"/>
                <w:szCs w:val="20"/>
              </w:rPr>
              <w:t xml:space="preserve"> energije </w:t>
            </w:r>
            <w:proofErr w:type="spellStart"/>
            <w:r w:rsidRPr="0056270B">
              <w:rPr>
                <w:rFonts w:cstheme="minorHAnsi"/>
                <w:sz w:val="20"/>
                <w:szCs w:val="20"/>
              </w:rPr>
              <w:t>potrebna</w:t>
            </w:r>
            <w:proofErr w:type="spellEnd"/>
            <w:r w:rsidRPr="0056270B">
              <w:rPr>
                <w:rFonts w:cstheme="minorHAnsi"/>
                <w:sz w:val="20"/>
                <w:szCs w:val="20"/>
              </w:rPr>
              <w:t xml:space="preserve"> za </w:t>
            </w:r>
            <w:proofErr w:type="spellStart"/>
            <w:r w:rsidRPr="0056270B">
              <w:rPr>
                <w:rFonts w:cstheme="minorHAnsi"/>
                <w:sz w:val="20"/>
                <w:szCs w:val="20"/>
              </w:rPr>
              <w:t>funkcioniranje</w:t>
            </w:r>
            <w:proofErr w:type="spellEnd"/>
            <w:r w:rsidRPr="0056270B">
              <w:rPr>
                <w:rFonts w:cstheme="minorHAnsi"/>
                <w:sz w:val="20"/>
                <w:szCs w:val="20"/>
              </w:rPr>
              <w:t xml:space="preserve"> </w:t>
            </w:r>
            <w:proofErr w:type="spellStart"/>
            <w:r w:rsidRPr="0056270B">
              <w:rPr>
                <w:rFonts w:cstheme="minorHAnsi"/>
                <w:sz w:val="20"/>
                <w:szCs w:val="20"/>
              </w:rPr>
              <w:t>zgrade</w:t>
            </w:r>
            <w:proofErr w:type="spellEnd"/>
            <w:r w:rsidRPr="0056270B">
              <w:rPr>
                <w:rFonts w:cstheme="minorHAnsi"/>
                <w:sz w:val="20"/>
                <w:szCs w:val="20"/>
              </w:rPr>
              <w:t xml:space="preserve">, </w:t>
            </w:r>
            <w:proofErr w:type="spellStart"/>
            <w:r w:rsidRPr="0056270B">
              <w:rPr>
                <w:rFonts w:cstheme="minorHAnsi"/>
                <w:sz w:val="20"/>
                <w:szCs w:val="20"/>
              </w:rPr>
              <w:t>dobijena</w:t>
            </w:r>
            <w:proofErr w:type="spellEnd"/>
            <w:r w:rsidRPr="0056270B">
              <w:rPr>
                <w:rFonts w:cstheme="minorHAnsi"/>
                <w:sz w:val="20"/>
                <w:szCs w:val="20"/>
              </w:rPr>
              <w:t xml:space="preserve"> u </w:t>
            </w:r>
            <w:proofErr w:type="spellStart"/>
            <w:r w:rsidRPr="0056270B">
              <w:rPr>
                <w:rFonts w:cstheme="minorHAnsi"/>
                <w:sz w:val="20"/>
                <w:szCs w:val="20"/>
              </w:rPr>
              <w:t>velikoj</w:t>
            </w:r>
            <w:proofErr w:type="spellEnd"/>
            <w:r w:rsidRPr="0056270B">
              <w:rPr>
                <w:rFonts w:cstheme="minorHAnsi"/>
                <w:sz w:val="20"/>
                <w:szCs w:val="20"/>
              </w:rPr>
              <w:t xml:space="preserve"> </w:t>
            </w:r>
            <w:proofErr w:type="spellStart"/>
            <w:r w:rsidRPr="0056270B">
              <w:rPr>
                <w:rFonts w:cstheme="minorHAnsi"/>
                <w:sz w:val="20"/>
                <w:szCs w:val="20"/>
              </w:rPr>
              <w:t>mjeri</w:t>
            </w:r>
            <w:proofErr w:type="spellEnd"/>
            <w:r w:rsidRPr="0056270B">
              <w:rPr>
                <w:rFonts w:cstheme="minorHAnsi"/>
                <w:sz w:val="20"/>
                <w:szCs w:val="20"/>
              </w:rPr>
              <w:t xml:space="preserve"> </w:t>
            </w:r>
            <w:proofErr w:type="spellStart"/>
            <w:r w:rsidRPr="0056270B">
              <w:rPr>
                <w:rFonts w:cstheme="minorHAnsi"/>
                <w:sz w:val="20"/>
                <w:szCs w:val="20"/>
              </w:rPr>
              <w:t>iz</w:t>
            </w:r>
            <w:proofErr w:type="spellEnd"/>
            <w:r w:rsidRPr="0056270B">
              <w:rPr>
                <w:rFonts w:cstheme="minorHAnsi"/>
                <w:sz w:val="20"/>
                <w:szCs w:val="20"/>
              </w:rPr>
              <w:t xml:space="preserve"> </w:t>
            </w:r>
            <w:proofErr w:type="spellStart"/>
            <w:r w:rsidRPr="0056270B">
              <w:rPr>
                <w:rFonts w:cstheme="minorHAnsi"/>
                <w:sz w:val="20"/>
                <w:szCs w:val="20"/>
              </w:rPr>
              <w:t>obnovljivih</w:t>
            </w:r>
            <w:proofErr w:type="spellEnd"/>
            <w:r w:rsidRPr="0056270B">
              <w:rPr>
                <w:rFonts w:cstheme="minorHAnsi"/>
                <w:sz w:val="20"/>
                <w:szCs w:val="20"/>
              </w:rPr>
              <w:t xml:space="preserve"> </w:t>
            </w:r>
            <w:proofErr w:type="spellStart"/>
            <w:r w:rsidRPr="0056270B">
              <w:rPr>
                <w:rFonts w:cstheme="minorHAnsi"/>
                <w:sz w:val="20"/>
                <w:szCs w:val="20"/>
              </w:rPr>
              <w:t>izvora</w:t>
            </w:r>
            <w:proofErr w:type="spellEnd"/>
            <w:r w:rsidRPr="0056270B">
              <w:rPr>
                <w:rFonts w:cstheme="minorHAnsi"/>
                <w:sz w:val="20"/>
                <w:szCs w:val="20"/>
              </w:rPr>
              <w:t xml:space="preserve"> energije. </w:t>
            </w:r>
          </w:p>
          <w:p w14:paraId="6732B39B" w14:textId="77777777" w:rsidR="00A00D87" w:rsidRPr="0056270B" w:rsidRDefault="00A00D87" w:rsidP="00122946">
            <w:pPr>
              <w:ind w:left="1" w:right="32"/>
              <w:rPr>
                <w:rFonts w:cstheme="minorHAnsi"/>
                <w:sz w:val="20"/>
                <w:szCs w:val="20"/>
              </w:rPr>
            </w:pPr>
            <w:proofErr w:type="spellStart"/>
            <w:r w:rsidRPr="0056270B">
              <w:rPr>
                <w:rFonts w:cstheme="minorHAnsi"/>
                <w:sz w:val="20"/>
                <w:szCs w:val="20"/>
              </w:rPr>
              <w:t>Aktivnost</w:t>
            </w:r>
            <w:proofErr w:type="spellEnd"/>
            <w:r w:rsidRPr="0056270B">
              <w:rPr>
                <w:rFonts w:cstheme="minorHAnsi"/>
                <w:sz w:val="20"/>
                <w:szCs w:val="20"/>
              </w:rPr>
              <w:t xml:space="preserve"> </w:t>
            </w:r>
            <w:proofErr w:type="spellStart"/>
            <w:r w:rsidRPr="0056270B">
              <w:rPr>
                <w:rFonts w:cstheme="minorHAnsi"/>
                <w:sz w:val="20"/>
                <w:szCs w:val="20"/>
              </w:rPr>
              <w:t>planirana</w:t>
            </w:r>
            <w:proofErr w:type="spellEnd"/>
            <w:r w:rsidRPr="0056270B">
              <w:rPr>
                <w:rFonts w:cstheme="minorHAnsi"/>
                <w:sz w:val="20"/>
                <w:szCs w:val="20"/>
              </w:rPr>
              <w:t xml:space="preserve"> u </w:t>
            </w:r>
            <w:proofErr w:type="spellStart"/>
            <w:r w:rsidRPr="0056270B">
              <w:rPr>
                <w:rFonts w:cstheme="minorHAnsi"/>
                <w:sz w:val="20"/>
                <w:szCs w:val="20"/>
              </w:rPr>
              <w:t>sklopu</w:t>
            </w:r>
            <w:proofErr w:type="spellEnd"/>
            <w:r w:rsidRPr="0056270B">
              <w:rPr>
                <w:rFonts w:cstheme="minorHAnsi"/>
                <w:sz w:val="20"/>
                <w:szCs w:val="20"/>
              </w:rPr>
              <w:t xml:space="preserve"> </w:t>
            </w:r>
            <w:proofErr w:type="spellStart"/>
            <w:r w:rsidRPr="0056270B">
              <w:rPr>
                <w:rFonts w:cstheme="minorHAnsi"/>
                <w:sz w:val="20"/>
                <w:szCs w:val="20"/>
              </w:rPr>
              <w:t>ove</w:t>
            </w:r>
            <w:proofErr w:type="spellEnd"/>
            <w:r w:rsidRPr="0056270B">
              <w:rPr>
                <w:rFonts w:cstheme="minorHAnsi"/>
                <w:sz w:val="20"/>
                <w:szCs w:val="20"/>
              </w:rPr>
              <w:t xml:space="preserve"> </w:t>
            </w:r>
            <w:proofErr w:type="spellStart"/>
            <w:r w:rsidRPr="0056270B">
              <w:rPr>
                <w:rFonts w:cstheme="minorHAnsi"/>
                <w:sz w:val="20"/>
                <w:szCs w:val="20"/>
              </w:rPr>
              <w:t>mjere</w:t>
            </w:r>
            <w:proofErr w:type="spellEnd"/>
            <w:r w:rsidRPr="0056270B">
              <w:rPr>
                <w:rFonts w:cstheme="minorHAnsi"/>
                <w:sz w:val="20"/>
                <w:szCs w:val="20"/>
              </w:rPr>
              <w:t xml:space="preserve"> </w:t>
            </w:r>
            <w:proofErr w:type="spellStart"/>
            <w:r w:rsidRPr="0056270B">
              <w:rPr>
                <w:rFonts w:cstheme="minorHAnsi"/>
                <w:sz w:val="20"/>
                <w:szCs w:val="20"/>
              </w:rPr>
              <w:t>odnosi</w:t>
            </w:r>
            <w:proofErr w:type="spellEnd"/>
            <w:r w:rsidRPr="0056270B">
              <w:rPr>
                <w:rFonts w:cstheme="minorHAnsi"/>
                <w:sz w:val="20"/>
                <w:szCs w:val="20"/>
              </w:rPr>
              <w:t xml:space="preserve"> se </w:t>
            </w:r>
            <w:proofErr w:type="spellStart"/>
            <w:r w:rsidRPr="0056270B">
              <w:rPr>
                <w:rFonts w:cstheme="minorHAnsi"/>
                <w:sz w:val="20"/>
                <w:szCs w:val="20"/>
              </w:rPr>
              <w:t>na</w:t>
            </w:r>
            <w:proofErr w:type="spellEnd"/>
            <w:r w:rsidRPr="0056270B">
              <w:rPr>
                <w:rFonts w:cstheme="minorHAnsi"/>
                <w:sz w:val="20"/>
                <w:szCs w:val="20"/>
              </w:rPr>
              <w:t xml:space="preserve"> </w:t>
            </w:r>
            <w:proofErr w:type="spellStart"/>
            <w:r w:rsidRPr="0056270B">
              <w:rPr>
                <w:rFonts w:cstheme="minorHAnsi"/>
                <w:sz w:val="20"/>
                <w:szCs w:val="20"/>
              </w:rPr>
              <w:t>donošenje</w:t>
            </w:r>
            <w:proofErr w:type="spellEnd"/>
            <w:r w:rsidRPr="0056270B">
              <w:rPr>
                <w:rFonts w:cstheme="minorHAnsi"/>
                <w:sz w:val="20"/>
                <w:szCs w:val="20"/>
              </w:rPr>
              <w:t xml:space="preserve"> </w:t>
            </w:r>
            <w:proofErr w:type="spellStart"/>
            <w:r w:rsidRPr="0056270B">
              <w:rPr>
                <w:rFonts w:cstheme="minorHAnsi"/>
                <w:sz w:val="20"/>
                <w:szCs w:val="20"/>
              </w:rPr>
              <w:t>procedura</w:t>
            </w:r>
            <w:proofErr w:type="spellEnd"/>
            <w:r w:rsidRPr="0056270B">
              <w:rPr>
                <w:rFonts w:cstheme="minorHAnsi"/>
                <w:sz w:val="20"/>
                <w:szCs w:val="20"/>
              </w:rPr>
              <w:t xml:space="preserve"> i </w:t>
            </w:r>
            <w:proofErr w:type="spellStart"/>
            <w:r w:rsidRPr="0056270B">
              <w:rPr>
                <w:rFonts w:cstheme="minorHAnsi"/>
                <w:sz w:val="20"/>
                <w:szCs w:val="20"/>
              </w:rPr>
              <w:t>standarda</w:t>
            </w:r>
            <w:proofErr w:type="spellEnd"/>
            <w:r w:rsidRPr="0056270B">
              <w:rPr>
                <w:rFonts w:cstheme="minorHAnsi"/>
                <w:sz w:val="20"/>
                <w:szCs w:val="20"/>
              </w:rPr>
              <w:t xml:space="preserve"> za </w:t>
            </w:r>
            <w:proofErr w:type="spellStart"/>
            <w:r w:rsidRPr="0056270B">
              <w:rPr>
                <w:rFonts w:cstheme="minorHAnsi"/>
                <w:sz w:val="20"/>
                <w:szCs w:val="20"/>
              </w:rPr>
              <w:t>izgradnju</w:t>
            </w:r>
            <w:proofErr w:type="spellEnd"/>
            <w:r w:rsidRPr="0056270B">
              <w:rPr>
                <w:rFonts w:cstheme="minorHAnsi"/>
                <w:sz w:val="20"/>
                <w:szCs w:val="20"/>
              </w:rPr>
              <w:t xml:space="preserve"> </w:t>
            </w:r>
            <w:proofErr w:type="spellStart"/>
            <w:r w:rsidRPr="0056270B">
              <w:rPr>
                <w:rFonts w:cstheme="minorHAnsi"/>
                <w:sz w:val="20"/>
                <w:szCs w:val="20"/>
              </w:rPr>
              <w:t>zgrada</w:t>
            </w:r>
            <w:proofErr w:type="spellEnd"/>
            <w:r w:rsidRPr="0056270B">
              <w:rPr>
                <w:rFonts w:cstheme="minorHAnsi"/>
                <w:sz w:val="20"/>
                <w:szCs w:val="20"/>
              </w:rPr>
              <w:t xml:space="preserve"> </w:t>
            </w:r>
            <w:proofErr w:type="spellStart"/>
            <w:r w:rsidRPr="0056270B">
              <w:rPr>
                <w:rFonts w:cstheme="minorHAnsi"/>
                <w:sz w:val="20"/>
                <w:szCs w:val="20"/>
              </w:rPr>
              <w:t>gotovo</w:t>
            </w:r>
            <w:proofErr w:type="spellEnd"/>
            <w:r w:rsidRPr="0056270B">
              <w:rPr>
                <w:rFonts w:cstheme="minorHAnsi"/>
                <w:sz w:val="20"/>
                <w:szCs w:val="20"/>
              </w:rPr>
              <w:t xml:space="preserve"> </w:t>
            </w:r>
            <w:proofErr w:type="spellStart"/>
            <w:r w:rsidRPr="0056270B">
              <w:rPr>
                <w:rFonts w:cstheme="minorHAnsi"/>
                <w:sz w:val="20"/>
                <w:szCs w:val="20"/>
              </w:rPr>
              <w:t>nulte</w:t>
            </w:r>
            <w:proofErr w:type="spellEnd"/>
            <w:r w:rsidRPr="0056270B">
              <w:rPr>
                <w:rFonts w:cstheme="minorHAnsi"/>
                <w:sz w:val="20"/>
                <w:szCs w:val="20"/>
              </w:rPr>
              <w:t xml:space="preserve"> </w:t>
            </w:r>
            <w:proofErr w:type="spellStart"/>
            <w:r w:rsidRPr="0056270B">
              <w:rPr>
                <w:rFonts w:cstheme="minorHAnsi"/>
                <w:sz w:val="20"/>
                <w:szCs w:val="20"/>
              </w:rPr>
              <w:t>potrošnje</w:t>
            </w:r>
            <w:proofErr w:type="spellEnd"/>
            <w:r w:rsidRPr="0056270B">
              <w:rPr>
                <w:rFonts w:cstheme="minorHAnsi"/>
                <w:sz w:val="20"/>
                <w:szCs w:val="20"/>
              </w:rPr>
              <w:t xml:space="preserve"> energije (</w:t>
            </w:r>
            <w:proofErr w:type="spellStart"/>
            <w:r w:rsidRPr="0056270B">
              <w:rPr>
                <w:rFonts w:cstheme="minorHAnsi"/>
                <w:sz w:val="20"/>
                <w:szCs w:val="20"/>
              </w:rPr>
              <w:t>nZEB</w:t>
            </w:r>
            <w:proofErr w:type="spellEnd"/>
            <w:r w:rsidRPr="0056270B">
              <w:rPr>
                <w:rFonts w:cstheme="minorHAnsi"/>
                <w:sz w:val="20"/>
                <w:szCs w:val="20"/>
              </w:rPr>
              <w:t xml:space="preserve">) i </w:t>
            </w:r>
            <w:proofErr w:type="spellStart"/>
            <w:r w:rsidRPr="0056270B">
              <w:rPr>
                <w:rFonts w:cstheme="minorHAnsi"/>
                <w:sz w:val="20"/>
                <w:szCs w:val="20"/>
              </w:rPr>
              <w:t>zgrada</w:t>
            </w:r>
            <w:proofErr w:type="spellEnd"/>
            <w:r w:rsidRPr="0056270B">
              <w:rPr>
                <w:rFonts w:cstheme="minorHAnsi"/>
                <w:sz w:val="20"/>
                <w:szCs w:val="20"/>
              </w:rPr>
              <w:t xml:space="preserve"> </w:t>
            </w:r>
            <w:proofErr w:type="spellStart"/>
            <w:r w:rsidRPr="0056270B">
              <w:rPr>
                <w:rFonts w:cstheme="minorHAnsi"/>
                <w:sz w:val="20"/>
                <w:szCs w:val="20"/>
              </w:rPr>
              <w:t>nulte</w:t>
            </w:r>
            <w:proofErr w:type="spellEnd"/>
            <w:r w:rsidRPr="0056270B">
              <w:rPr>
                <w:rFonts w:cstheme="minorHAnsi"/>
                <w:sz w:val="20"/>
                <w:szCs w:val="20"/>
              </w:rPr>
              <w:t xml:space="preserve"> </w:t>
            </w:r>
            <w:proofErr w:type="spellStart"/>
            <w:r w:rsidRPr="0056270B">
              <w:rPr>
                <w:rFonts w:cstheme="minorHAnsi"/>
                <w:sz w:val="20"/>
                <w:szCs w:val="20"/>
              </w:rPr>
              <w:t>potrošnje</w:t>
            </w:r>
            <w:proofErr w:type="spellEnd"/>
            <w:r w:rsidRPr="0056270B">
              <w:rPr>
                <w:rFonts w:cstheme="minorHAnsi"/>
                <w:sz w:val="20"/>
                <w:szCs w:val="20"/>
              </w:rPr>
              <w:t xml:space="preserve"> energije, </w:t>
            </w:r>
            <w:proofErr w:type="spellStart"/>
            <w:r w:rsidRPr="0056270B">
              <w:rPr>
                <w:rFonts w:cstheme="minorHAnsi"/>
                <w:sz w:val="20"/>
                <w:szCs w:val="20"/>
              </w:rPr>
              <w:t>što</w:t>
            </w:r>
            <w:proofErr w:type="spellEnd"/>
            <w:r w:rsidRPr="0056270B">
              <w:rPr>
                <w:rFonts w:cstheme="minorHAnsi"/>
                <w:sz w:val="20"/>
                <w:szCs w:val="20"/>
              </w:rPr>
              <w:t xml:space="preserve"> </w:t>
            </w:r>
            <w:proofErr w:type="spellStart"/>
            <w:r w:rsidRPr="0056270B">
              <w:rPr>
                <w:rFonts w:cstheme="minorHAnsi"/>
                <w:sz w:val="20"/>
                <w:szCs w:val="20"/>
              </w:rPr>
              <w:t>podrazumijeva</w:t>
            </w:r>
            <w:proofErr w:type="spellEnd"/>
            <w:r w:rsidRPr="0056270B">
              <w:rPr>
                <w:rFonts w:cstheme="minorHAnsi"/>
                <w:sz w:val="20"/>
                <w:szCs w:val="20"/>
              </w:rPr>
              <w:t>:</w:t>
            </w:r>
          </w:p>
          <w:p w14:paraId="1F212411"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Izmjene i dopune postojeće legislative u cilju donošenja procedura i standarda za izgradnju zgrada  nZEB i zgrada nulte potrošnje energije;</w:t>
            </w:r>
          </w:p>
          <w:p w14:paraId="55716316"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Usklađivanje kantonalnih zakona o građenju sa procedurama i standardima za zgrade nZEB i zgrade nulte potrošnje energije;</w:t>
            </w:r>
          </w:p>
          <w:p w14:paraId="79F324B2"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 xml:space="preserve">Konsultacije sa stručnom javnošću i građevinskim sektorom s ciljem stvaranje preduvjeta za izgradnju nZEB zgrada; </w:t>
            </w:r>
          </w:p>
          <w:p w14:paraId="7FD3BB78"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Otvoreni dijalog partnera - radionice koje će okupiti dionike tijela javne i lokalne uprave, građevinskog sektora, energetskog sektora te obrazovnih i drugih javnih institucija, kako bi se zajedničkim dijalogom razvila adekvatna nacionalna definicija zgrade s gotovo nultom potrošnjom energije i smjernice za transformaciju postojećeg fonda zgrada u EE i dekarboniziran fond zgrada do 2050. godine;</w:t>
            </w:r>
          </w:p>
          <w:p w14:paraId="78CBDFB4"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Izradu smjernica o nZEB i zgradama nulte potrošnje za investitore i projektante koje će dati stručnu, preglednu i nedvosmislenu informaciju o nZEB zgradama;</w:t>
            </w:r>
          </w:p>
          <w:p w14:paraId="4051F8FF"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Povećanje udjela OIE u sektoru zgradarstva;</w:t>
            </w:r>
          </w:p>
          <w:p w14:paraId="23CA2B2D"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Primjenu EUROCODES  koji pružaju zajednički pristup za projektiranje zgrada i drugih građevinskih radova i građevinskih proizvoda, kao preporučeni način usklađenosti sa osnovnim zahtjevima Direktive o građevinskim proizvodima za građevinske radove i proizvode koji nose oznaku CE, kao i tehničke specifikacije u javnim ugovorima;</w:t>
            </w:r>
          </w:p>
          <w:p w14:paraId="1DE71D57" w14:textId="7A2AFCFF"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 xml:space="preserve">Promoviranje izgradnje novih zgrada gotovo nulte energije kroz namjenske </w:t>
            </w:r>
            <w:r w:rsidR="007B690C" w:rsidRPr="0056270B">
              <w:rPr>
                <w:rFonts w:cstheme="minorHAnsi"/>
                <w:sz w:val="20"/>
                <w:szCs w:val="20"/>
              </w:rPr>
              <w:t>financ</w:t>
            </w:r>
            <w:r w:rsidRPr="0056270B">
              <w:rPr>
                <w:rFonts w:cstheme="minorHAnsi"/>
                <w:sz w:val="20"/>
                <w:szCs w:val="20"/>
              </w:rPr>
              <w:t>ijske podsticaje;</w:t>
            </w:r>
          </w:p>
          <w:p w14:paraId="465D4ABA" w14:textId="77777777" w:rsidR="00A00D87" w:rsidRPr="0056270B" w:rsidRDefault="00A00D87" w:rsidP="00A00D87">
            <w:pPr>
              <w:pStyle w:val="ListParagraph"/>
              <w:numPr>
                <w:ilvl w:val="0"/>
                <w:numId w:val="50"/>
              </w:numPr>
              <w:ind w:right="32"/>
              <w:jc w:val="both"/>
              <w:rPr>
                <w:rFonts w:cstheme="minorHAnsi"/>
                <w:sz w:val="20"/>
                <w:szCs w:val="20"/>
              </w:rPr>
            </w:pPr>
            <w:r w:rsidRPr="0056270B">
              <w:rPr>
                <w:rFonts w:cstheme="minorHAnsi"/>
                <w:sz w:val="20"/>
                <w:szCs w:val="20"/>
              </w:rPr>
              <w:t>Podizanje svijesti o  nZEB standardima kojim će se informirati javnost o značenju energijskih certifikata te njihovom značaju u energijskoj obnovi i dokazivanju nZEB standarda od strane FZO FBiH i FMPU.</w:t>
            </w:r>
          </w:p>
        </w:tc>
      </w:tr>
      <w:bookmarkEnd w:id="268"/>
      <w:tr w:rsidR="00A00D87" w:rsidRPr="0056270B" w14:paraId="79C121B8"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86B995"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Strateški</w:t>
            </w:r>
            <w:proofErr w:type="spellEnd"/>
            <w:r w:rsidRPr="0056270B">
              <w:rPr>
                <w:rFonts w:cstheme="minorHAnsi"/>
                <w:b/>
                <w:sz w:val="20"/>
                <w:szCs w:val="20"/>
              </w:rPr>
              <w:t xml:space="preserve"> </w:t>
            </w:r>
            <w:proofErr w:type="spellStart"/>
            <w:r w:rsidRPr="0056270B">
              <w:rPr>
                <w:rFonts w:cstheme="minorHAnsi"/>
                <w:b/>
                <w:sz w:val="20"/>
                <w:szCs w:val="20"/>
              </w:rPr>
              <w:t>projekti</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208A6E96" w14:textId="77777777" w:rsidR="00A00D87" w:rsidRPr="0056270B" w:rsidRDefault="00A00D87" w:rsidP="00122946">
            <w:pPr>
              <w:spacing w:line="259" w:lineRule="auto"/>
              <w:ind w:left="1"/>
              <w:rPr>
                <w:rFonts w:cstheme="minorHAnsi"/>
                <w:sz w:val="20"/>
                <w:szCs w:val="20"/>
              </w:rPr>
            </w:pPr>
            <w:r w:rsidRPr="0056270B">
              <w:rPr>
                <w:rFonts w:cstheme="minorHAnsi"/>
                <w:sz w:val="20"/>
                <w:szCs w:val="20"/>
              </w:rPr>
              <w:t xml:space="preserve"> -</w:t>
            </w:r>
          </w:p>
        </w:tc>
      </w:tr>
      <w:tr w:rsidR="00A00D87" w:rsidRPr="0056270B" w14:paraId="5BE056C4" w14:textId="77777777" w:rsidTr="00122946">
        <w:trPr>
          <w:trHeight w:val="423"/>
        </w:trPr>
        <w:tc>
          <w:tcPr>
            <w:tcW w:w="1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13776A6"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Indikatori</w:t>
            </w:r>
            <w:proofErr w:type="spellEnd"/>
            <w:r w:rsidRPr="0056270B">
              <w:rPr>
                <w:rFonts w:cstheme="minorHAnsi"/>
                <w:b/>
                <w:sz w:val="20"/>
                <w:szCs w:val="20"/>
              </w:rPr>
              <w:t xml:space="preserve"> za </w:t>
            </w:r>
            <w:proofErr w:type="spellStart"/>
            <w:r w:rsidRPr="0056270B">
              <w:rPr>
                <w:rFonts w:cstheme="minorHAnsi"/>
                <w:b/>
                <w:sz w:val="20"/>
                <w:szCs w:val="20"/>
              </w:rPr>
              <w:t>praćenje</w:t>
            </w:r>
            <w:proofErr w:type="spellEnd"/>
            <w:r w:rsidRPr="0056270B">
              <w:rPr>
                <w:rFonts w:cstheme="minorHAnsi"/>
                <w:b/>
                <w:sz w:val="20"/>
                <w:szCs w:val="20"/>
              </w:rPr>
              <w:t xml:space="preserve"> </w:t>
            </w:r>
            <w:proofErr w:type="spellStart"/>
            <w:r w:rsidRPr="0056270B">
              <w:rPr>
                <w:rFonts w:cstheme="minorHAnsi"/>
                <w:b/>
                <w:sz w:val="20"/>
                <w:szCs w:val="20"/>
              </w:rPr>
              <w:t>rezultata</w:t>
            </w:r>
            <w:proofErr w:type="spellEnd"/>
            <w:r w:rsidRPr="0056270B">
              <w:rPr>
                <w:rFonts w:cstheme="minorHAnsi"/>
                <w:b/>
                <w:sz w:val="20"/>
                <w:szCs w:val="20"/>
              </w:rPr>
              <w:t xml:space="preserve"> </w:t>
            </w:r>
            <w:proofErr w:type="spellStart"/>
            <w:r w:rsidRPr="0056270B">
              <w:rPr>
                <w:rFonts w:cstheme="minorHAnsi"/>
                <w:b/>
                <w:sz w:val="20"/>
                <w:szCs w:val="20"/>
              </w:rPr>
              <w:t>mjere</w:t>
            </w:r>
            <w:proofErr w:type="spellEnd"/>
            <w:r w:rsidRPr="0056270B">
              <w:rPr>
                <w:rFonts w:cstheme="minorHAnsi"/>
                <w:b/>
                <w:sz w:val="20"/>
                <w:szCs w:val="20"/>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7CF79DF" w14:textId="77777777" w:rsidR="00A00D87" w:rsidRPr="0056270B" w:rsidRDefault="00A00D87" w:rsidP="00122946">
            <w:pPr>
              <w:spacing w:line="259" w:lineRule="auto"/>
              <w:ind w:right="39"/>
              <w:jc w:val="center"/>
              <w:rPr>
                <w:rFonts w:cstheme="minorHAnsi"/>
                <w:sz w:val="20"/>
                <w:szCs w:val="20"/>
              </w:rPr>
            </w:pPr>
            <w:proofErr w:type="spellStart"/>
            <w:r w:rsidRPr="0056270B">
              <w:rPr>
                <w:rFonts w:cstheme="minorHAnsi"/>
                <w:b/>
                <w:sz w:val="20"/>
                <w:szCs w:val="20"/>
              </w:rPr>
              <w:t>Indikatori</w:t>
            </w:r>
            <w:proofErr w:type="spellEnd"/>
            <w:r w:rsidRPr="0056270B">
              <w:rPr>
                <w:rFonts w:cstheme="minorHAnsi"/>
                <w:b/>
                <w:sz w:val="20"/>
                <w:szCs w:val="20"/>
              </w:rPr>
              <w:t xml:space="preserve"> </w:t>
            </w:r>
          </w:p>
        </w:tc>
        <w:tc>
          <w:tcPr>
            <w:tcW w:w="206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7D83495C" w14:textId="77777777" w:rsidR="00A00D87" w:rsidRPr="0056270B" w:rsidRDefault="00A00D87" w:rsidP="00122946">
            <w:pPr>
              <w:spacing w:line="259" w:lineRule="auto"/>
              <w:jc w:val="center"/>
              <w:rPr>
                <w:rFonts w:cstheme="minorHAnsi"/>
                <w:sz w:val="20"/>
                <w:szCs w:val="20"/>
              </w:rPr>
            </w:pPr>
            <w:proofErr w:type="spellStart"/>
            <w:r w:rsidRPr="0056270B">
              <w:rPr>
                <w:rFonts w:cstheme="minorHAnsi"/>
                <w:b/>
                <w:sz w:val="20"/>
                <w:szCs w:val="20"/>
              </w:rPr>
              <w:t>Polazne</w:t>
            </w:r>
            <w:proofErr w:type="spellEnd"/>
            <w:r w:rsidRPr="0056270B">
              <w:rPr>
                <w:rFonts w:cstheme="minorHAnsi"/>
                <w:b/>
                <w:sz w:val="20"/>
                <w:szCs w:val="20"/>
              </w:rPr>
              <w:t xml:space="preserve"> </w:t>
            </w:r>
            <w:proofErr w:type="spellStart"/>
            <w:r w:rsidRPr="0056270B">
              <w:rPr>
                <w:rFonts w:cstheme="minorHAnsi"/>
                <w:b/>
                <w:sz w:val="20"/>
                <w:szCs w:val="20"/>
              </w:rPr>
              <w:t>vrijednosti</w:t>
            </w:r>
            <w:proofErr w:type="spellEnd"/>
            <w:r w:rsidRPr="0056270B">
              <w:rPr>
                <w:rFonts w:cstheme="minorHAnsi"/>
                <w:b/>
                <w:sz w:val="20"/>
                <w:szCs w:val="20"/>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0A24290" w14:textId="77777777" w:rsidR="00A00D87" w:rsidRPr="0056270B" w:rsidRDefault="00A00D87" w:rsidP="00122946">
            <w:pPr>
              <w:spacing w:line="259" w:lineRule="auto"/>
              <w:jc w:val="center"/>
              <w:rPr>
                <w:rFonts w:cstheme="minorHAnsi"/>
                <w:sz w:val="20"/>
                <w:szCs w:val="20"/>
              </w:rPr>
            </w:pPr>
            <w:proofErr w:type="spellStart"/>
            <w:r w:rsidRPr="0056270B">
              <w:rPr>
                <w:rFonts w:cstheme="minorHAnsi"/>
                <w:b/>
                <w:sz w:val="20"/>
                <w:szCs w:val="20"/>
              </w:rPr>
              <w:t>Ciljne</w:t>
            </w:r>
            <w:proofErr w:type="spellEnd"/>
            <w:r w:rsidRPr="0056270B">
              <w:rPr>
                <w:rFonts w:cstheme="minorHAnsi"/>
                <w:b/>
                <w:sz w:val="20"/>
                <w:szCs w:val="20"/>
              </w:rPr>
              <w:t xml:space="preserve"> </w:t>
            </w:r>
            <w:proofErr w:type="spellStart"/>
            <w:r w:rsidRPr="0056270B">
              <w:rPr>
                <w:rFonts w:cstheme="minorHAnsi"/>
                <w:b/>
                <w:sz w:val="20"/>
                <w:szCs w:val="20"/>
              </w:rPr>
              <w:t>vrijednosti</w:t>
            </w:r>
            <w:proofErr w:type="spellEnd"/>
            <w:r w:rsidRPr="0056270B">
              <w:rPr>
                <w:rFonts w:cstheme="minorHAnsi"/>
                <w:b/>
                <w:sz w:val="20"/>
                <w:szCs w:val="20"/>
              </w:rPr>
              <w:t xml:space="preserve">***  </w:t>
            </w:r>
          </w:p>
        </w:tc>
      </w:tr>
      <w:tr w:rsidR="00A00D87" w:rsidRPr="0056270B" w14:paraId="4D6E62D1" w14:textId="77777777" w:rsidTr="00122946">
        <w:trPr>
          <w:trHeight w:val="425"/>
        </w:trPr>
        <w:tc>
          <w:tcPr>
            <w:tcW w:w="0" w:type="auto"/>
            <w:vMerge/>
            <w:tcBorders>
              <w:left w:val="single" w:sz="4" w:space="0" w:color="000000"/>
              <w:right w:val="single" w:sz="4" w:space="0" w:color="000000"/>
            </w:tcBorders>
            <w:shd w:val="clear" w:color="auto" w:fill="D9D9D9" w:themeFill="background1" w:themeFillShade="D9"/>
          </w:tcPr>
          <w:p w14:paraId="486D8FD8" w14:textId="77777777" w:rsidR="00A00D87" w:rsidRPr="0056270B" w:rsidRDefault="00A00D87" w:rsidP="00122946">
            <w:pPr>
              <w:spacing w:after="160" w:line="259" w:lineRule="auto"/>
              <w:rPr>
                <w:rFonts w:cstheme="minorHAnsi"/>
                <w:sz w:val="20"/>
                <w:szCs w:val="20"/>
              </w:rPr>
            </w:pPr>
          </w:p>
        </w:tc>
        <w:tc>
          <w:tcPr>
            <w:tcW w:w="3710" w:type="dxa"/>
            <w:tcBorders>
              <w:top w:val="single" w:sz="4" w:space="0" w:color="000000"/>
              <w:left w:val="single" w:sz="4" w:space="0" w:color="000000"/>
              <w:bottom w:val="single" w:sz="4" w:space="0" w:color="BFBFBF"/>
              <w:right w:val="single" w:sz="4" w:space="0" w:color="000000"/>
            </w:tcBorders>
          </w:tcPr>
          <w:p w14:paraId="2E3427DD" w14:textId="77777777" w:rsidR="00A00D87" w:rsidRPr="0056270B" w:rsidRDefault="00A00D87" w:rsidP="00122946">
            <w:pPr>
              <w:spacing w:line="259" w:lineRule="auto"/>
              <w:ind w:left="1"/>
              <w:rPr>
                <w:rFonts w:cstheme="minorHAnsi"/>
                <w:sz w:val="20"/>
                <w:szCs w:val="20"/>
              </w:rPr>
            </w:pPr>
            <w:r w:rsidRPr="0056270B">
              <w:rPr>
                <w:rFonts w:cstheme="minorHAnsi"/>
                <w:sz w:val="20"/>
                <w:szCs w:val="20"/>
              </w:rPr>
              <w:t xml:space="preserve">Status </w:t>
            </w:r>
            <w:proofErr w:type="spellStart"/>
            <w:r w:rsidRPr="0056270B">
              <w:rPr>
                <w:rFonts w:cstheme="minorHAnsi"/>
                <w:sz w:val="20"/>
                <w:szCs w:val="20"/>
              </w:rPr>
              <w:t>procedura</w:t>
            </w:r>
            <w:proofErr w:type="spellEnd"/>
            <w:r w:rsidRPr="0056270B">
              <w:rPr>
                <w:rFonts w:cstheme="minorHAnsi"/>
                <w:sz w:val="20"/>
                <w:szCs w:val="20"/>
              </w:rPr>
              <w:t xml:space="preserve"> za </w:t>
            </w:r>
            <w:proofErr w:type="spellStart"/>
            <w:r w:rsidRPr="0056270B">
              <w:rPr>
                <w:rFonts w:cstheme="minorHAnsi"/>
                <w:sz w:val="20"/>
                <w:szCs w:val="20"/>
              </w:rPr>
              <w:t>nZEB</w:t>
            </w:r>
            <w:proofErr w:type="spellEnd"/>
          </w:p>
        </w:tc>
        <w:tc>
          <w:tcPr>
            <w:tcW w:w="2068" w:type="dxa"/>
            <w:tcBorders>
              <w:top w:val="single" w:sz="4" w:space="0" w:color="auto"/>
              <w:left w:val="single" w:sz="4" w:space="0" w:color="000000"/>
              <w:bottom w:val="single" w:sz="4" w:space="0" w:color="BFBFBF"/>
              <w:right w:val="single" w:sz="4" w:space="0" w:color="000000"/>
            </w:tcBorders>
            <w:vAlign w:val="center"/>
          </w:tcPr>
          <w:p w14:paraId="21EA0D52" w14:textId="77777777" w:rsidR="00A00D87" w:rsidRPr="0056270B" w:rsidRDefault="00A00D87" w:rsidP="00122946">
            <w:pPr>
              <w:spacing w:line="259" w:lineRule="auto"/>
              <w:ind w:right="40"/>
              <w:jc w:val="center"/>
              <w:rPr>
                <w:rFonts w:cstheme="minorHAnsi"/>
                <w:sz w:val="20"/>
                <w:szCs w:val="20"/>
              </w:rPr>
            </w:pPr>
            <w:proofErr w:type="spellStart"/>
            <w:r w:rsidRPr="0056270B">
              <w:rPr>
                <w:rFonts w:cstheme="minorHAnsi"/>
                <w:sz w:val="20"/>
                <w:szCs w:val="20"/>
              </w:rPr>
              <w:t>Nisu</w:t>
            </w:r>
            <w:proofErr w:type="spellEnd"/>
            <w:r w:rsidRPr="0056270B">
              <w:rPr>
                <w:rFonts w:cstheme="minorHAnsi"/>
                <w:sz w:val="20"/>
                <w:szCs w:val="20"/>
              </w:rPr>
              <w:t xml:space="preserve"> </w:t>
            </w:r>
            <w:proofErr w:type="spellStart"/>
            <w:r w:rsidRPr="0056270B">
              <w:rPr>
                <w:rFonts w:cstheme="minorHAnsi"/>
                <w:sz w:val="20"/>
                <w:szCs w:val="20"/>
              </w:rPr>
              <w:t>donesene</w:t>
            </w:r>
            <w:proofErr w:type="spellEnd"/>
          </w:p>
        </w:tc>
        <w:tc>
          <w:tcPr>
            <w:tcW w:w="1471" w:type="dxa"/>
            <w:tcBorders>
              <w:top w:val="single" w:sz="4" w:space="0" w:color="000000"/>
              <w:left w:val="single" w:sz="4" w:space="0" w:color="000000"/>
              <w:bottom w:val="single" w:sz="4" w:space="0" w:color="BFBFBF"/>
              <w:right w:val="single" w:sz="4" w:space="0" w:color="000000"/>
            </w:tcBorders>
            <w:vAlign w:val="center"/>
          </w:tcPr>
          <w:p w14:paraId="2B0DD9EF" w14:textId="77777777" w:rsidR="00A00D87" w:rsidRPr="0056270B" w:rsidRDefault="00A00D87" w:rsidP="00122946">
            <w:pPr>
              <w:spacing w:line="259" w:lineRule="auto"/>
              <w:jc w:val="center"/>
              <w:rPr>
                <w:rFonts w:cstheme="minorHAnsi"/>
                <w:sz w:val="20"/>
                <w:szCs w:val="20"/>
              </w:rPr>
            </w:pPr>
            <w:proofErr w:type="spellStart"/>
            <w:r w:rsidRPr="0056270B">
              <w:rPr>
                <w:rFonts w:cstheme="minorHAnsi"/>
                <w:sz w:val="20"/>
                <w:szCs w:val="20"/>
              </w:rPr>
              <w:t>Usvojene</w:t>
            </w:r>
            <w:proofErr w:type="spellEnd"/>
          </w:p>
        </w:tc>
      </w:tr>
      <w:tr w:rsidR="00A00D87" w:rsidRPr="0056270B" w14:paraId="686BEBDA"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ED1C039"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Razvojni</w:t>
            </w:r>
            <w:proofErr w:type="spellEnd"/>
            <w:r w:rsidRPr="0056270B">
              <w:rPr>
                <w:rFonts w:cstheme="minorHAnsi"/>
                <w:b/>
                <w:sz w:val="20"/>
                <w:szCs w:val="20"/>
              </w:rPr>
              <w:t xml:space="preserve"> </w:t>
            </w:r>
            <w:proofErr w:type="spellStart"/>
            <w:r w:rsidRPr="0056270B">
              <w:rPr>
                <w:rFonts w:cstheme="minorHAnsi"/>
                <w:b/>
                <w:sz w:val="20"/>
                <w:szCs w:val="20"/>
              </w:rPr>
              <w:t>efekat</w:t>
            </w:r>
            <w:proofErr w:type="spellEnd"/>
            <w:r w:rsidRPr="0056270B">
              <w:rPr>
                <w:rFonts w:cstheme="minorHAnsi"/>
                <w:b/>
                <w:sz w:val="20"/>
                <w:szCs w:val="20"/>
              </w:rPr>
              <w:t xml:space="preserve"> i </w:t>
            </w:r>
            <w:proofErr w:type="spellStart"/>
            <w:r w:rsidRPr="0056270B">
              <w:rPr>
                <w:rFonts w:cstheme="minorHAnsi"/>
                <w:b/>
                <w:sz w:val="20"/>
                <w:szCs w:val="20"/>
              </w:rPr>
              <w:t>doprinos</w:t>
            </w:r>
            <w:proofErr w:type="spellEnd"/>
            <w:r w:rsidRPr="0056270B">
              <w:rPr>
                <w:rFonts w:cstheme="minorHAnsi"/>
                <w:b/>
                <w:sz w:val="20"/>
                <w:szCs w:val="20"/>
              </w:rPr>
              <w:t xml:space="preserve"> </w:t>
            </w:r>
            <w:proofErr w:type="spellStart"/>
            <w:r w:rsidRPr="0056270B">
              <w:rPr>
                <w:rFonts w:cstheme="minorHAnsi"/>
                <w:b/>
                <w:sz w:val="20"/>
                <w:szCs w:val="20"/>
              </w:rPr>
              <w:t>mjere</w:t>
            </w:r>
            <w:proofErr w:type="spellEnd"/>
            <w:r w:rsidRPr="0056270B">
              <w:rPr>
                <w:rFonts w:cstheme="minorHAnsi"/>
                <w:b/>
                <w:sz w:val="20"/>
                <w:szCs w:val="20"/>
              </w:rPr>
              <w:t xml:space="preserve"> </w:t>
            </w:r>
            <w:proofErr w:type="spellStart"/>
            <w:r w:rsidRPr="0056270B">
              <w:rPr>
                <w:rFonts w:cstheme="minorHAnsi"/>
                <w:b/>
                <w:sz w:val="20"/>
                <w:szCs w:val="20"/>
              </w:rPr>
              <w:t>ostvarenju</w:t>
            </w:r>
            <w:proofErr w:type="spellEnd"/>
            <w:r w:rsidRPr="0056270B">
              <w:rPr>
                <w:rFonts w:cstheme="minorHAnsi"/>
                <w:b/>
                <w:sz w:val="20"/>
                <w:szCs w:val="20"/>
              </w:rPr>
              <w:t xml:space="preserve"> </w:t>
            </w:r>
            <w:proofErr w:type="spellStart"/>
            <w:r w:rsidRPr="0056270B">
              <w:rPr>
                <w:rFonts w:cstheme="minorHAnsi"/>
                <w:b/>
                <w:sz w:val="20"/>
                <w:szCs w:val="20"/>
              </w:rPr>
              <w:t>prioriteta</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6FC80B71" w14:textId="77777777" w:rsidR="00A00D87" w:rsidRPr="0056270B" w:rsidRDefault="00A00D87" w:rsidP="00E6560A">
            <w:pPr>
              <w:spacing w:line="259" w:lineRule="auto"/>
              <w:ind w:left="1"/>
              <w:jc w:val="both"/>
              <w:rPr>
                <w:rFonts w:cstheme="minorHAnsi"/>
                <w:sz w:val="20"/>
                <w:szCs w:val="20"/>
              </w:rPr>
            </w:pPr>
            <w:bookmarkStart w:id="269" w:name="_Hlk126240705"/>
            <w:proofErr w:type="spellStart"/>
            <w:r w:rsidRPr="0056270B">
              <w:rPr>
                <w:rFonts w:cstheme="minorHAnsi"/>
                <w:sz w:val="20"/>
                <w:szCs w:val="20"/>
              </w:rPr>
              <w:t>Značajno</w:t>
            </w:r>
            <w:proofErr w:type="spellEnd"/>
            <w:r w:rsidRPr="0056270B">
              <w:rPr>
                <w:rFonts w:cstheme="minorHAnsi"/>
                <w:sz w:val="20"/>
                <w:szCs w:val="20"/>
              </w:rPr>
              <w:t xml:space="preserve"> </w:t>
            </w:r>
            <w:proofErr w:type="spellStart"/>
            <w:r w:rsidRPr="0056270B">
              <w:rPr>
                <w:rFonts w:cstheme="minorHAnsi"/>
                <w:sz w:val="20"/>
                <w:szCs w:val="20"/>
              </w:rPr>
              <w:t>niži</w:t>
            </w:r>
            <w:proofErr w:type="spellEnd"/>
            <w:r w:rsidRPr="0056270B">
              <w:rPr>
                <w:rFonts w:cstheme="minorHAnsi"/>
                <w:sz w:val="20"/>
                <w:szCs w:val="20"/>
              </w:rPr>
              <w:t xml:space="preserve"> </w:t>
            </w:r>
            <w:proofErr w:type="spellStart"/>
            <w:r w:rsidRPr="0056270B">
              <w:rPr>
                <w:rFonts w:cstheme="minorHAnsi"/>
                <w:sz w:val="20"/>
                <w:szCs w:val="20"/>
              </w:rPr>
              <w:t>troškovi</w:t>
            </w:r>
            <w:proofErr w:type="spellEnd"/>
            <w:r w:rsidRPr="0056270B">
              <w:rPr>
                <w:rFonts w:cstheme="minorHAnsi"/>
                <w:sz w:val="20"/>
                <w:szCs w:val="20"/>
              </w:rPr>
              <w:t xml:space="preserve"> za </w:t>
            </w:r>
            <w:proofErr w:type="spellStart"/>
            <w:r w:rsidRPr="0056270B">
              <w:rPr>
                <w:rFonts w:cstheme="minorHAnsi"/>
                <w:sz w:val="20"/>
                <w:szCs w:val="20"/>
              </w:rPr>
              <w:t>korištenje</w:t>
            </w:r>
            <w:proofErr w:type="spellEnd"/>
            <w:r w:rsidRPr="0056270B">
              <w:rPr>
                <w:rFonts w:cstheme="minorHAnsi"/>
                <w:sz w:val="20"/>
                <w:szCs w:val="20"/>
              </w:rPr>
              <w:t xml:space="preserve"> energije, </w:t>
            </w:r>
            <w:proofErr w:type="spellStart"/>
            <w:r w:rsidRPr="0056270B">
              <w:rPr>
                <w:rFonts w:cstheme="minorHAnsi"/>
                <w:sz w:val="20"/>
                <w:szCs w:val="20"/>
              </w:rPr>
              <w:t>kao</w:t>
            </w:r>
            <w:proofErr w:type="spellEnd"/>
            <w:r w:rsidRPr="0056270B">
              <w:rPr>
                <w:rFonts w:cstheme="minorHAnsi"/>
                <w:sz w:val="20"/>
                <w:szCs w:val="20"/>
              </w:rPr>
              <w:t xml:space="preserve"> i </w:t>
            </w:r>
            <w:proofErr w:type="spellStart"/>
            <w:r w:rsidRPr="0056270B">
              <w:rPr>
                <w:rFonts w:cstheme="minorHAnsi"/>
                <w:sz w:val="20"/>
                <w:szCs w:val="20"/>
              </w:rPr>
              <w:t>doprinos</w:t>
            </w:r>
            <w:proofErr w:type="spellEnd"/>
            <w:r w:rsidRPr="0056270B">
              <w:rPr>
                <w:rFonts w:cstheme="minorHAnsi"/>
                <w:sz w:val="20"/>
                <w:szCs w:val="20"/>
              </w:rPr>
              <w:t xml:space="preserve"> </w:t>
            </w:r>
            <w:bookmarkEnd w:id="269"/>
            <w:proofErr w:type="spellStart"/>
            <w:r w:rsidRPr="0056270B">
              <w:rPr>
                <w:rFonts w:cstheme="minorHAnsi"/>
                <w:sz w:val="20"/>
                <w:szCs w:val="20"/>
              </w:rPr>
              <w:t>niskoemisionom</w:t>
            </w:r>
            <w:proofErr w:type="spellEnd"/>
            <w:r w:rsidRPr="0056270B">
              <w:rPr>
                <w:rFonts w:cstheme="minorHAnsi"/>
                <w:sz w:val="20"/>
                <w:szCs w:val="20"/>
              </w:rPr>
              <w:t xml:space="preserve"> </w:t>
            </w:r>
            <w:proofErr w:type="spellStart"/>
            <w:r w:rsidRPr="0056270B">
              <w:rPr>
                <w:rFonts w:cstheme="minorHAnsi"/>
                <w:sz w:val="20"/>
                <w:szCs w:val="20"/>
              </w:rPr>
              <w:t>razvoju</w:t>
            </w:r>
            <w:proofErr w:type="spellEnd"/>
            <w:r w:rsidRPr="0056270B">
              <w:rPr>
                <w:rFonts w:cstheme="minorHAnsi"/>
                <w:sz w:val="20"/>
                <w:szCs w:val="20"/>
              </w:rPr>
              <w:t xml:space="preserve"> FBiH.</w:t>
            </w:r>
          </w:p>
        </w:tc>
      </w:tr>
      <w:tr w:rsidR="00A00D87" w:rsidRPr="0056270B" w14:paraId="7D1F5D28" w14:textId="77777777" w:rsidTr="002D6136">
        <w:trPr>
          <w:trHeight w:val="52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F440980" w14:textId="695D731F"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Indikativna</w:t>
            </w:r>
            <w:proofErr w:type="spellEnd"/>
            <w:r w:rsidRPr="0056270B">
              <w:rPr>
                <w:rFonts w:cstheme="minorHAnsi"/>
                <w:b/>
                <w:sz w:val="20"/>
                <w:szCs w:val="20"/>
              </w:rPr>
              <w:t xml:space="preserve"> </w:t>
            </w:r>
            <w:proofErr w:type="spellStart"/>
            <w:r w:rsidR="007B690C" w:rsidRPr="0056270B">
              <w:rPr>
                <w:rFonts w:cstheme="minorHAnsi"/>
                <w:b/>
                <w:sz w:val="20"/>
                <w:szCs w:val="20"/>
              </w:rPr>
              <w:t>financ</w:t>
            </w:r>
            <w:r w:rsidRPr="0056270B">
              <w:rPr>
                <w:rFonts w:cstheme="minorHAnsi"/>
                <w:b/>
                <w:sz w:val="20"/>
                <w:szCs w:val="20"/>
              </w:rPr>
              <w:t>ijska</w:t>
            </w:r>
            <w:proofErr w:type="spellEnd"/>
            <w:r w:rsidRPr="0056270B">
              <w:rPr>
                <w:rFonts w:cstheme="minorHAnsi"/>
                <w:b/>
                <w:sz w:val="20"/>
                <w:szCs w:val="20"/>
              </w:rPr>
              <w:t xml:space="preserve"> </w:t>
            </w:r>
            <w:proofErr w:type="spellStart"/>
            <w:r w:rsidRPr="0056270B">
              <w:rPr>
                <w:rFonts w:cstheme="minorHAnsi"/>
                <w:b/>
                <w:sz w:val="20"/>
                <w:szCs w:val="20"/>
              </w:rPr>
              <w:t>konstrukcija</w:t>
            </w:r>
            <w:proofErr w:type="spellEnd"/>
            <w:r w:rsidRPr="0056270B">
              <w:rPr>
                <w:rFonts w:cstheme="minorHAnsi"/>
                <w:b/>
                <w:sz w:val="20"/>
                <w:szCs w:val="20"/>
              </w:rPr>
              <w:t xml:space="preserve"> </w:t>
            </w:r>
            <w:proofErr w:type="spellStart"/>
            <w:r w:rsidRPr="0056270B">
              <w:rPr>
                <w:rFonts w:cstheme="minorHAnsi"/>
                <w:b/>
                <w:sz w:val="20"/>
                <w:szCs w:val="20"/>
              </w:rPr>
              <w:t>sa</w:t>
            </w:r>
            <w:proofErr w:type="spellEnd"/>
            <w:r w:rsidRPr="0056270B">
              <w:rPr>
                <w:rFonts w:cstheme="minorHAnsi"/>
                <w:b/>
                <w:sz w:val="20"/>
                <w:szCs w:val="20"/>
              </w:rPr>
              <w:t xml:space="preserve"> </w:t>
            </w:r>
            <w:proofErr w:type="spellStart"/>
            <w:r w:rsidRPr="0056270B">
              <w:rPr>
                <w:rFonts w:cstheme="minorHAnsi"/>
                <w:b/>
                <w:sz w:val="20"/>
                <w:szCs w:val="20"/>
              </w:rPr>
              <w:lastRenderedPageBreak/>
              <w:t>izvorima</w:t>
            </w:r>
            <w:proofErr w:type="spellEnd"/>
            <w:r w:rsidRPr="0056270B">
              <w:rPr>
                <w:rFonts w:cstheme="minorHAnsi"/>
                <w:b/>
                <w:sz w:val="20"/>
                <w:szCs w:val="20"/>
              </w:rPr>
              <w:t xml:space="preserve"> </w:t>
            </w:r>
            <w:proofErr w:type="spellStart"/>
            <w:r w:rsidR="007B690C" w:rsidRPr="0056270B">
              <w:rPr>
                <w:rFonts w:cstheme="minorHAnsi"/>
                <w:b/>
                <w:sz w:val="20"/>
                <w:szCs w:val="20"/>
              </w:rPr>
              <w:t>financ</w:t>
            </w:r>
            <w:r w:rsidRPr="0056270B">
              <w:rPr>
                <w:rFonts w:cstheme="minorHAnsi"/>
                <w:b/>
                <w:sz w:val="20"/>
                <w:szCs w:val="20"/>
              </w:rPr>
              <w:t>iranja</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402D3E47" w14:textId="77777777" w:rsidR="00A00D87" w:rsidRPr="0056270B" w:rsidRDefault="00A00D87" w:rsidP="00122946">
            <w:pPr>
              <w:spacing w:line="259" w:lineRule="auto"/>
              <w:ind w:left="1"/>
              <w:rPr>
                <w:rFonts w:cstheme="minorHAnsi"/>
                <w:sz w:val="20"/>
                <w:szCs w:val="20"/>
              </w:rPr>
            </w:pPr>
            <w:proofErr w:type="spellStart"/>
            <w:r w:rsidRPr="0056270B">
              <w:rPr>
                <w:rFonts w:cstheme="minorHAnsi"/>
                <w:sz w:val="20"/>
                <w:szCs w:val="20"/>
              </w:rPr>
              <w:lastRenderedPageBreak/>
              <w:t>Iznos</w:t>
            </w:r>
            <w:proofErr w:type="spellEnd"/>
            <w:r w:rsidRPr="0056270B">
              <w:rPr>
                <w:rFonts w:cstheme="minorHAnsi"/>
                <w:sz w:val="20"/>
                <w:szCs w:val="20"/>
              </w:rPr>
              <w:t>: 1,0 mil. KM</w:t>
            </w:r>
          </w:p>
          <w:p w14:paraId="22BB0E46" w14:textId="77777777" w:rsidR="00A00D87" w:rsidRPr="0056270B" w:rsidRDefault="00A00D87" w:rsidP="00122946">
            <w:pPr>
              <w:spacing w:line="259" w:lineRule="auto"/>
              <w:ind w:left="1"/>
              <w:rPr>
                <w:rFonts w:cstheme="minorHAnsi"/>
                <w:sz w:val="20"/>
                <w:szCs w:val="20"/>
              </w:rPr>
            </w:pPr>
            <w:proofErr w:type="spellStart"/>
            <w:r w:rsidRPr="0056270B">
              <w:rPr>
                <w:rFonts w:cstheme="minorHAnsi"/>
                <w:sz w:val="20"/>
                <w:szCs w:val="20"/>
              </w:rPr>
              <w:t>Izvor</w:t>
            </w:r>
            <w:proofErr w:type="spellEnd"/>
            <w:r w:rsidRPr="0056270B">
              <w:rPr>
                <w:rFonts w:cstheme="minorHAnsi"/>
                <w:sz w:val="20"/>
                <w:szCs w:val="20"/>
              </w:rPr>
              <w:t xml:space="preserve">: </w:t>
            </w:r>
            <w:proofErr w:type="spellStart"/>
            <w:r w:rsidRPr="0056270B">
              <w:rPr>
                <w:rFonts w:cstheme="minorHAnsi"/>
                <w:sz w:val="20"/>
                <w:szCs w:val="20"/>
              </w:rPr>
              <w:t>Budžet</w:t>
            </w:r>
            <w:proofErr w:type="spellEnd"/>
            <w:r w:rsidRPr="0056270B">
              <w:rPr>
                <w:rFonts w:cstheme="minorHAnsi"/>
                <w:sz w:val="20"/>
                <w:szCs w:val="20"/>
              </w:rPr>
              <w:t xml:space="preserve"> </w:t>
            </w:r>
            <w:proofErr w:type="spellStart"/>
            <w:r w:rsidRPr="0056270B">
              <w:rPr>
                <w:rFonts w:cstheme="minorHAnsi"/>
                <w:sz w:val="20"/>
                <w:szCs w:val="20"/>
              </w:rPr>
              <w:t>institucija</w:t>
            </w:r>
            <w:proofErr w:type="spellEnd"/>
            <w:r w:rsidRPr="0056270B">
              <w:rPr>
                <w:rFonts w:cstheme="minorHAnsi"/>
                <w:sz w:val="20"/>
                <w:szCs w:val="20"/>
              </w:rPr>
              <w:t xml:space="preserve">, </w:t>
            </w:r>
            <w:proofErr w:type="spellStart"/>
            <w:r w:rsidRPr="0056270B">
              <w:rPr>
                <w:rFonts w:cstheme="minorHAnsi"/>
                <w:sz w:val="20"/>
                <w:szCs w:val="20"/>
              </w:rPr>
              <w:t>ostali</w:t>
            </w:r>
            <w:proofErr w:type="spellEnd"/>
            <w:r w:rsidRPr="0056270B">
              <w:rPr>
                <w:rFonts w:cstheme="minorHAnsi"/>
                <w:sz w:val="20"/>
                <w:szCs w:val="20"/>
              </w:rPr>
              <w:t xml:space="preserve"> </w:t>
            </w:r>
            <w:proofErr w:type="spellStart"/>
            <w:r w:rsidRPr="0056270B">
              <w:rPr>
                <w:rFonts w:cstheme="minorHAnsi"/>
                <w:sz w:val="20"/>
                <w:szCs w:val="20"/>
              </w:rPr>
              <w:t>izvori</w:t>
            </w:r>
            <w:proofErr w:type="spellEnd"/>
          </w:p>
        </w:tc>
      </w:tr>
      <w:tr w:rsidR="00A00D87" w:rsidRPr="0056270B" w14:paraId="0C44D097" w14:textId="77777777" w:rsidTr="00122946">
        <w:trPr>
          <w:trHeight w:val="63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45BD8B" w14:textId="77777777" w:rsidR="00A00D87" w:rsidRPr="0056270B" w:rsidRDefault="00A00D87" w:rsidP="00122946">
            <w:pPr>
              <w:spacing w:line="259" w:lineRule="auto"/>
              <w:rPr>
                <w:rFonts w:cstheme="minorHAnsi"/>
                <w:sz w:val="20"/>
                <w:szCs w:val="20"/>
              </w:rPr>
            </w:pPr>
            <w:r w:rsidRPr="0056270B">
              <w:rPr>
                <w:rFonts w:cstheme="minorHAnsi"/>
                <w:b/>
                <w:sz w:val="20"/>
                <w:szCs w:val="20"/>
              </w:rPr>
              <w:t xml:space="preserve">Period </w:t>
            </w:r>
            <w:proofErr w:type="spellStart"/>
            <w:r w:rsidRPr="0056270B">
              <w:rPr>
                <w:rFonts w:cstheme="minorHAnsi"/>
                <w:b/>
                <w:sz w:val="20"/>
                <w:szCs w:val="20"/>
              </w:rPr>
              <w:t>implementacije</w:t>
            </w:r>
            <w:proofErr w:type="spellEnd"/>
            <w:r w:rsidRPr="0056270B">
              <w:rPr>
                <w:rFonts w:cstheme="minorHAnsi"/>
                <w:b/>
                <w:sz w:val="20"/>
                <w:szCs w:val="20"/>
              </w:rPr>
              <w:t xml:space="preserve"> </w:t>
            </w:r>
            <w:proofErr w:type="spellStart"/>
            <w:r w:rsidRPr="0056270B">
              <w:rPr>
                <w:rFonts w:cstheme="minorHAnsi"/>
                <w:b/>
                <w:sz w:val="20"/>
                <w:szCs w:val="20"/>
              </w:rPr>
              <w:t>mjere</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09855AA3" w14:textId="77777777" w:rsidR="00A00D87" w:rsidRPr="0056270B" w:rsidRDefault="00A00D87" w:rsidP="00E6560A">
            <w:pPr>
              <w:ind w:left="1"/>
              <w:jc w:val="both"/>
              <w:rPr>
                <w:rFonts w:cstheme="minorHAnsi"/>
                <w:sz w:val="20"/>
                <w:szCs w:val="20"/>
              </w:rPr>
            </w:pPr>
            <w:r w:rsidRPr="0056270B">
              <w:rPr>
                <w:rFonts w:cstheme="minorHAnsi"/>
                <w:sz w:val="20"/>
                <w:szCs w:val="20"/>
              </w:rPr>
              <w:t>2022-2024. (</w:t>
            </w:r>
            <w:proofErr w:type="spellStart"/>
            <w:r w:rsidRPr="0056270B">
              <w:rPr>
                <w:rFonts w:cstheme="minorHAnsi"/>
                <w:sz w:val="20"/>
                <w:szCs w:val="20"/>
              </w:rPr>
              <w:t>donošenje</w:t>
            </w:r>
            <w:proofErr w:type="spellEnd"/>
            <w:r w:rsidRPr="0056270B">
              <w:rPr>
                <w:rFonts w:cstheme="minorHAnsi"/>
                <w:sz w:val="20"/>
                <w:szCs w:val="20"/>
              </w:rPr>
              <w:t xml:space="preserve"> </w:t>
            </w:r>
            <w:proofErr w:type="spellStart"/>
            <w:r w:rsidRPr="0056270B">
              <w:rPr>
                <w:rFonts w:cstheme="minorHAnsi"/>
                <w:sz w:val="20"/>
                <w:szCs w:val="20"/>
              </w:rPr>
              <w:t>procedura</w:t>
            </w:r>
            <w:proofErr w:type="spellEnd"/>
            <w:r w:rsidRPr="0056270B">
              <w:rPr>
                <w:rFonts w:cstheme="minorHAnsi"/>
                <w:sz w:val="20"/>
                <w:szCs w:val="20"/>
              </w:rPr>
              <w:t xml:space="preserve"> i </w:t>
            </w:r>
            <w:proofErr w:type="spellStart"/>
            <w:r w:rsidRPr="0056270B">
              <w:rPr>
                <w:rFonts w:cstheme="minorHAnsi"/>
                <w:sz w:val="20"/>
                <w:szCs w:val="20"/>
              </w:rPr>
              <w:t>smjernica</w:t>
            </w:r>
            <w:proofErr w:type="spellEnd"/>
            <w:r w:rsidRPr="0056270B">
              <w:rPr>
                <w:rFonts w:cstheme="minorHAnsi"/>
                <w:sz w:val="20"/>
                <w:szCs w:val="20"/>
              </w:rPr>
              <w:t>)</w:t>
            </w:r>
          </w:p>
          <w:p w14:paraId="5BF2CA39" w14:textId="77777777" w:rsidR="00A00D87" w:rsidRPr="0056270B" w:rsidRDefault="00A00D87" w:rsidP="00E6560A">
            <w:pPr>
              <w:ind w:left="1"/>
              <w:jc w:val="both"/>
              <w:rPr>
                <w:rFonts w:cstheme="minorHAnsi"/>
                <w:sz w:val="20"/>
                <w:szCs w:val="20"/>
              </w:rPr>
            </w:pPr>
            <w:proofErr w:type="spellStart"/>
            <w:r w:rsidRPr="0056270B">
              <w:rPr>
                <w:rFonts w:cstheme="minorHAnsi"/>
                <w:sz w:val="20"/>
                <w:szCs w:val="20"/>
              </w:rPr>
              <w:t>Mjera</w:t>
            </w:r>
            <w:proofErr w:type="spellEnd"/>
            <w:r w:rsidRPr="0056270B">
              <w:rPr>
                <w:rFonts w:cstheme="minorHAnsi"/>
                <w:sz w:val="20"/>
                <w:szCs w:val="20"/>
              </w:rPr>
              <w:t xml:space="preserve"> </w:t>
            </w:r>
            <w:proofErr w:type="spellStart"/>
            <w:r w:rsidRPr="0056270B">
              <w:rPr>
                <w:rFonts w:cstheme="minorHAnsi"/>
                <w:sz w:val="20"/>
                <w:szCs w:val="20"/>
              </w:rPr>
              <w:t>će</w:t>
            </w:r>
            <w:proofErr w:type="spellEnd"/>
            <w:r w:rsidRPr="0056270B">
              <w:rPr>
                <w:rFonts w:cstheme="minorHAnsi"/>
                <w:sz w:val="20"/>
                <w:szCs w:val="20"/>
              </w:rPr>
              <w:t xml:space="preserve"> se </w:t>
            </w:r>
            <w:proofErr w:type="spellStart"/>
            <w:r w:rsidRPr="0056270B">
              <w:rPr>
                <w:rFonts w:cstheme="minorHAnsi"/>
                <w:sz w:val="20"/>
                <w:szCs w:val="20"/>
              </w:rPr>
              <w:t>nastaviti</w:t>
            </w:r>
            <w:proofErr w:type="spellEnd"/>
            <w:r w:rsidRPr="0056270B">
              <w:rPr>
                <w:rFonts w:cstheme="minorHAnsi"/>
                <w:sz w:val="20"/>
                <w:szCs w:val="20"/>
              </w:rPr>
              <w:t xml:space="preserve"> </w:t>
            </w:r>
            <w:proofErr w:type="spellStart"/>
            <w:r w:rsidRPr="0056270B">
              <w:rPr>
                <w:rFonts w:cstheme="minorHAnsi"/>
                <w:sz w:val="20"/>
                <w:szCs w:val="20"/>
              </w:rPr>
              <w:t>provoditi</w:t>
            </w:r>
            <w:proofErr w:type="spellEnd"/>
            <w:r w:rsidRPr="0056270B">
              <w:rPr>
                <w:rFonts w:cstheme="minorHAnsi"/>
                <w:sz w:val="20"/>
                <w:szCs w:val="20"/>
              </w:rPr>
              <w:t xml:space="preserve"> do 2050. </w:t>
            </w:r>
            <w:proofErr w:type="spellStart"/>
            <w:r w:rsidRPr="0056270B">
              <w:rPr>
                <w:rFonts w:cstheme="minorHAnsi"/>
                <w:sz w:val="20"/>
                <w:szCs w:val="20"/>
              </w:rPr>
              <w:t>godine</w:t>
            </w:r>
            <w:proofErr w:type="spellEnd"/>
            <w:r w:rsidRPr="0056270B">
              <w:rPr>
                <w:rFonts w:cstheme="minorHAnsi"/>
                <w:sz w:val="20"/>
                <w:szCs w:val="20"/>
              </w:rPr>
              <w:t xml:space="preserve"> i </w:t>
            </w:r>
            <w:proofErr w:type="spellStart"/>
            <w:r w:rsidRPr="0056270B">
              <w:rPr>
                <w:rFonts w:cstheme="minorHAnsi"/>
                <w:sz w:val="20"/>
                <w:szCs w:val="20"/>
              </w:rPr>
              <w:t>usklađivati</w:t>
            </w:r>
            <w:proofErr w:type="spellEnd"/>
            <w:r w:rsidRPr="0056270B">
              <w:rPr>
                <w:rFonts w:cstheme="minorHAnsi"/>
                <w:sz w:val="20"/>
                <w:szCs w:val="20"/>
              </w:rPr>
              <w:t xml:space="preserve"> </w:t>
            </w:r>
            <w:proofErr w:type="spellStart"/>
            <w:r w:rsidRPr="0056270B">
              <w:rPr>
                <w:rFonts w:cstheme="minorHAnsi"/>
                <w:sz w:val="20"/>
                <w:szCs w:val="20"/>
              </w:rPr>
              <w:t>shodno</w:t>
            </w:r>
            <w:proofErr w:type="spellEnd"/>
            <w:r w:rsidRPr="0056270B">
              <w:rPr>
                <w:rFonts w:cstheme="minorHAnsi"/>
                <w:sz w:val="20"/>
                <w:szCs w:val="20"/>
              </w:rPr>
              <w:t xml:space="preserve"> </w:t>
            </w:r>
            <w:proofErr w:type="spellStart"/>
            <w:r w:rsidRPr="0056270B">
              <w:rPr>
                <w:rFonts w:cstheme="minorHAnsi"/>
                <w:sz w:val="20"/>
                <w:szCs w:val="20"/>
              </w:rPr>
              <w:t>novim</w:t>
            </w:r>
            <w:proofErr w:type="spellEnd"/>
            <w:r w:rsidRPr="0056270B">
              <w:rPr>
                <w:rFonts w:cstheme="minorHAnsi"/>
                <w:sz w:val="20"/>
                <w:szCs w:val="20"/>
              </w:rPr>
              <w:t>/</w:t>
            </w:r>
            <w:proofErr w:type="spellStart"/>
            <w:r w:rsidRPr="0056270B">
              <w:rPr>
                <w:rFonts w:cstheme="minorHAnsi"/>
                <w:sz w:val="20"/>
                <w:szCs w:val="20"/>
              </w:rPr>
              <w:t>ažuriranim</w:t>
            </w:r>
            <w:proofErr w:type="spellEnd"/>
            <w:r w:rsidRPr="0056270B">
              <w:rPr>
                <w:rFonts w:cstheme="minorHAnsi"/>
                <w:sz w:val="20"/>
                <w:szCs w:val="20"/>
              </w:rPr>
              <w:t xml:space="preserve"> </w:t>
            </w:r>
            <w:proofErr w:type="spellStart"/>
            <w:r w:rsidRPr="0056270B">
              <w:rPr>
                <w:rFonts w:cstheme="minorHAnsi"/>
                <w:sz w:val="20"/>
                <w:szCs w:val="20"/>
              </w:rPr>
              <w:t>propisima</w:t>
            </w:r>
            <w:proofErr w:type="spellEnd"/>
            <w:r w:rsidRPr="0056270B">
              <w:rPr>
                <w:rFonts w:cstheme="minorHAnsi"/>
                <w:sz w:val="20"/>
                <w:szCs w:val="20"/>
              </w:rPr>
              <w:t xml:space="preserve"> EU u </w:t>
            </w:r>
            <w:proofErr w:type="spellStart"/>
            <w:r w:rsidRPr="0056270B">
              <w:rPr>
                <w:rFonts w:cstheme="minorHAnsi"/>
                <w:sz w:val="20"/>
                <w:szCs w:val="20"/>
              </w:rPr>
              <w:t>oblasti</w:t>
            </w:r>
            <w:proofErr w:type="spellEnd"/>
            <w:r w:rsidRPr="0056270B">
              <w:rPr>
                <w:rFonts w:cstheme="minorHAnsi"/>
                <w:sz w:val="20"/>
                <w:szCs w:val="20"/>
              </w:rPr>
              <w:t xml:space="preserve"> EE</w:t>
            </w:r>
          </w:p>
        </w:tc>
      </w:tr>
      <w:tr w:rsidR="00A00D87" w:rsidRPr="0056270B" w14:paraId="000D7672" w14:textId="77777777" w:rsidTr="00122946">
        <w:trPr>
          <w:trHeight w:val="104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702E934"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Institucija</w:t>
            </w:r>
            <w:proofErr w:type="spellEnd"/>
            <w:r w:rsidRPr="0056270B">
              <w:rPr>
                <w:rFonts w:cstheme="minorHAnsi"/>
                <w:b/>
                <w:sz w:val="20"/>
                <w:szCs w:val="20"/>
              </w:rPr>
              <w:t xml:space="preserve"> </w:t>
            </w:r>
          </w:p>
          <w:p w14:paraId="55B93A25"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odgovorna</w:t>
            </w:r>
            <w:proofErr w:type="spellEnd"/>
            <w:r w:rsidRPr="0056270B">
              <w:rPr>
                <w:rFonts w:cstheme="minorHAnsi"/>
                <w:b/>
                <w:sz w:val="20"/>
                <w:szCs w:val="20"/>
              </w:rPr>
              <w:t xml:space="preserve"> za </w:t>
            </w:r>
            <w:proofErr w:type="spellStart"/>
            <w:r w:rsidRPr="0056270B">
              <w:rPr>
                <w:rFonts w:cstheme="minorHAnsi"/>
                <w:b/>
                <w:sz w:val="20"/>
                <w:szCs w:val="20"/>
              </w:rPr>
              <w:t>koordinaciju</w:t>
            </w:r>
            <w:proofErr w:type="spellEnd"/>
            <w:r w:rsidRPr="0056270B">
              <w:rPr>
                <w:rFonts w:cstheme="minorHAnsi"/>
                <w:b/>
                <w:sz w:val="20"/>
                <w:szCs w:val="20"/>
              </w:rPr>
              <w:t xml:space="preserve"> </w:t>
            </w:r>
            <w:proofErr w:type="spellStart"/>
            <w:r w:rsidRPr="0056270B">
              <w:rPr>
                <w:rFonts w:cstheme="minorHAnsi"/>
                <w:b/>
                <w:sz w:val="20"/>
                <w:szCs w:val="20"/>
              </w:rPr>
              <w:t>implementacije</w:t>
            </w:r>
            <w:proofErr w:type="spellEnd"/>
            <w:r w:rsidRPr="0056270B">
              <w:rPr>
                <w:rFonts w:cstheme="minorHAnsi"/>
                <w:b/>
                <w:sz w:val="20"/>
                <w:szCs w:val="20"/>
              </w:rPr>
              <w:t xml:space="preserve"> </w:t>
            </w:r>
            <w:proofErr w:type="spellStart"/>
            <w:r w:rsidRPr="0056270B">
              <w:rPr>
                <w:rFonts w:cstheme="minorHAnsi"/>
                <w:b/>
                <w:sz w:val="20"/>
                <w:szCs w:val="20"/>
              </w:rPr>
              <w:t>mjere</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3DF87781" w14:textId="77777777" w:rsidR="00A00D87" w:rsidRPr="0056270B" w:rsidRDefault="00A00D87" w:rsidP="00E6560A">
            <w:pPr>
              <w:spacing w:line="259" w:lineRule="auto"/>
              <w:ind w:left="1"/>
              <w:jc w:val="both"/>
              <w:rPr>
                <w:rFonts w:cstheme="minorHAnsi"/>
                <w:sz w:val="20"/>
                <w:szCs w:val="20"/>
              </w:rPr>
            </w:pPr>
            <w:r w:rsidRPr="0056270B">
              <w:rPr>
                <w:rFonts w:cstheme="minorHAnsi"/>
                <w:sz w:val="20"/>
                <w:szCs w:val="20"/>
              </w:rPr>
              <w:t>Federalno ministarstvo prostornog uređenja</w:t>
            </w:r>
          </w:p>
        </w:tc>
      </w:tr>
      <w:tr w:rsidR="00A00D87" w:rsidRPr="0056270B" w14:paraId="110E3C3A" w14:textId="77777777" w:rsidTr="00E6560A">
        <w:trPr>
          <w:trHeight w:val="7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F859A14" w14:textId="77777777" w:rsidR="00A00D87" w:rsidRPr="0056270B" w:rsidRDefault="00A00D87" w:rsidP="00122946">
            <w:pPr>
              <w:spacing w:line="259" w:lineRule="auto"/>
              <w:rPr>
                <w:rFonts w:cstheme="minorHAnsi"/>
                <w:sz w:val="20"/>
                <w:szCs w:val="20"/>
              </w:rPr>
            </w:pPr>
            <w:proofErr w:type="spellStart"/>
            <w:r w:rsidRPr="0056270B">
              <w:rPr>
                <w:rFonts w:cstheme="minorHAnsi"/>
                <w:b/>
                <w:sz w:val="20"/>
                <w:szCs w:val="20"/>
              </w:rPr>
              <w:t>Nosioci</w:t>
            </w:r>
            <w:proofErr w:type="spellEnd"/>
            <w:r w:rsidRPr="0056270B">
              <w:rPr>
                <w:rFonts w:cstheme="minorHAnsi"/>
                <w:b/>
                <w:sz w:val="20"/>
                <w:szCs w:val="20"/>
              </w:rPr>
              <w:t xml:space="preserve"> </w:t>
            </w:r>
            <w:proofErr w:type="spellStart"/>
            <w:r w:rsidRPr="0056270B">
              <w:rPr>
                <w:rFonts w:cstheme="minorHAnsi"/>
                <w:b/>
                <w:sz w:val="20"/>
                <w:szCs w:val="20"/>
              </w:rPr>
              <w:t>mjere</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6374C09D" w14:textId="77777777" w:rsidR="00A00D87" w:rsidRPr="0056270B" w:rsidRDefault="00A00D87" w:rsidP="00E6560A">
            <w:pPr>
              <w:spacing w:line="259" w:lineRule="auto"/>
              <w:ind w:left="1" w:right="3"/>
              <w:jc w:val="both"/>
              <w:rPr>
                <w:rFonts w:cstheme="minorHAnsi"/>
                <w:sz w:val="20"/>
                <w:szCs w:val="20"/>
              </w:rPr>
            </w:pPr>
            <w:r w:rsidRPr="0056270B">
              <w:rPr>
                <w:rFonts w:cstheme="minorHAnsi"/>
                <w:sz w:val="20"/>
                <w:szCs w:val="20"/>
              </w:rPr>
              <w:t xml:space="preserve">Federalno ministarstvo energije, rudarstva i industrije, Federalno ministarstvo prostornog uređenja, Federalno ministarstvo okoliša i turizma, </w:t>
            </w:r>
            <w:proofErr w:type="spellStart"/>
            <w:r w:rsidRPr="0056270B">
              <w:rPr>
                <w:rFonts w:cstheme="minorHAnsi"/>
                <w:sz w:val="20"/>
                <w:szCs w:val="20"/>
              </w:rPr>
              <w:t>kantonalna</w:t>
            </w:r>
            <w:proofErr w:type="spellEnd"/>
            <w:r w:rsidRPr="0056270B">
              <w:rPr>
                <w:rFonts w:cstheme="minorHAnsi"/>
                <w:sz w:val="20"/>
                <w:szCs w:val="20"/>
              </w:rPr>
              <w:t xml:space="preserve"> </w:t>
            </w:r>
            <w:proofErr w:type="spellStart"/>
            <w:r w:rsidRPr="0056270B">
              <w:rPr>
                <w:rFonts w:cstheme="minorHAnsi"/>
                <w:sz w:val="20"/>
                <w:szCs w:val="20"/>
              </w:rPr>
              <w:t>ministarstva</w:t>
            </w:r>
            <w:proofErr w:type="spellEnd"/>
            <w:r w:rsidRPr="0056270B">
              <w:rPr>
                <w:rFonts w:cstheme="minorHAnsi"/>
                <w:sz w:val="20"/>
                <w:szCs w:val="20"/>
              </w:rPr>
              <w:t xml:space="preserve"> </w:t>
            </w:r>
            <w:proofErr w:type="spellStart"/>
            <w:r w:rsidRPr="0056270B">
              <w:rPr>
                <w:rFonts w:cstheme="minorHAnsi"/>
                <w:sz w:val="20"/>
                <w:szCs w:val="20"/>
              </w:rPr>
              <w:t>nadležna</w:t>
            </w:r>
            <w:proofErr w:type="spellEnd"/>
            <w:r w:rsidRPr="0056270B">
              <w:rPr>
                <w:rFonts w:cstheme="minorHAnsi"/>
                <w:sz w:val="20"/>
                <w:szCs w:val="20"/>
              </w:rPr>
              <w:t xml:space="preserve"> za </w:t>
            </w:r>
            <w:proofErr w:type="spellStart"/>
            <w:r w:rsidRPr="0056270B">
              <w:rPr>
                <w:rFonts w:cstheme="minorHAnsi"/>
                <w:sz w:val="20"/>
                <w:szCs w:val="20"/>
              </w:rPr>
              <w:t>prostorno</w:t>
            </w:r>
            <w:proofErr w:type="spellEnd"/>
            <w:r w:rsidRPr="0056270B">
              <w:rPr>
                <w:rFonts w:cstheme="minorHAnsi"/>
                <w:sz w:val="20"/>
                <w:szCs w:val="20"/>
              </w:rPr>
              <w:t xml:space="preserve"> </w:t>
            </w:r>
            <w:proofErr w:type="spellStart"/>
            <w:r w:rsidRPr="0056270B">
              <w:rPr>
                <w:rFonts w:cstheme="minorHAnsi"/>
                <w:sz w:val="20"/>
                <w:szCs w:val="20"/>
              </w:rPr>
              <w:t>uređenje</w:t>
            </w:r>
            <w:proofErr w:type="spellEnd"/>
            <w:r w:rsidRPr="0056270B">
              <w:rPr>
                <w:rFonts w:cstheme="minorHAnsi"/>
                <w:sz w:val="20"/>
                <w:szCs w:val="20"/>
              </w:rPr>
              <w:t xml:space="preserve">, </w:t>
            </w:r>
            <w:proofErr w:type="spellStart"/>
            <w:r w:rsidRPr="0056270B">
              <w:rPr>
                <w:rFonts w:cstheme="minorHAnsi"/>
                <w:sz w:val="20"/>
                <w:szCs w:val="20"/>
              </w:rPr>
              <w:t>jedinice</w:t>
            </w:r>
            <w:proofErr w:type="spellEnd"/>
            <w:r w:rsidRPr="0056270B">
              <w:rPr>
                <w:rFonts w:cstheme="minorHAnsi"/>
                <w:sz w:val="20"/>
                <w:szCs w:val="20"/>
              </w:rPr>
              <w:t xml:space="preserve"> </w:t>
            </w:r>
            <w:proofErr w:type="spellStart"/>
            <w:r w:rsidRPr="0056270B">
              <w:rPr>
                <w:rFonts w:cstheme="minorHAnsi"/>
                <w:sz w:val="20"/>
                <w:szCs w:val="20"/>
              </w:rPr>
              <w:t>lokalne</w:t>
            </w:r>
            <w:proofErr w:type="spellEnd"/>
            <w:r w:rsidRPr="0056270B">
              <w:rPr>
                <w:rFonts w:cstheme="minorHAnsi"/>
                <w:sz w:val="20"/>
                <w:szCs w:val="20"/>
              </w:rPr>
              <w:t xml:space="preserve"> </w:t>
            </w:r>
            <w:proofErr w:type="spellStart"/>
            <w:r w:rsidRPr="0056270B">
              <w:rPr>
                <w:rFonts w:cstheme="minorHAnsi"/>
                <w:sz w:val="20"/>
                <w:szCs w:val="20"/>
              </w:rPr>
              <w:t>samouprave</w:t>
            </w:r>
            <w:proofErr w:type="spellEnd"/>
            <w:r w:rsidRPr="0056270B">
              <w:rPr>
                <w:rFonts w:cstheme="minorHAnsi"/>
                <w:sz w:val="20"/>
                <w:szCs w:val="20"/>
              </w:rPr>
              <w:t>, Fond za zaštitu okoliša FBiH.</w:t>
            </w:r>
          </w:p>
        </w:tc>
      </w:tr>
      <w:tr w:rsidR="00ED7502" w:rsidRPr="0056270B" w14:paraId="55558E19" w14:textId="77777777" w:rsidTr="007F1ECE">
        <w:trPr>
          <w:trHeight w:val="7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475B4A" w14:textId="13B76FB1" w:rsidR="00ED7502" w:rsidRPr="0056270B" w:rsidRDefault="00ED7502" w:rsidP="00ED7502">
            <w:pPr>
              <w:rPr>
                <w:rFonts w:cstheme="minorHAnsi"/>
                <w:b/>
                <w:sz w:val="20"/>
                <w:szCs w:val="20"/>
              </w:rPr>
            </w:pPr>
            <w:proofErr w:type="spellStart"/>
            <w:r w:rsidRPr="0056270B">
              <w:rPr>
                <w:rFonts w:cstheme="minorHAnsi"/>
                <w:b/>
                <w:sz w:val="20"/>
                <w:szCs w:val="20"/>
              </w:rPr>
              <w:t>Ciljne</w:t>
            </w:r>
            <w:proofErr w:type="spellEnd"/>
            <w:r w:rsidRPr="0056270B">
              <w:rPr>
                <w:rFonts w:cstheme="minorHAnsi"/>
                <w:b/>
                <w:sz w:val="20"/>
                <w:szCs w:val="20"/>
              </w:rPr>
              <w:t xml:space="preserve"> </w:t>
            </w:r>
            <w:proofErr w:type="spellStart"/>
            <w:r w:rsidRPr="0056270B">
              <w:rPr>
                <w:rFonts w:cstheme="minorHAnsi"/>
                <w:b/>
                <w:sz w:val="20"/>
                <w:szCs w:val="20"/>
              </w:rPr>
              <w:t>grupe</w:t>
            </w:r>
            <w:proofErr w:type="spellEnd"/>
            <w:r w:rsidRPr="0056270B">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0685C7FB" w14:textId="7F4495C4" w:rsidR="00ED7502" w:rsidRPr="0056270B" w:rsidRDefault="00ED7502" w:rsidP="00ED7502">
            <w:pPr>
              <w:ind w:left="1" w:right="3"/>
              <w:rPr>
                <w:rFonts w:cstheme="minorHAnsi"/>
                <w:sz w:val="20"/>
                <w:szCs w:val="20"/>
              </w:rPr>
            </w:pPr>
            <w:proofErr w:type="spellStart"/>
            <w:r w:rsidRPr="0056270B">
              <w:rPr>
                <w:rFonts w:cstheme="minorHAnsi"/>
                <w:sz w:val="20"/>
                <w:szCs w:val="20"/>
              </w:rPr>
              <w:t>Vlasnici</w:t>
            </w:r>
            <w:proofErr w:type="spellEnd"/>
            <w:r w:rsidRPr="0056270B">
              <w:rPr>
                <w:rFonts w:cstheme="minorHAnsi"/>
                <w:sz w:val="20"/>
                <w:szCs w:val="20"/>
              </w:rPr>
              <w:t xml:space="preserve"> i </w:t>
            </w:r>
            <w:proofErr w:type="spellStart"/>
            <w:r w:rsidRPr="0056270B">
              <w:rPr>
                <w:rFonts w:cstheme="minorHAnsi"/>
                <w:sz w:val="20"/>
                <w:szCs w:val="20"/>
              </w:rPr>
              <w:t>korisnici</w:t>
            </w:r>
            <w:proofErr w:type="spellEnd"/>
            <w:r w:rsidRPr="0056270B">
              <w:rPr>
                <w:rFonts w:cstheme="minorHAnsi"/>
                <w:sz w:val="20"/>
                <w:szCs w:val="20"/>
              </w:rPr>
              <w:t xml:space="preserve"> </w:t>
            </w:r>
            <w:proofErr w:type="spellStart"/>
            <w:r w:rsidRPr="0056270B">
              <w:rPr>
                <w:rFonts w:cstheme="minorHAnsi"/>
                <w:sz w:val="20"/>
                <w:szCs w:val="20"/>
              </w:rPr>
              <w:t>stambenih</w:t>
            </w:r>
            <w:proofErr w:type="spellEnd"/>
            <w:r w:rsidRPr="0056270B">
              <w:rPr>
                <w:rFonts w:cstheme="minorHAnsi"/>
                <w:sz w:val="20"/>
                <w:szCs w:val="20"/>
              </w:rPr>
              <w:t xml:space="preserve"> i </w:t>
            </w:r>
            <w:proofErr w:type="spellStart"/>
            <w:r w:rsidRPr="0056270B">
              <w:rPr>
                <w:rFonts w:cstheme="minorHAnsi"/>
                <w:sz w:val="20"/>
                <w:szCs w:val="20"/>
              </w:rPr>
              <w:t>nestambenih</w:t>
            </w:r>
            <w:proofErr w:type="spellEnd"/>
            <w:r w:rsidRPr="0056270B">
              <w:rPr>
                <w:rFonts w:cstheme="minorHAnsi"/>
                <w:sz w:val="20"/>
                <w:szCs w:val="20"/>
              </w:rPr>
              <w:t xml:space="preserve"> </w:t>
            </w:r>
            <w:proofErr w:type="spellStart"/>
            <w:proofErr w:type="gramStart"/>
            <w:r w:rsidRPr="0056270B">
              <w:rPr>
                <w:rFonts w:cstheme="minorHAnsi"/>
                <w:sz w:val="20"/>
                <w:szCs w:val="20"/>
              </w:rPr>
              <w:t>zgrada</w:t>
            </w:r>
            <w:proofErr w:type="spellEnd"/>
            <w:r w:rsidRPr="0056270B">
              <w:rPr>
                <w:rFonts w:cstheme="minorHAnsi"/>
                <w:sz w:val="20"/>
                <w:szCs w:val="20"/>
              </w:rPr>
              <w:t xml:space="preserve">,  </w:t>
            </w:r>
            <w:proofErr w:type="spellStart"/>
            <w:r w:rsidRPr="0056270B">
              <w:rPr>
                <w:rFonts w:cstheme="minorHAnsi"/>
                <w:sz w:val="20"/>
                <w:szCs w:val="20"/>
              </w:rPr>
              <w:t>privrednici</w:t>
            </w:r>
            <w:proofErr w:type="spellEnd"/>
            <w:proofErr w:type="gramEnd"/>
            <w:r w:rsidRPr="0056270B">
              <w:rPr>
                <w:rFonts w:cstheme="minorHAnsi"/>
                <w:sz w:val="20"/>
                <w:szCs w:val="20"/>
              </w:rPr>
              <w:t xml:space="preserve">, </w:t>
            </w:r>
            <w:proofErr w:type="spellStart"/>
            <w:r w:rsidRPr="0056270B">
              <w:rPr>
                <w:rFonts w:cstheme="minorHAnsi"/>
                <w:sz w:val="20"/>
                <w:szCs w:val="20"/>
              </w:rPr>
              <w:t>obrazovne</w:t>
            </w:r>
            <w:proofErr w:type="spellEnd"/>
            <w:r w:rsidRPr="0056270B">
              <w:rPr>
                <w:rFonts w:cstheme="minorHAnsi"/>
                <w:sz w:val="20"/>
                <w:szCs w:val="20"/>
              </w:rPr>
              <w:t xml:space="preserve"> </w:t>
            </w:r>
            <w:proofErr w:type="spellStart"/>
            <w:r w:rsidRPr="0056270B">
              <w:rPr>
                <w:rFonts w:cstheme="minorHAnsi"/>
                <w:sz w:val="20"/>
                <w:szCs w:val="20"/>
              </w:rPr>
              <w:t>institucije</w:t>
            </w:r>
            <w:proofErr w:type="spellEnd"/>
            <w:r w:rsidRPr="0056270B">
              <w:rPr>
                <w:rFonts w:cstheme="minorHAnsi"/>
                <w:sz w:val="20"/>
                <w:szCs w:val="20"/>
              </w:rPr>
              <w:t xml:space="preserve"> i </w:t>
            </w:r>
            <w:proofErr w:type="spellStart"/>
            <w:r w:rsidRPr="0056270B">
              <w:rPr>
                <w:rFonts w:cstheme="minorHAnsi"/>
                <w:sz w:val="20"/>
                <w:szCs w:val="20"/>
              </w:rPr>
              <w:t>javne</w:t>
            </w:r>
            <w:proofErr w:type="spellEnd"/>
            <w:r w:rsidRPr="0056270B">
              <w:rPr>
                <w:rFonts w:cstheme="minorHAnsi"/>
                <w:sz w:val="20"/>
                <w:szCs w:val="20"/>
              </w:rPr>
              <w:t xml:space="preserve"> </w:t>
            </w:r>
            <w:proofErr w:type="spellStart"/>
            <w:r w:rsidRPr="0056270B">
              <w:rPr>
                <w:rFonts w:cstheme="minorHAnsi"/>
                <w:sz w:val="20"/>
                <w:szCs w:val="20"/>
              </w:rPr>
              <w:t>institucije</w:t>
            </w:r>
            <w:proofErr w:type="spellEnd"/>
            <w:r w:rsidRPr="0056270B">
              <w:rPr>
                <w:rFonts w:cstheme="minorHAnsi"/>
                <w:sz w:val="20"/>
                <w:szCs w:val="20"/>
              </w:rPr>
              <w:t xml:space="preserve"> u FBiH</w:t>
            </w:r>
          </w:p>
        </w:tc>
      </w:tr>
    </w:tbl>
    <w:p w14:paraId="6A2933D7" w14:textId="77777777" w:rsidR="00A00D87" w:rsidRDefault="00A00D87" w:rsidP="00A00D87"/>
    <w:p w14:paraId="49B6B6D7" w14:textId="77777777" w:rsidR="00A00D87" w:rsidRDefault="00A00D87" w:rsidP="00A00D87"/>
    <w:p w14:paraId="019139FD" w14:textId="77777777" w:rsidR="00A00D87" w:rsidRDefault="00A00D87" w:rsidP="00A00D87"/>
    <w:p w14:paraId="3B6A5742" w14:textId="77777777" w:rsidR="00A00D87" w:rsidRDefault="00A00D87" w:rsidP="00A00D87"/>
    <w:p w14:paraId="79A2493A" w14:textId="77777777" w:rsidR="00A00D87" w:rsidRDefault="00A00D87" w:rsidP="00A00D87"/>
    <w:p w14:paraId="61E041F6" w14:textId="77777777" w:rsidR="00A00D87" w:rsidRDefault="00A00D87" w:rsidP="00A00D87"/>
    <w:p w14:paraId="734F5900" w14:textId="77777777" w:rsidR="00A00D87" w:rsidRDefault="00A00D87" w:rsidP="00A00D87"/>
    <w:p w14:paraId="46163EA6" w14:textId="77777777" w:rsidR="00A00D87" w:rsidRDefault="00A00D87" w:rsidP="00A00D87"/>
    <w:p w14:paraId="5E6E44A3" w14:textId="77777777" w:rsidR="00A00D87" w:rsidRDefault="00A00D87" w:rsidP="00A00D87"/>
    <w:p w14:paraId="474C155B" w14:textId="77777777" w:rsidR="00A00D87" w:rsidRDefault="00A00D87" w:rsidP="00A00D87"/>
    <w:p w14:paraId="4CDC0C5D" w14:textId="77777777" w:rsidR="00A00D87" w:rsidRDefault="00A00D87" w:rsidP="00A00D87"/>
    <w:p w14:paraId="30D3307D" w14:textId="77777777" w:rsidR="00A00D87" w:rsidRDefault="00A00D87" w:rsidP="00A00D87"/>
    <w:p w14:paraId="30F80A0C" w14:textId="77777777" w:rsidR="00A00D87" w:rsidRDefault="00A00D87" w:rsidP="00A00D87"/>
    <w:p w14:paraId="36A631A5" w14:textId="77777777" w:rsidR="00A00D87" w:rsidRDefault="00A00D87" w:rsidP="00A00D87"/>
    <w:p w14:paraId="20CB6521" w14:textId="77777777" w:rsidR="00A00D87" w:rsidRDefault="00A00D87" w:rsidP="00A00D87"/>
    <w:p w14:paraId="35F362D4" w14:textId="77777777" w:rsidR="00A00D87" w:rsidRDefault="00A00D87" w:rsidP="00A00D87"/>
    <w:p w14:paraId="4C913996" w14:textId="77777777" w:rsidR="006D442E" w:rsidRDefault="006D442E" w:rsidP="00A00D87"/>
    <w:p w14:paraId="1640A1D3" w14:textId="77777777" w:rsidR="006D442E" w:rsidRDefault="006D442E" w:rsidP="00A00D87"/>
    <w:p w14:paraId="03B2C581" w14:textId="77777777" w:rsidR="006D442E" w:rsidRDefault="006D442E" w:rsidP="00A00D87"/>
    <w:p w14:paraId="5A77D4B9" w14:textId="77777777" w:rsidR="006D442E" w:rsidRDefault="006D442E" w:rsidP="00A00D87"/>
    <w:p w14:paraId="55232F90" w14:textId="77777777" w:rsidR="00A00D87" w:rsidRDefault="00A00D87" w:rsidP="00A00D87"/>
    <w:tbl>
      <w:tblPr>
        <w:tblStyle w:val="TableGrid0"/>
        <w:tblW w:w="9016" w:type="dxa"/>
        <w:tblInd w:w="198" w:type="dxa"/>
        <w:tblCellMar>
          <w:top w:w="5" w:type="dxa"/>
          <w:left w:w="107" w:type="dxa"/>
          <w:right w:w="69" w:type="dxa"/>
        </w:tblCellMar>
        <w:tblLook w:val="04A0" w:firstRow="1" w:lastRow="0" w:firstColumn="1" w:lastColumn="0" w:noHBand="0" w:noVBand="1"/>
      </w:tblPr>
      <w:tblGrid>
        <w:gridCol w:w="1767"/>
        <w:gridCol w:w="3710"/>
        <w:gridCol w:w="2068"/>
        <w:gridCol w:w="1471"/>
      </w:tblGrid>
      <w:tr w:rsidR="00A00D87" w:rsidRPr="001D616F" w14:paraId="0BD296BD" w14:textId="77777777" w:rsidTr="00122946">
        <w:trPr>
          <w:trHeight w:val="42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1E48B44"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lastRenderedPageBreak/>
              <w:t>Veza</w:t>
            </w:r>
            <w:proofErr w:type="spellEnd"/>
            <w:r w:rsidRPr="001D616F">
              <w:rPr>
                <w:rFonts w:cstheme="minorHAnsi"/>
                <w:b/>
                <w:sz w:val="20"/>
                <w:szCs w:val="20"/>
              </w:rPr>
              <w:t xml:space="preserve"> </w:t>
            </w:r>
            <w:proofErr w:type="spellStart"/>
            <w:r w:rsidRPr="001D616F">
              <w:rPr>
                <w:rFonts w:cstheme="minorHAnsi"/>
                <w:b/>
                <w:sz w:val="20"/>
                <w:szCs w:val="20"/>
              </w:rPr>
              <w:t>sa</w:t>
            </w:r>
            <w:proofErr w:type="spellEnd"/>
            <w:r w:rsidRPr="001D616F">
              <w:rPr>
                <w:rFonts w:cstheme="minorHAnsi"/>
                <w:b/>
                <w:sz w:val="20"/>
                <w:szCs w:val="20"/>
              </w:rPr>
              <w:t xml:space="preserve"> </w:t>
            </w:r>
            <w:proofErr w:type="spellStart"/>
            <w:r w:rsidRPr="001D616F">
              <w:rPr>
                <w:rFonts w:cstheme="minorHAnsi"/>
                <w:b/>
                <w:sz w:val="20"/>
                <w:szCs w:val="20"/>
              </w:rPr>
              <w:t>strateškim</w:t>
            </w:r>
            <w:proofErr w:type="spellEnd"/>
            <w:r w:rsidRPr="001D616F">
              <w:rPr>
                <w:rFonts w:cstheme="minorHAnsi"/>
                <w:b/>
                <w:sz w:val="20"/>
                <w:szCs w:val="20"/>
              </w:rPr>
              <w:t xml:space="preserve"> </w:t>
            </w:r>
            <w:proofErr w:type="spellStart"/>
            <w:r w:rsidRPr="001D616F">
              <w:rPr>
                <w:rFonts w:cstheme="minorHAnsi"/>
                <w:b/>
                <w:sz w:val="20"/>
                <w:szCs w:val="20"/>
              </w:rPr>
              <w:t>ciljem</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77BF9561" w14:textId="77777777" w:rsidR="00A00D87" w:rsidRPr="001D616F" w:rsidRDefault="00A00D87" w:rsidP="00122946">
            <w:pPr>
              <w:spacing w:line="259" w:lineRule="auto"/>
              <w:ind w:left="1"/>
              <w:rPr>
                <w:rFonts w:cstheme="minorHAnsi"/>
                <w:sz w:val="20"/>
                <w:szCs w:val="20"/>
              </w:rPr>
            </w:pPr>
            <w:r w:rsidRPr="001D616F">
              <w:rPr>
                <w:rFonts w:cstheme="minorHAnsi"/>
                <w:b/>
                <w:sz w:val="20"/>
                <w:szCs w:val="20"/>
              </w:rPr>
              <w:t xml:space="preserve">1. </w:t>
            </w:r>
            <w:proofErr w:type="spellStart"/>
            <w:r w:rsidRPr="001D616F">
              <w:rPr>
                <w:rFonts w:cstheme="minorHAnsi"/>
                <w:b/>
                <w:sz w:val="20"/>
                <w:szCs w:val="20"/>
              </w:rPr>
              <w:t>Postojeći</w:t>
            </w:r>
            <w:proofErr w:type="spellEnd"/>
            <w:r w:rsidRPr="001D616F">
              <w:rPr>
                <w:rFonts w:cstheme="minorHAnsi"/>
                <w:b/>
                <w:sz w:val="20"/>
                <w:szCs w:val="20"/>
              </w:rPr>
              <w:t xml:space="preserve"> fond </w:t>
            </w:r>
            <w:proofErr w:type="spellStart"/>
            <w:r w:rsidRPr="001D616F">
              <w:rPr>
                <w:rFonts w:cstheme="minorHAnsi"/>
                <w:b/>
                <w:sz w:val="20"/>
                <w:szCs w:val="20"/>
              </w:rPr>
              <w:t>zgrada</w:t>
            </w:r>
            <w:proofErr w:type="spellEnd"/>
            <w:r w:rsidRPr="001D616F">
              <w:rPr>
                <w:rFonts w:cstheme="minorHAnsi"/>
                <w:b/>
                <w:sz w:val="20"/>
                <w:szCs w:val="20"/>
              </w:rPr>
              <w:t xml:space="preserve"> u FBiH je </w:t>
            </w:r>
            <w:proofErr w:type="spellStart"/>
            <w:r w:rsidRPr="001D616F">
              <w:rPr>
                <w:rFonts w:cstheme="minorHAnsi"/>
                <w:b/>
                <w:sz w:val="20"/>
                <w:szCs w:val="20"/>
              </w:rPr>
              <w:t>transformiran</w:t>
            </w:r>
            <w:proofErr w:type="spellEnd"/>
            <w:r w:rsidRPr="001D616F">
              <w:rPr>
                <w:rFonts w:cstheme="minorHAnsi"/>
                <w:b/>
                <w:sz w:val="20"/>
                <w:szCs w:val="20"/>
              </w:rPr>
              <w:t xml:space="preserve"> u </w:t>
            </w:r>
            <w:proofErr w:type="spellStart"/>
            <w:r w:rsidRPr="001D616F">
              <w:rPr>
                <w:rFonts w:cstheme="minorHAnsi"/>
                <w:b/>
                <w:sz w:val="20"/>
                <w:szCs w:val="20"/>
              </w:rPr>
              <w:t>energijski</w:t>
            </w:r>
            <w:proofErr w:type="spellEnd"/>
            <w:r w:rsidRPr="001D616F">
              <w:rPr>
                <w:rFonts w:cstheme="minorHAnsi"/>
                <w:b/>
                <w:sz w:val="20"/>
                <w:szCs w:val="20"/>
              </w:rPr>
              <w:t xml:space="preserve"> </w:t>
            </w:r>
            <w:proofErr w:type="spellStart"/>
            <w:r w:rsidRPr="001D616F">
              <w:rPr>
                <w:rFonts w:cstheme="minorHAnsi"/>
                <w:b/>
                <w:sz w:val="20"/>
                <w:szCs w:val="20"/>
              </w:rPr>
              <w:t>visokoefikasan</w:t>
            </w:r>
            <w:proofErr w:type="spellEnd"/>
            <w:r w:rsidRPr="001D616F">
              <w:rPr>
                <w:rFonts w:cstheme="minorHAnsi"/>
                <w:b/>
                <w:sz w:val="20"/>
                <w:szCs w:val="20"/>
              </w:rPr>
              <w:t xml:space="preserve"> i </w:t>
            </w:r>
            <w:proofErr w:type="spellStart"/>
            <w:r w:rsidRPr="001D616F">
              <w:rPr>
                <w:rFonts w:cstheme="minorHAnsi"/>
                <w:b/>
                <w:sz w:val="20"/>
                <w:szCs w:val="20"/>
              </w:rPr>
              <w:t>dekarboniziran</w:t>
            </w:r>
            <w:proofErr w:type="spellEnd"/>
            <w:r w:rsidRPr="001D616F">
              <w:rPr>
                <w:rFonts w:cstheme="minorHAnsi"/>
                <w:b/>
                <w:sz w:val="20"/>
                <w:szCs w:val="20"/>
              </w:rPr>
              <w:t xml:space="preserve"> fond </w:t>
            </w:r>
            <w:proofErr w:type="spellStart"/>
            <w:r w:rsidRPr="001D616F">
              <w:rPr>
                <w:rFonts w:cstheme="minorHAnsi"/>
                <w:b/>
                <w:sz w:val="20"/>
                <w:szCs w:val="20"/>
              </w:rPr>
              <w:t>zgrada</w:t>
            </w:r>
            <w:proofErr w:type="spellEnd"/>
            <w:r w:rsidRPr="001D616F">
              <w:rPr>
                <w:rFonts w:cstheme="minorHAnsi"/>
                <w:b/>
                <w:sz w:val="20"/>
                <w:szCs w:val="20"/>
              </w:rPr>
              <w:t xml:space="preserve"> do 2050. </w:t>
            </w:r>
            <w:proofErr w:type="spellStart"/>
            <w:r w:rsidRPr="001D616F">
              <w:rPr>
                <w:rFonts w:cstheme="minorHAnsi"/>
                <w:b/>
                <w:sz w:val="20"/>
                <w:szCs w:val="20"/>
              </w:rPr>
              <w:t>godine</w:t>
            </w:r>
            <w:proofErr w:type="spellEnd"/>
          </w:p>
        </w:tc>
      </w:tr>
      <w:tr w:rsidR="00A00D87" w:rsidRPr="001972F5" w14:paraId="0A2F727C" w14:textId="77777777" w:rsidTr="00122946">
        <w:trPr>
          <w:trHeight w:val="21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ED84BD"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Prioritet</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3B0A035A" w14:textId="77777777" w:rsidR="00A00D87" w:rsidRPr="001D616F" w:rsidRDefault="00A00D87" w:rsidP="00581C1C">
            <w:pPr>
              <w:pStyle w:val="ListParagraph"/>
              <w:numPr>
                <w:ilvl w:val="1"/>
                <w:numId w:val="94"/>
              </w:numPr>
              <w:jc w:val="both"/>
              <w:rPr>
                <w:rFonts w:cstheme="minorHAnsi"/>
                <w:sz w:val="20"/>
                <w:szCs w:val="20"/>
              </w:rPr>
            </w:pPr>
            <w:r w:rsidRPr="001D616F">
              <w:rPr>
                <w:rFonts w:cstheme="minorHAnsi"/>
                <w:b/>
                <w:sz w:val="20"/>
                <w:szCs w:val="20"/>
              </w:rPr>
              <w:t>Transformirati postojeći fond zgrada FBiH u energijski visokoefikasan</w:t>
            </w:r>
          </w:p>
        </w:tc>
      </w:tr>
      <w:tr w:rsidR="00A00D87" w:rsidRPr="001D616F" w14:paraId="244514A9" w14:textId="77777777" w:rsidTr="00122946">
        <w:trPr>
          <w:trHeight w:val="425"/>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947A9E8"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Naziv</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2D4DFF3A" w14:textId="77777777" w:rsidR="00A00D87" w:rsidRPr="001D616F" w:rsidRDefault="00A00D87" w:rsidP="00122946">
            <w:pPr>
              <w:spacing w:line="259" w:lineRule="auto"/>
              <w:ind w:left="635" w:hanging="574"/>
              <w:rPr>
                <w:rFonts w:cstheme="minorHAnsi"/>
                <w:b/>
                <w:sz w:val="20"/>
                <w:szCs w:val="20"/>
              </w:rPr>
            </w:pPr>
            <w:r w:rsidRPr="001D616F">
              <w:rPr>
                <w:rFonts w:cstheme="minorHAnsi"/>
                <w:b/>
                <w:sz w:val="20"/>
                <w:szCs w:val="20"/>
              </w:rPr>
              <w:t xml:space="preserve">1.1.6. </w:t>
            </w:r>
            <w:proofErr w:type="spellStart"/>
            <w:r w:rsidRPr="001D616F">
              <w:rPr>
                <w:rFonts w:cstheme="minorHAnsi"/>
                <w:b/>
                <w:sz w:val="20"/>
                <w:szCs w:val="20"/>
              </w:rPr>
              <w:t>Podsticati</w:t>
            </w:r>
            <w:proofErr w:type="spellEnd"/>
            <w:r w:rsidRPr="001D616F">
              <w:rPr>
                <w:rFonts w:cstheme="minorHAnsi"/>
                <w:b/>
                <w:sz w:val="20"/>
                <w:szCs w:val="20"/>
              </w:rPr>
              <w:t xml:space="preserve"> </w:t>
            </w:r>
            <w:proofErr w:type="spellStart"/>
            <w:r w:rsidRPr="001D616F">
              <w:rPr>
                <w:rFonts w:cstheme="minorHAnsi"/>
                <w:b/>
                <w:sz w:val="20"/>
                <w:szCs w:val="20"/>
              </w:rPr>
              <w:t>primjenu</w:t>
            </w:r>
            <w:proofErr w:type="spellEnd"/>
            <w:r w:rsidRPr="001D616F">
              <w:rPr>
                <w:rFonts w:cstheme="minorHAnsi"/>
                <w:b/>
                <w:sz w:val="20"/>
                <w:szCs w:val="20"/>
              </w:rPr>
              <w:t xml:space="preserve"> </w:t>
            </w:r>
            <w:proofErr w:type="spellStart"/>
            <w:r w:rsidRPr="001D616F">
              <w:rPr>
                <w:rFonts w:cstheme="minorHAnsi"/>
                <w:b/>
                <w:sz w:val="20"/>
                <w:szCs w:val="20"/>
              </w:rPr>
              <w:t>novih</w:t>
            </w:r>
            <w:proofErr w:type="spellEnd"/>
            <w:r w:rsidRPr="001D616F">
              <w:rPr>
                <w:rFonts w:cstheme="minorHAnsi"/>
                <w:b/>
                <w:sz w:val="20"/>
                <w:szCs w:val="20"/>
              </w:rPr>
              <w:t xml:space="preserve"> </w:t>
            </w:r>
            <w:proofErr w:type="spellStart"/>
            <w:r w:rsidRPr="001D616F">
              <w:rPr>
                <w:rFonts w:cstheme="minorHAnsi"/>
                <w:b/>
                <w:sz w:val="20"/>
                <w:szCs w:val="20"/>
              </w:rPr>
              <w:t>tehnologija</w:t>
            </w:r>
            <w:proofErr w:type="spellEnd"/>
            <w:r w:rsidRPr="001D616F">
              <w:rPr>
                <w:rFonts w:cstheme="minorHAnsi"/>
                <w:b/>
                <w:sz w:val="20"/>
                <w:szCs w:val="20"/>
              </w:rPr>
              <w:t xml:space="preserve"> i </w:t>
            </w:r>
            <w:proofErr w:type="spellStart"/>
            <w:r w:rsidRPr="001D616F">
              <w:rPr>
                <w:rFonts w:cstheme="minorHAnsi"/>
                <w:b/>
                <w:sz w:val="20"/>
                <w:szCs w:val="20"/>
              </w:rPr>
              <w:t>pametnih</w:t>
            </w:r>
            <w:proofErr w:type="spellEnd"/>
            <w:r w:rsidRPr="001D616F">
              <w:rPr>
                <w:rFonts w:cstheme="minorHAnsi"/>
                <w:b/>
                <w:sz w:val="20"/>
                <w:szCs w:val="20"/>
              </w:rPr>
              <w:t xml:space="preserve"> </w:t>
            </w:r>
            <w:proofErr w:type="spellStart"/>
            <w:r w:rsidRPr="001D616F">
              <w:rPr>
                <w:rFonts w:cstheme="minorHAnsi"/>
                <w:b/>
                <w:sz w:val="20"/>
                <w:szCs w:val="20"/>
              </w:rPr>
              <w:t>rješenja</w:t>
            </w:r>
            <w:proofErr w:type="spellEnd"/>
            <w:r w:rsidRPr="001D616F">
              <w:rPr>
                <w:rFonts w:cstheme="minorHAnsi"/>
                <w:b/>
                <w:sz w:val="20"/>
                <w:szCs w:val="20"/>
              </w:rPr>
              <w:t xml:space="preserve"> u </w:t>
            </w:r>
            <w:proofErr w:type="spellStart"/>
            <w:r w:rsidRPr="001D616F">
              <w:rPr>
                <w:rFonts w:cstheme="minorHAnsi"/>
                <w:b/>
                <w:sz w:val="20"/>
                <w:szCs w:val="20"/>
              </w:rPr>
              <w:t>sektoru</w:t>
            </w:r>
            <w:proofErr w:type="spellEnd"/>
            <w:r w:rsidRPr="001D616F">
              <w:rPr>
                <w:rFonts w:cstheme="minorHAnsi"/>
                <w:b/>
                <w:sz w:val="20"/>
                <w:szCs w:val="20"/>
              </w:rPr>
              <w:t xml:space="preserve"> </w:t>
            </w:r>
            <w:proofErr w:type="spellStart"/>
            <w:r w:rsidRPr="001D616F">
              <w:rPr>
                <w:rFonts w:cstheme="minorHAnsi"/>
                <w:b/>
                <w:sz w:val="20"/>
                <w:szCs w:val="20"/>
              </w:rPr>
              <w:t>zgradarstva</w:t>
            </w:r>
            <w:proofErr w:type="spellEnd"/>
          </w:p>
        </w:tc>
      </w:tr>
      <w:tr w:rsidR="00A00D87" w:rsidRPr="001972F5" w14:paraId="105D2298"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3660E7"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Opis</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roofErr w:type="spellStart"/>
            <w:r w:rsidRPr="001D616F">
              <w:rPr>
                <w:rFonts w:cstheme="minorHAnsi"/>
                <w:b/>
                <w:sz w:val="20"/>
                <w:szCs w:val="20"/>
              </w:rPr>
              <w:t>sa</w:t>
            </w:r>
            <w:proofErr w:type="spellEnd"/>
            <w:r w:rsidRPr="001D616F">
              <w:rPr>
                <w:rFonts w:cstheme="minorHAnsi"/>
                <w:b/>
                <w:sz w:val="20"/>
                <w:szCs w:val="20"/>
              </w:rPr>
              <w:t xml:space="preserve"> </w:t>
            </w:r>
            <w:proofErr w:type="spellStart"/>
            <w:r w:rsidRPr="001D616F">
              <w:rPr>
                <w:rFonts w:cstheme="minorHAnsi"/>
                <w:b/>
                <w:sz w:val="20"/>
                <w:szCs w:val="20"/>
              </w:rPr>
              <w:t>okvirnim</w:t>
            </w:r>
            <w:proofErr w:type="spellEnd"/>
            <w:r w:rsidRPr="001D616F">
              <w:rPr>
                <w:rFonts w:cstheme="minorHAnsi"/>
                <w:b/>
                <w:sz w:val="20"/>
                <w:szCs w:val="20"/>
              </w:rPr>
              <w:t xml:space="preserve"> </w:t>
            </w:r>
            <w:proofErr w:type="spellStart"/>
            <w:r w:rsidRPr="001D616F">
              <w:rPr>
                <w:rFonts w:cstheme="minorHAnsi"/>
                <w:b/>
                <w:sz w:val="20"/>
                <w:szCs w:val="20"/>
              </w:rPr>
              <w:t>područjima</w:t>
            </w:r>
            <w:proofErr w:type="spellEnd"/>
            <w:r w:rsidRPr="001D616F">
              <w:rPr>
                <w:rFonts w:cstheme="minorHAnsi"/>
                <w:b/>
                <w:sz w:val="20"/>
                <w:szCs w:val="20"/>
              </w:rPr>
              <w:t xml:space="preserve"> </w:t>
            </w:r>
            <w:proofErr w:type="spellStart"/>
            <w:r w:rsidRPr="001D616F">
              <w:rPr>
                <w:rFonts w:cstheme="minorHAnsi"/>
                <w:b/>
                <w:sz w:val="20"/>
                <w:szCs w:val="20"/>
              </w:rPr>
              <w:t>djelovanja</w:t>
            </w:r>
            <w:proofErr w:type="spellEnd"/>
          </w:p>
        </w:tc>
        <w:tc>
          <w:tcPr>
            <w:tcW w:w="7249" w:type="dxa"/>
            <w:gridSpan w:val="3"/>
            <w:tcBorders>
              <w:top w:val="single" w:sz="4" w:space="0" w:color="000000"/>
              <w:left w:val="single" w:sz="4" w:space="0" w:color="000000"/>
              <w:bottom w:val="single" w:sz="4" w:space="0" w:color="000000"/>
              <w:right w:val="single" w:sz="4" w:space="0" w:color="000000"/>
            </w:tcBorders>
            <w:shd w:val="clear" w:color="auto" w:fill="auto"/>
          </w:tcPr>
          <w:p w14:paraId="063038AA" w14:textId="77777777" w:rsidR="00A00D87" w:rsidRPr="001D616F" w:rsidRDefault="00A00D87" w:rsidP="00E6560A">
            <w:pPr>
              <w:ind w:left="1" w:right="32"/>
              <w:jc w:val="both"/>
              <w:rPr>
                <w:rFonts w:cstheme="minorHAnsi"/>
                <w:sz w:val="20"/>
                <w:szCs w:val="20"/>
              </w:rPr>
            </w:pPr>
            <w:bookmarkStart w:id="270" w:name="_Hlk126069909"/>
            <w:proofErr w:type="spellStart"/>
            <w:r w:rsidRPr="001D616F">
              <w:rPr>
                <w:rFonts w:cstheme="minorHAnsi"/>
                <w:sz w:val="20"/>
                <w:szCs w:val="20"/>
              </w:rPr>
              <w:t>Cilj</w:t>
            </w:r>
            <w:proofErr w:type="spellEnd"/>
            <w:r w:rsidRPr="001D616F">
              <w:rPr>
                <w:rFonts w:cstheme="minorHAnsi"/>
                <w:sz w:val="20"/>
                <w:szCs w:val="20"/>
              </w:rPr>
              <w:t xml:space="preserve"> </w:t>
            </w:r>
            <w:proofErr w:type="spellStart"/>
            <w:r w:rsidRPr="001D616F">
              <w:rPr>
                <w:rFonts w:cstheme="minorHAnsi"/>
                <w:sz w:val="20"/>
                <w:szCs w:val="20"/>
              </w:rPr>
              <w:t>mjere</w:t>
            </w:r>
            <w:proofErr w:type="spellEnd"/>
            <w:r w:rsidRPr="001D616F">
              <w:rPr>
                <w:rFonts w:cstheme="minorHAnsi"/>
                <w:sz w:val="20"/>
                <w:szCs w:val="20"/>
              </w:rPr>
              <w:t xml:space="preserve"> je </w:t>
            </w:r>
            <w:proofErr w:type="spellStart"/>
            <w:r w:rsidRPr="001D616F">
              <w:rPr>
                <w:rFonts w:cstheme="minorHAnsi"/>
                <w:sz w:val="20"/>
                <w:szCs w:val="20"/>
              </w:rPr>
              <w:t>kroz</w:t>
            </w:r>
            <w:proofErr w:type="spellEnd"/>
            <w:r w:rsidRPr="001D616F">
              <w:rPr>
                <w:rFonts w:cstheme="minorHAnsi"/>
                <w:sz w:val="20"/>
                <w:szCs w:val="20"/>
              </w:rPr>
              <w:t xml:space="preserve"> </w:t>
            </w:r>
            <w:proofErr w:type="spellStart"/>
            <w:r w:rsidRPr="001D616F">
              <w:rPr>
                <w:rFonts w:cstheme="minorHAnsi"/>
                <w:sz w:val="20"/>
                <w:szCs w:val="20"/>
              </w:rPr>
              <w:t>poticanje</w:t>
            </w:r>
            <w:proofErr w:type="spellEnd"/>
            <w:r w:rsidRPr="001D616F">
              <w:rPr>
                <w:rFonts w:cstheme="minorHAnsi"/>
                <w:sz w:val="20"/>
                <w:szCs w:val="20"/>
              </w:rPr>
              <w:t xml:space="preserve"> </w:t>
            </w:r>
            <w:proofErr w:type="spellStart"/>
            <w:r w:rsidRPr="001D616F">
              <w:rPr>
                <w:rFonts w:cstheme="minorHAnsi"/>
                <w:sz w:val="20"/>
                <w:szCs w:val="20"/>
              </w:rPr>
              <w:t>primjene</w:t>
            </w:r>
            <w:proofErr w:type="spellEnd"/>
            <w:r w:rsidRPr="001D616F">
              <w:rPr>
                <w:rFonts w:cstheme="minorHAnsi"/>
                <w:sz w:val="20"/>
                <w:szCs w:val="20"/>
              </w:rPr>
              <w:t xml:space="preserve"> </w:t>
            </w:r>
            <w:proofErr w:type="spellStart"/>
            <w:r w:rsidRPr="001D616F">
              <w:rPr>
                <w:rFonts w:cstheme="minorHAnsi"/>
                <w:sz w:val="20"/>
                <w:szCs w:val="20"/>
              </w:rPr>
              <w:t>novih</w:t>
            </w:r>
            <w:proofErr w:type="spellEnd"/>
            <w:r w:rsidRPr="001D616F">
              <w:rPr>
                <w:rFonts w:cstheme="minorHAnsi"/>
                <w:sz w:val="20"/>
                <w:szCs w:val="20"/>
              </w:rPr>
              <w:t xml:space="preserve"> </w:t>
            </w:r>
            <w:proofErr w:type="spellStart"/>
            <w:r w:rsidRPr="001D616F">
              <w:rPr>
                <w:rFonts w:cstheme="minorHAnsi"/>
                <w:sz w:val="20"/>
                <w:szCs w:val="20"/>
              </w:rPr>
              <w:t>tehnologija</w:t>
            </w:r>
            <w:proofErr w:type="spellEnd"/>
            <w:r w:rsidRPr="001D616F">
              <w:rPr>
                <w:rFonts w:cstheme="minorHAnsi"/>
                <w:sz w:val="20"/>
                <w:szCs w:val="20"/>
              </w:rPr>
              <w:t xml:space="preserve"> i </w:t>
            </w:r>
            <w:proofErr w:type="spellStart"/>
            <w:r w:rsidRPr="001D616F">
              <w:rPr>
                <w:rFonts w:cstheme="minorHAnsi"/>
                <w:sz w:val="20"/>
                <w:szCs w:val="20"/>
              </w:rPr>
              <w:t>pametnih</w:t>
            </w:r>
            <w:proofErr w:type="spellEnd"/>
            <w:r w:rsidRPr="001D616F">
              <w:rPr>
                <w:rFonts w:cstheme="minorHAnsi"/>
                <w:sz w:val="20"/>
                <w:szCs w:val="20"/>
              </w:rPr>
              <w:t xml:space="preserve"> </w:t>
            </w:r>
            <w:proofErr w:type="spellStart"/>
            <w:r w:rsidRPr="001D616F">
              <w:rPr>
                <w:rFonts w:cstheme="minorHAnsi"/>
                <w:sz w:val="20"/>
                <w:szCs w:val="20"/>
              </w:rPr>
              <w:t>rješenja</w:t>
            </w:r>
            <w:proofErr w:type="spellEnd"/>
            <w:r w:rsidRPr="001D616F">
              <w:rPr>
                <w:rFonts w:cstheme="minorHAnsi"/>
                <w:sz w:val="20"/>
                <w:szCs w:val="20"/>
              </w:rPr>
              <w:t xml:space="preserve"> u </w:t>
            </w:r>
            <w:proofErr w:type="spellStart"/>
            <w:r w:rsidRPr="001D616F">
              <w:rPr>
                <w:rFonts w:cstheme="minorHAnsi"/>
                <w:sz w:val="20"/>
                <w:szCs w:val="20"/>
              </w:rPr>
              <w:t>sektoru</w:t>
            </w:r>
            <w:proofErr w:type="spellEnd"/>
            <w:r w:rsidRPr="001D616F">
              <w:rPr>
                <w:rFonts w:cstheme="minorHAnsi"/>
                <w:sz w:val="20"/>
                <w:szCs w:val="20"/>
              </w:rPr>
              <w:t xml:space="preserve"> </w:t>
            </w:r>
            <w:proofErr w:type="spellStart"/>
            <w:r w:rsidRPr="001D616F">
              <w:rPr>
                <w:rFonts w:cstheme="minorHAnsi"/>
                <w:sz w:val="20"/>
                <w:szCs w:val="20"/>
              </w:rPr>
              <w:t>zgradarstva</w:t>
            </w:r>
            <w:proofErr w:type="spellEnd"/>
            <w:r w:rsidRPr="001D616F">
              <w:rPr>
                <w:rFonts w:cstheme="minorHAnsi"/>
                <w:sz w:val="20"/>
                <w:szCs w:val="20"/>
              </w:rPr>
              <w:t xml:space="preserve">, </w:t>
            </w:r>
            <w:proofErr w:type="spellStart"/>
            <w:r w:rsidRPr="001D616F">
              <w:rPr>
                <w:rFonts w:cstheme="minorHAnsi"/>
                <w:sz w:val="20"/>
                <w:szCs w:val="20"/>
              </w:rPr>
              <w:t>doprinijeti</w:t>
            </w:r>
            <w:proofErr w:type="spellEnd"/>
            <w:r w:rsidRPr="001D616F">
              <w:rPr>
                <w:rFonts w:cstheme="minorHAnsi"/>
                <w:sz w:val="20"/>
                <w:szCs w:val="20"/>
              </w:rPr>
              <w:t xml:space="preserve"> </w:t>
            </w:r>
            <w:proofErr w:type="spellStart"/>
            <w:r w:rsidRPr="001D616F">
              <w:rPr>
                <w:rFonts w:cstheme="minorHAnsi"/>
                <w:sz w:val="20"/>
                <w:szCs w:val="20"/>
              </w:rPr>
              <w:t>razvoju</w:t>
            </w:r>
            <w:proofErr w:type="spellEnd"/>
            <w:r w:rsidRPr="001D616F">
              <w:rPr>
                <w:rFonts w:cstheme="minorHAnsi"/>
                <w:sz w:val="20"/>
                <w:szCs w:val="20"/>
              </w:rPr>
              <w:t xml:space="preserve"> </w:t>
            </w:r>
            <w:proofErr w:type="spellStart"/>
            <w:r w:rsidRPr="001D616F">
              <w:rPr>
                <w:rFonts w:cstheme="minorHAnsi"/>
                <w:sz w:val="20"/>
                <w:szCs w:val="20"/>
              </w:rPr>
              <w:t>održivih</w:t>
            </w:r>
            <w:proofErr w:type="spellEnd"/>
            <w:r w:rsidRPr="001D616F">
              <w:rPr>
                <w:rFonts w:cstheme="minorHAnsi"/>
                <w:sz w:val="20"/>
                <w:szCs w:val="20"/>
              </w:rPr>
              <w:t xml:space="preserve"> </w:t>
            </w:r>
            <w:proofErr w:type="spellStart"/>
            <w:r w:rsidRPr="001D616F">
              <w:rPr>
                <w:rFonts w:cstheme="minorHAnsi"/>
                <w:sz w:val="20"/>
                <w:szCs w:val="20"/>
              </w:rPr>
              <w:t>gradova</w:t>
            </w:r>
            <w:proofErr w:type="spellEnd"/>
            <w:r w:rsidRPr="001D616F">
              <w:rPr>
                <w:rFonts w:cstheme="minorHAnsi"/>
                <w:sz w:val="20"/>
                <w:szCs w:val="20"/>
              </w:rPr>
              <w:t xml:space="preserve">. </w:t>
            </w:r>
            <w:proofErr w:type="spellStart"/>
            <w:r w:rsidRPr="001D616F">
              <w:rPr>
                <w:rFonts w:cstheme="minorHAnsi"/>
                <w:sz w:val="20"/>
                <w:szCs w:val="20"/>
              </w:rPr>
              <w:t>Napredak</w:t>
            </w:r>
            <w:proofErr w:type="spellEnd"/>
            <w:r w:rsidRPr="001D616F">
              <w:rPr>
                <w:rFonts w:cstheme="minorHAnsi"/>
                <w:sz w:val="20"/>
                <w:szCs w:val="20"/>
              </w:rPr>
              <w:t xml:space="preserve"> </w:t>
            </w:r>
            <w:proofErr w:type="spellStart"/>
            <w:r w:rsidRPr="001D616F">
              <w:rPr>
                <w:rFonts w:cstheme="minorHAnsi"/>
                <w:sz w:val="20"/>
                <w:szCs w:val="20"/>
              </w:rPr>
              <w:t>digitalnih</w:t>
            </w:r>
            <w:proofErr w:type="spellEnd"/>
            <w:r w:rsidRPr="001D616F">
              <w:rPr>
                <w:rFonts w:cstheme="minorHAnsi"/>
                <w:sz w:val="20"/>
                <w:szCs w:val="20"/>
              </w:rPr>
              <w:t xml:space="preserve"> </w:t>
            </w:r>
            <w:proofErr w:type="spellStart"/>
            <w:r w:rsidRPr="001D616F">
              <w:rPr>
                <w:rFonts w:cstheme="minorHAnsi"/>
                <w:sz w:val="20"/>
                <w:szCs w:val="20"/>
              </w:rPr>
              <w:t>tehnologija</w:t>
            </w:r>
            <w:proofErr w:type="spellEnd"/>
            <w:r w:rsidRPr="001D616F">
              <w:rPr>
                <w:rFonts w:cstheme="minorHAnsi"/>
                <w:sz w:val="20"/>
                <w:szCs w:val="20"/>
              </w:rPr>
              <w:t xml:space="preserve"> </w:t>
            </w:r>
            <w:proofErr w:type="spellStart"/>
            <w:r w:rsidRPr="001D616F">
              <w:rPr>
                <w:rFonts w:cstheme="minorHAnsi"/>
                <w:sz w:val="20"/>
                <w:szCs w:val="20"/>
              </w:rPr>
              <w:t>omogućava</w:t>
            </w:r>
            <w:proofErr w:type="spellEnd"/>
            <w:r w:rsidRPr="001D616F">
              <w:rPr>
                <w:rFonts w:cstheme="minorHAnsi"/>
                <w:sz w:val="20"/>
                <w:szCs w:val="20"/>
              </w:rPr>
              <w:t xml:space="preserve"> </w:t>
            </w:r>
            <w:proofErr w:type="spellStart"/>
            <w:r w:rsidRPr="001D616F">
              <w:rPr>
                <w:rFonts w:cstheme="minorHAnsi"/>
                <w:sz w:val="20"/>
                <w:szCs w:val="20"/>
              </w:rPr>
              <w:t>detaljno</w:t>
            </w:r>
            <w:proofErr w:type="spellEnd"/>
            <w:r w:rsidRPr="001D616F">
              <w:rPr>
                <w:rFonts w:cstheme="minorHAnsi"/>
                <w:sz w:val="20"/>
                <w:szCs w:val="20"/>
              </w:rPr>
              <w:t xml:space="preserve"> </w:t>
            </w:r>
            <w:proofErr w:type="spellStart"/>
            <w:r w:rsidRPr="001D616F">
              <w:rPr>
                <w:rFonts w:cstheme="minorHAnsi"/>
                <w:sz w:val="20"/>
                <w:szCs w:val="20"/>
              </w:rPr>
              <w:t>praćenje</w:t>
            </w:r>
            <w:proofErr w:type="spellEnd"/>
            <w:r w:rsidRPr="001D616F">
              <w:rPr>
                <w:rFonts w:cstheme="minorHAnsi"/>
                <w:sz w:val="20"/>
                <w:szCs w:val="20"/>
              </w:rPr>
              <w:t xml:space="preserve"> </w:t>
            </w:r>
            <w:proofErr w:type="spellStart"/>
            <w:r w:rsidRPr="001D616F">
              <w:rPr>
                <w:rFonts w:cstheme="minorHAnsi"/>
                <w:sz w:val="20"/>
                <w:szCs w:val="20"/>
              </w:rPr>
              <w:t>utjecaja</w:t>
            </w:r>
            <w:proofErr w:type="spellEnd"/>
            <w:r w:rsidRPr="001D616F">
              <w:rPr>
                <w:rFonts w:cstheme="minorHAnsi"/>
                <w:sz w:val="20"/>
                <w:szCs w:val="20"/>
              </w:rPr>
              <w:t xml:space="preserve"> </w:t>
            </w:r>
            <w:proofErr w:type="spellStart"/>
            <w:r w:rsidRPr="001D616F">
              <w:rPr>
                <w:rFonts w:cstheme="minorHAnsi"/>
                <w:sz w:val="20"/>
                <w:szCs w:val="20"/>
              </w:rPr>
              <w:t>zgrada</w:t>
            </w:r>
            <w:proofErr w:type="spellEnd"/>
            <w:r w:rsidRPr="001D616F">
              <w:rPr>
                <w:rFonts w:cstheme="minorHAnsi"/>
                <w:sz w:val="20"/>
                <w:szCs w:val="20"/>
              </w:rPr>
              <w:t xml:space="preserve"> i </w:t>
            </w:r>
            <w:proofErr w:type="spellStart"/>
            <w:r w:rsidRPr="001D616F">
              <w:rPr>
                <w:rFonts w:cstheme="minorHAnsi"/>
                <w:sz w:val="20"/>
                <w:szCs w:val="20"/>
              </w:rPr>
              <w:t>građevinskih</w:t>
            </w:r>
            <w:proofErr w:type="spellEnd"/>
            <w:r w:rsidRPr="001D616F">
              <w:rPr>
                <w:rFonts w:cstheme="minorHAnsi"/>
                <w:sz w:val="20"/>
                <w:szCs w:val="20"/>
              </w:rPr>
              <w:t xml:space="preserve"> </w:t>
            </w:r>
            <w:proofErr w:type="spellStart"/>
            <w:r w:rsidRPr="001D616F">
              <w:rPr>
                <w:rFonts w:cstheme="minorHAnsi"/>
                <w:sz w:val="20"/>
                <w:szCs w:val="20"/>
              </w:rPr>
              <w:t>proizvoda</w:t>
            </w:r>
            <w:proofErr w:type="spellEnd"/>
            <w:r w:rsidRPr="001D616F">
              <w:rPr>
                <w:rFonts w:cstheme="minorHAnsi"/>
                <w:sz w:val="20"/>
                <w:szCs w:val="20"/>
              </w:rPr>
              <w:t xml:space="preserve"> u </w:t>
            </w:r>
            <w:proofErr w:type="spellStart"/>
            <w:r w:rsidRPr="001D616F">
              <w:rPr>
                <w:rFonts w:cstheme="minorHAnsi"/>
                <w:sz w:val="20"/>
                <w:szCs w:val="20"/>
              </w:rPr>
              <w:t>njihovom</w:t>
            </w:r>
            <w:proofErr w:type="spellEnd"/>
            <w:r w:rsidRPr="001D616F">
              <w:rPr>
                <w:rFonts w:cstheme="minorHAnsi"/>
                <w:sz w:val="20"/>
                <w:szCs w:val="20"/>
              </w:rPr>
              <w:t xml:space="preserve"> </w:t>
            </w:r>
            <w:proofErr w:type="spellStart"/>
            <w:r w:rsidRPr="001D616F">
              <w:rPr>
                <w:rFonts w:cstheme="minorHAnsi"/>
                <w:sz w:val="20"/>
                <w:szCs w:val="20"/>
              </w:rPr>
              <w:t>životnom</w:t>
            </w:r>
            <w:proofErr w:type="spellEnd"/>
            <w:r w:rsidRPr="001D616F">
              <w:rPr>
                <w:rFonts w:cstheme="minorHAnsi"/>
                <w:sz w:val="20"/>
                <w:szCs w:val="20"/>
              </w:rPr>
              <w:t xml:space="preserve"> </w:t>
            </w:r>
            <w:proofErr w:type="spellStart"/>
            <w:r w:rsidRPr="001D616F">
              <w:rPr>
                <w:rFonts w:cstheme="minorHAnsi"/>
                <w:sz w:val="20"/>
                <w:szCs w:val="20"/>
              </w:rPr>
              <w:t>ciklusu</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okoliš</w:t>
            </w:r>
            <w:proofErr w:type="spellEnd"/>
            <w:r w:rsidRPr="001D616F">
              <w:rPr>
                <w:rFonts w:cstheme="minorHAnsi"/>
                <w:sz w:val="20"/>
                <w:szCs w:val="20"/>
              </w:rPr>
              <w:t xml:space="preserve">, </w:t>
            </w:r>
            <w:proofErr w:type="spellStart"/>
            <w:r w:rsidRPr="001D616F">
              <w:rPr>
                <w:rFonts w:cstheme="minorHAnsi"/>
                <w:sz w:val="20"/>
                <w:szCs w:val="20"/>
              </w:rPr>
              <w:t>privredu</w:t>
            </w:r>
            <w:proofErr w:type="spellEnd"/>
            <w:r w:rsidRPr="001D616F">
              <w:rPr>
                <w:rFonts w:cstheme="minorHAnsi"/>
                <w:sz w:val="20"/>
                <w:szCs w:val="20"/>
              </w:rPr>
              <w:t xml:space="preserve"> i </w:t>
            </w:r>
            <w:proofErr w:type="spellStart"/>
            <w:r w:rsidRPr="001D616F">
              <w:rPr>
                <w:rFonts w:cstheme="minorHAnsi"/>
                <w:sz w:val="20"/>
                <w:szCs w:val="20"/>
              </w:rPr>
              <w:t>društvo</w:t>
            </w:r>
            <w:proofErr w:type="spellEnd"/>
            <w:r w:rsidRPr="001D616F">
              <w:rPr>
                <w:rFonts w:cstheme="minorHAnsi"/>
                <w:sz w:val="20"/>
                <w:szCs w:val="20"/>
              </w:rPr>
              <w:t xml:space="preserve"> </w:t>
            </w:r>
            <w:proofErr w:type="spellStart"/>
            <w:r w:rsidRPr="001D616F">
              <w:rPr>
                <w:rFonts w:cstheme="minorHAnsi"/>
                <w:sz w:val="20"/>
                <w:szCs w:val="20"/>
              </w:rPr>
              <w:t>općenito</w:t>
            </w:r>
            <w:proofErr w:type="spellEnd"/>
            <w:r w:rsidRPr="001D616F">
              <w:rPr>
                <w:rFonts w:cstheme="minorHAnsi"/>
                <w:sz w:val="20"/>
                <w:szCs w:val="20"/>
              </w:rPr>
              <w:t xml:space="preserve">, </w:t>
            </w:r>
            <w:proofErr w:type="spellStart"/>
            <w:r w:rsidRPr="001D616F">
              <w:rPr>
                <w:rFonts w:cstheme="minorHAnsi"/>
                <w:sz w:val="20"/>
                <w:szCs w:val="20"/>
              </w:rPr>
              <w:t>stoga</w:t>
            </w:r>
            <w:proofErr w:type="spellEnd"/>
            <w:r w:rsidRPr="001D616F">
              <w:rPr>
                <w:rFonts w:cstheme="minorHAnsi"/>
                <w:sz w:val="20"/>
                <w:szCs w:val="20"/>
              </w:rPr>
              <w:t xml:space="preserve"> je </w:t>
            </w:r>
            <w:proofErr w:type="spellStart"/>
            <w:r w:rsidRPr="001D616F">
              <w:rPr>
                <w:rFonts w:cstheme="minorHAnsi"/>
                <w:sz w:val="20"/>
                <w:szCs w:val="20"/>
              </w:rPr>
              <w:t>neophodno</w:t>
            </w:r>
            <w:proofErr w:type="spellEnd"/>
            <w:r w:rsidRPr="001D616F">
              <w:rPr>
                <w:rFonts w:cstheme="minorHAnsi"/>
                <w:sz w:val="20"/>
                <w:szCs w:val="20"/>
              </w:rPr>
              <w:t xml:space="preserve"> </w:t>
            </w:r>
            <w:proofErr w:type="spellStart"/>
            <w:r w:rsidRPr="001D616F">
              <w:rPr>
                <w:rFonts w:cstheme="minorHAnsi"/>
                <w:sz w:val="20"/>
                <w:szCs w:val="20"/>
              </w:rPr>
              <w:t>ove</w:t>
            </w:r>
            <w:proofErr w:type="spellEnd"/>
            <w:r w:rsidRPr="001D616F">
              <w:rPr>
                <w:rFonts w:cstheme="minorHAnsi"/>
                <w:sz w:val="20"/>
                <w:szCs w:val="20"/>
              </w:rPr>
              <w:t xml:space="preserve"> </w:t>
            </w:r>
            <w:proofErr w:type="spellStart"/>
            <w:r w:rsidRPr="001D616F">
              <w:rPr>
                <w:rFonts w:cstheme="minorHAnsi"/>
                <w:sz w:val="20"/>
                <w:szCs w:val="20"/>
              </w:rPr>
              <w:t>potencijale</w:t>
            </w:r>
            <w:proofErr w:type="spellEnd"/>
            <w:r w:rsidRPr="001D616F">
              <w:rPr>
                <w:rFonts w:cstheme="minorHAnsi"/>
                <w:sz w:val="20"/>
                <w:szCs w:val="20"/>
              </w:rPr>
              <w:t xml:space="preserve"> </w:t>
            </w:r>
            <w:proofErr w:type="spellStart"/>
            <w:r w:rsidRPr="001D616F">
              <w:rPr>
                <w:rFonts w:cstheme="minorHAnsi"/>
                <w:sz w:val="20"/>
                <w:szCs w:val="20"/>
              </w:rPr>
              <w:t>iskoristiti</w:t>
            </w:r>
            <w:proofErr w:type="spellEnd"/>
            <w:r w:rsidRPr="001D616F">
              <w:rPr>
                <w:rFonts w:cstheme="minorHAnsi"/>
                <w:sz w:val="20"/>
                <w:szCs w:val="20"/>
              </w:rPr>
              <w:t xml:space="preserve"> da bi se put </w:t>
            </w:r>
            <w:proofErr w:type="spellStart"/>
            <w:r w:rsidRPr="001D616F">
              <w:rPr>
                <w:rFonts w:cstheme="minorHAnsi"/>
                <w:sz w:val="20"/>
                <w:szCs w:val="20"/>
              </w:rPr>
              <w:t>prema</w:t>
            </w:r>
            <w:proofErr w:type="spellEnd"/>
            <w:r w:rsidRPr="001D616F">
              <w:rPr>
                <w:rFonts w:cstheme="minorHAnsi"/>
                <w:sz w:val="20"/>
                <w:szCs w:val="20"/>
              </w:rPr>
              <w:t xml:space="preserve"> </w:t>
            </w:r>
            <w:proofErr w:type="spellStart"/>
            <w:r w:rsidRPr="001D616F">
              <w:rPr>
                <w:rFonts w:cstheme="minorHAnsi"/>
                <w:sz w:val="20"/>
                <w:szCs w:val="20"/>
              </w:rPr>
              <w:t>energijski</w:t>
            </w:r>
            <w:proofErr w:type="spellEnd"/>
            <w:r w:rsidRPr="001D616F">
              <w:rPr>
                <w:rFonts w:cstheme="minorHAnsi"/>
                <w:sz w:val="20"/>
                <w:szCs w:val="20"/>
              </w:rPr>
              <w:t xml:space="preserve"> i </w:t>
            </w:r>
            <w:proofErr w:type="spellStart"/>
            <w:r w:rsidRPr="001D616F">
              <w:rPr>
                <w:rFonts w:cstheme="minorHAnsi"/>
                <w:sz w:val="20"/>
                <w:szCs w:val="20"/>
              </w:rPr>
              <w:t>resursno</w:t>
            </w:r>
            <w:proofErr w:type="spellEnd"/>
            <w:r w:rsidRPr="001D616F">
              <w:rPr>
                <w:rFonts w:cstheme="minorHAnsi"/>
                <w:sz w:val="20"/>
                <w:szCs w:val="20"/>
              </w:rPr>
              <w:t xml:space="preserve"> </w:t>
            </w:r>
            <w:proofErr w:type="spellStart"/>
            <w:r w:rsidRPr="001D616F">
              <w:rPr>
                <w:rFonts w:cstheme="minorHAnsi"/>
                <w:sz w:val="20"/>
                <w:szCs w:val="20"/>
              </w:rPr>
              <w:t>efikasnom</w:t>
            </w:r>
            <w:proofErr w:type="spellEnd"/>
            <w:r w:rsidRPr="001D616F">
              <w:rPr>
                <w:rFonts w:cstheme="minorHAnsi"/>
                <w:sz w:val="20"/>
                <w:szCs w:val="20"/>
              </w:rPr>
              <w:t xml:space="preserve"> </w:t>
            </w:r>
            <w:proofErr w:type="spellStart"/>
            <w:r w:rsidRPr="001D616F">
              <w:rPr>
                <w:rFonts w:cstheme="minorHAnsi"/>
                <w:sz w:val="20"/>
                <w:szCs w:val="20"/>
              </w:rPr>
              <w:t>društvu</w:t>
            </w:r>
            <w:proofErr w:type="spellEnd"/>
            <w:r w:rsidRPr="001D616F">
              <w:rPr>
                <w:rFonts w:cstheme="minorHAnsi"/>
                <w:sz w:val="20"/>
                <w:szCs w:val="20"/>
              </w:rPr>
              <w:t xml:space="preserve"> </w:t>
            </w:r>
            <w:proofErr w:type="spellStart"/>
            <w:r w:rsidRPr="001D616F">
              <w:rPr>
                <w:rFonts w:cstheme="minorHAnsi"/>
                <w:sz w:val="20"/>
                <w:szCs w:val="20"/>
              </w:rPr>
              <w:t>ubrzao</w:t>
            </w:r>
            <w:proofErr w:type="spellEnd"/>
            <w:r w:rsidRPr="001D616F">
              <w:rPr>
                <w:rFonts w:cstheme="minorHAnsi"/>
                <w:sz w:val="20"/>
                <w:szCs w:val="20"/>
              </w:rPr>
              <w:t xml:space="preserve">. U tom </w:t>
            </w:r>
            <w:proofErr w:type="spellStart"/>
            <w:r w:rsidRPr="001D616F">
              <w:rPr>
                <w:rFonts w:cstheme="minorHAnsi"/>
                <w:sz w:val="20"/>
                <w:szCs w:val="20"/>
              </w:rPr>
              <w:t>smislu</w:t>
            </w:r>
            <w:proofErr w:type="spellEnd"/>
            <w:r w:rsidRPr="001D616F">
              <w:rPr>
                <w:rFonts w:cstheme="minorHAnsi"/>
                <w:sz w:val="20"/>
                <w:szCs w:val="20"/>
              </w:rPr>
              <w:t xml:space="preserve">, </w:t>
            </w:r>
            <w:proofErr w:type="spellStart"/>
            <w:r w:rsidRPr="001D616F">
              <w:rPr>
                <w:rFonts w:cstheme="minorHAnsi"/>
                <w:sz w:val="20"/>
                <w:szCs w:val="20"/>
              </w:rPr>
              <w:t>promoviranje</w:t>
            </w:r>
            <w:proofErr w:type="spellEnd"/>
            <w:r w:rsidRPr="001D616F">
              <w:rPr>
                <w:rFonts w:cstheme="minorHAnsi"/>
                <w:sz w:val="20"/>
                <w:szCs w:val="20"/>
              </w:rPr>
              <w:t xml:space="preserve"> </w:t>
            </w:r>
            <w:proofErr w:type="spellStart"/>
            <w:r w:rsidRPr="001D616F">
              <w:rPr>
                <w:rFonts w:cstheme="minorHAnsi"/>
                <w:sz w:val="20"/>
                <w:szCs w:val="20"/>
              </w:rPr>
              <w:t>pametnih</w:t>
            </w:r>
            <w:proofErr w:type="spellEnd"/>
            <w:r w:rsidRPr="001D616F">
              <w:rPr>
                <w:rFonts w:cstheme="minorHAnsi"/>
                <w:sz w:val="20"/>
                <w:szCs w:val="20"/>
              </w:rPr>
              <w:t xml:space="preserve"> </w:t>
            </w:r>
            <w:proofErr w:type="spellStart"/>
            <w:r w:rsidRPr="001D616F">
              <w:rPr>
                <w:rFonts w:cstheme="minorHAnsi"/>
                <w:sz w:val="20"/>
                <w:szCs w:val="20"/>
              </w:rPr>
              <w:t>tehnologija</w:t>
            </w:r>
            <w:proofErr w:type="spellEnd"/>
            <w:r w:rsidRPr="001D616F">
              <w:rPr>
                <w:rFonts w:cstheme="minorHAnsi"/>
                <w:sz w:val="20"/>
                <w:szCs w:val="20"/>
              </w:rPr>
              <w:t xml:space="preserve"> i dobro </w:t>
            </w:r>
            <w:proofErr w:type="spellStart"/>
            <w:r w:rsidRPr="001D616F">
              <w:rPr>
                <w:rFonts w:cstheme="minorHAnsi"/>
                <w:sz w:val="20"/>
                <w:szCs w:val="20"/>
              </w:rPr>
              <w:t>povezanih</w:t>
            </w:r>
            <w:proofErr w:type="spellEnd"/>
            <w:r w:rsidRPr="001D616F">
              <w:rPr>
                <w:rFonts w:cstheme="minorHAnsi"/>
                <w:sz w:val="20"/>
                <w:szCs w:val="20"/>
              </w:rPr>
              <w:t xml:space="preserve"> </w:t>
            </w:r>
            <w:proofErr w:type="spellStart"/>
            <w:r w:rsidRPr="001D616F">
              <w:rPr>
                <w:rFonts w:cstheme="minorHAnsi"/>
                <w:sz w:val="20"/>
                <w:szCs w:val="20"/>
              </w:rPr>
              <w:t>zgrada</w:t>
            </w:r>
            <w:proofErr w:type="spellEnd"/>
            <w:r w:rsidRPr="001D616F">
              <w:rPr>
                <w:rFonts w:cstheme="minorHAnsi"/>
                <w:sz w:val="20"/>
                <w:szCs w:val="20"/>
              </w:rPr>
              <w:t xml:space="preserve"> i </w:t>
            </w:r>
            <w:proofErr w:type="spellStart"/>
            <w:r w:rsidRPr="001D616F">
              <w:rPr>
                <w:rFonts w:cstheme="minorHAnsi"/>
                <w:sz w:val="20"/>
                <w:szCs w:val="20"/>
              </w:rPr>
              <w:t>zajednica</w:t>
            </w:r>
            <w:proofErr w:type="spellEnd"/>
            <w:r w:rsidRPr="001D616F">
              <w:rPr>
                <w:rFonts w:cstheme="minorHAnsi"/>
                <w:sz w:val="20"/>
                <w:szCs w:val="20"/>
              </w:rPr>
              <w:t xml:space="preserve"> </w:t>
            </w:r>
            <w:proofErr w:type="spellStart"/>
            <w:r w:rsidRPr="001D616F">
              <w:rPr>
                <w:rFonts w:cstheme="minorHAnsi"/>
                <w:sz w:val="20"/>
                <w:szCs w:val="20"/>
              </w:rPr>
              <w:t>definiranih</w:t>
            </w:r>
            <w:proofErr w:type="spellEnd"/>
            <w:r w:rsidRPr="001D616F">
              <w:rPr>
                <w:rFonts w:cstheme="minorHAnsi"/>
                <w:sz w:val="20"/>
                <w:szCs w:val="20"/>
              </w:rPr>
              <w:t xml:space="preserve"> </w:t>
            </w:r>
            <w:proofErr w:type="spellStart"/>
            <w:r w:rsidRPr="001D616F">
              <w:rPr>
                <w:rFonts w:cstheme="minorHAnsi"/>
                <w:sz w:val="20"/>
                <w:szCs w:val="20"/>
              </w:rPr>
              <w:t>dominantno</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lokalnom</w:t>
            </w:r>
            <w:proofErr w:type="spellEnd"/>
            <w:r w:rsidRPr="001D616F">
              <w:rPr>
                <w:rFonts w:cstheme="minorHAnsi"/>
                <w:sz w:val="20"/>
                <w:szCs w:val="20"/>
              </w:rPr>
              <w:t xml:space="preserve"> </w:t>
            </w:r>
            <w:proofErr w:type="spellStart"/>
            <w:r w:rsidRPr="001D616F">
              <w:rPr>
                <w:rFonts w:cstheme="minorHAnsi"/>
                <w:sz w:val="20"/>
                <w:szCs w:val="20"/>
              </w:rPr>
              <w:t>nivou</w:t>
            </w:r>
            <w:proofErr w:type="spellEnd"/>
            <w:r w:rsidRPr="001D616F">
              <w:rPr>
                <w:rFonts w:cstheme="minorHAnsi"/>
                <w:sz w:val="20"/>
                <w:szCs w:val="20"/>
              </w:rPr>
              <w:t xml:space="preserve"> </w:t>
            </w:r>
            <w:proofErr w:type="spellStart"/>
            <w:r w:rsidRPr="001D616F">
              <w:rPr>
                <w:rFonts w:cstheme="minorHAnsi"/>
                <w:sz w:val="20"/>
                <w:szCs w:val="20"/>
              </w:rPr>
              <w:t>kroz</w:t>
            </w:r>
            <w:proofErr w:type="spellEnd"/>
            <w:r w:rsidRPr="001D616F">
              <w:rPr>
                <w:rFonts w:cstheme="minorHAnsi"/>
                <w:sz w:val="20"/>
                <w:szCs w:val="20"/>
              </w:rPr>
              <w:t xml:space="preserve"> </w:t>
            </w:r>
            <w:proofErr w:type="spellStart"/>
            <w:r w:rsidRPr="001D616F">
              <w:rPr>
                <w:rFonts w:cstheme="minorHAnsi"/>
                <w:sz w:val="20"/>
                <w:szCs w:val="20"/>
              </w:rPr>
              <w:t>strategije</w:t>
            </w:r>
            <w:proofErr w:type="spellEnd"/>
            <w:r w:rsidRPr="001D616F">
              <w:rPr>
                <w:rFonts w:cstheme="minorHAnsi"/>
                <w:sz w:val="20"/>
                <w:szCs w:val="20"/>
              </w:rPr>
              <w:t xml:space="preserve"> razvoja </w:t>
            </w:r>
            <w:proofErr w:type="spellStart"/>
            <w:r w:rsidRPr="001D616F">
              <w:rPr>
                <w:rFonts w:cstheme="minorHAnsi"/>
                <w:sz w:val="20"/>
                <w:szCs w:val="20"/>
              </w:rPr>
              <w:t>pametnih</w:t>
            </w:r>
            <w:proofErr w:type="spellEnd"/>
            <w:r w:rsidRPr="001D616F">
              <w:rPr>
                <w:rFonts w:cstheme="minorHAnsi"/>
                <w:sz w:val="20"/>
                <w:szCs w:val="20"/>
              </w:rPr>
              <w:t xml:space="preserve"> </w:t>
            </w:r>
            <w:proofErr w:type="spellStart"/>
            <w:r w:rsidRPr="001D616F">
              <w:rPr>
                <w:rFonts w:cstheme="minorHAnsi"/>
                <w:sz w:val="20"/>
                <w:szCs w:val="20"/>
              </w:rPr>
              <w:t>gradova</w:t>
            </w:r>
            <w:proofErr w:type="spellEnd"/>
            <w:r w:rsidRPr="001D616F">
              <w:rPr>
                <w:rFonts w:cstheme="minorHAnsi"/>
                <w:sz w:val="20"/>
                <w:szCs w:val="20"/>
              </w:rPr>
              <w:t xml:space="preserve"> je </w:t>
            </w:r>
            <w:proofErr w:type="spellStart"/>
            <w:r w:rsidRPr="001D616F">
              <w:rPr>
                <w:rFonts w:cstheme="minorHAnsi"/>
                <w:sz w:val="20"/>
                <w:szCs w:val="20"/>
              </w:rPr>
              <w:t>ključno</w:t>
            </w:r>
            <w:proofErr w:type="spellEnd"/>
            <w:r w:rsidRPr="001D616F">
              <w:rPr>
                <w:rFonts w:cstheme="minorHAnsi"/>
                <w:sz w:val="20"/>
                <w:szCs w:val="20"/>
              </w:rPr>
              <w:t xml:space="preserve">. </w:t>
            </w:r>
          </w:p>
          <w:p w14:paraId="02FA94D3" w14:textId="77777777" w:rsidR="00A00D87" w:rsidRPr="001D616F" w:rsidRDefault="00A00D87" w:rsidP="00E6560A">
            <w:pPr>
              <w:ind w:left="1" w:right="32"/>
              <w:jc w:val="both"/>
              <w:rPr>
                <w:rFonts w:cstheme="minorHAnsi"/>
                <w:sz w:val="20"/>
                <w:szCs w:val="20"/>
              </w:rPr>
            </w:pPr>
            <w:r w:rsidRPr="001D616F">
              <w:rPr>
                <w:rFonts w:cstheme="minorHAnsi"/>
                <w:sz w:val="20"/>
                <w:szCs w:val="20"/>
              </w:rPr>
              <w:t xml:space="preserve">U </w:t>
            </w:r>
            <w:proofErr w:type="spellStart"/>
            <w:r w:rsidRPr="001D616F">
              <w:rPr>
                <w:rFonts w:cstheme="minorHAnsi"/>
                <w:sz w:val="20"/>
                <w:szCs w:val="20"/>
              </w:rPr>
              <w:t>kontekstu</w:t>
            </w:r>
            <w:proofErr w:type="spellEnd"/>
            <w:r w:rsidRPr="001D616F">
              <w:rPr>
                <w:rFonts w:cstheme="minorHAnsi"/>
                <w:sz w:val="20"/>
                <w:szCs w:val="20"/>
              </w:rPr>
              <w:t xml:space="preserve"> </w:t>
            </w:r>
            <w:proofErr w:type="spellStart"/>
            <w:r w:rsidRPr="001D616F">
              <w:rPr>
                <w:rFonts w:cstheme="minorHAnsi"/>
                <w:sz w:val="20"/>
                <w:szCs w:val="20"/>
              </w:rPr>
              <w:t>primjene</w:t>
            </w:r>
            <w:proofErr w:type="spellEnd"/>
            <w:r w:rsidRPr="001D616F">
              <w:rPr>
                <w:rFonts w:cstheme="minorHAnsi"/>
                <w:sz w:val="20"/>
                <w:szCs w:val="20"/>
              </w:rPr>
              <w:t xml:space="preserve"> </w:t>
            </w:r>
            <w:proofErr w:type="spellStart"/>
            <w:r w:rsidRPr="001D616F">
              <w:rPr>
                <w:rFonts w:cstheme="minorHAnsi"/>
                <w:sz w:val="20"/>
                <w:szCs w:val="20"/>
              </w:rPr>
              <w:t>novih</w:t>
            </w:r>
            <w:proofErr w:type="spellEnd"/>
            <w:r w:rsidRPr="001D616F">
              <w:rPr>
                <w:rFonts w:cstheme="minorHAnsi"/>
                <w:sz w:val="20"/>
                <w:szCs w:val="20"/>
              </w:rPr>
              <w:t xml:space="preserve"> </w:t>
            </w:r>
            <w:proofErr w:type="spellStart"/>
            <w:r w:rsidRPr="001D616F">
              <w:rPr>
                <w:rFonts w:cstheme="minorHAnsi"/>
                <w:sz w:val="20"/>
                <w:szCs w:val="20"/>
              </w:rPr>
              <w:t>tehnologija</w:t>
            </w:r>
            <w:proofErr w:type="spellEnd"/>
            <w:r w:rsidRPr="001D616F">
              <w:rPr>
                <w:rFonts w:cstheme="minorHAnsi"/>
                <w:sz w:val="20"/>
                <w:szCs w:val="20"/>
              </w:rPr>
              <w:t xml:space="preserve"> i </w:t>
            </w:r>
            <w:proofErr w:type="spellStart"/>
            <w:r w:rsidRPr="001D616F">
              <w:rPr>
                <w:rFonts w:cstheme="minorHAnsi"/>
                <w:sz w:val="20"/>
                <w:szCs w:val="20"/>
              </w:rPr>
              <w:t>pametnih</w:t>
            </w:r>
            <w:proofErr w:type="spellEnd"/>
            <w:r w:rsidRPr="001D616F">
              <w:rPr>
                <w:rFonts w:cstheme="minorHAnsi"/>
                <w:sz w:val="20"/>
                <w:szCs w:val="20"/>
              </w:rPr>
              <w:t xml:space="preserve"> </w:t>
            </w:r>
            <w:proofErr w:type="spellStart"/>
            <w:r w:rsidRPr="001D616F">
              <w:rPr>
                <w:rFonts w:cstheme="minorHAnsi"/>
                <w:sz w:val="20"/>
                <w:szCs w:val="20"/>
              </w:rPr>
              <w:t>rješenja</w:t>
            </w:r>
            <w:proofErr w:type="spellEnd"/>
            <w:r w:rsidRPr="001D616F">
              <w:rPr>
                <w:rFonts w:cstheme="minorHAnsi"/>
                <w:sz w:val="20"/>
                <w:szCs w:val="20"/>
              </w:rPr>
              <w:t xml:space="preserve"> u </w:t>
            </w:r>
            <w:proofErr w:type="spellStart"/>
            <w:r w:rsidRPr="001D616F">
              <w:rPr>
                <w:rFonts w:cstheme="minorHAnsi"/>
                <w:sz w:val="20"/>
                <w:szCs w:val="20"/>
              </w:rPr>
              <w:t>sektoru</w:t>
            </w:r>
            <w:proofErr w:type="spellEnd"/>
            <w:r w:rsidRPr="001D616F">
              <w:rPr>
                <w:rFonts w:cstheme="minorHAnsi"/>
                <w:sz w:val="20"/>
                <w:szCs w:val="20"/>
              </w:rPr>
              <w:t xml:space="preserve"> </w:t>
            </w:r>
            <w:proofErr w:type="spellStart"/>
            <w:r w:rsidRPr="001D616F">
              <w:rPr>
                <w:rFonts w:cstheme="minorHAnsi"/>
                <w:sz w:val="20"/>
                <w:szCs w:val="20"/>
              </w:rPr>
              <w:t>zgradarstva</w:t>
            </w:r>
            <w:proofErr w:type="spellEnd"/>
            <w:r w:rsidRPr="001D616F">
              <w:rPr>
                <w:rFonts w:cstheme="minorHAnsi"/>
                <w:sz w:val="20"/>
                <w:szCs w:val="20"/>
              </w:rPr>
              <w:t xml:space="preserve">, </w:t>
            </w:r>
            <w:proofErr w:type="spellStart"/>
            <w:r w:rsidRPr="001D616F">
              <w:rPr>
                <w:rFonts w:cstheme="minorHAnsi"/>
                <w:sz w:val="20"/>
                <w:szCs w:val="20"/>
              </w:rPr>
              <w:t>potrebno</w:t>
            </w:r>
            <w:proofErr w:type="spellEnd"/>
            <w:r w:rsidRPr="001D616F">
              <w:rPr>
                <w:rFonts w:cstheme="minorHAnsi"/>
                <w:sz w:val="20"/>
                <w:szCs w:val="20"/>
              </w:rPr>
              <w:t xml:space="preserve"> je </w:t>
            </w:r>
            <w:proofErr w:type="spellStart"/>
            <w:r w:rsidRPr="001D616F">
              <w:rPr>
                <w:rFonts w:cstheme="minorHAnsi"/>
                <w:sz w:val="20"/>
                <w:szCs w:val="20"/>
              </w:rPr>
              <w:t>uspostaviti</w:t>
            </w:r>
            <w:proofErr w:type="spellEnd"/>
            <w:r w:rsidRPr="001D616F">
              <w:rPr>
                <w:rFonts w:cstheme="minorHAnsi"/>
                <w:sz w:val="20"/>
                <w:szCs w:val="20"/>
              </w:rPr>
              <w:t xml:space="preserve"> </w:t>
            </w:r>
            <w:proofErr w:type="spellStart"/>
            <w:r w:rsidRPr="001D616F">
              <w:rPr>
                <w:rFonts w:cstheme="minorHAnsi"/>
                <w:sz w:val="20"/>
                <w:szCs w:val="20"/>
              </w:rPr>
              <w:t>centre</w:t>
            </w:r>
            <w:proofErr w:type="spellEnd"/>
            <w:r w:rsidRPr="001D616F">
              <w:rPr>
                <w:rFonts w:cstheme="minorHAnsi"/>
                <w:sz w:val="20"/>
                <w:szCs w:val="20"/>
              </w:rPr>
              <w:t xml:space="preserve"> za </w:t>
            </w:r>
            <w:proofErr w:type="spellStart"/>
            <w:r w:rsidRPr="001D616F">
              <w:rPr>
                <w:rFonts w:cstheme="minorHAnsi"/>
                <w:sz w:val="20"/>
                <w:szCs w:val="20"/>
              </w:rPr>
              <w:t>podršku</w:t>
            </w:r>
            <w:proofErr w:type="spellEnd"/>
            <w:r w:rsidRPr="001D616F">
              <w:rPr>
                <w:rFonts w:cstheme="minorHAnsi"/>
                <w:sz w:val="20"/>
                <w:szCs w:val="20"/>
              </w:rPr>
              <w:t xml:space="preserve"> </w:t>
            </w:r>
            <w:proofErr w:type="spellStart"/>
            <w:r w:rsidRPr="001D616F">
              <w:rPr>
                <w:rFonts w:cstheme="minorHAnsi"/>
                <w:sz w:val="20"/>
                <w:szCs w:val="20"/>
              </w:rPr>
              <w:t>pametnim</w:t>
            </w:r>
            <w:proofErr w:type="spellEnd"/>
            <w:r w:rsidRPr="001D616F">
              <w:rPr>
                <w:rFonts w:cstheme="minorHAnsi"/>
                <w:sz w:val="20"/>
                <w:szCs w:val="20"/>
              </w:rPr>
              <w:t xml:space="preserve"> i </w:t>
            </w:r>
            <w:proofErr w:type="spellStart"/>
            <w:r w:rsidRPr="001D616F">
              <w:rPr>
                <w:rFonts w:cstheme="minorHAnsi"/>
                <w:sz w:val="20"/>
                <w:szCs w:val="20"/>
              </w:rPr>
              <w:t>održivim</w:t>
            </w:r>
            <w:proofErr w:type="spellEnd"/>
            <w:r w:rsidRPr="001D616F">
              <w:rPr>
                <w:rFonts w:cstheme="minorHAnsi"/>
                <w:sz w:val="20"/>
                <w:szCs w:val="20"/>
              </w:rPr>
              <w:t xml:space="preserve"> </w:t>
            </w:r>
            <w:proofErr w:type="spellStart"/>
            <w:r w:rsidRPr="001D616F">
              <w:rPr>
                <w:rFonts w:cstheme="minorHAnsi"/>
                <w:sz w:val="20"/>
                <w:szCs w:val="20"/>
              </w:rPr>
              <w:t>gradovima</w:t>
            </w:r>
            <w:proofErr w:type="spellEnd"/>
            <w:r w:rsidRPr="001D616F">
              <w:rPr>
                <w:rFonts w:cstheme="minorHAnsi"/>
                <w:sz w:val="20"/>
                <w:szCs w:val="20"/>
              </w:rPr>
              <w:t xml:space="preserve"> </w:t>
            </w:r>
            <w:proofErr w:type="spellStart"/>
            <w:r w:rsidRPr="001D616F">
              <w:rPr>
                <w:rFonts w:cstheme="minorHAnsi"/>
                <w:sz w:val="20"/>
                <w:szCs w:val="20"/>
              </w:rPr>
              <w:t>te</w:t>
            </w:r>
            <w:proofErr w:type="spellEnd"/>
            <w:r w:rsidRPr="001D616F">
              <w:rPr>
                <w:rFonts w:cstheme="minorHAnsi"/>
                <w:sz w:val="20"/>
                <w:szCs w:val="20"/>
              </w:rPr>
              <w:t xml:space="preserve"> </w:t>
            </w:r>
            <w:proofErr w:type="spellStart"/>
            <w:proofErr w:type="gramStart"/>
            <w:r w:rsidRPr="001D616F">
              <w:rPr>
                <w:rFonts w:cstheme="minorHAnsi"/>
                <w:sz w:val="20"/>
                <w:szCs w:val="20"/>
              </w:rPr>
              <w:t>osigurati</w:t>
            </w:r>
            <w:proofErr w:type="spellEnd"/>
            <w:r w:rsidRPr="001D616F">
              <w:rPr>
                <w:rFonts w:cstheme="minorHAnsi"/>
                <w:sz w:val="20"/>
                <w:szCs w:val="20"/>
              </w:rPr>
              <w:t xml:space="preserve">  </w:t>
            </w:r>
            <w:proofErr w:type="spellStart"/>
            <w:r w:rsidRPr="001D616F">
              <w:rPr>
                <w:rFonts w:cstheme="minorHAnsi"/>
                <w:sz w:val="20"/>
                <w:szCs w:val="20"/>
              </w:rPr>
              <w:t>sufinanciranje</w:t>
            </w:r>
            <w:proofErr w:type="spellEnd"/>
            <w:proofErr w:type="gramEnd"/>
            <w:r w:rsidRPr="001D616F">
              <w:rPr>
                <w:rFonts w:cstheme="minorHAnsi"/>
                <w:sz w:val="20"/>
                <w:szCs w:val="20"/>
              </w:rPr>
              <w:t xml:space="preserve"> </w:t>
            </w:r>
            <w:proofErr w:type="spellStart"/>
            <w:r w:rsidRPr="001D616F">
              <w:rPr>
                <w:rFonts w:cstheme="minorHAnsi"/>
                <w:sz w:val="20"/>
                <w:szCs w:val="20"/>
              </w:rPr>
              <w:t>projekata</w:t>
            </w:r>
            <w:proofErr w:type="spellEnd"/>
            <w:r w:rsidRPr="001D616F">
              <w:rPr>
                <w:rFonts w:cstheme="minorHAnsi"/>
                <w:sz w:val="20"/>
                <w:szCs w:val="20"/>
              </w:rPr>
              <w:t xml:space="preserve"> razvoja </w:t>
            </w:r>
            <w:proofErr w:type="spellStart"/>
            <w:r w:rsidRPr="001D616F">
              <w:rPr>
                <w:rFonts w:cstheme="minorHAnsi"/>
                <w:sz w:val="20"/>
                <w:szCs w:val="20"/>
              </w:rPr>
              <w:t>pametnih</w:t>
            </w:r>
            <w:proofErr w:type="spellEnd"/>
            <w:r w:rsidRPr="001D616F">
              <w:rPr>
                <w:rFonts w:cstheme="minorHAnsi"/>
                <w:sz w:val="20"/>
                <w:szCs w:val="20"/>
              </w:rPr>
              <w:t xml:space="preserve"> i </w:t>
            </w:r>
            <w:proofErr w:type="spellStart"/>
            <w:r w:rsidRPr="001D616F">
              <w:rPr>
                <w:rFonts w:cstheme="minorHAnsi"/>
                <w:sz w:val="20"/>
                <w:szCs w:val="20"/>
              </w:rPr>
              <w:t>održivih</w:t>
            </w:r>
            <w:proofErr w:type="spellEnd"/>
            <w:r w:rsidRPr="001D616F">
              <w:rPr>
                <w:rFonts w:cstheme="minorHAnsi"/>
                <w:sz w:val="20"/>
                <w:szCs w:val="20"/>
              </w:rPr>
              <w:t xml:space="preserve"> </w:t>
            </w:r>
            <w:proofErr w:type="spellStart"/>
            <w:r w:rsidRPr="001D616F">
              <w:rPr>
                <w:rFonts w:cstheme="minorHAnsi"/>
                <w:sz w:val="20"/>
                <w:szCs w:val="20"/>
              </w:rPr>
              <w:t>rješenja</w:t>
            </w:r>
            <w:proofErr w:type="spellEnd"/>
            <w:r w:rsidRPr="001D616F">
              <w:rPr>
                <w:rFonts w:cstheme="minorHAnsi"/>
                <w:sz w:val="20"/>
                <w:szCs w:val="20"/>
              </w:rPr>
              <w:t xml:space="preserve"> i </w:t>
            </w:r>
            <w:proofErr w:type="spellStart"/>
            <w:r w:rsidRPr="001D616F">
              <w:rPr>
                <w:rFonts w:cstheme="minorHAnsi"/>
                <w:sz w:val="20"/>
                <w:szCs w:val="20"/>
              </w:rPr>
              <w:t>usluga</w:t>
            </w:r>
            <w:proofErr w:type="spellEnd"/>
            <w:r w:rsidRPr="001D616F">
              <w:rPr>
                <w:rFonts w:cstheme="minorHAnsi"/>
                <w:sz w:val="20"/>
                <w:szCs w:val="20"/>
              </w:rPr>
              <w:t xml:space="preserve"> u </w:t>
            </w:r>
            <w:proofErr w:type="spellStart"/>
            <w:r w:rsidRPr="001D616F">
              <w:rPr>
                <w:rFonts w:cstheme="minorHAnsi"/>
                <w:sz w:val="20"/>
                <w:szCs w:val="20"/>
              </w:rPr>
              <w:t>javnom</w:t>
            </w:r>
            <w:proofErr w:type="spellEnd"/>
            <w:r w:rsidRPr="001D616F">
              <w:rPr>
                <w:rFonts w:cstheme="minorHAnsi"/>
                <w:sz w:val="20"/>
                <w:szCs w:val="20"/>
              </w:rPr>
              <w:t xml:space="preserve"> </w:t>
            </w:r>
            <w:proofErr w:type="spellStart"/>
            <w:r w:rsidRPr="001D616F">
              <w:rPr>
                <w:rFonts w:cstheme="minorHAnsi"/>
                <w:sz w:val="20"/>
                <w:szCs w:val="20"/>
              </w:rPr>
              <w:t>sektoru</w:t>
            </w:r>
            <w:proofErr w:type="spellEnd"/>
            <w:r w:rsidRPr="001D616F">
              <w:rPr>
                <w:rFonts w:cstheme="minorHAnsi"/>
                <w:sz w:val="20"/>
                <w:szCs w:val="20"/>
              </w:rPr>
              <w:t xml:space="preserve">, </w:t>
            </w:r>
            <w:proofErr w:type="spellStart"/>
            <w:r w:rsidRPr="001D616F">
              <w:rPr>
                <w:rFonts w:cstheme="minorHAnsi"/>
                <w:sz w:val="20"/>
                <w:szCs w:val="20"/>
              </w:rPr>
              <w:t>te</w:t>
            </w:r>
            <w:proofErr w:type="spellEnd"/>
            <w:r w:rsidRPr="001D616F">
              <w:rPr>
                <w:rFonts w:cstheme="minorHAnsi"/>
                <w:sz w:val="20"/>
                <w:szCs w:val="20"/>
              </w:rPr>
              <w:t xml:space="preserve"> </w:t>
            </w:r>
            <w:proofErr w:type="spellStart"/>
            <w:r w:rsidRPr="001D616F">
              <w:rPr>
                <w:rFonts w:cstheme="minorHAnsi"/>
                <w:sz w:val="20"/>
                <w:szCs w:val="20"/>
              </w:rPr>
              <w:t>primjenom</w:t>
            </w:r>
            <w:proofErr w:type="spellEnd"/>
            <w:r w:rsidRPr="001D616F">
              <w:rPr>
                <w:rFonts w:cstheme="minorHAnsi"/>
                <w:sz w:val="20"/>
                <w:szCs w:val="20"/>
              </w:rPr>
              <w:t xml:space="preserve"> </w:t>
            </w:r>
            <w:proofErr w:type="spellStart"/>
            <w:r w:rsidRPr="001D616F">
              <w:rPr>
                <w:rFonts w:cstheme="minorHAnsi"/>
                <w:sz w:val="20"/>
                <w:szCs w:val="20"/>
              </w:rPr>
              <w:t>digitalnih</w:t>
            </w:r>
            <w:proofErr w:type="spellEnd"/>
            <w:r w:rsidRPr="001D616F">
              <w:rPr>
                <w:rFonts w:cstheme="minorHAnsi"/>
                <w:sz w:val="20"/>
                <w:szCs w:val="20"/>
              </w:rPr>
              <w:t xml:space="preserve"> </w:t>
            </w:r>
            <w:proofErr w:type="spellStart"/>
            <w:r w:rsidRPr="001D616F">
              <w:rPr>
                <w:rFonts w:cstheme="minorHAnsi"/>
                <w:sz w:val="20"/>
                <w:szCs w:val="20"/>
              </w:rPr>
              <w:t>tehnologija</w:t>
            </w:r>
            <w:proofErr w:type="spellEnd"/>
            <w:r w:rsidRPr="001D616F">
              <w:rPr>
                <w:rFonts w:cstheme="minorHAnsi"/>
                <w:sz w:val="20"/>
                <w:szCs w:val="20"/>
              </w:rPr>
              <w:t xml:space="preserve"> </w:t>
            </w:r>
            <w:proofErr w:type="spellStart"/>
            <w:r w:rsidRPr="001D616F">
              <w:rPr>
                <w:rFonts w:cstheme="minorHAnsi"/>
                <w:sz w:val="20"/>
                <w:szCs w:val="20"/>
              </w:rPr>
              <w:t>osigurati</w:t>
            </w:r>
            <w:proofErr w:type="spellEnd"/>
            <w:r w:rsidRPr="001D616F">
              <w:rPr>
                <w:rFonts w:cstheme="minorHAnsi"/>
                <w:sz w:val="20"/>
                <w:szCs w:val="20"/>
              </w:rPr>
              <w:t xml:space="preserve"> </w:t>
            </w:r>
            <w:proofErr w:type="spellStart"/>
            <w:r w:rsidRPr="001D616F">
              <w:rPr>
                <w:rFonts w:cstheme="minorHAnsi"/>
                <w:sz w:val="20"/>
                <w:szCs w:val="20"/>
              </w:rPr>
              <w:t>bolje</w:t>
            </w:r>
            <w:proofErr w:type="spellEnd"/>
            <w:r w:rsidRPr="001D616F">
              <w:rPr>
                <w:rFonts w:cstheme="minorHAnsi"/>
                <w:sz w:val="20"/>
                <w:szCs w:val="20"/>
              </w:rPr>
              <w:t xml:space="preserve"> </w:t>
            </w:r>
            <w:proofErr w:type="spellStart"/>
            <w:r w:rsidRPr="001D616F">
              <w:rPr>
                <w:rFonts w:cstheme="minorHAnsi"/>
                <w:sz w:val="20"/>
                <w:szCs w:val="20"/>
              </w:rPr>
              <w:t>korištenja</w:t>
            </w:r>
            <w:proofErr w:type="spellEnd"/>
            <w:r w:rsidRPr="001D616F">
              <w:rPr>
                <w:rFonts w:cstheme="minorHAnsi"/>
                <w:sz w:val="20"/>
                <w:szCs w:val="20"/>
              </w:rPr>
              <w:t xml:space="preserve"> </w:t>
            </w:r>
            <w:proofErr w:type="spellStart"/>
            <w:r w:rsidRPr="001D616F">
              <w:rPr>
                <w:rFonts w:cstheme="minorHAnsi"/>
                <w:sz w:val="20"/>
                <w:szCs w:val="20"/>
              </w:rPr>
              <w:t>resursa</w:t>
            </w:r>
            <w:proofErr w:type="spellEnd"/>
            <w:r w:rsidRPr="001D616F">
              <w:rPr>
                <w:rFonts w:cstheme="minorHAnsi"/>
                <w:sz w:val="20"/>
                <w:szCs w:val="20"/>
              </w:rPr>
              <w:t xml:space="preserve"> i </w:t>
            </w:r>
            <w:proofErr w:type="spellStart"/>
            <w:r w:rsidRPr="001D616F">
              <w:rPr>
                <w:rFonts w:cstheme="minorHAnsi"/>
                <w:sz w:val="20"/>
                <w:szCs w:val="20"/>
              </w:rPr>
              <w:t>smanjenja</w:t>
            </w:r>
            <w:proofErr w:type="spellEnd"/>
            <w:r w:rsidRPr="001D616F">
              <w:rPr>
                <w:rFonts w:cstheme="minorHAnsi"/>
                <w:sz w:val="20"/>
                <w:szCs w:val="20"/>
              </w:rPr>
              <w:t xml:space="preserve"> </w:t>
            </w:r>
            <w:proofErr w:type="spellStart"/>
            <w:r w:rsidRPr="001D616F">
              <w:rPr>
                <w:rFonts w:cstheme="minorHAnsi"/>
                <w:sz w:val="20"/>
                <w:szCs w:val="20"/>
              </w:rPr>
              <w:t>emisija</w:t>
            </w:r>
            <w:proofErr w:type="spellEnd"/>
            <w:r w:rsidRPr="001D616F">
              <w:rPr>
                <w:rFonts w:cstheme="minorHAnsi"/>
                <w:sz w:val="20"/>
                <w:szCs w:val="20"/>
              </w:rPr>
              <w:t xml:space="preserve"> </w:t>
            </w:r>
            <w:proofErr w:type="spellStart"/>
            <w:r w:rsidRPr="001D616F">
              <w:rPr>
                <w:rFonts w:cstheme="minorHAnsi"/>
                <w:sz w:val="20"/>
                <w:szCs w:val="20"/>
              </w:rPr>
              <w:t>stakleničkih</w:t>
            </w:r>
            <w:proofErr w:type="spellEnd"/>
            <w:r w:rsidRPr="001D616F">
              <w:rPr>
                <w:rFonts w:cstheme="minorHAnsi"/>
                <w:sz w:val="20"/>
                <w:szCs w:val="20"/>
              </w:rPr>
              <w:t xml:space="preserve"> </w:t>
            </w:r>
            <w:proofErr w:type="spellStart"/>
            <w:r w:rsidRPr="001D616F">
              <w:rPr>
                <w:rFonts w:cstheme="minorHAnsi"/>
                <w:sz w:val="20"/>
                <w:szCs w:val="20"/>
              </w:rPr>
              <w:t>plinova</w:t>
            </w:r>
            <w:proofErr w:type="spellEnd"/>
            <w:r w:rsidRPr="001D616F">
              <w:rPr>
                <w:rFonts w:cstheme="minorHAnsi"/>
                <w:sz w:val="20"/>
                <w:szCs w:val="20"/>
              </w:rPr>
              <w:t xml:space="preserve">, a za </w:t>
            </w:r>
            <w:proofErr w:type="spellStart"/>
            <w:r w:rsidRPr="001D616F">
              <w:rPr>
                <w:rFonts w:cstheme="minorHAnsi"/>
                <w:sz w:val="20"/>
                <w:szCs w:val="20"/>
              </w:rPr>
              <w:t>dobrobit</w:t>
            </w:r>
            <w:proofErr w:type="spellEnd"/>
            <w:r w:rsidRPr="001D616F">
              <w:rPr>
                <w:rFonts w:cstheme="minorHAnsi"/>
                <w:sz w:val="20"/>
                <w:szCs w:val="20"/>
              </w:rPr>
              <w:t xml:space="preserve"> </w:t>
            </w:r>
            <w:proofErr w:type="spellStart"/>
            <w:r w:rsidRPr="001D616F">
              <w:rPr>
                <w:rFonts w:cstheme="minorHAnsi"/>
                <w:sz w:val="20"/>
                <w:szCs w:val="20"/>
              </w:rPr>
              <w:t>građana</w:t>
            </w:r>
            <w:proofErr w:type="spellEnd"/>
            <w:r w:rsidRPr="001D616F">
              <w:rPr>
                <w:rFonts w:cstheme="minorHAnsi"/>
                <w:sz w:val="20"/>
                <w:szCs w:val="20"/>
              </w:rPr>
              <w:t xml:space="preserve"> i </w:t>
            </w:r>
            <w:proofErr w:type="spellStart"/>
            <w:r w:rsidRPr="001D616F">
              <w:rPr>
                <w:rFonts w:cstheme="minorHAnsi"/>
                <w:sz w:val="20"/>
                <w:szCs w:val="20"/>
              </w:rPr>
              <w:t>privrednih</w:t>
            </w:r>
            <w:proofErr w:type="spellEnd"/>
            <w:r w:rsidRPr="001D616F">
              <w:rPr>
                <w:rFonts w:cstheme="minorHAnsi"/>
                <w:sz w:val="20"/>
                <w:szCs w:val="20"/>
              </w:rPr>
              <w:t xml:space="preserve"> </w:t>
            </w:r>
            <w:proofErr w:type="spellStart"/>
            <w:r w:rsidRPr="001D616F">
              <w:rPr>
                <w:rFonts w:cstheme="minorHAnsi"/>
                <w:sz w:val="20"/>
                <w:szCs w:val="20"/>
              </w:rPr>
              <w:t>subjekata</w:t>
            </w:r>
            <w:proofErr w:type="spellEnd"/>
            <w:r w:rsidRPr="001D616F">
              <w:rPr>
                <w:rFonts w:cstheme="minorHAnsi"/>
                <w:sz w:val="20"/>
                <w:szCs w:val="20"/>
              </w:rPr>
              <w:t>.</w:t>
            </w:r>
          </w:p>
          <w:p w14:paraId="622C0591" w14:textId="77777777" w:rsidR="00A00D87" w:rsidRPr="001972F5" w:rsidRDefault="00A00D87" w:rsidP="00E6560A">
            <w:pPr>
              <w:ind w:left="1" w:right="32"/>
              <w:jc w:val="both"/>
              <w:rPr>
                <w:rFonts w:cstheme="minorHAnsi"/>
                <w:sz w:val="20"/>
                <w:szCs w:val="20"/>
                <w:lang w:val="fi-FI"/>
              </w:rPr>
            </w:pPr>
            <w:r w:rsidRPr="001972F5">
              <w:rPr>
                <w:rFonts w:cstheme="minorHAnsi"/>
                <w:sz w:val="20"/>
                <w:szCs w:val="20"/>
                <w:lang w:val="fi-FI"/>
              </w:rPr>
              <w:t>Aktivnosti planirane u sklopu ove mjere su:</w:t>
            </w:r>
          </w:p>
          <w:p w14:paraId="4DDE7E3E" w14:textId="77777777" w:rsidR="00A00D87" w:rsidRPr="001D616F" w:rsidRDefault="00A00D87" w:rsidP="007F1ECE">
            <w:pPr>
              <w:pStyle w:val="ListParagraph"/>
              <w:numPr>
                <w:ilvl w:val="0"/>
                <w:numId w:val="100"/>
              </w:numPr>
              <w:ind w:right="32"/>
              <w:jc w:val="both"/>
              <w:rPr>
                <w:rFonts w:cstheme="minorHAnsi"/>
                <w:sz w:val="20"/>
                <w:szCs w:val="20"/>
              </w:rPr>
            </w:pPr>
            <w:r w:rsidRPr="001D616F">
              <w:rPr>
                <w:rFonts w:cstheme="minorHAnsi"/>
                <w:sz w:val="20"/>
                <w:szCs w:val="20"/>
              </w:rPr>
              <w:t>Usvajanje politika i mjera za promoviranje vještina i obrazovanje u građevinskom sektoru i sektoru EE, namijenjenih inženjerima, prostornim planerima i ekonomistima, što podrazumijeva:</w:t>
            </w:r>
          </w:p>
          <w:p w14:paraId="6B9DF6F3"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Konsultacije sa akademskom zajednicom i stručnom javnosti u okviru otvorenih dijaloga;</w:t>
            </w:r>
          </w:p>
          <w:p w14:paraId="2617ADBB"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Organiziranje seminara, edukacija, konferencija, okruglih stolova,  promocije projekata EE itd.</w:t>
            </w:r>
          </w:p>
          <w:p w14:paraId="7570B6AC"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 xml:space="preserve">Unaprijeđenje međusektorske saradnje posebno između građevinskog, energetskog i IT sektora, te razmjene rješenja i praksi;  </w:t>
            </w:r>
          </w:p>
          <w:p w14:paraId="001CD93A"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Uspostavljanje Savjeta za zelenu gradnju i Centara za podršku pametnim gradovima;</w:t>
            </w:r>
          </w:p>
          <w:p w14:paraId="6DC6398B"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 xml:space="preserve">Stručno usavršavanje inženjera relevantnih za proces obnove sektora zgradarstva,  za primjenu najnovijih softvera za projektiranje i građenje kao što je Building Information Modeling (BIM); </w:t>
            </w:r>
          </w:p>
          <w:p w14:paraId="689A8188" w14:textId="77777777" w:rsidR="00A00D87" w:rsidRPr="001D616F" w:rsidRDefault="00A00D87" w:rsidP="00E6560A">
            <w:pPr>
              <w:pStyle w:val="ListParagraph"/>
              <w:numPr>
                <w:ilvl w:val="0"/>
                <w:numId w:val="50"/>
              </w:numPr>
              <w:jc w:val="both"/>
              <w:rPr>
                <w:rFonts w:cstheme="minorHAnsi"/>
                <w:sz w:val="20"/>
                <w:szCs w:val="20"/>
              </w:rPr>
            </w:pPr>
            <w:r w:rsidRPr="001D616F">
              <w:rPr>
                <w:rFonts w:cstheme="minorHAnsi"/>
                <w:sz w:val="20"/>
                <w:szCs w:val="20"/>
              </w:rPr>
              <w:t>Preporuke projektantima za korištenje BIM-a u procesu provođenja programa energijske obnove  zgrada (ili ekvivalentnih modela);</w:t>
            </w:r>
          </w:p>
          <w:p w14:paraId="0A68262F"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Formiranje Fonda za razvoj tehnologija, istraživanja i inovacija na nivou FBiH, formiranje kantonalnih naučno-tehnoloških parkova i povezivanje s europskim poduzetničkim i znastveno-istraživačkim mrežama, kako bi se uspostavila adekvatna „prevodilačka infrastruktura“ koja osigurava transfer i razvoj tehnologija.</w:t>
            </w:r>
          </w:p>
          <w:bookmarkEnd w:id="270"/>
          <w:p w14:paraId="588DA281" w14:textId="77777777" w:rsidR="00A00D87" w:rsidRPr="001D616F" w:rsidRDefault="00A00D87" w:rsidP="007F1ECE">
            <w:pPr>
              <w:pStyle w:val="ListParagraph"/>
              <w:numPr>
                <w:ilvl w:val="0"/>
                <w:numId w:val="100"/>
              </w:numPr>
              <w:jc w:val="both"/>
              <w:rPr>
                <w:rFonts w:cstheme="minorHAnsi"/>
                <w:sz w:val="20"/>
                <w:szCs w:val="20"/>
              </w:rPr>
            </w:pPr>
            <w:r w:rsidRPr="001D616F">
              <w:rPr>
                <w:rFonts w:cstheme="minorHAnsi"/>
                <w:sz w:val="20"/>
                <w:szCs w:val="20"/>
              </w:rPr>
              <w:t>Promocija korištenja digitalne tehnologije nakon implementacije mjera energijske efikasnosti, što podrazumijeva:</w:t>
            </w:r>
          </w:p>
          <w:p w14:paraId="4CA00900"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Stručno usavršavanje inženjera, prostornih planera, ekonomista i IT stručnjaka relevantnih za proces obnove sektora zgradarstva;</w:t>
            </w:r>
          </w:p>
          <w:p w14:paraId="3286328C"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Preporuke za primjenu novih tehnologija i pametnih rješenja u procesu provođenja programa energijske obnove  zgrada;</w:t>
            </w:r>
          </w:p>
          <w:p w14:paraId="614DEDC3"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Povećanje energijske efikasnosti zgrada na način da se koriste nove tehnologije za upravljanje i praćenje energije;</w:t>
            </w:r>
          </w:p>
          <w:p w14:paraId="05A747EE" w14:textId="77777777" w:rsidR="00A00D87" w:rsidRPr="001D616F" w:rsidRDefault="00A00D87" w:rsidP="007F1ECE">
            <w:pPr>
              <w:pStyle w:val="ListParagraph"/>
              <w:numPr>
                <w:ilvl w:val="0"/>
                <w:numId w:val="100"/>
              </w:numPr>
              <w:jc w:val="both"/>
              <w:rPr>
                <w:rFonts w:cstheme="minorHAnsi"/>
                <w:sz w:val="20"/>
                <w:szCs w:val="20"/>
              </w:rPr>
            </w:pPr>
            <w:r w:rsidRPr="001D616F">
              <w:rPr>
                <w:rFonts w:cstheme="minorHAnsi"/>
                <w:sz w:val="20"/>
                <w:szCs w:val="20"/>
              </w:rPr>
              <w:t>Poticanje uspostavljanja energetskih zajednica građana na nivou kantona, što podrazumijeva:</w:t>
            </w:r>
          </w:p>
          <w:p w14:paraId="7D7F3320"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 xml:space="preserve">Donošenje propisa na nivou kantona kojima se omogućava uspostava energetskih zajednica građana; </w:t>
            </w:r>
          </w:p>
          <w:p w14:paraId="13D93F46"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Poticanje uspostavljanja energetskih zajednica podizanjem svijesti o značaju i prednostima istih, kroz otvoreni dijalog građana i stručne javnosti te organizaciju radionica na temu energetskih zajednica.</w:t>
            </w:r>
          </w:p>
        </w:tc>
      </w:tr>
      <w:tr w:rsidR="00A00D87" w:rsidRPr="001D616F" w14:paraId="2E3146E0"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004E39B"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Strateški</w:t>
            </w:r>
            <w:proofErr w:type="spellEnd"/>
            <w:r w:rsidRPr="001D616F">
              <w:rPr>
                <w:rFonts w:cstheme="minorHAnsi"/>
                <w:b/>
                <w:sz w:val="20"/>
                <w:szCs w:val="20"/>
              </w:rPr>
              <w:t xml:space="preserve"> </w:t>
            </w:r>
            <w:proofErr w:type="spellStart"/>
            <w:r w:rsidRPr="001D616F">
              <w:rPr>
                <w:rFonts w:cstheme="minorHAnsi"/>
                <w:b/>
                <w:sz w:val="20"/>
                <w:szCs w:val="20"/>
              </w:rPr>
              <w:t>projekti</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shd w:val="clear" w:color="auto" w:fill="auto"/>
          </w:tcPr>
          <w:p w14:paraId="369C889A" w14:textId="77777777" w:rsidR="00A00D87" w:rsidRPr="001D616F" w:rsidRDefault="00A00D87" w:rsidP="00122946">
            <w:pPr>
              <w:spacing w:line="259" w:lineRule="auto"/>
              <w:ind w:left="1"/>
              <w:rPr>
                <w:rFonts w:cstheme="minorHAnsi"/>
                <w:sz w:val="20"/>
                <w:szCs w:val="20"/>
              </w:rPr>
            </w:pPr>
            <w:r w:rsidRPr="001D616F">
              <w:rPr>
                <w:rFonts w:cstheme="minorHAnsi"/>
                <w:sz w:val="20"/>
                <w:szCs w:val="20"/>
              </w:rPr>
              <w:t xml:space="preserve"> -</w:t>
            </w:r>
          </w:p>
        </w:tc>
      </w:tr>
      <w:tr w:rsidR="00A00D87" w:rsidRPr="001D616F" w14:paraId="6C27F9B4" w14:textId="77777777" w:rsidTr="00122946">
        <w:trPr>
          <w:trHeight w:val="423"/>
        </w:trPr>
        <w:tc>
          <w:tcPr>
            <w:tcW w:w="1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378CB6E"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lastRenderedPageBreak/>
              <w:t>Indikatori</w:t>
            </w:r>
            <w:proofErr w:type="spellEnd"/>
            <w:r w:rsidRPr="001D616F">
              <w:rPr>
                <w:rFonts w:cstheme="minorHAnsi"/>
                <w:b/>
                <w:sz w:val="20"/>
                <w:szCs w:val="20"/>
              </w:rPr>
              <w:t xml:space="preserve"> za </w:t>
            </w:r>
            <w:proofErr w:type="spellStart"/>
            <w:r w:rsidRPr="001D616F">
              <w:rPr>
                <w:rFonts w:cstheme="minorHAnsi"/>
                <w:b/>
                <w:sz w:val="20"/>
                <w:szCs w:val="20"/>
              </w:rPr>
              <w:t>praćenje</w:t>
            </w:r>
            <w:proofErr w:type="spellEnd"/>
            <w:r w:rsidRPr="001D616F">
              <w:rPr>
                <w:rFonts w:cstheme="minorHAnsi"/>
                <w:b/>
                <w:sz w:val="20"/>
                <w:szCs w:val="20"/>
              </w:rPr>
              <w:t xml:space="preserve"> </w:t>
            </w:r>
            <w:proofErr w:type="spellStart"/>
            <w:r w:rsidRPr="001D616F">
              <w:rPr>
                <w:rFonts w:cstheme="minorHAnsi"/>
                <w:b/>
                <w:sz w:val="20"/>
                <w:szCs w:val="20"/>
              </w:rPr>
              <w:t>rezultata</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0FC73" w14:textId="77777777" w:rsidR="00A00D87" w:rsidRPr="001D616F" w:rsidRDefault="00A00D87" w:rsidP="00122946">
            <w:pPr>
              <w:spacing w:line="259" w:lineRule="auto"/>
              <w:ind w:right="39"/>
              <w:jc w:val="center"/>
              <w:rPr>
                <w:rFonts w:cstheme="minorHAnsi"/>
                <w:sz w:val="20"/>
                <w:szCs w:val="20"/>
              </w:rPr>
            </w:pPr>
            <w:proofErr w:type="spellStart"/>
            <w:r w:rsidRPr="001D616F">
              <w:rPr>
                <w:rFonts w:cstheme="minorHAnsi"/>
                <w:b/>
                <w:sz w:val="20"/>
                <w:szCs w:val="20"/>
              </w:rPr>
              <w:t>Indikatori</w:t>
            </w:r>
            <w:proofErr w:type="spellEnd"/>
            <w:r w:rsidRPr="001D616F">
              <w:rPr>
                <w:rFonts w:cstheme="minorHAnsi"/>
                <w:b/>
                <w:sz w:val="20"/>
                <w:szCs w:val="20"/>
              </w:rPr>
              <w:t xml:space="preserve"> </w:t>
            </w:r>
          </w:p>
        </w:tc>
        <w:tc>
          <w:tcPr>
            <w:tcW w:w="2068" w:type="dxa"/>
            <w:tcBorders>
              <w:top w:val="single" w:sz="4" w:space="0" w:color="000000"/>
              <w:left w:val="single" w:sz="4" w:space="0" w:color="000000"/>
              <w:bottom w:val="single" w:sz="4" w:space="0" w:color="auto"/>
              <w:right w:val="single" w:sz="4" w:space="0" w:color="000000"/>
            </w:tcBorders>
            <w:shd w:val="clear" w:color="auto" w:fill="auto"/>
          </w:tcPr>
          <w:p w14:paraId="5881982D" w14:textId="77777777" w:rsidR="00A00D87" w:rsidRPr="001D616F" w:rsidRDefault="00A00D87" w:rsidP="00122946">
            <w:pPr>
              <w:spacing w:line="259" w:lineRule="auto"/>
              <w:jc w:val="center"/>
              <w:rPr>
                <w:rFonts w:cstheme="minorHAnsi"/>
                <w:sz w:val="20"/>
                <w:szCs w:val="20"/>
              </w:rPr>
            </w:pPr>
            <w:proofErr w:type="spellStart"/>
            <w:r w:rsidRPr="001D616F">
              <w:rPr>
                <w:rFonts w:cstheme="minorHAnsi"/>
                <w:b/>
                <w:sz w:val="20"/>
                <w:szCs w:val="20"/>
              </w:rPr>
              <w:t>Polazne</w:t>
            </w:r>
            <w:proofErr w:type="spellEnd"/>
            <w:r w:rsidRPr="001D616F">
              <w:rPr>
                <w:rFonts w:cstheme="minorHAnsi"/>
                <w:b/>
                <w:sz w:val="20"/>
                <w:szCs w:val="20"/>
              </w:rPr>
              <w:t xml:space="preserve"> </w:t>
            </w:r>
            <w:proofErr w:type="spellStart"/>
            <w:r w:rsidRPr="001D616F">
              <w:rPr>
                <w:rFonts w:cstheme="minorHAnsi"/>
                <w:b/>
                <w:sz w:val="20"/>
                <w:szCs w:val="20"/>
              </w:rPr>
              <w:t>vrijednosti</w:t>
            </w:r>
            <w:proofErr w:type="spellEnd"/>
            <w:r w:rsidRPr="001D616F">
              <w:rPr>
                <w:rFonts w:cstheme="minorHAnsi"/>
                <w:b/>
                <w:sz w:val="20"/>
                <w:szCs w:val="20"/>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auto"/>
          </w:tcPr>
          <w:p w14:paraId="7EB7CC5D" w14:textId="77777777" w:rsidR="00A00D87" w:rsidRPr="001D616F" w:rsidRDefault="00A00D87" w:rsidP="00122946">
            <w:pPr>
              <w:spacing w:line="259" w:lineRule="auto"/>
              <w:jc w:val="center"/>
              <w:rPr>
                <w:rFonts w:cstheme="minorHAnsi"/>
                <w:sz w:val="20"/>
                <w:szCs w:val="20"/>
              </w:rPr>
            </w:pPr>
            <w:proofErr w:type="spellStart"/>
            <w:r w:rsidRPr="001D616F">
              <w:rPr>
                <w:rFonts w:cstheme="minorHAnsi"/>
                <w:b/>
                <w:sz w:val="20"/>
                <w:szCs w:val="20"/>
              </w:rPr>
              <w:t>Ciljne</w:t>
            </w:r>
            <w:proofErr w:type="spellEnd"/>
            <w:r w:rsidRPr="001D616F">
              <w:rPr>
                <w:rFonts w:cstheme="minorHAnsi"/>
                <w:b/>
                <w:sz w:val="20"/>
                <w:szCs w:val="20"/>
              </w:rPr>
              <w:t xml:space="preserve"> </w:t>
            </w:r>
            <w:proofErr w:type="spellStart"/>
            <w:r w:rsidRPr="001D616F">
              <w:rPr>
                <w:rFonts w:cstheme="minorHAnsi"/>
                <w:b/>
                <w:sz w:val="20"/>
                <w:szCs w:val="20"/>
              </w:rPr>
              <w:t>vrijednosti</w:t>
            </w:r>
            <w:proofErr w:type="spellEnd"/>
            <w:r w:rsidRPr="001D616F">
              <w:rPr>
                <w:rFonts w:cstheme="minorHAnsi"/>
                <w:b/>
                <w:sz w:val="20"/>
                <w:szCs w:val="20"/>
              </w:rPr>
              <w:t xml:space="preserve">***  </w:t>
            </w:r>
          </w:p>
        </w:tc>
      </w:tr>
      <w:tr w:rsidR="00A00D87" w:rsidRPr="001D616F" w14:paraId="52A83CA0"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54A35A36" w14:textId="77777777" w:rsidR="00A00D87" w:rsidRPr="001D616F" w:rsidRDefault="00A00D87" w:rsidP="00122946">
            <w:pPr>
              <w:spacing w:after="160" w:line="259" w:lineRule="auto"/>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shd w:val="clear" w:color="auto" w:fill="auto"/>
          </w:tcPr>
          <w:p w14:paraId="19C8B225" w14:textId="77777777" w:rsidR="00A00D87" w:rsidRPr="001D616F" w:rsidRDefault="00A00D87" w:rsidP="00122946">
            <w:pPr>
              <w:spacing w:line="259" w:lineRule="auto"/>
              <w:rPr>
                <w:rFonts w:cstheme="minorHAnsi"/>
                <w:bCs/>
                <w:sz w:val="20"/>
                <w:szCs w:val="20"/>
                <w:highlight w:val="yellow"/>
              </w:rPr>
            </w:pPr>
            <w:proofErr w:type="gramStart"/>
            <w:r w:rsidRPr="001D616F">
              <w:rPr>
                <w:rFonts w:cstheme="minorHAnsi"/>
                <w:bCs/>
                <w:sz w:val="20"/>
                <w:szCs w:val="20"/>
              </w:rPr>
              <w:t xml:space="preserve">Status  </w:t>
            </w:r>
            <w:proofErr w:type="spellStart"/>
            <w:r w:rsidRPr="001D616F">
              <w:rPr>
                <w:rFonts w:cstheme="minorHAnsi"/>
                <w:bCs/>
                <w:sz w:val="20"/>
                <w:szCs w:val="20"/>
              </w:rPr>
              <w:t>politika</w:t>
            </w:r>
            <w:proofErr w:type="spellEnd"/>
            <w:proofErr w:type="gramEnd"/>
            <w:r w:rsidRPr="001D616F">
              <w:rPr>
                <w:rFonts w:cstheme="minorHAnsi"/>
                <w:bCs/>
                <w:sz w:val="20"/>
                <w:szCs w:val="20"/>
              </w:rPr>
              <w:t xml:space="preserve"> i </w:t>
            </w:r>
            <w:proofErr w:type="spellStart"/>
            <w:r w:rsidRPr="001D616F">
              <w:rPr>
                <w:rFonts w:cstheme="minorHAnsi"/>
                <w:bCs/>
                <w:sz w:val="20"/>
                <w:szCs w:val="20"/>
              </w:rPr>
              <w:t>mjera</w:t>
            </w:r>
            <w:proofErr w:type="spellEnd"/>
            <w:r w:rsidRPr="001D616F">
              <w:rPr>
                <w:rFonts w:cstheme="minorHAnsi"/>
                <w:bCs/>
                <w:sz w:val="20"/>
                <w:szCs w:val="20"/>
              </w:rPr>
              <w:t xml:space="preserve"> za </w:t>
            </w:r>
            <w:proofErr w:type="spellStart"/>
            <w:r w:rsidRPr="001D616F">
              <w:rPr>
                <w:rFonts w:cstheme="minorHAnsi"/>
                <w:bCs/>
                <w:sz w:val="20"/>
                <w:szCs w:val="20"/>
              </w:rPr>
              <w:t>promoviranje</w:t>
            </w:r>
            <w:proofErr w:type="spellEnd"/>
            <w:r w:rsidRPr="001D616F">
              <w:rPr>
                <w:rFonts w:cstheme="minorHAnsi"/>
                <w:bCs/>
                <w:sz w:val="20"/>
                <w:szCs w:val="20"/>
              </w:rPr>
              <w:t xml:space="preserve"> </w:t>
            </w:r>
            <w:proofErr w:type="spellStart"/>
            <w:r w:rsidRPr="001D616F">
              <w:rPr>
                <w:rFonts w:cstheme="minorHAnsi"/>
                <w:bCs/>
                <w:sz w:val="20"/>
                <w:szCs w:val="20"/>
              </w:rPr>
              <w:t>vještina</w:t>
            </w:r>
            <w:proofErr w:type="spellEnd"/>
            <w:r w:rsidRPr="001D616F">
              <w:rPr>
                <w:rFonts w:cstheme="minorHAnsi"/>
                <w:bCs/>
                <w:sz w:val="20"/>
                <w:szCs w:val="20"/>
              </w:rPr>
              <w:t xml:space="preserve"> i </w:t>
            </w:r>
            <w:proofErr w:type="spellStart"/>
            <w:r w:rsidRPr="001D616F">
              <w:rPr>
                <w:rFonts w:cstheme="minorHAnsi"/>
                <w:bCs/>
                <w:sz w:val="20"/>
                <w:szCs w:val="20"/>
              </w:rPr>
              <w:t>obrazovanje</w:t>
            </w:r>
            <w:proofErr w:type="spellEnd"/>
            <w:r w:rsidRPr="001D616F">
              <w:rPr>
                <w:rFonts w:cstheme="minorHAnsi"/>
                <w:bCs/>
                <w:sz w:val="20"/>
                <w:szCs w:val="20"/>
              </w:rPr>
              <w:t xml:space="preserve"> u </w:t>
            </w:r>
            <w:proofErr w:type="spellStart"/>
            <w:r w:rsidRPr="001D616F">
              <w:rPr>
                <w:rFonts w:cstheme="minorHAnsi"/>
                <w:bCs/>
                <w:sz w:val="20"/>
                <w:szCs w:val="20"/>
              </w:rPr>
              <w:t>građevinskom</w:t>
            </w:r>
            <w:proofErr w:type="spellEnd"/>
            <w:r w:rsidRPr="001D616F">
              <w:rPr>
                <w:rFonts w:cstheme="minorHAnsi"/>
                <w:bCs/>
                <w:sz w:val="20"/>
                <w:szCs w:val="20"/>
              </w:rPr>
              <w:t xml:space="preserve"> </w:t>
            </w:r>
            <w:proofErr w:type="spellStart"/>
            <w:r w:rsidRPr="001D616F">
              <w:rPr>
                <w:rFonts w:cstheme="minorHAnsi"/>
                <w:bCs/>
                <w:sz w:val="20"/>
                <w:szCs w:val="20"/>
              </w:rPr>
              <w:t>sektoru</w:t>
            </w:r>
            <w:proofErr w:type="spellEnd"/>
            <w:r w:rsidRPr="001D616F">
              <w:rPr>
                <w:rFonts w:cstheme="minorHAnsi"/>
                <w:bCs/>
                <w:sz w:val="20"/>
                <w:szCs w:val="20"/>
              </w:rPr>
              <w:t xml:space="preserve"> i </w:t>
            </w:r>
            <w:proofErr w:type="spellStart"/>
            <w:r w:rsidRPr="001D616F">
              <w:rPr>
                <w:rFonts w:cstheme="minorHAnsi"/>
                <w:bCs/>
                <w:sz w:val="20"/>
                <w:szCs w:val="20"/>
              </w:rPr>
              <w:t>sektoru</w:t>
            </w:r>
            <w:proofErr w:type="spellEnd"/>
            <w:r w:rsidRPr="001D616F">
              <w:rPr>
                <w:rFonts w:cstheme="minorHAnsi"/>
                <w:bCs/>
                <w:sz w:val="20"/>
                <w:szCs w:val="20"/>
              </w:rPr>
              <w:t xml:space="preserve"> EE</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4366F7D4" w14:textId="77777777" w:rsidR="00A00D87" w:rsidRPr="001D616F"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1D616F">
              <w:rPr>
                <w:rFonts w:cstheme="minorHAnsi"/>
                <w:sz w:val="20"/>
                <w:szCs w:val="20"/>
              </w:rPr>
              <w:t>Nisu</w:t>
            </w:r>
            <w:proofErr w:type="spellEnd"/>
            <w:r w:rsidRPr="001D616F">
              <w:rPr>
                <w:rFonts w:cstheme="minorHAnsi"/>
                <w:sz w:val="20"/>
                <w:szCs w:val="20"/>
              </w:rPr>
              <w:t xml:space="preserve"> </w:t>
            </w:r>
            <w:proofErr w:type="spellStart"/>
            <w:r w:rsidRPr="001D616F">
              <w:rPr>
                <w:rFonts w:cstheme="minorHAnsi"/>
                <w:sz w:val="20"/>
                <w:szCs w:val="20"/>
              </w:rPr>
              <w:t>usvojene</w:t>
            </w:r>
            <w:proofErr w:type="spellEnd"/>
          </w:p>
        </w:tc>
        <w:tc>
          <w:tcPr>
            <w:tcW w:w="1471" w:type="dxa"/>
            <w:tcBorders>
              <w:top w:val="single" w:sz="4" w:space="0" w:color="000000"/>
              <w:left w:val="single" w:sz="4" w:space="0" w:color="auto"/>
              <w:bottom w:val="single" w:sz="4" w:space="0" w:color="000000"/>
              <w:right w:val="single" w:sz="4" w:space="0" w:color="000000"/>
            </w:tcBorders>
            <w:shd w:val="clear" w:color="auto" w:fill="auto"/>
            <w:vAlign w:val="center"/>
          </w:tcPr>
          <w:p w14:paraId="603E574E" w14:textId="77777777" w:rsidR="00A00D87" w:rsidRPr="001D616F" w:rsidRDefault="00A00D87" w:rsidP="00122946">
            <w:pPr>
              <w:spacing w:line="259" w:lineRule="auto"/>
              <w:jc w:val="center"/>
              <w:rPr>
                <w:rFonts w:cstheme="minorHAnsi"/>
                <w:sz w:val="20"/>
                <w:szCs w:val="20"/>
              </w:rPr>
            </w:pPr>
            <w:proofErr w:type="spellStart"/>
            <w:r w:rsidRPr="001D616F">
              <w:rPr>
                <w:rFonts w:cstheme="minorHAnsi"/>
                <w:sz w:val="20"/>
                <w:szCs w:val="20"/>
              </w:rPr>
              <w:t>Usvojene</w:t>
            </w:r>
            <w:proofErr w:type="spellEnd"/>
          </w:p>
        </w:tc>
      </w:tr>
      <w:tr w:rsidR="00A00D87" w:rsidRPr="001D616F" w14:paraId="14F13962"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1B2AB88B" w14:textId="77777777" w:rsidR="00A00D87" w:rsidRPr="001D616F"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shd w:val="clear" w:color="auto" w:fill="auto"/>
          </w:tcPr>
          <w:p w14:paraId="50F66DFC" w14:textId="149D4093" w:rsidR="00A00D87" w:rsidRPr="001D616F" w:rsidRDefault="00ED7502" w:rsidP="00122946">
            <w:pPr>
              <w:rPr>
                <w:rFonts w:cstheme="minorHAnsi"/>
                <w:bCs/>
                <w:sz w:val="20"/>
                <w:szCs w:val="20"/>
              </w:rPr>
            </w:pPr>
            <w:proofErr w:type="spellStart"/>
            <w:r w:rsidRPr="001D616F">
              <w:rPr>
                <w:rFonts w:cstheme="minorHAnsi"/>
                <w:sz w:val="20"/>
                <w:szCs w:val="20"/>
              </w:rPr>
              <w:t>Procenat</w:t>
            </w:r>
            <w:proofErr w:type="spellEnd"/>
            <w:r w:rsidRPr="001D616F">
              <w:rPr>
                <w:rFonts w:cstheme="minorHAnsi"/>
                <w:sz w:val="20"/>
                <w:szCs w:val="20"/>
              </w:rPr>
              <w:t xml:space="preserve"> </w:t>
            </w:r>
            <w:proofErr w:type="spellStart"/>
            <w:proofErr w:type="gramStart"/>
            <w:r w:rsidR="00A00D87" w:rsidRPr="001D616F">
              <w:rPr>
                <w:rFonts w:cstheme="minorHAnsi"/>
                <w:sz w:val="20"/>
                <w:szCs w:val="20"/>
              </w:rPr>
              <w:t>novoizgrađenih</w:t>
            </w:r>
            <w:proofErr w:type="spellEnd"/>
            <w:r w:rsidR="00A00D87" w:rsidRPr="001D616F">
              <w:rPr>
                <w:rFonts w:cstheme="minorHAnsi"/>
                <w:sz w:val="20"/>
                <w:szCs w:val="20"/>
              </w:rPr>
              <w:t xml:space="preserve">  </w:t>
            </w:r>
            <w:proofErr w:type="spellStart"/>
            <w:r w:rsidR="00A00D87" w:rsidRPr="001D616F">
              <w:rPr>
                <w:rFonts w:cstheme="minorHAnsi"/>
                <w:sz w:val="20"/>
                <w:szCs w:val="20"/>
              </w:rPr>
              <w:t>zgrada</w:t>
            </w:r>
            <w:proofErr w:type="spellEnd"/>
            <w:proofErr w:type="gramEnd"/>
            <w:r w:rsidR="00A00D87" w:rsidRPr="001D616F">
              <w:rPr>
                <w:rFonts w:cstheme="minorHAnsi"/>
                <w:sz w:val="20"/>
                <w:szCs w:val="20"/>
              </w:rPr>
              <w:t xml:space="preserve"> </w:t>
            </w:r>
            <w:proofErr w:type="spellStart"/>
            <w:r w:rsidR="00A00D87" w:rsidRPr="001D616F">
              <w:rPr>
                <w:rFonts w:cstheme="minorHAnsi"/>
                <w:sz w:val="20"/>
                <w:szCs w:val="20"/>
              </w:rPr>
              <w:t>sa</w:t>
            </w:r>
            <w:proofErr w:type="spellEnd"/>
            <w:r w:rsidR="00A00D87" w:rsidRPr="001D616F">
              <w:rPr>
                <w:rFonts w:cstheme="minorHAnsi"/>
                <w:sz w:val="20"/>
                <w:szCs w:val="20"/>
              </w:rPr>
              <w:t xml:space="preserve"> </w:t>
            </w:r>
            <w:proofErr w:type="spellStart"/>
            <w:r w:rsidR="00A00D87" w:rsidRPr="001D616F">
              <w:rPr>
                <w:rFonts w:cstheme="minorHAnsi"/>
                <w:sz w:val="20"/>
                <w:szCs w:val="20"/>
              </w:rPr>
              <w:t>implementiranim</w:t>
            </w:r>
            <w:proofErr w:type="spellEnd"/>
            <w:r w:rsidR="00A00D87" w:rsidRPr="001D616F">
              <w:rPr>
                <w:rFonts w:cstheme="minorHAnsi"/>
                <w:sz w:val="20"/>
                <w:szCs w:val="20"/>
              </w:rPr>
              <w:t xml:space="preserve"> </w:t>
            </w:r>
            <w:proofErr w:type="spellStart"/>
            <w:r w:rsidR="00A00D87" w:rsidRPr="001D616F">
              <w:rPr>
                <w:rFonts w:cstheme="minorHAnsi"/>
                <w:sz w:val="20"/>
                <w:szCs w:val="20"/>
              </w:rPr>
              <w:t>pametnim</w:t>
            </w:r>
            <w:proofErr w:type="spellEnd"/>
            <w:r w:rsidR="00A00D87" w:rsidRPr="001D616F">
              <w:rPr>
                <w:rFonts w:cstheme="minorHAnsi"/>
                <w:sz w:val="20"/>
                <w:szCs w:val="20"/>
              </w:rPr>
              <w:t xml:space="preserve"> </w:t>
            </w:r>
            <w:proofErr w:type="spellStart"/>
            <w:r w:rsidR="00A00D87" w:rsidRPr="001D616F">
              <w:rPr>
                <w:rFonts w:cstheme="minorHAnsi"/>
                <w:sz w:val="20"/>
                <w:szCs w:val="20"/>
              </w:rPr>
              <w:t>rješenjima</w:t>
            </w:r>
            <w:proofErr w:type="spellEnd"/>
            <w:r w:rsidR="00A00D87" w:rsidRPr="001D616F">
              <w:rPr>
                <w:rFonts w:cstheme="minorHAnsi"/>
                <w:sz w:val="20"/>
                <w:szCs w:val="20"/>
              </w:rPr>
              <w:t xml:space="preserve"> </w:t>
            </w:r>
            <w:proofErr w:type="spellStart"/>
            <w:r w:rsidR="00A00D87" w:rsidRPr="001D616F">
              <w:rPr>
                <w:rFonts w:cstheme="minorHAnsi"/>
                <w:sz w:val="20"/>
                <w:szCs w:val="20"/>
              </w:rPr>
              <w:t>na</w:t>
            </w:r>
            <w:proofErr w:type="spellEnd"/>
            <w:r w:rsidR="00A00D87" w:rsidRPr="001D616F">
              <w:rPr>
                <w:rFonts w:cstheme="minorHAnsi"/>
                <w:sz w:val="20"/>
                <w:szCs w:val="20"/>
              </w:rPr>
              <w:t xml:space="preserve"> </w:t>
            </w:r>
            <w:proofErr w:type="spellStart"/>
            <w:r w:rsidR="00A00D87" w:rsidRPr="001D616F">
              <w:rPr>
                <w:rFonts w:cstheme="minorHAnsi"/>
                <w:sz w:val="20"/>
                <w:szCs w:val="20"/>
              </w:rPr>
              <w:t>godišnjem</w:t>
            </w:r>
            <w:proofErr w:type="spellEnd"/>
            <w:r w:rsidR="00A00D87" w:rsidRPr="001D616F">
              <w:rPr>
                <w:rFonts w:cstheme="minorHAnsi"/>
                <w:sz w:val="20"/>
                <w:szCs w:val="20"/>
              </w:rPr>
              <w:t xml:space="preserve"> </w:t>
            </w:r>
            <w:proofErr w:type="spellStart"/>
            <w:r w:rsidR="00A00D87" w:rsidRPr="001D616F">
              <w:rPr>
                <w:rFonts w:cstheme="minorHAnsi"/>
                <w:sz w:val="20"/>
                <w:szCs w:val="20"/>
              </w:rPr>
              <w:t>nivou</w:t>
            </w:r>
            <w:proofErr w:type="spellEnd"/>
            <w:r w:rsidR="00A00D87" w:rsidRPr="001D616F">
              <w:rPr>
                <w:rFonts w:cstheme="minorHAnsi"/>
                <w:sz w:val="20"/>
                <w:szCs w:val="20"/>
              </w:rPr>
              <w:t>, %</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18E62CF3" w14:textId="77777777" w:rsidR="00A00D87" w:rsidRPr="001D616F" w:rsidRDefault="00A00D87" w:rsidP="00122946">
            <w:pPr>
              <w:widowControl w:val="0"/>
              <w:pBdr>
                <w:top w:val="nil"/>
                <w:left w:val="nil"/>
                <w:bottom w:val="nil"/>
                <w:right w:val="nil"/>
                <w:between w:val="nil"/>
              </w:pBdr>
              <w:ind w:right="447"/>
              <w:jc w:val="center"/>
              <w:rPr>
                <w:rFonts w:cstheme="minorHAnsi"/>
                <w:sz w:val="20"/>
                <w:szCs w:val="20"/>
              </w:rPr>
            </w:pPr>
            <w:r w:rsidRPr="001D616F">
              <w:rPr>
                <w:rFonts w:cstheme="minorHAnsi"/>
                <w:sz w:val="20"/>
                <w:szCs w:val="20"/>
              </w:rPr>
              <w:t>1</w:t>
            </w:r>
          </w:p>
        </w:tc>
        <w:tc>
          <w:tcPr>
            <w:tcW w:w="1471" w:type="dxa"/>
            <w:tcBorders>
              <w:top w:val="single" w:sz="4" w:space="0" w:color="000000"/>
              <w:left w:val="single" w:sz="4" w:space="0" w:color="auto"/>
              <w:bottom w:val="single" w:sz="4" w:space="0" w:color="000000"/>
              <w:right w:val="single" w:sz="4" w:space="0" w:color="000000"/>
            </w:tcBorders>
            <w:shd w:val="clear" w:color="auto" w:fill="auto"/>
            <w:vAlign w:val="center"/>
          </w:tcPr>
          <w:p w14:paraId="515715EE" w14:textId="77777777" w:rsidR="00A00D87" w:rsidRPr="001D616F" w:rsidRDefault="00A00D87" w:rsidP="00122946">
            <w:pPr>
              <w:jc w:val="center"/>
              <w:rPr>
                <w:rFonts w:cstheme="minorHAnsi"/>
                <w:sz w:val="20"/>
                <w:szCs w:val="20"/>
              </w:rPr>
            </w:pPr>
            <w:r w:rsidRPr="001D616F">
              <w:rPr>
                <w:rFonts w:cstheme="minorHAnsi"/>
                <w:sz w:val="20"/>
                <w:szCs w:val="20"/>
              </w:rPr>
              <w:t>100</w:t>
            </w:r>
          </w:p>
        </w:tc>
      </w:tr>
      <w:tr w:rsidR="00A00D87" w:rsidRPr="001D616F" w14:paraId="0A64144B"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053329FD" w14:textId="77777777" w:rsidR="00A00D87" w:rsidRPr="001D616F"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shd w:val="clear" w:color="auto" w:fill="auto"/>
          </w:tcPr>
          <w:p w14:paraId="16DE8A08" w14:textId="77777777" w:rsidR="00A00D87" w:rsidRPr="001D616F" w:rsidRDefault="00A00D87" w:rsidP="00122946">
            <w:pPr>
              <w:rPr>
                <w:rFonts w:cstheme="minorHAnsi"/>
                <w:bCs/>
                <w:sz w:val="20"/>
                <w:szCs w:val="20"/>
              </w:rPr>
            </w:pPr>
            <w:proofErr w:type="spellStart"/>
            <w:r w:rsidRPr="001D616F">
              <w:rPr>
                <w:rFonts w:cstheme="minorHAnsi"/>
                <w:sz w:val="20"/>
                <w:szCs w:val="20"/>
              </w:rPr>
              <w:t>Uspostavljene</w:t>
            </w:r>
            <w:proofErr w:type="spellEnd"/>
            <w:r w:rsidRPr="001D616F">
              <w:rPr>
                <w:rFonts w:cstheme="minorHAnsi"/>
                <w:sz w:val="20"/>
                <w:szCs w:val="20"/>
              </w:rPr>
              <w:t xml:space="preserve"> </w:t>
            </w:r>
            <w:proofErr w:type="spellStart"/>
            <w:r w:rsidRPr="001D616F">
              <w:rPr>
                <w:rFonts w:cstheme="minorHAnsi"/>
                <w:sz w:val="20"/>
                <w:szCs w:val="20"/>
              </w:rPr>
              <w:t>energetske</w:t>
            </w:r>
            <w:proofErr w:type="spellEnd"/>
            <w:r w:rsidRPr="001D616F">
              <w:rPr>
                <w:rFonts w:cstheme="minorHAnsi"/>
                <w:sz w:val="20"/>
                <w:szCs w:val="20"/>
              </w:rPr>
              <w:t xml:space="preserve"> </w:t>
            </w:r>
            <w:proofErr w:type="spellStart"/>
            <w:r w:rsidRPr="001D616F">
              <w:rPr>
                <w:rFonts w:cstheme="minorHAnsi"/>
                <w:sz w:val="20"/>
                <w:szCs w:val="20"/>
              </w:rPr>
              <w:t>zajednice</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području</w:t>
            </w:r>
            <w:proofErr w:type="spellEnd"/>
            <w:r w:rsidRPr="001D616F">
              <w:rPr>
                <w:rFonts w:cstheme="minorHAnsi"/>
                <w:sz w:val="20"/>
                <w:szCs w:val="20"/>
              </w:rPr>
              <w:t xml:space="preserve"> FBiH</w:t>
            </w:r>
          </w:p>
        </w:tc>
        <w:tc>
          <w:tcPr>
            <w:tcW w:w="2068" w:type="dxa"/>
            <w:tcBorders>
              <w:top w:val="single" w:sz="4" w:space="0" w:color="auto"/>
              <w:left w:val="single" w:sz="4" w:space="0" w:color="auto"/>
              <w:bottom w:val="single" w:sz="4" w:space="0" w:color="auto"/>
              <w:right w:val="single" w:sz="4" w:space="0" w:color="auto"/>
            </w:tcBorders>
            <w:shd w:val="clear" w:color="auto" w:fill="auto"/>
            <w:vAlign w:val="center"/>
          </w:tcPr>
          <w:p w14:paraId="72621471" w14:textId="77777777" w:rsidR="00A00D87" w:rsidRPr="001D616F" w:rsidRDefault="00A00D87" w:rsidP="00122946">
            <w:pPr>
              <w:widowControl w:val="0"/>
              <w:pBdr>
                <w:top w:val="nil"/>
                <w:left w:val="nil"/>
                <w:bottom w:val="nil"/>
                <w:right w:val="nil"/>
                <w:between w:val="nil"/>
              </w:pBdr>
              <w:ind w:right="447"/>
              <w:jc w:val="center"/>
              <w:rPr>
                <w:rFonts w:cstheme="minorHAnsi"/>
                <w:sz w:val="20"/>
                <w:szCs w:val="20"/>
              </w:rPr>
            </w:pPr>
            <w:r w:rsidRPr="001D616F">
              <w:rPr>
                <w:rFonts w:cstheme="minorHAnsi"/>
                <w:sz w:val="20"/>
                <w:szCs w:val="20"/>
              </w:rPr>
              <w:t>0</w:t>
            </w:r>
          </w:p>
        </w:tc>
        <w:tc>
          <w:tcPr>
            <w:tcW w:w="1471" w:type="dxa"/>
            <w:tcBorders>
              <w:top w:val="single" w:sz="4" w:space="0" w:color="000000"/>
              <w:left w:val="single" w:sz="4" w:space="0" w:color="auto"/>
              <w:bottom w:val="single" w:sz="4" w:space="0" w:color="000000"/>
              <w:right w:val="single" w:sz="4" w:space="0" w:color="000000"/>
            </w:tcBorders>
            <w:shd w:val="clear" w:color="auto" w:fill="auto"/>
            <w:vAlign w:val="center"/>
          </w:tcPr>
          <w:p w14:paraId="37B73474" w14:textId="77777777" w:rsidR="00A00D87" w:rsidRPr="001D616F" w:rsidRDefault="00A00D87" w:rsidP="00122946">
            <w:pPr>
              <w:jc w:val="center"/>
              <w:rPr>
                <w:rFonts w:cstheme="minorHAnsi"/>
                <w:sz w:val="20"/>
                <w:szCs w:val="20"/>
              </w:rPr>
            </w:pPr>
            <w:r w:rsidRPr="001D616F">
              <w:rPr>
                <w:rFonts w:cstheme="minorHAnsi"/>
                <w:sz w:val="20"/>
                <w:szCs w:val="20"/>
              </w:rPr>
              <w:t>n/d</w:t>
            </w:r>
          </w:p>
        </w:tc>
      </w:tr>
      <w:tr w:rsidR="00A00D87" w:rsidRPr="001D616F" w14:paraId="607E13DF"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6B4608" w14:textId="77777777" w:rsidR="00A00D87" w:rsidRPr="001D616F" w:rsidRDefault="00A00D87" w:rsidP="00122946">
            <w:pPr>
              <w:spacing w:line="259" w:lineRule="auto"/>
              <w:rPr>
                <w:rFonts w:cstheme="minorHAnsi"/>
                <w:sz w:val="20"/>
                <w:szCs w:val="20"/>
              </w:rPr>
            </w:pPr>
            <w:bookmarkStart w:id="271" w:name="_Hlk126272678"/>
            <w:proofErr w:type="spellStart"/>
            <w:r w:rsidRPr="001D616F">
              <w:rPr>
                <w:rFonts w:cstheme="minorHAnsi"/>
                <w:b/>
                <w:sz w:val="20"/>
                <w:szCs w:val="20"/>
              </w:rPr>
              <w:t>Razvojni</w:t>
            </w:r>
            <w:proofErr w:type="spellEnd"/>
            <w:r w:rsidRPr="001D616F">
              <w:rPr>
                <w:rFonts w:cstheme="minorHAnsi"/>
                <w:b/>
                <w:sz w:val="20"/>
                <w:szCs w:val="20"/>
              </w:rPr>
              <w:t xml:space="preserve"> </w:t>
            </w:r>
            <w:proofErr w:type="spellStart"/>
            <w:r w:rsidRPr="001D616F">
              <w:rPr>
                <w:rFonts w:cstheme="minorHAnsi"/>
                <w:b/>
                <w:sz w:val="20"/>
                <w:szCs w:val="20"/>
              </w:rPr>
              <w:t>efekat</w:t>
            </w:r>
            <w:proofErr w:type="spellEnd"/>
            <w:r w:rsidRPr="001D616F">
              <w:rPr>
                <w:rFonts w:cstheme="minorHAnsi"/>
                <w:b/>
                <w:sz w:val="20"/>
                <w:szCs w:val="20"/>
              </w:rPr>
              <w:t xml:space="preserve"> i </w:t>
            </w:r>
            <w:proofErr w:type="spellStart"/>
            <w:r w:rsidRPr="001D616F">
              <w:rPr>
                <w:rFonts w:cstheme="minorHAnsi"/>
                <w:b/>
                <w:sz w:val="20"/>
                <w:szCs w:val="20"/>
              </w:rPr>
              <w:t>doprinos</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roofErr w:type="spellStart"/>
            <w:r w:rsidRPr="001D616F">
              <w:rPr>
                <w:rFonts w:cstheme="minorHAnsi"/>
                <w:b/>
                <w:sz w:val="20"/>
                <w:szCs w:val="20"/>
              </w:rPr>
              <w:t>ostvarenju</w:t>
            </w:r>
            <w:proofErr w:type="spellEnd"/>
            <w:r w:rsidRPr="001D616F">
              <w:rPr>
                <w:rFonts w:cstheme="minorHAnsi"/>
                <w:b/>
                <w:sz w:val="20"/>
                <w:szCs w:val="20"/>
              </w:rPr>
              <w:t xml:space="preserve"> </w:t>
            </w:r>
            <w:proofErr w:type="spellStart"/>
            <w:r w:rsidRPr="001D616F">
              <w:rPr>
                <w:rFonts w:cstheme="minorHAnsi"/>
                <w:b/>
                <w:sz w:val="20"/>
                <w:szCs w:val="20"/>
              </w:rPr>
              <w:t>prioriteta</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A6A7100" w14:textId="6FC2FA80" w:rsidR="00A00D87" w:rsidRPr="001D616F" w:rsidRDefault="00A00D87" w:rsidP="00E6560A">
            <w:pPr>
              <w:spacing w:line="259" w:lineRule="auto"/>
              <w:ind w:left="1"/>
              <w:jc w:val="both"/>
              <w:rPr>
                <w:rFonts w:cstheme="minorHAnsi"/>
                <w:sz w:val="20"/>
                <w:szCs w:val="20"/>
              </w:rPr>
            </w:pPr>
            <w:proofErr w:type="spellStart"/>
            <w:r w:rsidRPr="001D616F">
              <w:rPr>
                <w:rFonts w:cstheme="minorHAnsi"/>
                <w:sz w:val="20"/>
                <w:szCs w:val="20"/>
              </w:rPr>
              <w:t>Primjena</w:t>
            </w:r>
            <w:proofErr w:type="spellEnd"/>
            <w:r w:rsidRPr="001D616F">
              <w:rPr>
                <w:rFonts w:cstheme="minorHAnsi"/>
                <w:sz w:val="20"/>
                <w:szCs w:val="20"/>
              </w:rPr>
              <w:t xml:space="preserve"> </w:t>
            </w:r>
            <w:proofErr w:type="spellStart"/>
            <w:r w:rsidRPr="001D616F">
              <w:rPr>
                <w:rFonts w:cstheme="minorHAnsi"/>
                <w:sz w:val="20"/>
                <w:szCs w:val="20"/>
              </w:rPr>
              <w:t>novih</w:t>
            </w:r>
            <w:proofErr w:type="spellEnd"/>
            <w:r w:rsidRPr="001D616F">
              <w:rPr>
                <w:rFonts w:cstheme="minorHAnsi"/>
                <w:sz w:val="20"/>
                <w:szCs w:val="20"/>
              </w:rPr>
              <w:t xml:space="preserve"> </w:t>
            </w:r>
            <w:proofErr w:type="spellStart"/>
            <w:r w:rsidRPr="001D616F">
              <w:rPr>
                <w:rFonts w:cstheme="minorHAnsi"/>
                <w:sz w:val="20"/>
                <w:szCs w:val="20"/>
              </w:rPr>
              <w:t>tehnologija</w:t>
            </w:r>
            <w:proofErr w:type="spellEnd"/>
            <w:r w:rsidRPr="001D616F">
              <w:rPr>
                <w:rFonts w:cstheme="minorHAnsi"/>
                <w:sz w:val="20"/>
                <w:szCs w:val="20"/>
              </w:rPr>
              <w:t xml:space="preserve"> i </w:t>
            </w:r>
            <w:proofErr w:type="spellStart"/>
            <w:r w:rsidRPr="001D616F">
              <w:rPr>
                <w:rFonts w:cstheme="minorHAnsi"/>
                <w:sz w:val="20"/>
                <w:szCs w:val="20"/>
              </w:rPr>
              <w:t>pametnih</w:t>
            </w:r>
            <w:proofErr w:type="spellEnd"/>
            <w:r w:rsidRPr="001D616F">
              <w:rPr>
                <w:rFonts w:cstheme="minorHAnsi"/>
                <w:sz w:val="20"/>
                <w:szCs w:val="20"/>
              </w:rPr>
              <w:t xml:space="preserve"> </w:t>
            </w:r>
            <w:proofErr w:type="spellStart"/>
            <w:r w:rsidRPr="001D616F">
              <w:rPr>
                <w:rFonts w:cstheme="minorHAnsi"/>
                <w:sz w:val="20"/>
                <w:szCs w:val="20"/>
              </w:rPr>
              <w:t>rješenja</w:t>
            </w:r>
            <w:proofErr w:type="spellEnd"/>
            <w:r w:rsidRPr="001D616F">
              <w:rPr>
                <w:rFonts w:cstheme="minorHAnsi"/>
                <w:sz w:val="20"/>
                <w:szCs w:val="20"/>
              </w:rPr>
              <w:t xml:space="preserve"> u </w:t>
            </w:r>
            <w:proofErr w:type="spellStart"/>
            <w:r w:rsidRPr="001D616F">
              <w:rPr>
                <w:rFonts w:cstheme="minorHAnsi"/>
                <w:sz w:val="20"/>
                <w:szCs w:val="20"/>
              </w:rPr>
              <w:t>sektoru</w:t>
            </w:r>
            <w:proofErr w:type="spellEnd"/>
            <w:r w:rsidRPr="001D616F">
              <w:rPr>
                <w:rFonts w:cstheme="minorHAnsi"/>
                <w:sz w:val="20"/>
                <w:szCs w:val="20"/>
              </w:rPr>
              <w:t xml:space="preserve"> </w:t>
            </w:r>
            <w:proofErr w:type="spellStart"/>
            <w:r w:rsidRPr="001D616F">
              <w:rPr>
                <w:rFonts w:cstheme="minorHAnsi"/>
                <w:sz w:val="20"/>
                <w:szCs w:val="20"/>
              </w:rPr>
              <w:t>zgradarstva</w:t>
            </w:r>
            <w:proofErr w:type="spellEnd"/>
            <w:r w:rsidRPr="001D616F" w:rsidDel="00EA4C73">
              <w:rPr>
                <w:rFonts w:cstheme="minorHAnsi"/>
                <w:sz w:val="20"/>
                <w:szCs w:val="20"/>
              </w:rPr>
              <w:t xml:space="preserve"> </w:t>
            </w:r>
            <w:proofErr w:type="spellStart"/>
            <w:r w:rsidR="00ED7502" w:rsidRPr="001D616F">
              <w:rPr>
                <w:rFonts w:cstheme="minorHAnsi"/>
                <w:sz w:val="20"/>
                <w:szCs w:val="20"/>
              </w:rPr>
              <w:t>doprinijet</w:t>
            </w:r>
            <w:proofErr w:type="spellEnd"/>
            <w:r w:rsidR="00ED7502" w:rsidRPr="001D616F">
              <w:rPr>
                <w:rFonts w:cstheme="minorHAnsi"/>
                <w:sz w:val="20"/>
                <w:szCs w:val="20"/>
              </w:rPr>
              <w:t xml:space="preserve"> </w:t>
            </w:r>
            <w:proofErr w:type="spellStart"/>
            <w:r w:rsidR="00ED7502" w:rsidRPr="001D616F">
              <w:rPr>
                <w:rFonts w:cstheme="minorHAnsi"/>
                <w:sz w:val="20"/>
                <w:szCs w:val="20"/>
              </w:rPr>
              <w:t>će</w:t>
            </w:r>
            <w:proofErr w:type="spellEnd"/>
            <w:r w:rsidR="00ED7502" w:rsidRPr="001D616F">
              <w:rPr>
                <w:rFonts w:cstheme="minorHAnsi"/>
                <w:sz w:val="20"/>
                <w:szCs w:val="20"/>
              </w:rPr>
              <w:t xml:space="preserve"> </w:t>
            </w:r>
            <w:proofErr w:type="spellStart"/>
            <w:r w:rsidRPr="001D616F">
              <w:rPr>
                <w:rFonts w:cstheme="minorHAnsi"/>
                <w:sz w:val="20"/>
                <w:szCs w:val="20"/>
              </w:rPr>
              <w:t>razvoju</w:t>
            </w:r>
            <w:proofErr w:type="spellEnd"/>
            <w:r w:rsidRPr="001D616F">
              <w:rPr>
                <w:rFonts w:cstheme="minorHAnsi"/>
                <w:sz w:val="20"/>
                <w:szCs w:val="20"/>
              </w:rPr>
              <w:t xml:space="preserve"> </w:t>
            </w:r>
            <w:proofErr w:type="spellStart"/>
            <w:r w:rsidRPr="001D616F">
              <w:rPr>
                <w:rFonts w:cstheme="minorHAnsi"/>
                <w:sz w:val="20"/>
                <w:szCs w:val="20"/>
              </w:rPr>
              <w:t>gradova</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okolinski</w:t>
            </w:r>
            <w:proofErr w:type="spellEnd"/>
            <w:r w:rsidRPr="001D616F">
              <w:rPr>
                <w:rFonts w:cstheme="minorHAnsi"/>
                <w:sz w:val="20"/>
                <w:szCs w:val="20"/>
              </w:rPr>
              <w:t xml:space="preserve">, </w:t>
            </w:r>
            <w:proofErr w:type="spellStart"/>
            <w:r w:rsidRPr="001D616F">
              <w:rPr>
                <w:rFonts w:cstheme="minorHAnsi"/>
                <w:sz w:val="20"/>
                <w:szCs w:val="20"/>
              </w:rPr>
              <w:t>ekonomski</w:t>
            </w:r>
            <w:proofErr w:type="spellEnd"/>
            <w:r w:rsidRPr="001D616F">
              <w:rPr>
                <w:rFonts w:cstheme="minorHAnsi"/>
                <w:sz w:val="20"/>
                <w:szCs w:val="20"/>
              </w:rPr>
              <w:t xml:space="preserve"> i </w:t>
            </w:r>
            <w:proofErr w:type="spellStart"/>
            <w:r w:rsidRPr="001D616F">
              <w:rPr>
                <w:rFonts w:cstheme="minorHAnsi"/>
                <w:sz w:val="20"/>
                <w:szCs w:val="20"/>
              </w:rPr>
              <w:t>društveno</w:t>
            </w:r>
            <w:proofErr w:type="spellEnd"/>
            <w:r w:rsidRPr="001D616F">
              <w:rPr>
                <w:rFonts w:cstheme="minorHAnsi"/>
                <w:sz w:val="20"/>
                <w:szCs w:val="20"/>
              </w:rPr>
              <w:t xml:space="preserve"> </w:t>
            </w:r>
            <w:proofErr w:type="spellStart"/>
            <w:r w:rsidRPr="001D616F">
              <w:rPr>
                <w:rFonts w:cstheme="minorHAnsi"/>
                <w:sz w:val="20"/>
                <w:szCs w:val="20"/>
              </w:rPr>
              <w:t>održiv</w:t>
            </w:r>
            <w:proofErr w:type="spellEnd"/>
            <w:r w:rsidRPr="001D616F">
              <w:rPr>
                <w:rFonts w:cstheme="minorHAnsi"/>
                <w:sz w:val="20"/>
                <w:szCs w:val="20"/>
              </w:rPr>
              <w:t xml:space="preserve"> </w:t>
            </w:r>
            <w:proofErr w:type="spellStart"/>
            <w:r w:rsidRPr="001D616F">
              <w:rPr>
                <w:rFonts w:cstheme="minorHAnsi"/>
                <w:sz w:val="20"/>
                <w:szCs w:val="20"/>
              </w:rPr>
              <w:t>način</w:t>
            </w:r>
            <w:proofErr w:type="spellEnd"/>
            <w:r w:rsidRPr="001D616F">
              <w:rPr>
                <w:rFonts w:cstheme="minorHAnsi"/>
                <w:sz w:val="20"/>
                <w:szCs w:val="20"/>
              </w:rPr>
              <w:t>.</w:t>
            </w:r>
          </w:p>
        </w:tc>
      </w:tr>
      <w:bookmarkEnd w:id="271"/>
      <w:tr w:rsidR="00A00D87" w:rsidRPr="001D616F" w14:paraId="0CF7E1FF" w14:textId="77777777" w:rsidTr="00122946">
        <w:trPr>
          <w:trHeight w:val="104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FCD2A0D" w14:textId="41B94DC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Indikativna</w:t>
            </w:r>
            <w:proofErr w:type="spellEnd"/>
            <w:r w:rsidRPr="001D616F">
              <w:rPr>
                <w:rFonts w:cstheme="minorHAnsi"/>
                <w:b/>
                <w:sz w:val="20"/>
                <w:szCs w:val="20"/>
              </w:rPr>
              <w:t xml:space="preserve"> </w:t>
            </w:r>
            <w:proofErr w:type="spellStart"/>
            <w:r w:rsidR="007B690C" w:rsidRPr="001D616F">
              <w:rPr>
                <w:rFonts w:cstheme="minorHAnsi"/>
                <w:b/>
                <w:sz w:val="20"/>
                <w:szCs w:val="20"/>
              </w:rPr>
              <w:t>financ</w:t>
            </w:r>
            <w:r w:rsidRPr="001D616F">
              <w:rPr>
                <w:rFonts w:cstheme="minorHAnsi"/>
                <w:b/>
                <w:sz w:val="20"/>
                <w:szCs w:val="20"/>
              </w:rPr>
              <w:t>ijska</w:t>
            </w:r>
            <w:proofErr w:type="spellEnd"/>
            <w:r w:rsidRPr="001D616F">
              <w:rPr>
                <w:rFonts w:cstheme="minorHAnsi"/>
                <w:b/>
                <w:sz w:val="20"/>
                <w:szCs w:val="20"/>
              </w:rPr>
              <w:t xml:space="preserve"> </w:t>
            </w:r>
            <w:proofErr w:type="spellStart"/>
            <w:r w:rsidRPr="001D616F">
              <w:rPr>
                <w:rFonts w:cstheme="minorHAnsi"/>
                <w:b/>
                <w:sz w:val="20"/>
                <w:szCs w:val="20"/>
              </w:rPr>
              <w:t>konstrukcija</w:t>
            </w:r>
            <w:proofErr w:type="spellEnd"/>
            <w:r w:rsidRPr="001D616F">
              <w:rPr>
                <w:rFonts w:cstheme="minorHAnsi"/>
                <w:b/>
                <w:sz w:val="20"/>
                <w:szCs w:val="20"/>
              </w:rPr>
              <w:t xml:space="preserve"> </w:t>
            </w:r>
            <w:proofErr w:type="spellStart"/>
            <w:r w:rsidRPr="001D616F">
              <w:rPr>
                <w:rFonts w:cstheme="minorHAnsi"/>
                <w:b/>
                <w:sz w:val="20"/>
                <w:szCs w:val="20"/>
              </w:rPr>
              <w:t>sa</w:t>
            </w:r>
            <w:proofErr w:type="spellEnd"/>
            <w:r w:rsidRPr="001D616F">
              <w:rPr>
                <w:rFonts w:cstheme="minorHAnsi"/>
                <w:b/>
                <w:sz w:val="20"/>
                <w:szCs w:val="20"/>
              </w:rPr>
              <w:t xml:space="preserve"> </w:t>
            </w:r>
            <w:proofErr w:type="spellStart"/>
            <w:r w:rsidRPr="001D616F">
              <w:rPr>
                <w:rFonts w:cstheme="minorHAnsi"/>
                <w:b/>
                <w:sz w:val="20"/>
                <w:szCs w:val="20"/>
              </w:rPr>
              <w:t>izvorima</w:t>
            </w:r>
            <w:proofErr w:type="spellEnd"/>
            <w:r w:rsidRPr="001D616F">
              <w:rPr>
                <w:rFonts w:cstheme="minorHAnsi"/>
                <w:b/>
                <w:sz w:val="20"/>
                <w:szCs w:val="20"/>
              </w:rPr>
              <w:t xml:space="preserve"> </w:t>
            </w:r>
            <w:proofErr w:type="spellStart"/>
            <w:r w:rsidR="007B690C" w:rsidRPr="001D616F">
              <w:rPr>
                <w:rFonts w:cstheme="minorHAnsi"/>
                <w:b/>
                <w:sz w:val="20"/>
                <w:szCs w:val="20"/>
              </w:rPr>
              <w:t>financ</w:t>
            </w:r>
            <w:r w:rsidRPr="001D616F">
              <w:rPr>
                <w:rFonts w:cstheme="minorHAnsi"/>
                <w:b/>
                <w:sz w:val="20"/>
                <w:szCs w:val="20"/>
              </w:rPr>
              <w:t>iranja</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CD31EF8" w14:textId="77777777" w:rsidR="00A00D87" w:rsidRPr="001D616F" w:rsidRDefault="00A00D87" w:rsidP="00122946">
            <w:pPr>
              <w:spacing w:line="259" w:lineRule="auto"/>
              <w:ind w:left="1"/>
              <w:rPr>
                <w:rFonts w:cstheme="minorHAnsi"/>
                <w:sz w:val="20"/>
                <w:szCs w:val="20"/>
              </w:rPr>
            </w:pPr>
            <w:proofErr w:type="spellStart"/>
            <w:r w:rsidRPr="001D616F">
              <w:rPr>
                <w:rFonts w:cstheme="minorHAnsi"/>
                <w:sz w:val="20"/>
                <w:szCs w:val="20"/>
              </w:rPr>
              <w:t>Iznos</w:t>
            </w:r>
            <w:proofErr w:type="spellEnd"/>
            <w:r w:rsidRPr="001D616F">
              <w:rPr>
                <w:rFonts w:cstheme="minorHAnsi"/>
                <w:sz w:val="20"/>
                <w:szCs w:val="20"/>
              </w:rPr>
              <w:t>: 98,80 mil. KM</w:t>
            </w:r>
          </w:p>
          <w:p w14:paraId="2A57FFAA" w14:textId="77777777" w:rsidR="00A00D87" w:rsidRPr="001D616F" w:rsidRDefault="00A00D87" w:rsidP="00122946">
            <w:pPr>
              <w:spacing w:line="259" w:lineRule="auto"/>
              <w:ind w:left="1"/>
              <w:rPr>
                <w:rFonts w:cstheme="minorHAnsi"/>
                <w:sz w:val="20"/>
                <w:szCs w:val="20"/>
              </w:rPr>
            </w:pPr>
            <w:proofErr w:type="spellStart"/>
            <w:r w:rsidRPr="001D616F">
              <w:rPr>
                <w:rFonts w:cstheme="minorHAnsi"/>
                <w:sz w:val="20"/>
                <w:szCs w:val="20"/>
              </w:rPr>
              <w:t>Izvor</w:t>
            </w:r>
            <w:proofErr w:type="spellEnd"/>
            <w:r w:rsidRPr="001D616F">
              <w:rPr>
                <w:rFonts w:cstheme="minorHAnsi"/>
                <w:sz w:val="20"/>
                <w:szCs w:val="20"/>
              </w:rPr>
              <w:t xml:space="preserve">: </w:t>
            </w:r>
            <w:proofErr w:type="spellStart"/>
            <w:r w:rsidRPr="001D616F">
              <w:rPr>
                <w:rFonts w:cstheme="minorHAnsi"/>
                <w:sz w:val="20"/>
                <w:szCs w:val="20"/>
              </w:rPr>
              <w:t>Budžet</w:t>
            </w:r>
            <w:proofErr w:type="spellEnd"/>
            <w:r w:rsidRPr="001D616F">
              <w:rPr>
                <w:rFonts w:cstheme="minorHAnsi"/>
                <w:sz w:val="20"/>
                <w:szCs w:val="20"/>
              </w:rPr>
              <w:t xml:space="preserve"> </w:t>
            </w:r>
            <w:proofErr w:type="spellStart"/>
            <w:r w:rsidRPr="001D616F">
              <w:rPr>
                <w:rFonts w:cstheme="minorHAnsi"/>
                <w:sz w:val="20"/>
                <w:szCs w:val="20"/>
              </w:rPr>
              <w:t>institucija</w:t>
            </w:r>
            <w:proofErr w:type="spellEnd"/>
            <w:r w:rsidRPr="001D616F">
              <w:rPr>
                <w:rFonts w:cstheme="minorHAnsi"/>
                <w:sz w:val="20"/>
                <w:szCs w:val="20"/>
              </w:rPr>
              <w:t xml:space="preserve"> i </w:t>
            </w:r>
            <w:proofErr w:type="spellStart"/>
            <w:r w:rsidRPr="001D616F">
              <w:rPr>
                <w:rFonts w:cstheme="minorHAnsi"/>
                <w:sz w:val="20"/>
                <w:szCs w:val="20"/>
              </w:rPr>
              <w:t>ostali</w:t>
            </w:r>
            <w:proofErr w:type="spellEnd"/>
            <w:r w:rsidRPr="001D616F">
              <w:rPr>
                <w:rFonts w:cstheme="minorHAnsi"/>
                <w:sz w:val="20"/>
                <w:szCs w:val="20"/>
              </w:rPr>
              <w:t xml:space="preserve"> </w:t>
            </w:r>
            <w:proofErr w:type="spellStart"/>
            <w:r w:rsidRPr="001D616F">
              <w:rPr>
                <w:rFonts w:cstheme="minorHAnsi"/>
                <w:sz w:val="20"/>
                <w:szCs w:val="20"/>
              </w:rPr>
              <w:t>izvori</w:t>
            </w:r>
            <w:proofErr w:type="spellEnd"/>
          </w:p>
        </w:tc>
      </w:tr>
      <w:tr w:rsidR="00A00D87" w:rsidRPr="001972F5" w14:paraId="53D4D622" w14:textId="77777777" w:rsidTr="00122946">
        <w:trPr>
          <w:trHeight w:val="63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CA5A0D2" w14:textId="77777777" w:rsidR="00A00D87" w:rsidRPr="001D616F" w:rsidRDefault="00A00D87" w:rsidP="00122946">
            <w:pPr>
              <w:spacing w:line="259" w:lineRule="auto"/>
              <w:rPr>
                <w:rFonts w:cstheme="minorHAnsi"/>
                <w:sz w:val="20"/>
                <w:szCs w:val="20"/>
              </w:rPr>
            </w:pPr>
            <w:r w:rsidRPr="001D616F">
              <w:rPr>
                <w:rFonts w:cstheme="minorHAnsi"/>
                <w:b/>
                <w:sz w:val="20"/>
                <w:szCs w:val="20"/>
              </w:rPr>
              <w:t xml:space="preserve">Period </w:t>
            </w:r>
            <w:proofErr w:type="spellStart"/>
            <w:r w:rsidRPr="001D616F">
              <w:rPr>
                <w:rFonts w:cstheme="minorHAnsi"/>
                <w:b/>
                <w:sz w:val="20"/>
                <w:szCs w:val="20"/>
              </w:rPr>
              <w:t>implementacije</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19176013" w14:textId="77777777" w:rsidR="00A00D87" w:rsidRPr="001972F5" w:rsidRDefault="00A00D87" w:rsidP="00E6560A">
            <w:pPr>
              <w:ind w:left="1"/>
              <w:jc w:val="both"/>
              <w:rPr>
                <w:rFonts w:cstheme="minorHAnsi"/>
                <w:sz w:val="20"/>
                <w:szCs w:val="20"/>
                <w:lang w:val="fi-FI"/>
              </w:rPr>
            </w:pPr>
            <w:r w:rsidRPr="001972F5">
              <w:rPr>
                <w:rFonts w:cstheme="minorHAnsi"/>
                <w:sz w:val="20"/>
                <w:szCs w:val="20"/>
                <w:lang w:val="fi-FI"/>
              </w:rPr>
              <w:t xml:space="preserve">2022-2050. </w:t>
            </w:r>
          </w:p>
          <w:p w14:paraId="30CD6CD4" w14:textId="77777777" w:rsidR="00A00D87" w:rsidRPr="001972F5" w:rsidRDefault="00A00D87" w:rsidP="00E6560A">
            <w:pPr>
              <w:ind w:left="1"/>
              <w:jc w:val="both"/>
              <w:rPr>
                <w:rFonts w:cstheme="minorHAnsi"/>
                <w:sz w:val="20"/>
                <w:szCs w:val="20"/>
                <w:lang w:val="fi-FI"/>
              </w:rPr>
            </w:pPr>
            <w:r w:rsidRPr="001972F5">
              <w:rPr>
                <w:rFonts w:cstheme="minorHAnsi"/>
                <w:sz w:val="20"/>
                <w:szCs w:val="20"/>
                <w:lang w:val="fi-FI"/>
              </w:rPr>
              <w:t>Mjera će se nastaviti provoditi  do 2050. godine, uz moguće izmjene temeljene na prikupljenim iskustvima</w:t>
            </w:r>
          </w:p>
        </w:tc>
      </w:tr>
      <w:tr w:rsidR="00A00D87" w:rsidRPr="001D616F" w14:paraId="6474183E" w14:textId="77777777" w:rsidTr="00122946">
        <w:trPr>
          <w:trHeight w:val="104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727BD61"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Institucija</w:t>
            </w:r>
            <w:proofErr w:type="spellEnd"/>
            <w:r w:rsidRPr="001D616F">
              <w:rPr>
                <w:rFonts w:cstheme="minorHAnsi"/>
                <w:b/>
                <w:sz w:val="20"/>
                <w:szCs w:val="20"/>
              </w:rPr>
              <w:t xml:space="preserve"> </w:t>
            </w:r>
          </w:p>
          <w:p w14:paraId="3A9902B6"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odgovorna</w:t>
            </w:r>
            <w:proofErr w:type="spellEnd"/>
            <w:r w:rsidRPr="001D616F">
              <w:rPr>
                <w:rFonts w:cstheme="minorHAnsi"/>
                <w:b/>
                <w:sz w:val="20"/>
                <w:szCs w:val="20"/>
              </w:rPr>
              <w:t xml:space="preserve"> za </w:t>
            </w:r>
            <w:proofErr w:type="spellStart"/>
            <w:r w:rsidRPr="001D616F">
              <w:rPr>
                <w:rFonts w:cstheme="minorHAnsi"/>
                <w:b/>
                <w:sz w:val="20"/>
                <w:szCs w:val="20"/>
              </w:rPr>
              <w:t>koordinaciju</w:t>
            </w:r>
            <w:proofErr w:type="spellEnd"/>
            <w:r w:rsidRPr="001D616F">
              <w:rPr>
                <w:rFonts w:cstheme="minorHAnsi"/>
                <w:b/>
                <w:sz w:val="20"/>
                <w:szCs w:val="20"/>
              </w:rPr>
              <w:t xml:space="preserve"> </w:t>
            </w:r>
            <w:proofErr w:type="spellStart"/>
            <w:r w:rsidRPr="001D616F">
              <w:rPr>
                <w:rFonts w:cstheme="minorHAnsi"/>
                <w:b/>
                <w:sz w:val="20"/>
                <w:szCs w:val="20"/>
              </w:rPr>
              <w:t>implementacije</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1B09DD1B" w14:textId="77777777" w:rsidR="00A00D87" w:rsidRPr="001D616F" w:rsidRDefault="00A00D87" w:rsidP="00E6560A">
            <w:pPr>
              <w:spacing w:line="259" w:lineRule="auto"/>
              <w:ind w:left="1"/>
              <w:jc w:val="both"/>
              <w:rPr>
                <w:rFonts w:cstheme="minorHAnsi"/>
                <w:sz w:val="20"/>
                <w:szCs w:val="20"/>
              </w:rPr>
            </w:pPr>
            <w:r w:rsidRPr="001D616F">
              <w:rPr>
                <w:rFonts w:cstheme="minorHAnsi"/>
                <w:sz w:val="20"/>
                <w:szCs w:val="20"/>
              </w:rPr>
              <w:t>Federalno ministarstvo prostornog uređenja</w:t>
            </w:r>
          </w:p>
        </w:tc>
      </w:tr>
      <w:tr w:rsidR="00A00D87" w:rsidRPr="001D616F" w14:paraId="71942836" w14:textId="77777777" w:rsidTr="00122946">
        <w:trPr>
          <w:trHeight w:val="42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D2EEA5"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Nosioci</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3B1A0DE7" w14:textId="77777777" w:rsidR="00A00D87" w:rsidRPr="001D616F" w:rsidRDefault="00A00D87" w:rsidP="00E6560A">
            <w:pPr>
              <w:spacing w:line="259" w:lineRule="auto"/>
              <w:ind w:left="1" w:right="3"/>
              <w:jc w:val="both"/>
              <w:rPr>
                <w:rFonts w:cstheme="minorHAnsi"/>
                <w:sz w:val="20"/>
                <w:szCs w:val="20"/>
              </w:rPr>
            </w:pPr>
            <w:r w:rsidRPr="001D616F">
              <w:rPr>
                <w:rFonts w:cstheme="minorHAnsi"/>
                <w:sz w:val="20"/>
                <w:szCs w:val="20"/>
              </w:rPr>
              <w:t xml:space="preserve">Federalno ministarstvo energije, rudarstva i industrije, Federalno ministarstvo prostornog uređenja, Fond za zaštitu okoliša, </w:t>
            </w:r>
            <w:proofErr w:type="spellStart"/>
            <w:r w:rsidRPr="001D616F">
              <w:rPr>
                <w:rFonts w:cstheme="minorHAnsi"/>
                <w:sz w:val="20"/>
                <w:szCs w:val="20"/>
              </w:rPr>
              <w:t>kantonalna</w:t>
            </w:r>
            <w:proofErr w:type="spellEnd"/>
            <w:r w:rsidRPr="001D616F">
              <w:rPr>
                <w:rFonts w:cstheme="minorHAnsi"/>
                <w:sz w:val="20"/>
                <w:szCs w:val="20"/>
              </w:rPr>
              <w:t xml:space="preserve"> </w:t>
            </w:r>
            <w:proofErr w:type="spellStart"/>
            <w:r w:rsidRPr="001D616F">
              <w:rPr>
                <w:rFonts w:cstheme="minorHAnsi"/>
                <w:sz w:val="20"/>
                <w:szCs w:val="20"/>
              </w:rPr>
              <w:t>ministarstva</w:t>
            </w:r>
            <w:proofErr w:type="spellEnd"/>
            <w:r w:rsidRPr="001D616F">
              <w:rPr>
                <w:rFonts w:cstheme="minorHAnsi"/>
                <w:sz w:val="20"/>
                <w:szCs w:val="20"/>
              </w:rPr>
              <w:t xml:space="preserve"> </w:t>
            </w:r>
            <w:proofErr w:type="spellStart"/>
            <w:r w:rsidRPr="001D616F">
              <w:rPr>
                <w:rFonts w:cstheme="minorHAnsi"/>
                <w:sz w:val="20"/>
                <w:szCs w:val="20"/>
              </w:rPr>
              <w:t>nadležna</w:t>
            </w:r>
            <w:proofErr w:type="spellEnd"/>
            <w:r w:rsidRPr="001D616F">
              <w:rPr>
                <w:rFonts w:cstheme="minorHAnsi"/>
                <w:sz w:val="20"/>
                <w:szCs w:val="20"/>
              </w:rPr>
              <w:t xml:space="preserve"> za </w:t>
            </w:r>
            <w:proofErr w:type="spellStart"/>
            <w:r w:rsidRPr="001D616F">
              <w:rPr>
                <w:rFonts w:cstheme="minorHAnsi"/>
                <w:sz w:val="20"/>
                <w:szCs w:val="20"/>
              </w:rPr>
              <w:t>prostorno</w:t>
            </w:r>
            <w:proofErr w:type="spellEnd"/>
            <w:r w:rsidRPr="001D616F">
              <w:rPr>
                <w:rFonts w:cstheme="minorHAnsi"/>
                <w:sz w:val="20"/>
                <w:szCs w:val="20"/>
              </w:rPr>
              <w:t xml:space="preserve"> </w:t>
            </w:r>
            <w:proofErr w:type="spellStart"/>
            <w:r w:rsidRPr="001D616F">
              <w:rPr>
                <w:rFonts w:cstheme="minorHAnsi"/>
                <w:sz w:val="20"/>
                <w:szCs w:val="20"/>
              </w:rPr>
              <w:t>uređenje</w:t>
            </w:r>
            <w:proofErr w:type="spellEnd"/>
            <w:r w:rsidRPr="001D616F">
              <w:rPr>
                <w:rFonts w:cstheme="minorHAnsi"/>
                <w:sz w:val="20"/>
                <w:szCs w:val="20"/>
              </w:rPr>
              <w:t xml:space="preserve"> i </w:t>
            </w:r>
            <w:proofErr w:type="spellStart"/>
            <w:r w:rsidRPr="001D616F">
              <w:rPr>
                <w:rFonts w:cstheme="minorHAnsi"/>
                <w:sz w:val="20"/>
                <w:szCs w:val="20"/>
              </w:rPr>
              <w:t>okoliš</w:t>
            </w:r>
            <w:proofErr w:type="spellEnd"/>
            <w:r w:rsidRPr="001D616F">
              <w:rPr>
                <w:rFonts w:cstheme="minorHAnsi"/>
                <w:sz w:val="20"/>
                <w:szCs w:val="20"/>
              </w:rPr>
              <w:t xml:space="preserve">, </w:t>
            </w:r>
            <w:proofErr w:type="spellStart"/>
            <w:r w:rsidRPr="001D616F">
              <w:rPr>
                <w:rFonts w:cstheme="minorHAnsi"/>
                <w:sz w:val="20"/>
                <w:szCs w:val="20"/>
              </w:rPr>
              <w:t>jedinice</w:t>
            </w:r>
            <w:proofErr w:type="spellEnd"/>
            <w:r w:rsidRPr="001D616F">
              <w:rPr>
                <w:rFonts w:cstheme="minorHAnsi"/>
                <w:sz w:val="20"/>
                <w:szCs w:val="20"/>
              </w:rPr>
              <w:t xml:space="preserve"> </w:t>
            </w:r>
            <w:proofErr w:type="spellStart"/>
            <w:r w:rsidRPr="001D616F">
              <w:rPr>
                <w:rFonts w:cstheme="minorHAnsi"/>
                <w:sz w:val="20"/>
                <w:szCs w:val="20"/>
              </w:rPr>
              <w:t>lokalne</w:t>
            </w:r>
            <w:proofErr w:type="spellEnd"/>
            <w:r w:rsidRPr="001D616F">
              <w:rPr>
                <w:rFonts w:cstheme="minorHAnsi"/>
                <w:sz w:val="20"/>
                <w:szCs w:val="20"/>
              </w:rPr>
              <w:t xml:space="preserve"> </w:t>
            </w:r>
            <w:proofErr w:type="spellStart"/>
            <w:r w:rsidRPr="001D616F">
              <w:rPr>
                <w:rFonts w:cstheme="minorHAnsi"/>
                <w:sz w:val="20"/>
                <w:szCs w:val="20"/>
              </w:rPr>
              <w:t>samouprave</w:t>
            </w:r>
            <w:proofErr w:type="spellEnd"/>
            <w:r w:rsidRPr="001D616F">
              <w:rPr>
                <w:rFonts w:cstheme="minorHAnsi"/>
                <w:sz w:val="20"/>
                <w:szCs w:val="20"/>
              </w:rPr>
              <w:t xml:space="preserve">, Federalno ministarstvo okoliša i turizma, Federalni zavod za </w:t>
            </w:r>
            <w:proofErr w:type="spellStart"/>
            <w:r w:rsidRPr="001D616F">
              <w:rPr>
                <w:rFonts w:cstheme="minorHAnsi"/>
                <w:sz w:val="20"/>
                <w:szCs w:val="20"/>
              </w:rPr>
              <w:t>statistiku</w:t>
            </w:r>
            <w:proofErr w:type="spellEnd"/>
            <w:r w:rsidRPr="001D616F">
              <w:rPr>
                <w:rFonts w:cstheme="minorHAnsi"/>
                <w:sz w:val="20"/>
                <w:szCs w:val="20"/>
              </w:rPr>
              <w:t>.</w:t>
            </w:r>
          </w:p>
        </w:tc>
      </w:tr>
      <w:tr w:rsidR="00A00D87" w:rsidRPr="001972F5" w14:paraId="24140847"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D7A2E4"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Ciljne</w:t>
            </w:r>
            <w:proofErr w:type="spellEnd"/>
            <w:r w:rsidRPr="001D616F">
              <w:rPr>
                <w:rFonts w:cstheme="minorHAnsi"/>
                <w:b/>
                <w:sz w:val="20"/>
                <w:szCs w:val="20"/>
              </w:rPr>
              <w:t xml:space="preserve"> </w:t>
            </w:r>
            <w:proofErr w:type="spellStart"/>
            <w:r w:rsidRPr="001D616F">
              <w:rPr>
                <w:rFonts w:cstheme="minorHAnsi"/>
                <w:b/>
                <w:sz w:val="20"/>
                <w:szCs w:val="20"/>
              </w:rPr>
              <w:t>grupe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7A90E7A8" w14:textId="77777777" w:rsidR="00A00D87" w:rsidRPr="001972F5" w:rsidRDefault="00A00D87" w:rsidP="00E6560A">
            <w:pPr>
              <w:spacing w:line="259" w:lineRule="auto"/>
              <w:ind w:left="1"/>
              <w:jc w:val="both"/>
              <w:rPr>
                <w:rFonts w:cstheme="minorHAnsi"/>
                <w:sz w:val="20"/>
                <w:szCs w:val="20"/>
                <w:lang w:val="fi-FI"/>
              </w:rPr>
            </w:pPr>
            <w:r w:rsidRPr="001972F5">
              <w:rPr>
                <w:rFonts w:cstheme="minorHAnsi"/>
                <w:sz w:val="20"/>
                <w:szCs w:val="20"/>
                <w:lang w:val="fi-FI"/>
              </w:rPr>
              <w:t>Federalno ministarstvo prostornog uređenja, projektantske kompanije, građevinska operativa i konsultanti, te stanovništvo FBiH</w:t>
            </w:r>
          </w:p>
        </w:tc>
      </w:tr>
    </w:tbl>
    <w:p w14:paraId="2F8E432B" w14:textId="77777777" w:rsidR="00A00D87" w:rsidRPr="001972F5" w:rsidRDefault="00A00D87" w:rsidP="00A00D87">
      <w:pPr>
        <w:rPr>
          <w:lang w:val="fi-FI"/>
        </w:rPr>
      </w:pPr>
    </w:p>
    <w:p w14:paraId="7FB38502" w14:textId="77777777" w:rsidR="00A00D87" w:rsidRPr="001972F5" w:rsidRDefault="00A00D87" w:rsidP="00A00D87">
      <w:pPr>
        <w:rPr>
          <w:lang w:val="fi-FI"/>
        </w:rPr>
      </w:pPr>
    </w:p>
    <w:p w14:paraId="2502AD5E" w14:textId="77777777" w:rsidR="00A00D87" w:rsidRPr="001972F5" w:rsidRDefault="00A00D87" w:rsidP="00A00D87">
      <w:pPr>
        <w:rPr>
          <w:lang w:val="fi-FI"/>
        </w:rPr>
      </w:pPr>
    </w:p>
    <w:p w14:paraId="72C1AA90" w14:textId="77777777" w:rsidR="00A00D87" w:rsidRPr="001972F5" w:rsidRDefault="00A00D87" w:rsidP="00A00D87">
      <w:pPr>
        <w:rPr>
          <w:lang w:val="fi-FI"/>
        </w:rPr>
      </w:pPr>
    </w:p>
    <w:p w14:paraId="5CBA8FB6" w14:textId="77777777" w:rsidR="006D442E" w:rsidRPr="001972F5" w:rsidRDefault="006D442E" w:rsidP="00A00D87">
      <w:pPr>
        <w:rPr>
          <w:lang w:val="fi-FI"/>
        </w:rPr>
      </w:pPr>
    </w:p>
    <w:p w14:paraId="20B177F2" w14:textId="77777777" w:rsidR="006D442E" w:rsidRPr="001972F5" w:rsidRDefault="006D442E" w:rsidP="00A00D87">
      <w:pPr>
        <w:rPr>
          <w:lang w:val="fi-FI"/>
        </w:rPr>
      </w:pPr>
    </w:p>
    <w:p w14:paraId="6F658167" w14:textId="77777777" w:rsidR="006D442E" w:rsidRPr="001972F5" w:rsidRDefault="006D442E" w:rsidP="00A00D87">
      <w:pPr>
        <w:rPr>
          <w:lang w:val="fi-FI"/>
        </w:rPr>
      </w:pPr>
    </w:p>
    <w:p w14:paraId="67CE4543" w14:textId="77777777" w:rsidR="006D442E" w:rsidRPr="001972F5" w:rsidRDefault="006D442E" w:rsidP="00A00D87">
      <w:pPr>
        <w:rPr>
          <w:lang w:val="fi-FI"/>
        </w:rPr>
      </w:pPr>
    </w:p>
    <w:p w14:paraId="0AB95818" w14:textId="77777777" w:rsidR="00A00D87" w:rsidRPr="001972F5" w:rsidRDefault="00A00D87" w:rsidP="00A00D87">
      <w:pPr>
        <w:rPr>
          <w:lang w:val="fi-FI"/>
        </w:rPr>
      </w:pPr>
    </w:p>
    <w:p w14:paraId="30949D24" w14:textId="77777777" w:rsidR="001D616F" w:rsidRPr="001972F5" w:rsidRDefault="001D616F" w:rsidP="00A00D87">
      <w:pPr>
        <w:rPr>
          <w:lang w:val="fi-FI"/>
        </w:rPr>
      </w:pPr>
    </w:p>
    <w:p w14:paraId="21B4810D" w14:textId="77777777" w:rsidR="001D616F" w:rsidRPr="001972F5" w:rsidRDefault="001D616F" w:rsidP="00A00D87">
      <w:pPr>
        <w:rPr>
          <w:lang w:val="fi-FI"/>
        </w:rPr>
      </w:pPr>
    </w:p>
    <w:tbl>
      <w:tblPr>
        <w:tblStyle w:val="TableGrid0"/>
        <w:tblW w:w="9016" w:type="dxa"/>
        <w:tblInd w:w="198" w:type="dxa"/>
        <w:tblCellMar>
          <w:top w:w="5" w:type="dxa"/>
          <w:left w:w="107" w:type="dxa"/>
          <w:right w:w="69" w:type="dxa"/>
        </w:tblCellMar>
        <w:tblLook w:val="04A0" w:firstRow="1" w:lastRow="0" w:firstColumn="1" w:lastColumn="0" w:noHBand="0" w:noVBand="1"/>
      </w:tblPr>
      <w:tblGrid>
        <w:gridCol w:w="1767"/>
        <w:gridCol w:w="3710"/>
        <w:gridCol w:w="2068"/>
        <w:gridCol w:w="1471"/>
      </w:tblGrid>
      <w:tr w:rsidR="00A00D87" w:rsidRPr="001D616F" w14:paraId="1B71A070" w14:textId="77777777" w:rsidTr="00122946">
        <w:trPr>
          <w:trHeight w:val="42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7534EA"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lastRenderedPageBreak/>
              <w:t>Veza</w:t>
            </w:r>
            <w:proofErr w:type="spellEnd"/>
            <w:r w:rsidRPr="001D616F">
              <w:rPr>
                <w:rFonts w:cstheme="minorHAnsi"/>
                <w:b/>
                <w:sz w:val="20"/>
                <w:szCs w:val="20"/>
              </w:rPr>
              <w:t xml:space="preserve"> </w:t>
            </w:r>
            <w:proofErr w:type="spellStart"/>
            <w:r w:rsidRPr="001D616F">
              <w:rPr>
                <w:rFonts w:cstheme="minorHAnsi"/>
                <w:b/>
                <w:sz w:val="20"/>
                <w:szCs w:val="20"/>
              </w:rPr>
              <w:t>sa</w:t>
            </w:r>
            <w:proofErr w:type="spellEnd"/>
            <w:r w:rsidRPr="001D616F">
              <w:rPr>
                <w:rFonts w:cstheme="minorHAnsi"/>
                <w:b/>
                <w:sz w:val="20"/>
                <w:szCs w:val="20"/>
              </w:rPr>
              <w:t xml:space="preserve"> </w:t>
            </w:r>
            <w:proofErr w:type="spellStart"/>
            <w:r w:rsidRPr="001D616F">
              <w:rPr>
                <w:rFonts w:cstheme="minorHAnsi"/>
                <w:b/>
                <w:sz w:val="20"/>
                <w:szCs w:val="20"/>
              </w:rPr>
              <w:t>strateškim</w:t>
            </w:r>
            <w:proofErr w:type="spellEnd"/>
            <w:r w:rsidRPr="001D616F">
              <w:rPr>
                <w:rFonts w:cstheme="minorHAnsi"/>
                <w:b/>
                <w:sz w:val="20"/>
                <w:szCs w:val="20"/>
              </w:rPr>
              <w:t xml:space="preserve"> </w:t>
            </w:r>
            <w:proofErr w:type="spellStart"/>
            <w:r w:rsidRPr="001D616F">
              <w:rPr>
                <w:rFonts w:cstheme="minorHAnsi"/>
                <w:b/>
                <w:sz w:val="20"/>
                <w:szCs w:val="20"/>
              </w:rPr>
              <w:t>ciljem</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427B9E38" w14:textId="77777777" w:rsidR="00A00D87" w:rsidRPr="001D616F" w:rsidRDefault="00A00D87" w:rsidP="00122946">
            <w:pPr>
              <w:spacing w:line="259" w:lineRule="auto"/>
              <w:ind w:left="1"/>
              <w:rPr>
                <w:rFonts w:cstheme="minorHAnsi"/>
                <w:sz w:val="20"/>
                <w:szCs w:val="20"/>
              </w:rPr>
            </w:pPr>
            <w:r w:rsidRPr="001D616F">
              <w:rPr>
                <w:rFonts w:cstheme="minorHAnsi"/>
                <w:b/>
                <w:sz w:val="20"/>
                <w:szCs w:val="20"/>
              </w:rPr>
              <w:t xml:space="preserve">1. </w:t>
            </w:r>
            <w:proofErr w:type="spellStart"/>
            <w:r w:rsidRPr="001D616F">
              <w:rPr>
                <w:rFonts w:cstheme="minorHAnsi"/>
                <w:b/>
                <w:sz w:val="20"/>
                <w:szCs w:val="20"/>
              </w:rPr>
              <w:t>Postojeći</w:t>
            </w:r>
            <w:proofErr w:type="spellEnd"/>
            <w:r w:rsidRPr="001D616F">
              <w:rPr>
                <w:rFonts w:cstheme="minorHAnsi"/>
                <w:b/>
                <w:sz w:val="20"/>
                <w:szCs w:val="20"/>
              </w:rPr>
              <w:t xml:space="preserve"> fond </w:t>
            </w:r>
            <w:proofErr w:type="spellStart"/>
            <w:r w:rsidRPr="001D616F">
              <w:rPr>
                <w:rFonts w:cstheme="minorHAnsi"/>
                <w:b/>
                <w:sz w:val="20"/>
                <w:szCs w:val="20"/>
              </w:rPr>
              <w:t>zgrada</w:t>
            </w:r>
            <w:proofErr w:type="spellEnd"/>
            <w:r w:rsidRPr="001D616F">
              <w:rPr>
                <w:rFonts w:cstheme="minorHAnsi"/>
                <w:b/>
                <w:sz w:val="20"/>
                <w:szCs w:val="20"/>
              </w:rPr>
              <w:t xml:space="preserve"> u FBiH je </w:t>
            </w:r>
            <w:proofErr w:type="spellStart"/>
            <w:r w:rsidRPr="001D616F">
              <w:rPr>
                <w:rFonts w:cstheme="minorHAnsi"/>
                <w:b/>
                <w:sz w:val="20"/>
                <w:szCs w:val="20"/>
              </w:rPr>
              <w:t>transformiran</w:t>
            </w:r>
            <w:proofErr w:type="spellEnd"/>
            <w:r w:rsidRPr="001D616F">
              <w:rPr>
                <w:rFonts w:cstheme="minorHAnsi"/>
                <w:b/>
                <w:sz w:val="20"/>
                <w:szCs w:val="20"/>
              </w:rPr>
              <w:t xml:space="preserve"> u </w:t>
            </w:r>
            <w:proofErr w:type="spellStart"/>
            <w:r w:rsidRPr="001D616F">
              <w:rPr>
                <w:rFonts w:cstheme="minorHAnsi"/>
                <w:b/>
                <w:sz w:val="20"/>
                <w:szCs w:val="20"/>
              </w:rPr>
              <w:t>energijski</w:t>
            </w:r>
            <w:proofErr w:type="spellEnd"/>
            <w:r w:rsidRPr="001D616F">
              <w:rPr>
                <w:rFonts w:cstheme="minorHAnsi"/>
                <w:b/>
                <w:sz w:val="20"/>
                <w:szCs w:val="20"/>
              </w:rPr>
              <w:t xml:space="preserve"> </w:t>
            </w:r>
            <w:proofErr w:type="spellStart"/>
            <w:r w:rsidRPr="001D616F">
              <w:rPr>
                <w:rFonts w:cstheme="minorHAnsi"/>
                <w:b/>
                <w:sz w:val="20"/>
                <w:szCs w:val="20"/>
              </w:rPr>
              <w:t>visokoefikasan</w:t>
            </w:r>
            <w:proofErr w:type="spellEnd"/>
            <w:r w:rsidRPr="001D616F">
              <w:rPr>
                <w:rFonts w:cstheme="minorHAnsi"/>
                <w:b/>
                <w:sz w:val="20"/>
                <w:szCs w:val="20"/>
              </w:rPr>
              <w:t xml:space="preserve"> i </w:t>
            </w:r>
            <w:proofErr w:type="spellStart"/>
            <w:r w:rsidRPr="001D616F">
              <w:rPr>
                <w:rFonts w:cstheme="minorHAnsi"/>
                <w:b/>
                <w:sz w:val="20"/>
                <w:szCs w:val="20"/>
              </w:rPr>
              <w:t>dekarboniziran</w:t>
            </w:r>
            <w:proofErr w:type="spellEnd"/>
            <w:r w:rsidRPr="001D616F">
              <w:rPr>
                <w:rFonts w:cstheme="minorHAnsi"/>
                <w:b/>
                <w:sz w:val="20"/>
                <w:szCs w:val="20"/>
              </w:rPr>
              <w:t xml:space="preserve"> fond </w:t>
            </w:r>
            <w:proofErr w:type="spellStart"/>
            <w:r w:rsidRPr="001D616F">
              <w:rPr>
                <w:rFonts w:cstheme="minorHAnsi"/>
                <w:b/>
                <w:sz w:val="20"/>
                <w:szCs w:val="20"/>
              </w:rPr>
              <w:t>zgrada</w:t>
            </w:r>
            <w:proofErr w:type="spellEnd"/>
            <w:r w:rsidRPr="001D616F">
              <w:rPr>
                <w:rFonts w:cstheme="minorHAnsi"/>
                <w:b/>
                <w:sz w:val="20"/>
                <w:szCs w:val="20"/>
              </w:rPr>
              <w:t xml:space="preserve"> do 2050. </w:t>
            </w:r>
            <w:proofErr w:type="spellStart"/>
            <w:r w:rsidRPr="001D616F">
              <w:rPr>
                <w:rFonts w:cstheme="minorHAnsi"/>
                <w:b/>
                <w:sz w:val="20"/>
                <w:szCs w:val="20"/>
              </w:rPr>
              <w:t>godine</w:t>
            </w:r>
            <w:proofErr w:type="spellEnd"/>
          </w:p>
        </w:tc>
      </w:tr>
      <w:tr w:rsidR="00A00D87" w:rsidRPr="001972F5" w14:paraId="097F7E75" w14:textId="77777777" w:rsidTr="00122946">
        <w:trPr>
          <w:trHeight w:val="21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124B736"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Prioritet</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28957A3F" w14:textId="77777777" w:rsidR="00A00D87" w:rsidRPr="001D616F" w:rsidRDefault="00A00D87" w:rsidP="00581C1C">
            <w:pPr>
              <w:pStyle w:val="ListParagraph"/>
              <w:numPr>
                <w:ilvl w:val="1"/>
                <w:numId w:val="95"/>
              </w:numPr>
              <w:jc w:val="both"/>
              <w:rPr>
                <w:rFonts w:cstheme="minorHAnsi"/>
                <w:sz w:val="20"/>
                <w:szCs w:val="20"/>
              </w:rPr>
            </w:pPr>
            <w:r w:rsidRPr="001D616F">
              <w:rPr>
                <w:rFonts w:cstheme="minorHAnsi"/>
                <w:b/>
                <w:sz w:val="20"/>
                <w:szCs w:val="20"/>
              </w:rPr>
              <w:t>Transformirati postojeći fond zgrada FBiH u energijski visokoefikasan</w:t>
            </w:r>
          </w:p>
        </w:tc>
      </w:tr>
      <w:tr w:rsidR="00A00D87" w:rsidRPr="001D616F" w14:paraId="68FC0963" w14:textId="77777777" w:rsidTr="00122946">
        <w:trPr>
          <w:trHeight w:val="425"/>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23117D"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Naziv</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0B62D117" w14:textId="77777777" w:rsidR="00A00D87" w:rsidRPr="001D616F" w:rsidRDefault="00A00D87" w:rsidP="00122946">
            <w:pPr>
              <w:spacing w:line="259" w:lineRule="auto"/>
              <w:ind w:left="635" w:hanging="574"/>
              <w:rPr>
                <w:rFonts w:cstheme="minorHAnsi"/>
                <w:sz w:val="20"/>
                <w:szCs w:val="20"/>
              </w:rPr>
            </w:pPr>
            <w:r w:rsidRPr="001D616F">
              <w:rPr>
                <w:rFonts w:cstheme="minorHAnsi"/>
                <w:b/>
                <w:sz w:val="20"/>
                <w:szCs w:val="20"/>
              </w:rPr>
              <w:t xml:space="preserve">1.1.7. </w:t>
            </w:r>
            <w:proofErr w:type="spellStart"/>
            <w:r w:rsidRPr="001D616F">
              <w:rPr>
                <w:rFonts w:cstheme="minorHAnsi"/>
                <w:b/>
                <w:sz w:val="20"/>
                <w:szCs w:val="20"/>
              </w:rPr>
              <w:t>Smanjenje</w:t>
            </w:r>
            <w:proofErr w:type="spellEnd"/>
            <w:r w:rsidRPr="001D616F">
              <w:rPr>
                <w:rFonts w:cstheme="minorHAnsi"/>
                <w:b/>
                <w:sz w:val="20"/>
                <w:szCs w:val="20"/>
              </w:rPr>
              <w:t xml:space="preserve"> </w:t>
            </w:r>
            <w:proofErr w:type="spellStart"/>
            <w:r w:rsidRPr="001D616F">
              <w:rPr>
                <w:rFonts w:cstheme="minorHAnsi"/>
                <w:b/>
                <w:sz w:val="20"/>
                <w:szCs w:val="20"/>
              </w:rPr>
              <w:t>energijskog</w:t>
            </w:r>
            <w:proofErr w:type="spellEnd"/>
            <w:r w:rsidRPr="001D616F">
              <w:rPr>
                <w:rFonts w:cstheme="minorHAnsi"/>
                <w:b/>
                <w:sz w:val="20"/>
                <w:szCs w:val="20"/>
              </w:rPr>
              <w:t xml:space="preserve"> </w:t>
            </w:r>
            <w:proofErr w:type="spellStart"/>
            <w:r w:rsidRPr="001D616F">
              <w:rPr>
                <w:rFonts w:cstheme="minorHAnsi"/>
                <w:b/>
                <w:sz w:val="20"/>
                <w:szCs w:val="20"/>
              </w:rPr>
              <w:t>siromaštva</w:t>
            </w:r>
            <w:proofErr w:type="spellEnd"/>
            <w:r w:rsidRPr="001D616F">
              <w:rPr>
                <w:rFonts w:cstheme="minorHAnsi"/>
                <w:b/>
                <w:sz w:val="20"/>
                <w:szCs w:val="20"/>
              </w:rPr>
              <w:t xml:space="preserve"> </w:t>
            </w:r>
            <w:proofErr w:type="spellStart"/>
            <w:r w:rsidRPr="001D616F">
              <w:rPr>
                <w:rFonts w:cstheme="minorHAnsi"/>
                <w:b/>
                <w:sz w:val="20"/>
                <w:szCs w:val="20"/>
              </w:rPr>
              <w:t>koje</w:t>
            </w:r>
            <w:proofErr w:type="spellEnd"/>
            <w:r w:rsidRPr="001D616F">
              <w:rPr>
                <w:rFonts w:cstheme="minorHAnsi"/>
                <w:b/>
                <w:sz w:val="20"/>
                <w:szCs w:val="20"/>
              </w:rPr>
              <w:t xml:space="preserve"> </w:t>
            </w:r>
            <w:proofErr w:type="spellStart"/>
            <w:r w:rsidRPr="001D616F">
              <w:rPr>
                <w:rFonts w:cstheme="minorHAnsi"/>
                <w:b/>
                <w:sz w:val="20"/>
                <w:szCs w:val="20"/>
              </w:rPr>
              <w:t>uključuje</w:t>
            </w:r>
            <w:proofErr w:type="spellEnd"/>
            <w:r w:rsidRPr="001D616F">
              <w:rPr>
                <w:rFonts w:cstheme="minorHAnsi"/>
                <w:b/>
                <w:sz w:val="20"/>
                <w:szCs w:val="20"/>
              </w:rPr>
              <w:t xml:space="preserve"> </w:t>
            </w:r>
            <w:proofErr w:type="spellStart"/>
            <w:r w:rsidRPr="001D616F">
              <w:rPr>
                <w:rFonts w:cstheme="minorHAnsi"/>
                <w:b/>
                <w:sz w:val="20"/>
                <w:szCs w:val="20"/>
              </w:rPr>
              <w:t>povećanje</w:t>
            </w:r>
            <w:proofErr w:type="spellEnd"/>
            <w:r w:rsidRPr="001D616F">
              <w:rPr>
                <w:rFonts w:cstheme="minorHAnsi"/>
                <w:b/>
                <w:sz w:val="20"/>
                <w:szCs w:val="20"/>
              </w:rPr>
              <w:t xml:space="preserve"> </w:t>
            </w:r>
            <w:proofErr w:type="spellStart"/>
            <w:r w:rsidRPr="001D616F">
              <w:rPr>
                <w:rFonts w:cstheme="minorHAnsi"/>
                <w:b/>
                <w:sz w:val="20"/>
                <w:szCs w:val="20"/>
              </w:rPr>
              <w:t>energijske</w:t>
            </w:r>
            <w:proofErr w:type="spellEnd"/>
            <w:r w:rsidRPr="001D616F">
              <w:rPr>
                <w:rFonts w:cstheme="minorHAnsi"/>
                <w:b/>
                <w:sz w:val="20"/>
                <w:szCs w:val="20"/>
              </w:rPr>
              <w:t xml:space="preserve"> </w:t>
            </w:r>
            <w:proofErr w:type="spellStart"/>
            <w:r w:rsidRPr="001D616F">
              <w:rPr>
                <w:rFonts w:cstheme="minorHAnsi"/>
                <w:b/>
                <w:sz w:val="20"/>
                <w:szCs w:val="20"/>
              </w:rPr>
              <w:t>efikasnosti</w:t>
            </w:r>
            <w:proofErr w:type="spellEnd"/>
            <w:r w:rsidRPr="001D616F">
              <w:rPr>
                <w:rFonts w:cstheme="minorHAnsi"/>
                <w:b/>
                <w:sz w:val="20"/>
                <w:szCs w:val="20"/>
              </w:rPr>
              <w:t xml:space="preserve"> i </w:t>
            </w:r>
            <w:proofErr w:type="spellStart"/>
            <w:r w:rsidRPr="001D616F">
              <w:rPr>
                <w:rFonts w:cstheme="minorHAnsi"/>
                <w:b/>
                <w:sz w:val="20"/>
                <w:szCs w:val="20"/>
              </w:rPr>
              <w:t>korištenje</w:t>
            </w:r>
            <w:proofErr w:type="spellEnd"/>
            <w:r w:rsidRPr="001D616F">
              <w:rPr>
                <w:rFonts w:cstheme="minorHAnsi"/>
                <w:b/>
                <w:sz w:val="20"/>
                <w:szCs w:val="20"/>
              </w:rPr>
              <w:t xml:space="preserve"> </w:t>
            </w:r>
            <w:proofErr w:type="spellStart"/>
            <w:r w:rsidRPr="001D616F">
              <w:rPr>
                <w:rFonts w:cstheme="minorHAnsi"/>
                <w:b/>
                <w:sz w:val="20"/>
                <w:szCs w:val="20"/>
              </w:rPr>
              <w:t>obnovljivih</w:t>
            </w:r>
            <w:proofErr w:type="spellEnd"/>
            <w:r w:rsidRPr="001D616F">
              <w:rPr>
                <w:rFonts w:cstheme="minorHAnsi"/>
                <w:b/>
                <w:sz w:val="20"/>
                <w:szCs w:val="20"/>
              </w:rPr>
              <w:t xml:space="preserve"> </w:t>
            </w:r>
            <w:proofErr w:type="spellStart"/>
            <w:r w:rsidRPr="001D616F">
              <w:rPr>
                <w:rFonts w:cstheme="minorHAnsi"/>
                <w:b/>
                <w:sz w:val="20"/>
                <w:szCs w:val="20"/>
              </w:rPr>
              <w:t>izvora</w:t>
            </w:r>
            <w:proofErr w:type="spellEnd"/>
            <w:r w:rsidRPr="001D616F">
              <w:rPr>
                <w:rFonts w:cstheme="minorHAnsi"/>
                <w:b/>
                <w:sz w:val="20"/>
                <w:szCs w:val="20"/>
              </w:rPr>
              <w:t xml:space="preserve"> energije u </w:t>
            </w:r>
            <w:proofErr w:type="spellStart"/>
            <w:r w:rsidRPr="001D616F">
              <w:rPr>
                <w:rFonts w:cstheme="minorHAnsi"/>
                <w:b/>
                <w:sz w:val="20"/>
                <w:szCs w:val="20"/>
              </w:rPr>
              <w:t>stambenim</w:t>
            </w:r>
            <w:proofErr w:type="spellEnd"/>
            <w:r w:rsidRPr="001D616F">
              <w:rPr>
                <w:rFonts w:cstheme="minorHAnsi"/>
                <w:b/>
                <w:sz w:val="20"/>
                <w:szCs w:val="20"/>
              </w:rPr>
              <w:t xml:space="preserve"> </w:t>
            </w:r>
            <w:proofErr w:type="spellStart"/>
            <w:r w:rsidRPr="001D616F">
              <w:rPr>
                <w:rFonts w:cstheme="minorHAnsi"/>
                <w:b/>
                <w:sz w:val="20"/>
                <w:szCs w:val="20"/>
              </w:rPr>
              <w:t>zgradama</w:t>
            </w:r>
            <w:proofErr w:type="spellEnd"/>
          </w:p>
        </w:tc>
      </w:tr>
      <w:tr w:rsidR="00A00D87" w:rsidRPr="001972F5" w14:paraId="45A105BE"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8011759" w14:textId="77777777" w:rsidR="00A00D87" w:rsidRPr="001D616F" w:rsidRDefault="00A00D87" w:rsidP="00122946">
            <w:pPr>
              <w:spacing w:line="259" w:lineRule="auto"/>
              <w:rPr>
                <w:rFonts w:cstheme="minorHAnsi"/>
                <w:sz w:val="20"/>
                <w:szCs w:val="20"/>
              </w:rPr>
            </w:pPr>
            <w:bookmarkStart w:id="272" w:name="_Hlk126068499"/>
            <w:proofErr w:type="spellStart"/>
            <w:r w:rsidRPr="001D616F">
              <w:rPr>
                <w:rFonts w:cstheme="minorHAnsi"/>
                <w:b/>
                <w:sz w:val="20"/>
                <w:szCs w:val="20"/>
              </w:rPr>
              <w:t>Opis</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roofErr w:type="spellStart"/>
            <w:r w:rsidRPr="001D616F">
              <w:rPr>
                <w:rFonts w:cstheme="minorHAnsi"/>
                <w:b/>
                <w:sz w:val="20"/>
                <w:szCs w:val="20"/>
              </w:rPr>
              <w:t>sa</w:t>
            </w:r>
            <w:proofErr w:type="spellEnd"/>
            <w:r w:rsidRPr="001D616F">
              <w:rPr>
                <w:rFonts w:cstheme="minorHAnsi"/>
                <w:b/>
                <w:sz w:val="20"/>
                <w:szCs w:val="20"/>
              </w:rPr>
              <w:t xml:space="preserve"> </w:t>
            </w:r>
            <w:proofErr w:type="spellStart"/>
            <w:r w:rsidRPr="001D616F">
              <w:rPr>
                <w:rFonts w:cstheme="minorHAnsi"/>
                <w:b/>
                <w:sz w:val="20"/>
                <w:szCs w:val="20"/>
              </w:rPr>
              <w:t>okvirnim</w:t>
            </w:r>
            <w:proofErr w:type="spellEnd"/>
            <w:r w:rsidRPr="001D616F">
              <w:rPr>
                <w:rFonts w:cstheme="minorHAnsi"/>
                <w:b/>
                <w:sz w:val="20"/>
                <w:szCs w:val="20"/>
              </w:rPr>
              <w:t xml:space="preserve"> </w:t>
            </w:r>
            <w:proofErr w:type="spellStart"/>
            <w:r w:rsidRPr="001D616F">
              <w:rPr>
                <w:rFonts w:cstheme="minorHAnsi"/>
                <w:b/>
                <w:sz w:val="20"/>
                <w:szCs w:val="20"/>
              </w:rPr>
              <w:t>područjima</w:t>
            </w:r>
            <w:proofErr w:type="spellEnd"/>
            <w:r w:rsidRPr="001D616F">
              <w:rPr>
                <w:rFonts w:cstheme="minorHAnsi"/>
                <w:b/>
                <w:sz w:val="20"/>
                <w:szCs w:val="20"/>
              </w:rPr>
              <w:t xml:space="preserve"> </w:t>
            </w:r>
            <w:proofErr w:type="spellStart"/>
            <w:r w:rsidRPr="001D616F">
              <w:rPr>
                <w:rFonts w:cstheme="minorHAnsi"/>
                <w:b/>
                <w:sz w:val="20"/>
                <w:szCs w:val="20"/>
              </w:rPr>
              <w:t>djelovanja</w:t>
            </w:r>
            <w:proofErr w:type="spellEnd"/>
          </w:p>
        </w:tc>
        <w:tc>
          <w:tcPr>
            <w:tcW w:w="7249" w:type="dxa"/>
            <w:gridSpan w:val="3"/>
            <w:tcBorders>
              <w:top w:val="single" w:sz="4" w:space="0" w:color="000000"/>
              <w:left w:val="single" w:sz="4" w:space="0" w:color="000000"/>
              <w:bottom w:val="single" w:sz="4" w:space="0" w:color="000000"/>
              <w:right w:val="single" w:sz="4" w:space="0" w:color="000000"/>
            </w:tcBorders>
          </w:tcPr>
          <w:p w14:paraId="4CE978E3" w14:textId="28E42CDF" w:rsidR="00A00D87" w:rsidRPr="001D616F" w:rsidRDefault="00A00D87" w:rsidP="00E6560A">
            <w:pPr>
              <w:ind w:left="1" w:right="32"/>
              <w:jc w:val="both"/>
              <w:rPr>
                <w:rFonts w:cstheme="minorHAnsi"/>
                <w:sz w:val="20"/>
                <w:szCs w:val="20"/>
              </w:rPr>
            </w:pPr>
            <w:proofErr w:type="spellStart"/>
            <w:r w:rsidRPr="001D616F">
              <w:rPr>
                <w:rFonts w:cstheme="minorHAnsi"/>
                <w:sz w:val="20"/>
                <w:szCs w:val="20"/>
              </w:rPr>
              <w:t>Cilj</w:t>
            </w:r>
            <w:proofErr w:type="spellEnd"/>
            <w:r w:rsidRPr="001D616F">
              <w:rPr>
                <w:rFonts w:cstheme="minorHAnsi"/>
                <w:sz w:val="20"/>
                <w:szCs w:val="20"/>
              </w:rPr>
              <w:t xml:space="preserve"> </w:t>
            </w:r>
            <w:proofErr w:type="spellStart"/>
            <w:r w:rsidRPr="001D616F">
              <w:rPr>
                <w:rFonts w:cstheme="minorHAnsi"/>
                <w:sz w:val="20"/>
                <w:szCs w:val="20"/>
              </w:rPr>
              <w:t>mjere</w:t>
            </w:r>
            <w:proofErr w:type="spellEnd"/>
            <w:r w:rsidRPr="001D616F">
              <w:rPr>
                <w:rFonts w:cstheme="minorHAnsi"/>
                <w:sz w:val="20"/>
                <w:szCs w:val="20"/>
              </w:rPr>
              <w:t xml:space="preserve"> je </w:t>
            </w:r>
            <w:proofErr w:type="spellStart"/>
            <w:r w:rsidRPr="001D616F">
              <w:rPr>
                <w:rFonts w:cstheme="minorHAnsi"/>
                <w:sz w:val="20"/>
                <w:szCs w:val="20"/>
              </w:rPr>
              <w:t>rješavanje</w:t>
            </w:r>
            <w:proofErr w:type="spellEnd"/>
            <w:r w:rsidRPr="001D616F">
              <w:rPr>
                <w:rFonts w:cstheme="minorHAnsi"/>
                <w:sz w:val="20"/>
                <w:szCs w:val="20"/>
              </w:rPr>
              <w:t xml:space="preserve"> </w:t>
            </w:r>
            <w:proofErr w:type="spellStart"/>
            <w:proofErr w:type="gramStart"/>
            <w:r w:rsidRPr="001D616F">
              <w:rPr>
                <w:rFonts w:cstheme="minorHAnsi"/>
                <w:sz w:val="20"/>
                <w:szCs w:val="20"/>
              </w:rPr>
              <w:t>problema</w:t>
            </w:r>
            <w:proofErr w:type="spellEnd"/>
            <w:r w:rsidRPr="001D616F">
              <w:rPr>
                <w:rFonts w:cstheme="minorHAnsi"/>
                <w:sz w:val="20"/>
                <w:szCs w:val="20"/>
              </w:rPr>
              <w:t xml:space="preserve">  </w:t>
            </w:r>
            <w:proofErr w:type="spellStart"/>
            <w:r w:rsidRPr="001D616F">
              <w:rPr>
                <w:rFonts w:cstheme="minorHAnsi"/>
                <w:sz w:val="20"/>
                <w:szCs w:val="20"/>
              </w:rPr>
              <w:t>energijskog</w:t>
            </w:r>
            <w:proofErr w:type="spellEnd"/>
            <w:proofErr w:type="gramEnd"/>
            <w:r w:rsidRPr="001D616F">
              <w:rPr>
                <w:rFonts w:cstheme="minorHAnsi"/>
                <w:sz w:val="20"/>
                <w:szCs w:val="20"/>
              </w:rPr>
              <w:t xml:space="preserve"> </w:t>
            </w:r>
            <w:proofErr w:type="spellStart"/>
            <w:r w:rsidRPr="001D616F">
              <w:rPr>
                <w:rFonts w:cstheme="minorHAnsi"/>
                <w:sz w:val="20"/>
                <w:szCs w:val="20"/>
              </w:rPr>
              <w:t>siromaštva</w:t>
            </w:r>
            <w:proofErr w:type="spellEnd"/>
            <w:r w:rsidRPr="001D616F">
              <w:rPr>
                <w:rFonts w:cstheme="minorHAnsi"/>
                <w:sz w:val="20"/>
                <w:szCs w:val="20"/>
              </w:rPr>
              <w:t xml:space="preserve"> </w:t>
            </w:r>
            <w:proofErr w:type="spellStart"/>
            <w:r w:rsidRPr="001D616F">
              <w:rPr>
                <w:rFonts w:cstheme="minorHAnsi"/>
                <w:sz w:val="20"/>
                <w:szCs w:val="20"/>
              </w:rPr>
              <w:t>sistemskim</w:t>
            </w:r>
            <w:proofErr w:type="spellEnd"/>
            <w:r w:rsidRPr="001D616F">
              <w:rPr>
                <w:rFonts w:cstheme="minorHAnsi"/>
                <w:sz w:val="20"/>
                <w:szCs w:val="20"/>
              </w:rPr>
              <w:t xml:space="preserve"> i </w:t>
            </w:r>
            <w:proofErr w:type="spellStart"/>
            <w:r w:rsidRPr="001D616F">
              <w:rPr>
                <w:rFonts w:cstheme="minorHAnsi"/>
                <w:sz w:val="20"/>
                <w:szCs w:val="20"/>
              </w:rPr>
              <w:t>sveobuhvatnim</w:t>
            </w:r>
            <w:proofErr w:type="spellEnd"/>
            <w:r w:rsidRPr="001D616F">
              <w:rPr>
                <w:rFonts w:cstheme="minorHAnsi"/>
                <w:sz w:val="20"/>
                <w:szCs w:val="20"/>
              </w:rPr>
              <w:t xml:space="preserve"> </w:t>
            </w:r>
            <w:proofErr w:type="spellStart"/>
            <w:r w:rsidRPr="001D616F">
              <w:rPr>
                <w:rFonts w:cstheme="minorHAnsi"/>
                <w:sz w:val="20"/>
                <w:szCs w:val="20"/>
              </w:rPr>
              <w:t>pristupom</w:t>
            </w:r>
            <w:proofErr w:type="spellEnd"/>
            <w:r w:rsidRPr="001D616F">
              <w:rPr>
                <w:rFonts w:cstheme="minorHAnsi"/>
                <w:sz w:val="20"/>
                <w:szCs w:val="20"/>
              </w:rPr>
              <w:t xml:space="preserve">, </w:t>
            </w:r>
            <w:proofErr w:type="spellStart"/>
            <w:r w:rsidRPr="001D616F">
              <w:rPr>
                <w:rFonts w:cstheme="minorHAnsi"/>
                <w:sz w:val="20"/>
                <w:szCs w:val="20"/>
              </w:rPr>
              <w:t>što</w:t>
            </w:r>
            <w:proofErr w:type="spellEnd"/>
            <w:r w:rsidRPr="001D616F">
              <w:rPr>
                <w:rFonts w:cstheme="minorHAnsi"/>
                <w:sz w:val="20"/>
                <w:szCs w:val="20"/>
              </w:rPr>
              <w:t xml:space="preserve"> </w:t>
            </w:r>
            <w:proofErr w:type="spellStart"/>
            <w:r w:rsidRPr="001D616F">
              <w:rPr>
                <w:rFonts w:cstheme="minorHAnsi"/>
                <w:sz w:val="20"/>
                <w:szCs w:val="20"/>
              </w:rPr>
              <w:t>podrazumijeva</w:t>
            </w:r>
            <w:proofErr w:type="spellEnd"/>
            <w:r w:rsidRPr="001D616F">
              <w:rPr>
                <w:rFonts w:cstheme="minorHAnsi"/>
                <w:sz w:val="20"/>
                <w:szCs w:val="20"/>
              </w:rPr>
              <w:t xml:space="preserve"> </w:t>
            </w:r>
            <w:proofErr w:type="spellStart"/>
            <w:r w:rsidRPr="001D616F">
              <w:rPr>
                <w:rFonts w:cstheme="minorHAnsi"/>
                <w:sz w:val="20"/>
                <w:szCs w:val="20"/>
              </w:rPr>
              <w:t>sagledavanje</w:t>
            </w:r>
            <w:proofErr w:type="spellEnd"/>
            <w:r w:rsidRPr="001D616F">
              <w:rPr>
                <w:rFonts w:cstheme="minorHAnsi"/>
                <w:sz w:val="20"/>
                <w:szCs w:val="20"/>
              </w:rPr>
              <w:t xml:space="preserve"> </w:t>
            </w:r>
            <w:proofErr w:type="spellStart"/>
            <w:r w:rsidRPr="001D616F">
              <w:rPr>
                <w:rFonts w:cstheme="minorHAnsi"/>
                <w:sz w:val="20"/>
                <w:szCs w:val="20"/>
              </w:rPr>
              <w:t>stanja</w:t>
            </w:r>
            <w:proofErr w:type="spellEnd"/>
            <w:r w:rsidRPr="001D616F">
              <w:rPr>
                <w:rFonts w:cstheme="minorHAnsi"/>
                <w:sz w:val="20"/>
                <w:szCs w:val="20"/>
              </w:rPr>
              <w:t xml:space="preserve"> </w:t>
            </w:r>
            <w:proofErr w:type="spellStart"/>
            <w:r w:rsidRPr="001D616F">
              <w:rPr>
                <w:rFonts w:cstheme="minorHAnsi"/>
                <w:sz w:val="20"/>
                <w:szCs w:val="20"/>
              </w:rPr>
              <w:t>dijela</w:t>
            </w:r>
            <w:proofErr w:type="spellEnd"/>
            <w:r w:rsidRPr="001D616F">
              <w:rPr>
                <w:rFonts w:cstheme="minorHAnsi"/>
                <w:sz w:val="20"/>
                <w:szCs w:val="20"/>
              </w:rPr>
              <w:t xml:space="preserve"> </w:t>
            </w:r>
            <w:proofErr w:type="spellStart"/>
            <w:r w:rsidRPr="001D616F">
              <w:rPr>
                <w:rFonts w:cstheme="minorHAnsi"/>
                <w:sz w:val="20"/>
                <w:szCs w:val="20"/>
              </w:rPr>
              <w:t>stanovništva</w:t>
            </w:r>
            <w:proofErr w:type="spellEnd"/>
            <w:r w:rsidRPr="001D616F">
              <w:rPr>
                <w:rFonts w:cstheme="minorHAnsi"/>
                <w:sz w:val="20"/>
                <w:szCs w:val="20"/>
              </w:rPr>
              <w:t xml:space="preserve"> </w:t>
            </w:r>
            <w:proofErr w:type="spellStart"/>
            <w:r w:rsidRPr="001D616F">
              <w:rPr>
                <w:rFonts w:cstheme="minorHAnsi"/>
                <w:sz w:val="20"/>
                <w:szCs w:val="20"/>
              </w:rPr>
              <w:t>koje</w:t>
            </w:r>
            <w:proofErr w:type="spellEnd"/>
            <w:r w:rsidRPr="001D616F">
              <w:rPr>
                <w:rFonts w:cstheme="minorHAnsi"/>
                <w:sz w:val="20"/>
                <w:szCs w:val="20"/>
              </w:rPr>
              <w:t xml:space="preserve"> je u </w:t>
            </w:r>
            <w:proofErr w:type="spellStart"/>
            <w:r w:rsidRPr="001D616F">
              <w:rPr>
                <w:rFonts w:cstheme="minorHAnsi"/>
                <w:sz w:val="20"/>
                <w:szCs w:val="20"/>
              </w:rPr>
              <w:t>socijalnoj</w:t>
            </w:r>
            <w:proofErr w:type="spellEnd"/>
            <w:r w:rsidRPr="001D616F">
              <w:rPr>
                <w:rFonts w:cstheme="minorHAnsi"/>
                <w:sz w:val="20"/>
                <w:szCs w:val="20"/>
              </w:rPr>
              <w:t xml:space="preserve"> </w:t>
            </w:r>
            <w:proofErr w:type="spellStart"/>
            <w:r w:rsidRPr="001D616F">
              <w:rPr>
                <w:rFonts w:cstheme="minorHAnsi"/>
                <w:sz w:val="20"/>
                <w:szCs w:val="20"/>
              </w:rPr>
              <w:t>potrebi</w:t>
            </w:r>
            <w:proofErr w:type="spellEnd"/>
            <w:r w:rsidRPr="001D616F">
              <w:rPr>
                <w:rFonts w:cstheme="minorHAnsi"/>
                <w:sz w:val="20"/>
                <w:szCs w:val="20"/>
              </w:rPr>
              <w:t xml:space="preserve">, </w:t>
            </w:r>
            <w:proofErr w:type="spellStart"/>
            <w:r w:rsidRPr="001D616F">
              <w:rPr>
                <w:rFonts w:cstheme="minorHAnsi"/>
                <w:sz w:val="20"/>
                <w:szCs w:val="20"/>
              </w:rPr>
              <w:t>te</w:t>
            </w:r>
            <w:proofErr w:type="spellEnd"/>
            <w:r w:rsidRPr="001D616F">
              <w:rPr>
                <w:rFonts w:cstheme="minorHAnsi"/>
                <w:sz w:val="20"/>
                <w:szCs w:val="20"/>
              </w:rPr>
              <w:t xml:space="preserve"> </w:t>
            </w:r>
            <w:proofErr w:type="spellStart"/>
            <w:r w:rsidRPr="001D616F">
              <w:rPr>
                <w:rFonts w:cstheme="minorHAnsi"/>
                <w:sz w:val="20"/>
                <w:szCs w:val="20"/>
              </w:rPr>
              <w:t>kreiranje</w:t>
            </w:r>
            <w:proofErr w:type="spellEnd"/>
            <w:r w:rsidRPr="001D616F">
              <w:rPr>
                <w:rFonts w:cstheme="minorHAnsi"/>
                <w:sz w:val="20"/>
                <w:szCs w:val="20"/>
              </w:rPr>
              <w:t xml:space="preserve"> </w:t>
            </w:r>
            <w:proofErr w:type="spellStart"/>
            <w:r w:rsidRPr="001D616F">
              <w:rPr>
                <w:rFonts w:cstheme="minorHAnsi"/>
                <w:sz w:val="20"/>
                <w:szCs w:val="20"/>
              </w:rPr>
              <w:t>mogućih</w:t>
            </w:r>
            <w:proofErr w:type="spellEnd"/>
            <w:r w:rsidRPr="001D616F">
              <w:rPr>
                <w:rFonts w:cstheme="minorHAnsi"/>
                <w:sz w:val="20"/>
                <w:szCs w:val="20"/>
              </w:rPr>
              <w:t xml:space="preserve"> </w:t>
            </w:r>
            <w:proofErr w:type="spellStart"/>
            <w:r w:rsidRPr="001D616F">
              <w:rPr>
                <w:rFonts w:cstheme="minorHAnsi"/>
                <w:sz w:val="20"/>
                <w:szCs w:val="20"/>
              </w:rPr>
              <w:t>programa</w:t>
            </w:r>
            <w:proofErr w:type="spellEnd"/>
            <w:r w:rsidRPr="001D616F">
              <w:rPr>
                <w:rFonts w:cstheme="minorHAnsi"/>
                <w:sz w:val="20"/>
                <w:szCs w:val="20"/>
              </w:rPr>
              <w:t xml:space="preserve"> i </w:t>
            </w:r>
            <w:proofErr w:type="spellStart"/>
            <w:r w:rsidRPr="001D616F">
              <w:rPr>
                <w:rFonts w:cstheme="minorHAnsi"/>
                <w:sz w:val="20"/>
                <w:szCs w:val="20"/>
              </w:rPr>
              <w:t>mjera</w:t>
            </w:r>
            <w:proofErr w:type="spellEnd"/>
            <w:r w:rsidRPr="001D616F">
              <w:rPr>
                <w:rFonts w:cstheme="minorHAnsi"/>
                <w:sz w:val="20"/>
                <w:szCs w:val="20"/>
              </w:rPr>
              <w:t xml:space="preserve"> za </w:t>
            </w:r>
            <w:proofErr w:type="spellStart"/>
            <w:r w:rsidRPr="001D616F">
              <w:rPr>
                <w:rFonts w:cstheme="minorHAnsi"/>
                <w:sz w:val="20"/>
                <w:szCs w:val="20"/>
              </w:rPr>
              <w:t>smanjenje</w:t>
            </w:r>
            <w:proofErr w:type="spellEnd"/>
            <w:r w:rsidRPr="001D616F">
              <w:rPr>
                <w:rFonts w:cstheme="minorHAnsi"/>
                <w:sz w:val="20"/>
                <w:szCs w:val="20"/>
              </w:rPr>
              <w:t xml:space="preserve"> </w:t>
            </w:r>
            <w:proofErr w:type="spellStart"/>
            <w:r w:rsidRPr="001D616F">
              <w:rPr>
                <w:rFonts w:cstheme="minorHAnsi"/>
                <w:sz w:val="20"/>
                <w:szCs w:val="20"/>
              </w:rPr>
              <w:t>energijskog</w:t>
            </w:r>
            <w:proofErr w:type="spellEnd"/>
            <w:r w:rsidRPr="001D616F">
              <w:rPr>
                <w:rFonts w:cstheme="minorHAnsi"/>
                <w:sz w:val="20"/>
                <w:szCs w:val="20"/>
              </w:rPr>
              <w:t xml:space="preserve"> </w:t>
            </w:r>
            <w:proofErr w:type="spellStart"/>
            <w:r w:rsidRPr="001D616F">
              <w:rPr>
                <w:rFonts w:cstheme="minorHAnsi"/>
                <w:sz w:val="20"/>
                <w:szCs w:val="20"/>
              </w:rPr>
              <w:t>siromaštva</w:t>
            </w:r>
            <w:proofErr w:type="spellEnd"/>
            <w:r w:rsidRPr="001D616F">
              <w:rPr>
                <w:rFonts w:cstheme="minorHAnsi"/>
                <w:sz w:val="20"/>
                <w:szCs w:val="20"/>
              </w:rPr>
              <w:t xml:space="preserve"> </w:t>
            </w:r>
            <w:proofErr w:type="spellStart"/>
            <w:r w:rsidRPr="001D616F">
              <w:rPr>
                <w:rFonts w:cstheme="minorHAnsi"/>
                <w:sz w:val="20"/>
                <w:szCs w:val="20"/>
              </w:rPr>
              <w:t>kao</w:t>
            </w:r>
            <w:proofErr w:type="spellEnd"/>
            <w:r w:rsidRPr="001D616F">
              <w:rPr>
                <w:rFonts w:cstheme="minorHAnsi"/>
                <w:sz w:val="20"/>
                <w:szCs w:val="20"/>
              </w:rPr>
              <w:t xml:space="preserve"> i </w:t>
            </w:r>
            <w:proofErr w:type="spellStart"/>
            <w:r w:rsidRPr="001D616F">
              <w:rPr>
                <w:rFonts w:cstheme="minorHAnsi"/>
                <w:sz w:val="20"/>
                <w:szCs w:val="20"/>
              </w:rPr>
              <w:t>definiranjre</w:t>
            </w:r>
            <w:proofErr w:type="spellEnd"/>
            <w:r w:rsidRPr="001D616F">
              <w:rPr>
                <w:rFonts w:cstheme="minorHAnsi"/>
                <w:sz w:val="20"/>
                <w:szCs w:val="20"/>
              </w:rPr>
              <w:t xml:space="preserve"> </w:t>
            </w:r>
            <w:proofErr w:type="spellStart"/>
            <w:r w:rsidRPr="001D616F">
              <w:rPr>
                <w:rFonts w:cstheme="minorHAnsi"/>
                <w:sz w:val="20"/>
                <w:szCs w:val="20"/>
              </w:rPr>
              <w:t>načina</w:t>
            </w:r>
            <w:proofErr w:type="spellEnd"/>
            <w:r w:rsidRPr="001D616F">
              <w:rPr>
                <w:rFonts w:cstheme="minorHAnsi"/>
                <w:sz w:val="20"/>
                <w:szCs w:val="20"/>
              </w:rPr>
              <w:t xml:space="preserve"> </w:t>
            </w:r>
            <w:proofErr w:type="spellStart"/>
            <w:r w:rsidRPr="001D616F">
              <w:rPr>
                <w:rFonts w:cstheme="minorHAnsi"/>
                <w:sz w:val="20"/>
                <w:szCs w:val="20"/>
              </w:rPr>
              <w:t>njihovog</w:t>
            </w:r>
            <w:proofErr w:type="spellEnd"/>
            <w:r w:rsidRPr="001D616F">
              <w:rPr>
                <w:rFonts w:cstheme="minorHAnsi"/>
                <w:sz w:val="20"/>
                <w:szCs w:val="20"/>
              </w:rPr>
              <w:t xml:space="preserve"> </w:t>
            </w:r>
            <w:proofErr w:type="spellStart"/>
            <w:r w:rsidR="007B690C" w:rsidRPr="001D616F">
              <w:rPr>
                <w:rFonts w:cstheme="minorHAnsi"/>
                <w:sz w:val="20"/>
                <w:szCs w:val="20"/>
              </w:rPr>
              <w:t>financ</w:t>
            </w:r>
            <w:r w:rsidRPr="001D616F">
              <w:rPr>
                <w:rFonts w:cstheme="minorHAnsi"/>
                <w:sz w:val="20"/>
                <w:szCs w:val="20"/>
              </w:rPr>
              <w:t>iranja</w:t>
            </w:r>
            <w:proofErr w:type="spellEnd"/>
            <w:r w:rsidRPr="001D616F">
              <w:rPr>
                <w:rFonts w:cstheme="minorHAnsi"/>
                <w:sz w:val="20"/>
                <w:szCs w:val="20"/>
              </w:rPr>
              <w:t>.</w:t>
            </w:r>
          </w:p>
          <w:p w14:paraId="33CF8836" w14:textId="77777777" w:rsidR="00A00D87" w:rsidRPr="001D616F" w:rsidRDefault="00A00D87" w:rsidP="00E6560A">
            <w:pPr>
              <w:jc w:val="both"/>
              <w:rPr>
                <w:rFonts w:cstheme="minorHAnsi"/>
                <w:sz w:val="20"/>
                <w:szCs w:val="20"/>
              </w:rPr>
            </w:pPr>
            <w:r w:rsidRPr="001D616F">
              <w:rPr>
                <w:rFonts w:cstheme="minorHAnsi"/>
                <w:sz w:val="20"/>
                <w:szCs w:val="20"/>
              </w:rPr>
              <w:t xml:space="preserve">U FBiH </w:t>
            </w:r>
            <w:proofErr w:type="spellStart"/>
            <w:r w:rsidRPr="001D616F">
              <w:rPr>
                <w:rFonts w:cstheme="minorHAnsi"/>
                <w:sz w:val="20"/>
                <w:szCs w:val="20"/>
              </w:rPr>
              <w:t>su</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snazi</w:t>
            </w:r>
            <w:proofErr w:type="spellEnd"/>
            <w:r w:rsidRPr="001D616F">
              <w:rPr>
                <w:rFonts w:cstheme="minorHAnsi"/>
                <w:sz w:val="20"/>
                <w:szCs w:val="20"/>
              </w:rPr>
              <w:t xml:space="preserve"> </w:t>
            </w:r>
            <w:proofErr w:type="spellStart"/>
            <w:r w:rsidRPr="001D616F">
              <w:rPr>
                <w:rFonts w:cstheme="minorHAnsi"/>
                <w:sz w:val="20"/>
                <w:szCs w:val="20"/>
              </w:rPr>
              <w:t>mjere</w:t>
            </w:r>
            <w:proofErr w:type="spellEnd"/>
            <w:r w:rsidRPr="001D616F">
              <w:rPr>
                <w:rFonts w:cstheme="minorHAnsi"/>
                <w:sz w:val="20"/>
                <w:szCs w:val="20"/>
              </w:rPr>
              <w:t xml:space="preserve"> </w:t>
            </w:r>
            <w:proofErr w:type="spellStart"/>
            <w:r w:rsidRPr="001D616F">
              <w:rPr>
                <w:rFonts w:cstheme="minorHAnsi"/>
                <w:sz w:val="20"/>
                <w:szCs w:val="20"/>
              </w:rPr>
              <w:t>subvencioniranja</w:t>
            </w:r>
            <w:proofErr w:type="spellEnd"/>
            <w:r w:rsidRPr="001D616F">
              <w:rPr>
                <w:rFonts w:cstheme="minorHAnsi"/>
                <w:sz w:val="20"/>
                <w:szCs w:val="20"/>
              </w:rPr>
              <w:t xml:space="preserve"> </w:t>
            </w:r>
            <w:proofErr w:type="spellStart"/>
            <w:r w:rsidRPr="001D616F">
              <w:rPr>
                <w:rFonts w:cstheme="minorHAnsi"/>
                <w:sz w:val="20"/>
                <w:szCs w:val="20"/>
              </w:rPr>
              <w:t>troškova</w:t>
            </w:r>
            <w:proofErr w:type="spellEnd"/>
            <w:r w:rsidRPr="001D616F">
              <w:rPr>
                <w:rFonts w:cstheme="minorHAnsi"/>
                <w:sz w:val="20"/>
                <w:szCs w:val="20"/>
              </w:rPr>
              <w:t xml:space="preserve"> energije i </w:t>
            </w:r>
            <w:proofErr w:type="spellStart"/>
            <w:r w:rsidRPr="001D616F">
              <w:rPr>
                <w:rFonts w:cstheme="minorHAnsi"/>
                <w:sz w:val="20"/>
                <w:szCs w:val="20"/>
              </w:rPr>
              <w:t>energenata</w:t>
            </w:r>
            <w:proofErr w:type="spellEnd"/>
            <w:r w:rsidRPr="001D616F">
              <w:rPr>
                <w:rFonts w:cstheme="minorHAnsi"/>
                <w:sz w:val="20"/>
                <w:szCs w:val="20"/>
              </w:rPr>
              <w:t xml:space="preserve">. U </w:t>
            </w:r>
            <w:proofErr w:type="spellStart"/>
            <w:r w:rsidRPr="001D616F">
              <w:rPr>
                <w:rFonts w:cstheme="minorHAnsi"/>
                <w:sz w:val="20"/>
                <w:szCs w:val="20"/>
              </w:rPr>
              <w:t>smislu</w:t>
            </w:r>
            <w:proofErr w:type="spellEnd"/>
            <w:r w:rsidRPr="001D616F">
              <w:rPr>
                <w:rFonts w:cstheme="minorHAnsi"/>
                <w:sz w:val="20"/>
                <w:szCs w:val="20"/>
              </w:rPr>
              <w:t xml:space="preserve"> </w:t>
            </w:r>
            <w:proofErr w:type="spellStart"/>
            <w:r w:rsidRPr="001D616F">
              <w:rPr>
                <w:rFonts w:cstheme="minorHAnsi"/>
                <w:sz w:val="20"/>
                <w:szCs w:val="20"/>
              </w:rPr>
              <w:t>potrošnje</w:t>
            </w:r>
            <w:proofErr w:type="spellEnd"/>
            <w:r w:rsidRPr="001D616F">
              <w:rPr>
                <w:rFonts w:cstheme="minorHAnsi"/>
                <w:sz w:val="20"/>
                <w:szCs w:val="20"/>
              </w:rPr>
              <w:t xml:space="preserve"> </w:t>
            </w:r>
            <w:proofErr w:type="spellStart"/>
            <w:r w:rsidRPr="001D616F">
              <w:rPr>
                <w:rFonts w:cstheme="minorHAnsi"/>
                <w:sz w:val="20"/>
                <w:szCs w:val="20"/>
              </w:rPr>
              <w:t>električne</w:t>
            </w:r>
            <w:proofErr w:type="spellEnd"/>
            <w:r w:rsidRPr="001D616F">
              <w:rPr>
                <w:rFonts w:cstheme="minorHAnsi"/>
                <w:sz w:val="20"/>
                <w:szCs w:val="20"/>
              </w:rPr>
              <w:t xml:space="preserve"> energije, u </w:t>
            </w:r>
            <w:proofErr w:type="spellStart"/>
            <w:r w:rsidRPr="001D616F">
              <w:rPr>
                <w:rFonts w:cstheme="minorHAnsi"/>
                <w:sz w:val="20"/>
                <w:szCs w:val="20"/>
              </w:rPr>
              <w:t>Zakonu</w:t>
            </w:r>
            <w:proofErr w:type="spellEnd"/>
            <w:r w:rsidRPr="001D616F">
              <w:rPr>
                <w:rFonts w:cstheme="minorHAnsi"/>
                <w:sz w:val="20"/>
                <w:szCs w:val="20"/>
              </w:rPr>
              <w:t xml:space="preserve"> o </w:t>
            </w:r>
            <w:proofErr w:type="spellStart"/>
            <w:r w:rsidRPr="001D616F">
              <w:rPr>
                <w:rFonts w:cstheme="minorHAnsi"/>
                <w:sz w:val="20"/>
                <w:szCs w:val="20"/>
              </w:rPr>
              <w:t>električnoj</w:t>
            </w:r>
            <w:proofErr w:type="spellEnd"/>
            <w:r w:rsidRPr="001D616F">
              <w:rPr>
                <w:rFonts w:cstheme="minorHAnsi"/>
                <w:sz w:val="20"/>
                <w:szCs w:val="20"/>
              </w:rPr>
              <w:t xml:space="preserve"> </w:t>
            </w:r>
            <w:proofErr w:type="spellStart"/>
            <w:r w:rsidRPr="001D616F">
              <w:rPr>
                <w:rFonts w:cstheme="minorHAnsi"/>
                <w:sz w:val="20"/>
                <w:szCs w:val="20"/>
              </w:rPr>
              <w:t>energiji</w:t>
            </w:r>
            <w:proofErr w:type="spellEnd"/>
            <w:r w:rsidRPr="001D616F">
              <w:rPr>
                <w:rFonts w:cstheme="minorHAnsi"/>
                <w:sz w:val="20"/>
                <w:szCs w:val="20"/>
              </w:rPr>
              <w:t xml:space="preserve"> </w:t>
            </w:r>
            <w:proofErr w:type="spellStart"/>
            <w:r w:rsidRPr="001D616F">
              <w:rPr>
                <w:rFonts w:cstheme="minorHAnsi"/>
                <w:sz w:val="20"/>
                <w:szCs w:val="20"/>
              </w:rPr>
              <w:t>Federacije</w:t>
            </w:r>
            <w:proofErr w:type="spellEnd"/>
            <w:r w:rsidRPr="001D616F">
              <w:rPr>
                <w:rFonts w:cstheme="minorHAnsi"/>
                <w:sz w:val="20"/>
                <w:szCs w:val="20"/>
              </w:rPr>
              <w:t xml:space="preserve"> </w:t>
            </w:r>
            <w:proofErr w:type="spellStart"/>
            <w:r w:rsidRPr="001D616F">
              <w:rPr>
                <w:rFonts w:cstheme="minorHAnsi"/>
                <w:sz w:val="20"/>
                <w:szCs w:val="20"/>
              </w:rPr>
              <w:t>Bosne</w:t>
            </w:r>
            <w:proofErr w:type="spellEnd"/>
            <w:r w:rsidRPr="001D616F">
              <w:rPr>
                <w:rFonts w:cstheme="minorHAnsi"/>
                <w:sz w:val="20"/>
                <w:szCs w:val="20"/>
              </w:rPr>
              <w:t xml:space="preserve"> i </w:t>
            </w:r>
            <w:proofErr w:type="spellStart"/>
            <w:r w:rsidRPr="001D616F">
              <w:rPr>
                <w:rFonts w:cstheme="minorHAnsi"/>
                <w:sz w:val="20"/>
                <w:szCs w:val="20"/>
              </w:rPr>
              <w:t>Hercegovine</w:t>
            </w:r>
            <w:proofErr w:type="spellEnd"/>
            <w:r w:rsidRPr="001D616F">
              <w:rPr>
                <w:rFonts w:cstheme="minorHAnsi"/>
                <w:sz w:val="20"/>
                <w:szCs w:val="20"/>
              </w:rPr>
              <w:t xml:space="preserve"> </w:t>
            </w:r>
            <w:proofErr w:type="spellStart"/>
            <w:r w:rsidRPr="001D616F">
              <w:rPr>
                <w:rFonts w:cstheme="minorHAnsi"/>
                <w:sz w:val="20"/>
                <w:szCs w:val="20"/>
              </w:rPr>
              <w:t>iz</w:t>
            </w:r>
            <w:proofErr w:type="spellEnd"/>
            <w:r w:rsidRPr="001D616F">
              <w:rPr>
                <w:rFonts w:cstheme="minorHAnsi"/>
                <w:sz w:val="20"/>
                <w:szCs w:val="20"/>
              </w:rPr>
              <w:t xml:space="preserve"> 2014. </w:t>
            </w:r>
            <w:proofErr w:type="spellStart"/>
            <w:r w:rsidRPr="001D616F">
              <w:rPr>
                <w:rFonts w:cstheme="minorHAnsi"/>
                <w:sz w:val="20"/>
                <w:szCs w:val="20"/>
              </w:rPr>
              <w:t>godine</w:t>
            </w:r>
            <w:proofErr w:type="spellEnd"/>
            <w:r w:rsidRPr="001D616F">
              <w:rPr>
                <w:rFonts w:cstheme="minorHAnsi"/>
                <w:sz w:val="20"/>
                <w:szCs w:val="20"/>
              </w:rPr>
              <w:t xml:space="preserve">, </w:t>
            </w:r>
            <w:proofErr w:type="spellStart"/>
            <w:r w:rsidRPr="001D616F">
              <w:rPr>
                <w:rFonts w:cstheme="minorHAnsi"/>
                <w:sz w:val="20"/>
                <w:szCs w:val="20"/>
              </w:rPr>
              <w:t>propisano</w:t>
            </w:r>
            <w:proofErr w:type="spellEnd"/>
            <w:r w:rsidRPr="001D616F">
              <w:rPr>
                <w:rFonts w:cstheme="minorHAnsi"/>
                <w:sz w:val="20"/>
                <w:szCs w:val="20"/>
              </w:rPr>
              <w:t xml:space="preserve"> je </w:t>
            </w:r>
            <w:proofErr w:type="spellStart"/>
            <w:r w:rsidRPr="001D616F">
              <w:rPr>
                <w:rFonts w:cstheme="minorHAnsi"/>
                <w:sz w:val="20"/>
                <w:szCs w:val="20"/>
              </w:rPr>
              <w:t>donošenje</w:t>
            </w:r>
            <w:proofErr w:type="spellEnd"/>
            <w:r w:rsidRPr="001D616F">
              <w:rPr>
                <w:rFonts w:cstheme="minorHAnsi"/>
                <w:sz w:val="20"/>
                <w:szCs w:val="20"/>
              </w:rPr>
              <w:t xml:space="preserve"> </w:t>
            </w:r>
            <w:proofErr w:type="spellStart"/>
            <w:r w:rsidRPr="001D616F">
              <w:rPr>
                <w:rFonts w:cstheme="minorHAnsi"/>
                <w:sz w:val="20"/>
                <w:szCs w:val="20"/>
              </w:rPr>
              <w:t>Programa</w:t>
            </w:r>
            <w:proofErr w:type="spellEnd"/>
            <w:r w:rsidRPr="001D616F">
              <w:rPr>
                <w:rFonts w:cstheme="minorHAnsi"/>
                <w:sz w:val="20"/>
                <w:szCs w:val="20"/>
              </w:rPr>
              <w:t xml:space="preserve"> </w:t>
            </w:r>
            <w:proofErr w:type="spellStart"/>
            <w:r w:rsidRPr="001D616F">
              <w:rPr>
                <w:rFonts w:cstheme="minorHAnsi"/>
                <w:sz w:val="20"/>
                <w:szCs w:val="20"/>
              </w:rPr>
              <w:t>zaštite</w:t>
            </w:r>
            <w:proofErr w:type="spellEnd"/>
            <w:r w:rsidRPr="001D616F">
              <w:rPr>
                <w:rFonts w:cstheme="minorHAnsi"/>
                <w:sz w:val="20"/>
                <w:szCs w:val="20"/>
              </w:rPr>
              <w:t xml:space="preserve"> </w:t>
            </w:r>
            <w:proofErr w:type="spellStart"/>
            <w:r w:rsidRPr="001D616F">
              <w:rPr>
                <w:rFonts w:cstheme="minorHAnsi"/>
                <w:sz w:val="20"/>
                <w:szCs w:val="20"/>
              </w:rPr>
              <w:t>ugroženih</w:t>
            </w:r>
            <w:proofErr w:type="spellEnd"/>
            <w:r w:rsidRPr="001D616F">
              <w:rPr>
                <w:rFonts w:cstheme="minorHAnsi"/>
                <w:sz w:val="20"/>
                <w:szCs w:val="20"/>
              </w:rPr>
              <w:t xml:space="preserve"> </w:t>
            </w:r>
            <w:proofErr w:type="spellStart"/>
            <w:r w:rsidRPr="001D616F">
              <w:rPr>
                <w:rFonts w:cstheme="minorHAnsi"/>
                <w:sz w:val="20"/>
                <w:szCs w:val="20"/>
              </w:rPr>
              <w:t>kupaca</w:t>
            </w:r>
            <w:proofErr w:type="spellEnd"/>
            <w:r w:rsidRPr="001D616F">
              <w:rPr>
                <w:rFonts w:cstheme="minorHAnsi"/>
                <w:sz w:val="20"/>
                <w:szCs w:val="20"/>
              </w:rPr>
              <w:t xml:space="preserve"> u </w:t>
            </w:r>
            <w:proofErr w:type="spellStart"/>
            <w:r w:rsidRPr="001D616F">
              <w:rPr>
                <w:rFonts w:cstheme="minorHAnsi"/>
                <w:sz w:val="20"/>
                <w:szCs w:val="20"/>
              </w:rPr>
              <w:t>okviru</w:t>
            </w:r>
            <w:proofErr w:type="spellEnd"/>
            <w:r w:rsidRPr="001D616F">
              <w:rPr>
                <w:rFonts w:cstheme="minorHAnsi"/>
                <w:sz w:val="20"/>
                <w:szCs w:val="20"/>
              </w:rPr>
              <w:t xml:space="preserve"> </w:t>
            </w:r>
            <w:proofErr w:type="spellStart"/>
            <w:r w:rsidRPr="001D616F">
              <w:rPr>
                <w:rFonts w:cstheme="minorHAnsi"/>
                <w:sz w:val="20"/>
                <w:szCs w:val="20"/>
              </w:rPr>
              <w:t>Elektroenergetske</w:t>
            </w:r>
            <w:proofErr w:type="spellEnd"/>
            <w:r w:rsidRPr="001D616F">
              <w:rPr>
                <w:rFonts w:cstheme="minorHAnsi"/>
                <w:sz w:val="20"/>
                <w:szCs w:val="20"/>
              </w:rPr>
              <w:t xml:space="preserve"> </w:t>
            </w:r>
            <w:proofErr w:type="spellStart"/>
            <w:r w:rsidRPr="001D616F">
              <w:rPr>
                <w:rFonts w:cstheme="minorHAnsi"/>
                <w:sz w:val="20"/>
                <w:szCs w:val="20"/>
              </w:rPr>
              <w:t>strategije</w:t>
            </w:r>
            <w:proofErr w:type="spellEnd"/>
            <w:r w:rsidRPr="001D616F">
              <w:rPr>
                <w:rFonts w:cstheme="minorHAnsi"/>
                <w:sz w:val="20"/>
                <w:szCs w:val="20"/>
              </w:rPr>
              <w:t xml:space="preserve"> FBiH. </w:t>
            </w:r>
            <w:proofErr w:type="spellStart"/>
            <w:r w:rsidRPr="001D616F">
              <w:rPr>
                <w:rFonts w:cstheme="minorHAnsi"/>
                <w:sz w:val="20"/>
                <w:szCs w:val="20"/>
              </w:rPr>
              <w:t>Vlada</w:t>
            </w:r>
            <w:proofErr w:type="spellEnd"/>
            <w:r w:rsidRPr="001D616F">
              <w:rPr>
                <w:rFonts w:cstheme="minorHAnsi"/>
                <w:sz w:val="20"/>
                <w:szCs w:val="20"/>
              </w:rPr>
              <w:t xml:space="preserve"> </w:t>
            </w:r>
            <w:proofErr w:type="spellStart"/>
            <w:r w:rsidRPr="001D616F">
              <w:rPr>
                <w:rFonts w:cstheme="minorHAnsi"/>
                <w:sz w:val="20"/>
                <w:szCs w:val="20"/>
              </w:rPr>
              <w:t>Federacije</w:t>
            </w:r>
            <w:proofErr w:type="spellEnd"/>
            <w:r w:rsidRPr="001D616F">
              <w:rPr>
                <w:rFonts w:cstheme="minorHAnsi"/>
                <w:sz w:val="20"/>
                <w:szCs w:val="20"/>
              </w:rPr>
              <w:t xml:space="preserve"> BiH je 2015. </w:t>
            </w:r>
            <w:proofErr w:type="spellStart"/>
            <w:r w:rsidRPr="001D616F">
              <w:rPr>
                <w:rFonts w:cstheme="minorHAnsi"/>
                <w:sz w:val="20"/>
                <w:szCs w:val="20"/>
              </w:rPr>
              <w:t>godine</w:t>
            </w:r>
            <w:proofErr w:type="spellEnd"/>
            <w:r w:rsidRPr="001D616F">
              <w:rPr>
                <w:rFonts w:cstheme="minorHAnsi"/>
                <w:sz w:val="20"/>
                <w:szCs w:val="20"/>
              </w:rPr>
              <w:t xml:space="preserve">, </w:t>
            </w:r>
            <w:proofErr w:type="spellStart"/>
            <w:r w:rsidRPr="001D616F">
              <w:rPr>
                <w:rFonts w:cstheme="minorHAnsi"/>
                <w:sz w:val="20"/>
                <w:szCs w:val="20"/>
              </w:rPr>
              <w:t>donijela</w:t>
            </w:r>
            <w:proofErr w:type="spellEnd"/>
            <w:r w:rsidRPr="001D616F">
              <w:rPr>
                <w:rFonts w:cstheme="minorHAnsi"/>
                <w:sz w:val="20"/>
                <w:szCs w:val="20"/>
              </w:rPr>
              <w:t xml:space="preserve"> </w:t>
            </w:r>
            <w:proofErr w:type="spellStart"/>
            <w:r w:rsidRPr="001D616F">
              <w:rPr>
                <w:rFonts w:cstheme="minorHAnsi"/>
                <w:sz w:val="20"/>
                <w:szCs w:val="20"/>
              </w:rPr>
              <w:t>Rješenje</w:t>
            </w:r>
            <w:proofErr w:type="spellEnd"/>
            <w:r w:rsidRPr="001D616F">
              <w:rPr>
                <w:rFonts w:cstheme="minorHAnsi"/>
                <w:sz w:val="20"/>
                <w:szCs w:val="20"/>
              </w:rPr>
              <w:t xml:space="preserve"> o </w:t>
            </w:r>
            <w:proofErr w:type="spellStart"/>
            <w:r w:rsidRPr="001D616F">
              <w:rPr>
                <w:rFonts w:cstheme="minorHAnsi"/>
                <w:sz w:val="20"/>
                <w:szCs w:val="20"/>
              </w:rPr>
              <w:t>imenovanju</w:t>
            </w:r>
            <w:proofErr w:type="spellEnd"/>
            <w:r w:rsidRPr="001D616F">
              <w:rPr>
                <w:rFonts w:cstheme="minorHAnsi"/>
                <w:sz w:val="20"/>
                <w:szCs w:val="20"/>
              </w:rPr>
              <w:t xml:space="preserve"> </w:t>
            </w:r>
            <w:proofErr w:type="spellStart"/>
            <w:r w:rsidRPr="001D616F">
              <w:rPr>
                <w:rFonts w:cstheme="minorHAnsi"/>
                <w:sz w:val="20"/>
                <w:szCs w:val="20"/>
              </w:rPr>
              <w:t>komisije</w:t>
            </w:r>
            <w:proofErr w:type="spellEnd"/>
            <w:r w:rsidRPr="001D616F">
              <w:rPr>
                <w:rFonts w:cstheme="minorHAnsi"/>
                <w:sz w:val="20"/>
                <w:szCs w:val="20"/>
              </w:rPr>
              <w:t xml:space="preserve"> za </w:t>
            </w:r>
            <w:proofErr w:type="spellStart"/>
            <w:r w:rsidRPr="001D616F">
              <w:rPr>
                <w:rFonts w:cstheme="minorHAnsi"/>
                <w:sz w:val="20"/>
                <w:szCs w:val="20"/>
              </w:rPr>
              <w:t>izradu</w:t>
            </w:r>
            <w:proofErr w:type="spellEnd"/>
            <w:r w:rsidRPr="001D616F">
              <w:rPr>
                <w:rFonts w:cstheme="minorHAnsi"/>
                <w:sz w:val="20"/>
                <w:szCs w:val="20"/>
              </w:rPr>
              <w:t xml:space="preserve"> </w:t>
            </w:r>
            <w:proofErr w:type="spellStart"/>
            <w:r w:rsidRPr="001D616F">
              <w:rPr>
                <w:rFonts w:cstheme="minorHAnsi"/>
                <w:sz w:val="20"/>
                <w:szCs w:val="20"/>
              </w:rPr>
              <w:t>nacrta</w:t>
            </w:r>
            <w:proofErr w:type="spellEnd"/>
            <w:r w:rsidRPr="001D616F">
              <w:rPr>
                <w:rFonts w:cstheme="minorHAnsi"/>
                <w:sz w:val="20"/>
                <w:szCs w:val="20"/>
              </w:rPr>
              <w:t xml:space="preserve"> „</w:t>
            </w:r>
            <w:proofErr w:type="spellStart"/>
            <w:r w:rsidRPr="001D616F">
              <w:rPr>
                <w:rFonts w:cstheme="minorHAnsi"/>
                <w:sz w:val="20"/>
                <w:szCs w:val="20"/>
              </w:rPr>
              <w:t>Programa</w:t>
            </w:r>
            <w:proofErr w:type="spellEnd"/>
            <w:r w:rsidRPr="001D616F">
              <w:rPr>
                <w:rFonts w:cstheme="minorHAnsi"/>
                <w:sz w:val="20"/>
                <w:szCs w:val="20"/>
              </w:rPr>
              <w:t xml:space="preserve"> za zaštitu </w:t>
            </w:r>
            <w:proofErr w:type="spellStart"/>
            <w:r w:rsidRPr="001D616F">
              <w:rPr>
                <w:rFonts w:cstheme="minorHAnsi"/>
                <w:sz w:val="20"/>
                <w:szCs w:val="20"/>
              </w:rPr>
              <w:t>ugroženih</w:t>
            </w:r>
            <w:proofErr w:type="spellEnd"/>
            <w:r w:rsidRPr="001D616F">
              <w:rPr>
                <w:rFonts w:cstheme="minorHAnsi"/>
                <w:sz w:val="20"/>
                <w:szCs w:val="20"/>
              </w:rPr>
              <w:t xml:space="preserve"> </w:t>
            </w:r>
            <w:proofErr w:type="spellStart"/>
            <w:r w:rsidRPr="001D616F">
              <w:rPr>
                <w:rFonts w:cstheme="minorHAnsi"/>
                <w:sz w:val="20"/>
                <w:szCs w:val="20"/>
              </w:rPr>
              <w:t>kupaca</w:t>
            </w:r>
            <w:proofErr w:type="spellEnd"/>
            <w:r w:rsidRPr="001D616F">
              <w:rPr>
                <w:rFonts w:cstheme="minorHAnsi"/>
                <w:sz w:val="20"/>
                <w:szCs w:val="20"/>
              </w:rPr>
              <w:t xml:space="preserve"> </w:t>
            </w:r>
            <w:proofErr w:type="spellStart"/>
            <w:r w:rsidRPr="001D616F">
              <w:rPr>
                <w:rFonts w:cstheme="minorHAnsi"/>
                <w:sz w:val="20"/>
                <w:szCs w:val="20"/>
              </w:rPr>
              <w:t>električne</w:t>
            </w:r>
            <w:proofErr w:type="spellEnd"/>
            <w:r w:rsidRPr="001D616F">
              <w:rPr>
                <w:rFonts w:cstheme="minorHAnsi"/>
                <w:sz w:val="20"/>
                <w:szCs w:val="20"/>
              </w:rPr>
              <w:t xml:space="preserve"> energije </w:t>
            </w:r>
            <w:proofErr w:type="spellStart"/>
            <w:r w:rsidRPr="001D616F">
              <w:rPr>
                <w:rFonts w:cstheme="minorHAnsi"/>
                <w:sz w:val="20"/>
                <w:szCs w:val="20"/>
              </w:rPr>
              <w:t>iz</w:t>
            </w:r>
            <w:proofErr w:type="spellEnd"/>
            <w:r w:rsidRPr="001D616F">
              <w:rPr>
                <w:rFonts w:cstheme="minorHAnsi"/>
                <w:sz w:val="20"/>
                <w:szCs w:val="20"/>
              </w:rPr>
              <w:t xml:space="preserve"> </w:t>
            </w:r>
            <w:proofErr w:type="spellStart"/>
            <w:r w:rsidRPr="001D616F">
              <w:rPr>
                <w:rFonts w:cstheme="minorHAnsi"/>
                <w:sz w:val="20"/>
                <w:szCs w:val="20"/>
              </w:rPr>
              <w:t>kategorije</w:t>
            </w:r>
            <w:proofErr w:type="spellEnd"/>
            <w:r w:rsidRPr="001D616F">
              <w:rPr>
                <w:rFonts w:cstheme="minorHAnsi"/>
                <w:sz w:val="20"/>
                <w:szCs w:val="20"/>
              </w:rPr>
              <w:t xml:space="preserve"> </w:t>
            </w:r>
            <w:proofErr w:type="spellStart"/>
            <w:r w:rsidRPr="001D616F">
              <w:rPr>
                <w:rFonts w:cstheme="minorHAnsi"/>
                <w:sz w:val="20"/>
                <w:szCs w:val="20"/>
              </w:rPr>
              <w:t>potrošnje</w:t>
            </w:r>
            <w:proofErr w:type="spellEnd"/>
            <w:r w:rsidRPr="001D616F">
              <w:rPr>
                <w:rFonts w:cstheme="minorHAnsi"/>
                <w:sz w:val="20"/>
                <w:szCs w:val="20"/>
              </w:rPr>
              <w:t xml:space="preserve"> </w:t>
            </w:r>
            <w:proofErr w:type="spellStart"/>
            <w:r w:rsidRPr="001D616F">
              <w:rPr>
                <w:rFonts w:cstheme="minorHAnsi"/>
                <w:sz w:val="20"/>
                <w:szCs w:val="20"/>
              </w:rPr>
              <w:t>domaćinstava</w:t>
            </w:r>
            <w:proofErr w:type="spellEnd"/>
            <w:r w:rsidRPr="001D616F">
              <w:rPr>
                <w:rFonts w:cstheme="minorHAnsi"/>
                <w:sz w:val="20"/>
                <w:szCs w:val="20"/>
              </w:rPr>
              <w:t xml:space="preserve"> u </w:t>
            </w:r>
            <w:proofErr w:type="gramStart"/>
            <w:r w:rsidRPr="001D616F">
              <w:rPr>
                <w:rFonts w:cstheme="minorHAnsi"/>
                <w:sz w:val="20"/>
                <w:szCs w:val="20"/>
              </w:rPr>
              <w:t>FBiH“</w:t>
            </w:r>
            <w:proofErr w:type="gramEnd"/>
            <w:r w:rsidRPr="001D616F">
              <w:rPr>
                <w:rFonts w:cstheme="minorHAnsi"/>
                <w:sz w:val="20"/>
                <w:szCs w:val="20"/>
              </w:rPr>
              <w:t xml:space="preserve">, </w:t>
            </w:r>
            <w:proofErr w:type="spellStart"/>
            <w:r w:rsidRPr="001D616F">
              <w:rPr>
                <w:rFonts w:cstheme="minorHAnsi"/>
                <w:sz w:val="20"/>
                <w:szCs w:val="20"/>
              </w:rPr>
              <w:t>međutim</w:t>
            </w:r>
            <w:proofErr w:type="spellEnd"/>
            <w:r w:rsidRPr="001D616F">
              <w:rPr>
                <w:rFonts w:cstheme="minorHAnsi"/>
                <w:sz w:val="20"/>
                <w:szCs w:val="20"/>
              </w:rPr>
              <w:t xml:space="preserve"> </w:t>
            </w:r>
            <w:proofErr w:type="spellStart"/>
            <w:r w:rsidRPr="001D616F">
              <w:rPr>
                <w:rFonts w:cstheme="minorHAnsi"/>
                <w:sz w:val="20"/>
                <w:szCs w:val="20"/>
              </w:rPr>
              <w:t>ovaj</w:t>
            </w:r>
            <w:proofErr w:type="spellEnd"/>
            <w:r w:rsidRPr="001D616F">
              <w:rPr>
                <w:rFonts w:cstheme="minorHAnsi"/>
                <w:sz w:val="20"/>
                <w:szCs w:val="20"/>
              </w:rPr>
              <w:t xml:space="preserve"> program </w:t>
            </w:r>
            <w:proofErr w:type="spellStart"/>
            <w:r w:rsidRPr="001D616F">
              <w:rPr>
                <w:rFonts w:cstheme="minorHAnsi"/>
                <w:sz w:val="20"/>
                <w:szCs w:val="20"/>
              </w:rPr>
              <w:t>još</w:t>
            </w:r>
            <w:proofErr w:type="spellEnd"/>
            <w:r w:rsidRPr="001D616F">
              <w:rPr>
                <w:rFonts w:cstheme="minorHAnsi"/>
                <w:sz w:val="20"/>
                <w:szCs w:val="20"/>
              </w:rPr>
              <w:t xml:space="preserve"> </w:t>
            </w:r>
            <w:proofErr w:type="spellStart"/>
            <w:r w:rsidRPr="001D616F">
              <w:rPr>
                <w:rFonts w:cstheme="minorHAnsi"/>
                <w:sz w:val="20"/>
                <w:szCs w:val="20"/>
              </w:rPr>
              <w:t>uvijek</w:t>
            </w:r>
            <w:proofErr w:type="spellEnd"/>
            <w:r w:rsidRPr="001D616F">
              <w:rPr>
                <w:rFonts w:cstheme="minorHAnsi"/>
                <w:sz w:val="20"/>
                <w:szCs w:val="20"/>
              </w:rPr>
              <w:t xml:space="preserve"> </w:t>
            </w:r>
            <w:proofErr w:type="spellStart"/>
            <w:r w:rsidRPr="001D616F">
              <w:rPr>
                <w:rFonts w:cstheme="minorHAnsi"/>
                <w:sz w:val="20"/>
                <w:szCs w:val="20"/>
              </w:rPr>
              <w:t>nije</w:t>
            </w:r>
            <w:proofErr w:type="spellEnd"/>
            <w:r w:rsidRPr="001D616F">
              <w:rPr>
                <w:rFonts w:cstheme="minorHAnsi"/>
                <w:sz w:val="20"/>
                <w:szCs w:val="20"/>
              </w:rPr>
              <w:t xml:space="preserve"> </w:t>
            </w:r>
            <w:proofErr w:type="spellStart"/>
            <w:r w:rsidRPr="001D616F">
              <w:rPr>
                <w:rFonts w:cstheme="minorHAnsi"/>
                <w:sz w:val="20"/>
                <w:szCs w:val="20"/>
              </w:rPr>
              <w:t>izrađen</w:t>
            </w:r>
            <w:proofErr w:type="spellEnd"/>
            <w:r w:rsidRPr="001D616F">
              <w:rPr>
                <w:rFonts w:cstheme="minorHAnsi"/>
                <w:sz w:val="20"/>
                <w:szCs w:val="20"/>
              </w:rPr>
              <w:t xml:space="preserve"> </w:t>
            </w:r>
            <w:proofErr w:type="spellStart"/>
            <w:r w:rsidRPr="001D616F">
              <w:rPr>
                <w:rFonts w:cstheme="minorHAnsi"/>
                <w:sz w:val="20"/>
                <w:szCs w:val="20"/>
              </w:rPr>
              <w:t>jer</w:t>
            </w:r>
            <w:proofErr w:type="spellEnd"/>
            <w:r w:rsidRPr="001D616F">
              <w:rPr>
                <w:rFonts w:cstheme="minorHAnsi"/>
                <w:sz w:val="20"/>
                <w:szCs w:val="20"/>
              </w:rPr>
              <w:t xml:space="preserve"> ne </w:t>
            </w:r>
            <w:proofErr w:type="spellStart"/>
            <w:r w:rsidRPr="001D616F">
              <w:rPr>
                <w:rFonts w:cstheme="minorHAnsi"/>
                <w:sz w:val="20"/>
                <w:szCs w:val="20"/>
              </w:rPr>
              <w:t>postoji</w:t>
            </w:r>
            <w:proofErr w:type="spellEnd"/>
            <w:r w:rsidRPr="001D616F">
              <w:rPr>
                <w:rFonts w:cstheme="minorHAnsi"/>
                <w:sz w:val="20"/>
                <w:szCs w:val="20"/>
              </w:rPr>
              <w:t xml:space="preserve"> </w:t>
            </w:r>
            <w:proofErr w:type="spellStart"/>
            <w:r w:rsidRPr="001D616F">
              <w:rPr>
                <w:rFonts w:cstheme="minorHAnsi"/>
                <w:sz w:val="20"/>
                <w:szCs w:val="20"/>
              </w:rPr>
              <w:t>socijalna</w:t>
            </w:r>
            <w:proofErr w:type="spellEnd"/>
            <w:r w:rsidRPr="001D616F">
              <w:rPr>
                <w:rFonts w:cstheme="minorHAnsi"/>
                <w:sz w:val="20"/>
                <w:szCs w:val="20"/>
              </w:rPr>
              <w:t xml:space="preserve"> </w:t>
            </w:r>
            <w:proofErr w:type="spellStart"/>
            <w:r w:rsidRPr="001D616F">
              <w:rPr>
                <w:rFonts w:cstheme="minorHAnsi"/>
                <w:sz w:val="20"/>
                <w:szCs w:val="20"/>
              </w:rPr>
              <w:t>karta</w:t>
            </w:r>
            <w:proofErr w:type="spellEnd"/>
            <w:r w:rsidRPr="001D616F">
              <w:rPr>
                <w:rFonts w:cstheme="minorHAnsi"/>
                <w:sz w:val="20"/>
                <w:szCs w:val="20"/>
              </w:rPr>
              <w:t xml:space="preserve"> </w:t>
            </w:r>
            <w:proofErr w:type="spellStart"/>
            <w:r w:rsidRPr="001D616F">
              <w:rPr>
                <w:rFonts w:cstheme="minorHAnsi"/>
                <w:sz w:val="20"/>
                <w:szCs w:val="20"/>
              </w:rPr>
              <w:t>stanovništva</w:t>
            </w:r>
            <w:proofErr w:type="spellEnd"/>
            <w:r w:rsidRPr="001D616F">
              <w:rPr>
                <w:rFonts w:cstheme="minorHAnsi"/>
                <w:sz w:val="20"/>
                <w:szCs w:val="20"/>
              </w:rPr>
              <w:t xml:space="preserve"> FBiH. U </w:t>
            </w:r>
            <w:proofErr w:type="spellStart"/>
            <w:r w:rsidRPr="001D616F">
              <w:rPr>
                <w:rFonts w:cstheme="minorHAnsi"/>
                <w:sz w:val="20"/>
                <w:szCs w:val="20"/>
              </w:rPr>
              <w:t>nedostatku</w:t>
            </w:r>
            <w:proofErr w:type="spellEnd"/>
            <w:r w:rsidRPr="001D616F">
              <w:rPr>
                <w:rFonts w:cstheme="minorHAnsi"/>
                <w:sz w:val="20"/>
                <w:szCs w:val="20"/>
              </w:rPr>
              <w:t xml:space="preserve"> </w:t>
            </w:r>
            <w:proofErr w:type="spellStart"/>
            <w:r w:rsidRPr="001D616F">
              <w:rPr>
                <w:rFonts w:cstheme="minorHAnsi"/>
                <w:sz w:val="20"/>
                <w:szCs w:val="20"/>
              </w:rPr>
              <w:t>naprijed</w:t>
            </w:r>
            <w:proofErr w:type="spellEnd"/>
            <w:r w:rsidRPr="001D616F">
              <w:rPr>
                <w:rFonts w:cstheme="minorHAnsi"/>
                <w:sz w:val="20"/>
                <w:szCs w:val="20"/>
              </w:rPr>
              <w:t xml:space="preserve"> </w:t>
            </w:r>
            <w:proofErr w:type="spellStart"/>
            <w:r w:rsidRPr="001D616F">
              <w:rPr>
                <w:rFonts w:cstheme="minorHAnsi"/>
                <w:sz w:val="20"/>
                <w:szCs w:val="20"/>
              </w:rPr>
              <w:t>navedenog</w:t>
            </w:r>
            <w:proofErr w:type="spellEnd"/>
            <w:r w:rsidRPr="001D616F">
              <w:rPr>
                <w:rFonts w:cstheme="minorHAnsi"/>
                <w:sz w:val="20"/>
                <w:szCs w:val="20"/>
              </w:rPr>
              <w:t xml:space="preserve"> </w:t>
            </w:r>
            <w:proofErr w:type="spellStart"/>
            <w:r w:rsidRPr="001D616F">
              <w:rPr>
                <w:rFonts w:cstheme="minorHAnsi"/>
                <w:sz w:val="20"/>
                <w:szCs w:val="20"/>
              </w:rPr>
              <w:t>programa</w:t>
            </w:r>
            <w:proofErr w:type="spellEnd"/>
            <w:r w:rsidRPr="001D616F">
              <w:rPr>
                <w:rFonts w:cstheme="minorHAnsi"/>
                <w:sz w:val="20"/>
                <w:szCs w:val="20"/>
              </w:rPr>
              <w:t xml:space="preserve"> </w:t>
            </w:r>
            <w:proofErr w:type="spellStart"/>
            <w:r w:rsidRPr="001D616F">
              <w:rPr>
                <w:rFonts w:cstheme="minorHAnsi"/>
                <w:sz w:val="20"/>
                <w:szCs w:val="20"/>
              </w:rPr>
              <w:t>Vlada</w:t>
            </w:r>
            <w:proofErr w:type="spellEnd"/>
            <w:r w:rsidRPr="001D616F">
              <w:rPr>
                <w:rFonts w:cstheme="minorHAnsi"/>
                <w:sz w:val="20"/>
                <w:szCs w:val="20"/>
              </w:rPr>
              <w:t xml:space="preserve"> FBiH </w:t>
            </w:r>
            <w:proofErr w:type="spellStart"/>
            <w:r w:rsidRPr="001D616F">
              <w:rPr>
                <w:rFonts w:cstheme="minorHAnsi"/>
                <w:sz w:val="20"/>
                <w:szCs w:val="20"/>
              </w:rPr>
              <w:t>donijela</w:t>
            </w:r>
            <w:proofErr w:type="spellEnd"/>
            <w:r w:rsidRPr="001D616F">
              <w:rPr>
                <w:rFonts w:cstheme="minorHAnsi"/>
                <w:sz w:val="20"/>
                <w:szCs w:val="20"/>
              </w:rPr>
              <w:t xml:space="preserve"> je </w:t>
            </w:r>
            <w:proofErr w:type="spellStart"/>
            <w:r w:rsidRPr="001D616F">
              <w:rPr>
                <w:rFonts w:cstheme="minorHAnsi"/>
                <w:sz w:val="20"/>
                <w:szCs w:val="20"/>
              </w:rPr>
              <w:t>Odluku</w:t>
            </w:r>
            <w:proofErr w:type="spellEnd"/>
            <w:r w:rsidRPr="001D616F">
              <w:rPr>
                <w:rFonts w:cstheme="minorHAnsi"/>
                <w:sz w:val="20"/>
                <w:szCs w:val="20"/>
              </w:rPr>
              <w:t xml:space="preserve"> o </w:t>
            </w:r>
            <w:proofErr w:type="spellStart"/>
            <w:r w:rsidRPr="001D616F">
              <w:rPr>
                <w:rFonts w:cstheme="minorHAnsi"/>
                <w:sz w:val="20"/>
                <w:szCs w:val="20"/>
              </w:rPr>
              <w:t>provedbi</w:t>
            </w:r>
            <w:proofErr w:type="spellEnd"/>
            <w:r w:rsidRPr="001D616F">
              <w:rPr>
                <w:rFonts w:cstheme="minorHAnsi"/>
                <w:sz w:val="20"/>
                <w:szCs w:val="20"/>
              </w:rPr>
              <w:t xml:space="preserve"> </w:t>
            </w:r>
            <w:proofErr w:type="spellStart"/>
            <w:r w:rsidRPr="001D616F">
              <w:rPr>
                <w:rFonts w:cstheme="minorHAnsi"/>
                <w:sz w:val="20"/>
                <w:szCs w:val="20"/>
              </w:rPr>
              <w:t>mjera</w:t>
            </w:r>
            <w:proofErr w:type="spellEnd"/>
            <w:r w:rsidRPr="001D616F">
              <w:rPr>
                <w:rFonts w:cstheme="minorHAnsi"/>
                <w:sz w:val="20"/>
                <w:szCs w:val="20"/>
              </w:rPr>
              <w:t xml:space="preserve"> za </w:t>
            </w:r>
            <w:proofErr w:type="spellStart"/>
            <w:r w:rsidRPr="001D616F">
              <w:rPr>
                <w:rFonts w:cstheme="minorHAnsi"/>
                <w:sz w:val="20"/>
                <w:szCs w:val="20"/>
              </w:rPr>
              <w:t>smanjenje</w:t>
            </w:r>
            <w:proofErr w:type="spellEnd"/>
            <w:r w:rsidRPr="001D616F">
              <w:rPr>
                <w:rFonts w:cstheme="minorHAnsi"/>
                <w:sz w:val="20"/>
                <w:szCs w:val="20"/>
              </w:rPr>
              <w:t xml:space="preserve"> </w:t>
            </w:r>
            <w:proofErr w:type="spellStart"/>
            <w:r w:rsidRPr="001D616F">
              <w:rPr>
                <w:rFonts w:cstheme="minorHAnsi"/>
                <w:sz w:val="20"/>
                <w:szCs w:val="20"/>
              </w:rPr>
              <w:t>troškova</w:t>
            </w:r>
            <w:proofErr w:type="spellEnd"/>
            <w:r w:rsidRPr="001D616F">
              <w:rPr>
                <w:rFonts w:cstheme="minorHAnsi"/>
                <w:sz w:val="20"/>
                <w:szCs w:val="20"/>
              </w:rPr>
              <w:t xml:space="preserve"> </w:t>
            </w:r>
            <w:proofErr w:type="spellStart"/>
            <w:r w:rsidRPr="001D616F">
              <w:rPr>
                <w:rFonts w:cstheme="minorHAnsi"/>
                <w:sz w:val="20"/>
                <w:szCs w:val="20"/>
              </w:rPr>
              <w:t>električne</w:t>
            </w:r>
            <w:proofErr w:type="spellEnd"/>
            <w:r w:rsidRPr="001D616F">
              <w:rPr>
                <w:rFonts w:cstheme="minorHAnsi"/>
                <w:sz w:val="20"/>
                <w:szCs w:val="20"/>
              </w:rPr>
              <w:t xml:space="preserve"> energije </w:t>
            </w:r>
            <w:proofErr w:type="spellStart"/>
            <w:r w:rsidRPr="001D616F">
              <w:rPr>
                <w:rFonts w:cstheme="minorHAnsi"/>
                <w:sz w:val="20"/>
                <w:szCs w:val="20"/>
              </w:rPr>
              <w:t>domaćinstvima</w:t>
            </w:r>
            <w:proofErr w:type="spellEnd"/>
            <w:r w:rsidRPr="001D616F">
              <w:rPr>
                <w:rFonts w:cstheme="minorHAnsi"/>
                <w:sz w:val="20"/>
                <w:szCs w:val="20"/>
              </w:rPr>
              <w:t xml:space="preserve"> i </w:t>
            </w:r>
            <w:proofErr w:type="spellStart"/>
            <w:r w:rsidRPr="001D616F">
              <w:rPr>
                <w:rFonts w:cstheme="minorHAnsi"/>
                <w:sz w:val="20"/>
                <w:szCs w:val="20"/>
              </w:rPr>
              <w:t>stimulaciji</w:t>
            </w:r>
            <w:proofErr w:type="spellEnd"/>
            <w:r w:rsidRPr="001D616F">
              <w:rPr>
                <w:rFonts w:cstheme="minorHAnsi"/>
                <w:sz w:val="20"/>
                <w:szCs w:val="20"/>
              </w:rPr>
              <w:t xml:space="preserve"> </w:t>
            </w:r>
            <w:proofErr w:type="spellStart"/>
            <w:r w:rsidRPr="001D616F">
              <w:rPr>
                <w:rFonts w:cstheme="minorHAnsi"/>
                <w:sz w:val="20"/>
                <w:szCs w:val="20"/>
              </w:rPr>
              <w:t>primjene</w:t>
            </w:r>
            <w:proofErr w:type="spellEnd"/>
            <w:r w:rsidRPr="001D616F">
              <w:rPr>
                <w:rFonts w:cstheme="minorHAnsi"/>
                <w:sz w:val="20"/>
                <w:szCs w:val="20"/>
              </w:rPr>
              <w:t xml:space="preserve"> </w:t>
            </w:r>
            <w:proofErr w:type="spellStart"/>
            <w:r w:rsidRPr="001D616F">
              <w:rPr>
                <w:rFonts w:cstheme="minorHAnsi"/>
                <w:sz w:val="20"/>
                <w:szCs w:val="20"/>
              </w:rPr>
              <w:t>mjera</w:t>
            </w:r>
            <w:proofErr w:type="spellEnd"/>
            <w:r w:rsidRPr="001D616F">
              <w:rPr>
                <w:rFonts w:cstheme="minorHAnsi"/>
                <w:sz w:val="20"/>
                <w:szCs w:val="20"/>
              </w:rPr>
              <w:t xml:space="preserve"> </w:t>
            </w:r>
            <w:proofErr w:type="spellStart"/>
            <w:r w:rsidRPr="001D616F">
              <w:rPr>
                <w:rFonts w:cstheme="minorHAnsi"/>
                <w:sz w:val="20"/>
                <w:szCs w:val="20"/>
              </w:rPr>
              <w:t>energijske</w:t>
            </w:r>
            <w:proofErr w:type="spellEnd"/>
            <w:r w:rsidRPr="001D616F">
              <w:rPr>
                <w:rFonts w:cstheme="minorHAnsi"/>
                <w:sz w:val="20"/>
                <w:szCs w:val="20"/>
              </w:rPr>
              <w:t xml:space="preserve"> </w:t>
            </w:r>
            <w:proofErr w:type="spellStart"/>
            <w:r w:rsidRPr="001D616F">
              <w:rPr>
                <w:rFonts w:cstheme="minorHAnsi"/>
                <w:sz w:val="20"/>
                <w:szCs w:val="20"/>
              </w:rPr>
              <w:t>efikasnosti</w:t>
            </w:r>
            <w:proofErr w:type="spellEnd"/>
            <w:r w:rsidRPr="001D616F">
              <w:rPr>
                <w:rFonts w:cstheme="minorHAnsi"/>
                <w:sz w:val="20"/>
                <w:szCs w:val="20"/>
              </w:rPr>
              <w:t xml:space="preserve">. Prema </w:t>
            </w:r>
            <w:proofErr w:type="spellStart"/>
            <w:r w:rsidRPr="001D616F">
              <w:rPr>
                <w:rFonts w:cstheme="minorHAnsi"/>
                <w:sz w:val="20"/>
                <w:szCs w:val="20"/>
              </w:rPr>
              <w:t>Odluci</w:t>
            </w:r>
            <w:proofErr w:type="spellEnd"/>
            <w:r w:rsidRPr="001D616F">
              <w:rPr>
                <w:rFonts w:cstheme="minorHAnsi"/>
                <w:sz w:val="20"/>
                <w:szCs w:val="20"/>
              </w:rPr>
              <w:t xml:space="preserve">, </w:t>
            </w:r>
            <w:proofErr w:type="spellStart"/>
            <w:r w:rsidRPr="001D616F">
              <w:rPr>
                <w:rFonts w:cstheme="minorHAnsi"/>
                <w:sz w:val="20"/>
                <w:szCs w:val="20"/>
              </w:rPr>
              <w:t>pravo</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subvencioniranje</w:t>
            </w:r>
            <w:proofErr w:type="spellEnd"/>
            <w:r w:rsidRPr="001D616F">
              <w:rPr>
                <w:rFonts w:cstheme="minorHAnsi"/>
                <w:sz w:val="20"/>
                <w:szCs w:val="20"/>
              </w:rPr>
              <w:t xml:space="preserve"> </w:t>
            </w:r>
            <w:proofErr w:type="spellStart"/>
            <w:r w:rsidRPr="001D616F">
              <w:rPr>
                <w:rFonts w:cstheme="minorHAnsi"/>
                <w:sz w:val="20"/>
                <w:szCs w:val="20"/>
              </w:rPr>
              <w:t>troškova</w:t>
            </w:r>
            <w:proofErr w:type="spellEnd"/>
            <w:r w:rsidRPr="001D616F">
              <w:rPr>
                <w:rFonts w:cstheme="minorHAnsi"/>
                <w:sz w:val="20"/>
                <w:szCs w:val="20"/>
              </w:rPr>
              <w:t xml:space="preserve"> </w:t>
            </w:r>
            <w:proofErr w:type="spellStart"/>
            <w:r w:rsidRPr="001D616F">
              <w:rPr>
                <w:rFonts w:cstheme="minorHAnsi"/>
                <w:sz w:val="20"/>
                <w:szCs w:val="20"/>
              </w:rPr>
              <w:t>električne</w:t>
            </w:r>
            <w:proofErr w:type="spellEnd"/>
            <w:r w:rsidRPr="001D616F">
              <w:rPr>
                <w:rFonts w:cstheme="minorHAnsi"/>
                <w:sz w:val="20"/>
                <w:szCs w:val="20"/>
              </w:rPr>
              <w:t xml:space="preserve"> energije </w:t>
            </w:r>
            <w:proofErr w:type="spellStart"/>
            <w:r w:rsidRPr="001D616F">
              <w:rPr>
                <w:rFonts w:cstheme="minorHAnsi"/>
                <w:sz w:val="20"/>
                <w:szCs w:val="20"/>
              </w:rPr>
              <w:t>imaju</w:t>
            </w:r>
            <w:proofErr w:type="spellEnd"/>
            <w:r w:rsidRPr="001D616F">
              <w:rPr>
                <w:rFonts w:cstheme="minorHAnsi"/>
                <w:sz w:val="20"/>
                <w:szCs w:val="20"/>
              </w:rPr>
              <w:t xml:space="preserve"> </w:t>
            </w:r>
            <w:proofErr w:type="spellStart"/>
            <w:r w:rsidRPr="001D616F">
              <w:rPr>
                <w:rFonts w:cstheme="minorHAnsi"/>
                <w:sz w:val="20"/>
                <w:szCs w:val="20"/>
              </w:rPr>
              <w:t>određene</w:t>
            </w:r>
            <w:proofErr w:type="spellEnd"/>
            <w:r w:rsidRPr="001D616F">
              <w:rPr>
                <w:rFonts w:cstheme="minorHAnsi"/>
                <w:sz w:val="20"/>
                <w:szCs w:val="20"/>
              </w:rPr>
              <w:t xml:space="preserve"> </w:t>
            </w:r>
            <w:proofErr w:type="spellStart"/>
            <w:r w:rsidRPr="001D616F">
              <w:rPr>
                <w:rFonts w:cstheme="minorHAnsi"/>
                <w:sz w:val="20"/>
                <w:szCs w:val="20"/>
              </w:rPr>
              <w:t>kategorije</w:t>
            </w:r>
            <w:proofErr w:type="spellEnd"/>
            <w:r w:rsidRPr="001D616F">
              <w:rPr>
                <w:rFonts w:cstheme="minorHAnsi"/>
                <w:sz w:val="20"/>
                <w:szCs w:val="20"/>
              </w:rPr>
              <w:t xml:space="preserve"> </w:t>
            </w:r>
            <w:proofErr w:type="spellStart"/>
            <w:r w:rsidRPr="001D616F">
              <w:rPr>
                <w:rFonts w:cstheme="minorHAnsi"/>
                <w:sz w:val="20"/>
                <w:szCs w:val="20"/>
              </w:rPr>
              <w:t>penzionera</w:t>
            </w:r>
            <w:proofErr w:type="spellEnd"/>
            <w:r w:rsidRPr="001D616F">
              <w:rPr>
                <w:rFonts w:cstheme="minorHAnsi"/>
                <w:sz w:val="20"/>
                <w:szCs w:val="20"/>
              </w:rPr>
              <w:t xml:space="preserve"> i </w:t>
            </w:r>
            <w:proofErr w:type="spellStart"/>
            <w:r w:rsidRPr="001D616F">
              <w:rPr>
                <w:rFonts w:cstheme="minorHAnsi"/>
                <w:sz w:val="20"/>
                <w:szCs w:val="20"/>
              </w:rPr>
              <w:t>korisnici</w:t>
            </w:r>
            <w:proofErr w:type="spellEnd"/>
            <w:r w:rsidRPr="001D616F">
              <w:rPr>
                <w:rFonts w:cstheme="minorHAnsi"/>
                <w:sz w:val="20"/>
                <w:szCs w:val="20"/>
              </w:rPr>
              <w:t xml:space="preserve"> </w:t>
            </w:r>
            <w:proofErr w:type="spellStart"/>
            <w:r w:rsidRPr="001D616F">
              <w:rPr>
                <w:rFonts w:cstheme="minorHAnsi"/>
                <w:sz w:val="20"/>
                <w:szCs w:val="20"/>
              </w:rPr>
              <w:t>stalne</w:t>
            </w:r>
            <w:proofErr w:type="spellEnd"/>
            <w:r w:rsidRPr="001D616F">
              <w:rPr>
                <w:rFonts w:cstheme="minorHAnsi"/>
                <w:sz w:val="20"/>
                <w:szCs w:val="20"/>
              </w:rPr>
              <w:t xml:space="preserve"> </w:t>
            </w:r>
            <w:proofErr w:type="spellStart"/>
            <w:r w:rsidRPr="001D616F">
              <w:rPr>
                <w:rFonts w:cstheme="minorHAnsi"/>
                <w:sz w:val="20"/>
                <w:szCs w:val="20"/>
              </w:rPr>
              <w:t>novčane</w:t>
            </w:r>
            <w:proofErr w:type="spellEnd"/>
            <w:r w:rsidRPr="001D616F">
              <w:rPr>
                <w:rFonts w:cstheme="minorHAnsi"/>
                <w:sz w:val="20"/>
                <w:szCs w:val="20"/>
              </w:rPr>
              <w:t xml:space="preserve"> </w:t>
            </w:r>
            <w:proofErr w:type="spellStart"/>
            <w:r w:rsidRPr="001D616F">
              <w:rPr>
                <w:rFonts w:cstheme="minorHAnsi"/>
                <w:sz w:val="20"/>
                <w:szCs w:val="20"/>
              </w:rPr>
              <w:t>pomoći</w:t>
            </w:r>
            <w:proofErr w:type="spellEnd"/>
            <w:r w:rsidRPr="001D616F">
              <w:rPr>
                <w:rFonts w:cstheme="minorHAnsi"/>
                <w:sz w:val="20"/>
                <w:szCs w:val="20"/>
              </w:rPr>
              <w:t xml:space="preserve">. </w:t>
            </w:r>
          </w:p>
          <w:p w14:paraId="3BA96119" w14:textId="77777777" w:rsidR="00A00D87" w:rsidRPr="001972F5" w:rsidRDefault="00A00D87" w:rsidP="00E6560A">
            <w:pPr>
              <w:ind w:left="1" w:right="32"/>
              <w:jc w:val="both"/>
              <w:rPr>
                <w:rFonts w:cstheme="minorHAnsi"/>
                <w:sz w:val="20"/>
                <w:szCs w:val="20"/>
                <w:lang w:val="fi-FI"/>
              </w:rPr>
            </w:pPr>
            <w:r w:rsidRPr="001972F5">
              <w:rPr>
                <w:rFonts w:cstheme="minorHAnsi"/>
                <w:sz w:val="20"/>
                <w:szCs w:val="20"/>
                <w:lang w:val="fi-FI"/>
              </w:rPr>
              <w:t>Aktivnosti planirane u sklopu ove mjere su:</w:t>
            </w:r>
          </w:p>
          <w:p w14:paraId="6BFEE1FB"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Izrada i usvajanje „Programa suzbijanja energijskog siromaštva koje uključuje povećanje energijske efikasnosti i korištenje obnovljivih izvora energije u stambenim zgradama za posebno ugrožene kategorije stanovništva, za period do 2030. godine“, uz kontinuirano ažuriranje istog;</w:t>
            </w:r>
          </w:p>
          <w:p w14:paraId="2C305B96"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 xml:space="preserve">Definiranje indikatora za mjerenje energijskog siromaštva i na osnovu toga određivanje stepena siromaštva; </w:t>
            </w:r>
          </w:p>
          <w:p w14:paraId="563657A4"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Uspostavljanje baza podataka o stanovništvu u socijalnoj potrebi na nivou svih kantona;</w:t>
            </w:r>
          </w:p>
          <w:p w14:paraId="7DCD19B9"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Definiranje politika i mjera koje su prioritetne i najefikasnije za pomoć posebno ugroženim kategorijama stanovništva;</w:t>
            </w:r>
          </w:p>
          <w:p w14:paraId="4060C4AB"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Određivanje domaćinstava posebno ugroženih kategorija stanovništva kao prioritetnih u provedbi energijske obnove zgrada;</w:t>
            </w:r>
          </w:p>
          <w:p w14:paraId="5B65B4B4" w14:textId="3BA2C948"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 xml:space="preserve">Uspostavljanje fondova za </w:t>
            </w:r>
            <w:r w:rsidR="007B690C" w:rsidRPr="001D616F">
              <w:rPr>
                <w:rFonts w:cstheme="minorHAnsi"/>
                <w:sz w:val="20"/>
                <w:szCs w:val="20"/>
              </w:rPr>
              <w:t>financ</w:t>
            </w:r>
            <w:r w:rsidRPr="001D616F">
              <w:rPr>
                <w:rFonts w:cstheme="minorHAnsi"/>
                <w:sz w:val="20"/>
                <w:szCs w:val="20"/>
              </w:rPr>
              <w:t>iranje mjera za zaštitu ugroženih kategorija potrošača na nivou svih kantona;</w:t>
            </w:r>
          </w:p>
          <w:p w14:paraId="67D23C66"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Usklađivanje Zakona o EE u FBiH sa propisima relevantnim za obnovu stambenog fonda (Zakon o stvarnim pravima, Zakon o obligacionim odnosima, Zakon o zajedničkim dijelovima zgrade);</w:t>
            </w:r>
          </w:p>
          <w:p w14:paraId="0763FB30"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 xml:space="preserve">Provedba programa suzbijanja energijskog siromaštva od strane kantonalnih ministarstva nadležnih za prostorno uređenje i socijalnu politiku, te jedinica lokalne samouprave; </w:t>
            </w:r>
          </w:p>
          <w:p w14:paraId="21A803A8" w14:textId="77777777" w:rsidR="00A00D87" w:rsidRPr="001D616F" w:rsidRDefault="00A00D87" w:rsidP="00E6560A">
            <w:pPr>
              <w:pStyle w:val="ListParagraph"/>
              <w:numPr>
                <w:ilvl w:val="0"/>
                <w:numId w:val="50"/>
              </w:numPr>
              <w:ind w:right="32"/>
              <w:jc w:val="both"/>
              <w:rPr>
                <w:rFonts w:cstheme="minorHAnsi"/>
                <w:sz w:val="20"/>
                <w:szCs w:val="20"/>
              </w:rPr>
            </w:pPr>
            <w:r w:rsidRPr="001D616F">
              <w:rPr>
                <w:rFonts w:cstheme="minorHAnsi"/>
                <w:sz w:val="20"/>
                <w:szCs w:val="20"/>
              </w:rPr>
              <w:t>Provođenje edukacije o efikasnom korištenju energije za posebno ugrožene kategorije stanovništva.</w:t>
            </w:r>
            <w:r w:rsidRPr="001D616F" w:rsidDel="00E32563">
              <w:rPr>
                <w:rFonts w:cstheme="minorHAnsi"/>
                <w:sz w:val="20"/>
                <w:szCs w:val="20"/>
              </w:rPr>
              <w:t xml:space="preserve"> </w:t>
            </w:r>
          </w:p>
        </w:tc>
      </w:tr>
      <w:bookmarkEnd w:id="272"/>
      <w:tr w:rsidR="00A00D87" w:rsidRPr="001D616F" w14:paraId="7E7927A9"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662F53"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Strateški</w:t>
            </w:r>
            <w:proofErr w:type="spellEnd"/>
            <w:r w:rsidRPr="001D616F">
              <w:rPr>
                <w:rFonts w:cstheme="minorHAnsi"/>
                <w:b/>
                <w:sz w:val="20"/>
                <w:szCs w:val="20"/>
              </w:rPr>
              <w:t xml:space="preserve"> </w:t>
            </w:r>
            <w:proofErr w:type="spellStart"/>
            <w:r w:rsidRPr="001D616F">
              <w:rPr>
                <w:rFonts w:cstheme="minorHAnsi"/>
                <w:b/>
                <w:sz w:val="20"/>
                <w:szCs w:val="20"/>
              </w:rPr>
              <w:t>projekti</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6432732B" w14:textId="77777777" w:rsidR="00A00D87" w:rsidRPr="001D616F" w:rsidRDefault="00A00D87" w:rsidP="00122946">
            <w:pPr>
              <w:spacing w:line="259" w:lineRule="auto"/>
              <w:ind w:left="1"/>
              <w:rPr>
                <w:rFonts w:cstheme="minorHAnsi"/>
                <w:sz w:val="20"/>
                <w:szCs w:val="20"/>
              </w:rPr>
            </w:pPr>
            <w:r w:rsidRPr="001D616F">
              <w:rPr>
                <w:rFonts w:cstheme="minorHAnsi"/>
                <w:sz w:val="20"/>
                <w:szCs w:val="20"/>
              </w:rPr>
              <w:t xml:space="preserve"> -</w:t>
            </w:r>
          </w:p>
        </w:tc>
      </w:tr>
      <w:tr w:rsidR="00A00D87" w:rsidRPr="001D616F" w14:paraId="6B8D066F" w14:textId="77777777" w:rsidTr="00122946">
        <w:trPr>
          <w:trHeight w:val="423"/>
        </w:trPr>
        <w:tc>
          <w:tcPr>
            <w:tcW w:w="1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8F385F2"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Indikatori</w:t>
            </w:r>
            <w:proofErr w:type="spellEnd"/>
            <w:r w:rsidRPr="001D616F">
              <w:rPr>
                <w:rFonts w:cstheme="minorHAnsi"/>
                <w:b/>
                <w:sz w:val="20"/>
                <w:szCs w:val="20"/>
              </w:rPr>
              <w:t xml:space="preserve"> za </w:t>
            </w:r>
            <w:proofErr w:type="spellStart"/>
            <w:r w:rsidRPr="001D616F">
              <w:rPr>
                <w:rFonts w:cstheme="minorHAnsi"/>
                <w:b/>
                <w:sz w:val="20"/>
                <w:szCs w:val="20"/>
              </w:rPr>
              <w:t>praćenje</w:t>
            </w:r>
            <w:proofErr w:type="spellEnd"/>
            <w:r w:rsidRPr="001D616F">
              <w:rPr>
                <w:rFonts w:cstheme="minorHAnsi"/>
                <w:b/>
                <w:sz w:val="20"/>
                <w:szCs w:val="20"/>
              </w:rPr>
              <w:t xml:space="preserve"> </w:t>
            </w:r>
            <w:proofErr w:type="spellStart"/>
            <w:r w:rsidRPr="001D616F">
              <w:rPr>
                <w:rFonts w:cstheme="minorHAnsi"/>
                <w:b/>
                <w:sz w:val="20"/>
                <w:szCs w:val="20"/>
              </w:rPr>
              <w:t>rezultata</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6638A9" w14:textId="77777777" w:rsidR="00A00D87" w:rsidRPr="001D616F" w:rsidRDefault="00A00D87" w:rsidP="00122946">
            <w:pPr>
              <w:spacing w:line="259" w:lineRule="auto"/>
              <w:ind w:right="39"/>
              <w:jc w:val="center"/>
              <w:rPr>
                <w:rFonts w:cstheme="minorHAnsi"/>
                <w:sz w:val="20"/>
                <w:szCs w:val="20"/>
              </w:rPr>
            </w:pPr>
            <w:proofErr w:type="spellStart"/>
            <w:r w:rsidRPr="001D616F">
              <w:rPr>
                <w:rFonts w:cstheme="minorHAnsi"/>
                <w:b/>
                <w:sz w:val="20"/>
                <w:szCs w:val="20"/>
              </w:rPr>
              <w:t>Indikatori</w:t>
            </w:r>
            <w:proofErr w:type="spellEnd"/>
            <w:r w:rsidRPr="001D616F">
              <w:rPr>
                <w:rFonts w:cstheme="minorHAnsi"/>
                <w:b/>
                <w:sz w:val="20"/>
                <w:szCs w:val="20"/>
              </w:rPr>
              <w:t xml:space="preserve"> </w:t>
            </w:r>
          </w:p>
        </w:tc>
        <w:tc>
          <w:tcPr>
            <w:tcW w:w="206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49985128" w14:textId="77777777" w:rsidR="00A00D87" w:rsidRPr="001D616F" w:rsidRDefault="00A00D87" w:rsidP="00122946">
            <w:pPr>
              <w:spacing w:line="259" w:lineRule="auto"/>
              <w:jc w:val="center"/>
              <w:rPr>
                <w:rFonts w:cstheme="minorHAnsi"/>
                <w:sz w:val="20"/>
                <w:szCs w:val="20"/>
              </w:rPr>
            </w:pPr>
            <w:proofErr w:type="spellStart"/>
            <w:r w:rsidRPr="001D616F">
              <w:rPr>
                <w:rFonts w:cstheme="minorHAnsi"/>
                <w:b/>
                <w:sz w:val="20"/>
                <w:szCs w:val="20"/>
              </w:rPr>
              <w:t>Polazne</w:t>
            </w:r>
            <w:proofErr w:type="spellEnd"/>
            <w:r w:rsidRPr="001D616F">
              <w:rPr>
                <w:rFonts w:cstheme="minorHAnsi"/>
                <w:b/>
                <w:sz w:val="20"/>
                <w:szCs w:val="20"/>
              </w:rPr>
              <w:t xml:space="preserve"> </w:t>
            </w:r>
            <w:proofErr w:type="spellStart"/>
            <w:r w:rsidRPr="001D616F">
              <w:rPr>
                <w:rFonts w:cstheme="minorHAnsi"/>
                <w:b/>
                <w:sz w:val="20"/>
                <w:szCs w:val="20"/>
              </w:rPr>
              <w:t>vrijednosti</w:t>
            </w:r>
            <w:proofErr w:type="spellEnd"/>
            <w:r w:rsidRPr="001D616F">
              <w:rPr>
                <w:rFonts w:cstheme="minorHAnsi"/>
                <w:b/>
                <w:sz w:val="20"/>
                <w:szCs w:val="20"/>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6E5A59" w14:textId="77777777" w:rsidR="00A00D87" w:rsidRPr="001D616F" w:rsidRDefault="00A00D87" w:rsidP="00122946">
            <w:pPr>
              <w:spacing w:line="259" w:lineRule="auto"/>
              <w:jc w:val="center"/>
              <w:rPr>
                <w:rFonts w:cstheme="minorHAnsi"/>
                <w:sz w:val="20"/>
                <w:szCs w:val="20"/>
              </w:rPr>
            </w:pPr>
            <w:proofErr w:type="spellStart"/>
            <w:r w:rsidRPr="001D616F">
              <w:rPr>
                <w:rFonts w:cstheme="minorHAnsi"/>
                <w:b/>
                <w:sz w:val="20"/>
                <w:szCs w:val="20"/>
              </w:rPr>
              <w:t>Ciljne</w:t>
            </w:r>
            <w:proofErr w:type="spellEnd"/>
            <w:r w:rsidRPr="001D616F">
              <w:rPr>
                <w:rFonts w:cstheme="minorHAnsi"/>
                <w:b/>
                <w:sz w:val="20"/>
                <w:szCs w:val="20"/>
              </w:rPr>
              <w:t xml:space="preserve"> </w:t>
            </w:r>
            <w:proofErr w:type="spellStart"/>
            <w:r w:rsidRPr="001D616F">
              <w:rPr>
                <w:rFonts w:cstheme="minorHAnsi"/>
                <w:b/>
                <w:sz w:val="20"/>
                <w:szCs w:val="20"/>
              </w:rPr>
              <w:t>vrijednosti</w:t>
            </w:r>
            <w:proofErr w:type="spellEnd"/>
            <w:r w:rsidRPr="001D616F">
              <w:rPr>
                <w:rFonts w:cstheme="minorHAnsi"/>
                <w:b/>
                <w:sz w:val="20"/>
                <w:szCs w:val="20"/>
              </w:rPr>
              <w:t xml:space="preserve">***  </w:t>
            </w:r>
          </w:p>
        </w:tc>
      </w:tr>
      <w:tr w:rsidR="00A00D87" w:rsidRPr="001D616F" w14:paraId="360D4E07"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1C3CC524" w14:textId="77777777" w:rsidR="00A00D87" w:rsidRPr="001D616F" w:rsidRDefault="00A00D87" w:rsidP="00122946">
            <w:pPr>
              <w:spacing w:after="160" w:line="259" w:lineRule="auto"/>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6263B072" w14:textId="77777777" w:rsidR="00A00D87" w:rsidRPr="001D616F" w:rsidRDefault="00A00D87" w:rsidP="00122946">
            <w:pPr>
              <w:spacing w:line="259" w:lineRule="auto"/>
              <w:ind w:left="1"/>
              <w:rPr>
                <w:rFonts w:cstheme="minorHAnsi"/>
                <w:sz w:val="20"/>
                <w:szCs w:val="20"/>
              </w:rPr>
            </w:pPr>
            <w:r w:rsidRPr="001D616F">
              <w:rPr>
                <w:rFonts w:cstheme="minorHAnsi"/>
                <w:sz w:val="20"/>
                <w:szCs w:val="20"/>
              </w:rPr>
              <w:t xml:space="preserve">Status </w:t>
            </w:r>
            <w:proofErr w:type="spellStart"/>
            <w:r w:rsidRPr="001D616F">
              <w:rPr>
                <w:rFonts w:cstheme="minorHAnsi"/>
                <w:sz w:val="20"/>
                <w:szCs w:val="20"/>
              </w:rPr>
              <w:t>jasno</w:t>
            </w:r>
            <w:proofErr w:type="spellEnd"/>
            <w:r w:rsidRPr="001D616F">
              <w:rPr>
                <w:rFonts w:cstheme="minorHAnsi"/>
                <w:sz w:val="20"/>
                <w:szCs w:val="20"/>
              </w:rPr>
              <w:t xml:space="preserve"> </w:t>
            </w:r>
            <w:proofErr w:type="spellStart"/>
            <w:r w:rsidRPr="001D616F">
              <w:rPr>
                <w:rFonts w:cstheme="minorHAnsi"/>
                <w:sz w:val="20"/>
                <w:szCs w:val="20"/>
              </w:rPr>
              <w:t>definiranih</w:t>
            </w:r>
            <w:proofErr w:type="spellEnd"/>
            <w:r w:rsidRPr="001D616F">
              <w:rPr>
                <w:rFonts w:cstheme="minorHAnsi"/>
                <w:sz w:val="20"/>
                <w:szCs w:val="20"/>
              </w:rPr>
              <w:t xml:space="preserve"> </w:t>
            </w:r>
            <w:proofErr w:type="spellStart"/>
            <w:r w:rsidRPr="001D616F">
              <w:rPr>
                <w:rFonts w:cstheme="minorHAnsi"/>
                <w:sz w:val="20"/>
                <w:szCs w:val="20"/>
              </w:rPr>
              <w:t>kriterija</w:t>
            </w:r>
            <w:proofErr w:type="spellEnd"/>
            <w:r w:rsidRPr="001D616F">
              <w:rPr>
                <w:rFonts w:cstheme="minorHAnsi"/>
                <w:sz w:val="20"/>
                <w:szCs w:val="20"/>
              </w:rPr>
              <w:t xml:space="preserve"> za </w:t>
            </w:r>
            <w:proofErr w:type="spellStart"/>
            <w:r w:rsidRPr="001D616F">
              <w:rPr>
                <w:rFonts w:cstheme="minorHAnsi"/>
                <w:sz w:val="20"/>
                <w:szCs w:val="20"/>
              </w:rPr>
              <w:t>određivanje</w:t>
            </w:r>
            <w:proofErr w:type="spellEnd"/>
            <w:r w:rsidRPr="001D616F">
              <w:rPr>
                <w:rFonts w:cstheme="minorHAnsi"/>
                <w:sz w:val="20"/>
                <w:szCs w:val="20"/>
              </w:rPr>
              <w:t xml:space="preserve"> </w:t>
            </w:r>
            <w:proofErr w:type="spellStart"/>
            <w:r w:rsidRPr="001D616F">
              <w:rPr>
                <w:rFonts w:cstheme="minorHAnsi"/>
                <w:sz w:val="20"/>
                <w:szCs w:val="20"/>
              </w:rPr>
              <w:t>kategorije</w:t>
            </w:r>
            <w:proofErr w:type="spellEnd"/>
            <w:r w:rsidRPr="001D616F">
              <w:rPr>
                <w:rFonts w:cstheme="minorHAnsi"/>
                <w:sz w:val="20"/>
                <w:szCs w:val="20"/>
              </w:rPr>
              <w:t xml:space="preserve"> </w:t>
            </w:r>
            <w:proofErr w:type="spellStart"/>
            <w:r w:rsidRPr="001D616F">
              <w:rPr>
                <w:rFonts w:cstheme="minorHAnsi"/>
                <w:sz w:val="20"/>
                <w:szCs w:val="20"/>
              </w:rPr>
              <w:t>energijskog</w:t>
            </w:r>
            <w:proofErr w:type="spellEnd"/>
            <w:r w:rsidRPr="001D616F">
              <w:rPr>
                <w:rFonts w:cstheme="minorHAnsi"/>
                <w:sz w:val="20"/>
                <w:szCs w:val="20"/>
              </w:rPr>
              <w:t xml:space="preserve"> </w:t>
            </w:r>
            <w:proofErr w:type="spellStart"/>
            <w:r w:rsidRPr="001D616F">
              <w:rPr>
                <w:rFonts w:cstheme="minorHAnsi"/>
                <w:sz w:val="20"/>
                <w:szCs w:val="20"/>
              </w:rPr>
              <w:t>siromaštva</w:t>
            </w:r>
            <w:proofErr w:type="spellEnd"/>
            <w:r w:rsidRPr="001D616F">
              <w:rPr>
                <w:rFonts w:cstheme="minorHAnsi"/>
                <w:sz w:val="20"/>
                <w:szCs w:val="20"/>
              </w:rPr>
              <w:t xml:space="preserve"> </w:t>
            </w:r>
          </w:p>
        </w:tc>
        <w:tc>
          <w:tcPr>
            <w:tcW w:w="2068" w:type="dxa"/>
            <w:tcBorders>
              <w:top w:val="single" w:sz="4" w:space="0" w:color="auto"/>
              <w:left w:val="single" w:sz="4" w:space="0" w:color="auto"/>
              <w:bottom w:val="single" w:sz="4" w:space="0" w:color="auto"/>
              <w:right w:val="single" w:sz="4" w:space="0" w:color="auto"/>
            </w:tcBorders>
            <w:vAlign w:val="center"/>
          </w:tcPr>
          <w:p w14:paraId="2574F25D" w14:textId="77777777" w:rsidR="00A00D87" w:rsidRPr="001D616F"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1D616F">
              <w:rPr>
                <w:rFonts w:cstheme="minorHAnsi"/>
                <w:sz w:val="20"/>
                <w:szCs w:val="20"/>
              </w:rPr>
              <w:t>Nisu</w:t>
            </w:r>
            <w:proofErr w:type="spellEnd"/>
            <w:r w:rsidRPr="001D616F">
              <w:rPr>
                <w:rFonts w:cstheme="minorHAnsi"/>
                <w:sz w:val="20"/>
                <w:szCs w:val="20"/>
              </w:rPr>
              <w:t xml:space="preserve"> </w:t>
            </w:r>
            <w:proofErr w:type="spellStart"/>
            <w:r w:rsidRPr="001D616F">
              <w:rPr>
                <w:rFonts w:cstheme="minorHAnsi"/>
                <w:sz w:val="20"/>
                <w:szCs w:val="20"/>
              </w:rPr>
              <w:t>usvojeni</w:t>
            </w:r>
            <w:proofErr w:type="spellEnd"/>
          </w:p>
        </w:tc>
        <w:tc>
          <w:tcPr>
            <w:tcW w:w="1471" w:type="dxa"/>
            <w:tcBorders>
              <w:top w:val="single" w:sz="4" w:space="0" w:color="000000"/>
              <w:left w:val="single" w:sz="4" w:space="0" w:color="auto"/>
              <w:bottom w:val="single" w:sz="4" w:space="0" w:color="000000"/>
              <w:right w:val="single" w:sz="4" w:space="0" w:color="000000"/>
            </w:tcBorders>
            <w:vAlign w:val="center"/>
          </w:tcPr>
          <w:p w14:paraId="1282914F" w14:textId="77777777" w:rsidR="00A00D87" w:rsidRPr="001D616F" w:rsidRDefault="00A00D87" w:rsidP="00122946">
            <w:pPr>
              <w:spacing w:line="259" w:lineRule="auto"/>
              <w:jc w:val="center"/>
              <w:rPr>
                <w:rFonts w:cstheme="minorHAnsi"/>
                <w:sz w:val="20"/>
                <w:szCs w:val="20"/>
              </w:rPr>
            </w:pPr>
            <w:proofErr w:type="spellStart"/>
            <w:r w:rsidRPr="001D616F">
              <w:rPr>
                <w:rFonts w:cstheme="minorHAnsi"/>
                <w:sz w:val="20"/>
                <w:szCs w:val="20"/>
              </w:rPr>
              <w:t>Usvojeni</w:t>
            </w:r>
            <w:proofErr w:type="spellEnd"/>
          </w:p>
        </w:tc>
      </w:tr>
      <w:tr w:rsidR="00A00D87" w:rsidRPr="001D616F" w14:paraId="4B8BAC00" w14:textId="77777777" w:rsidTr="00122946">
        <w:trPr>
          <w:trHeight w:val="425"/>
        </w:trPr>
        <w:tc>
          <w:tcPr>
            <w:tcW w:w="0" w:type="auto"/>
            <w:vMerge/>
            <w:tcBorders>
              <w:left w:val="single" w:sz="4" w:space="0" w:color="000000"/>
              <w:right w:val="single" w:sz="4" w:space="0" w:color="000000"/>
            </w:tcBorders>
            <w:shd w:val="clear" w:color="auto" w:fill="D9D9D9" w:themeFill="background1" w:themeFillShade="D9"/>
          </w:tcPr>
          <w:p w14:paraId="37774393" w14:textId="77777777" w:rsidR="00A00D87" w:rsidRPr="001D616F"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BFBFBF"/>
              <w:right w:val="single" w:sz="4" w:space="0" w:color="000000"/>
            </w:tcBorders>
          </w:tcPr>
          <w:p w14:paraId="756840DB" w14:textId="77777777" w:rsidR="00A00D87" w:rsidRPr="001D616F" w:rsidRDefault="00A00D87" w:rsidP="00122946">
            <w:pPr>
              <w:ind w:left="1"/>
              <w:rPr>
                <w:rFonts w:cstheme="minorHAnsi"/>
                <w:sz w:val="20"/>
                <w:szCs w:val="20"/>
              </w:rPr>
            </w:pPr>
            <w:r w:rsidRPr="001D616F">
              <w:rPr>
                <w:rFonts w:cstheme="minorHAnsi"/>
                <w:sz w:val="20"/>
                <w:szCs w:val="20"/>
              </w:rPr>
              <w:t xml:space="preserve">Status </w:t>
            </w:r>
            <w:proofErr w:type="spellStart"/>
            <w:r w:rsidRPr="001D616F">
              <w:rPr>
                <w:rFonts w:cstheme="minorHAnsi"/>
                <w:sz w:val="20"/>
                <w:szCs w:val="20"/>
              </w:rPr>
              <w:t>politika</w:t>
            </w:r>
            <w:proofErr w:type="spellEnd"/>
            <w:r w:rsidRPr="001D616F">
              <w:rPr>
                <w:rFonts w:cstheme="minorHAnsi"/>
                <w:sz w:val="20"/>
                <w:szCs w:val="20"/>
              </w:rPr>
              <w:t xml:space="preserve"> i </w:t>
            </w:r>
            <w:proofErr w:type="spellStart"/>
            <w:r w:rsidRPr="001D616F">
              <w:rPr>
                <w:rFonts w:cstheme="minorHAnsi"/>
                <w:sz w:val="20"/>
                <w:szCs w:val="20"/>
              </w:rPr>
              <w:t>mjere</w:t>
            </w:r>
            <w:proofErr w:type="spellEnd"/>
            <w:r w:rsidRPr="001D616F">
              <w:rPr>
                <w:rFonts w:cstheme="minorHAnsi"/>
                <w:sz w:val="20"/>
                <w:szCs w:val="20"/>
              </w:rPr>
              <w:t xml:space="preserve"> za </w:t>
            </w:r>
            <w:proofErr w:type="spellStart"/>
            <w:r w:rsidRPr="001D616F">
              <w:rPr>
                <w:rFonts w:cstheme="minorHAnsi"/>
                <w:sz w:val="20"/>
                <w:szCs w:val="20"/>
              </w:rPr>
              <w:t>rješavanje</w:t>
            </w:r>
            <w:proofErr w:type="spellEnd"/>
            <w:r w:rsidRPr="001D616F">
              <w:rPr>
                <w:rFonts w:cstheme="minorHAnsi"/>
                <w:sz w:val="20"/>
                <w:szCs w:val="20"/>
              </w:rPr>
              <w:t xml:space="preserve"> </w:t>
            </w:r>
            <w:proofErr w:type="spellStart"/>
            <w:r w:rsidRPr="001D616F">
              <w:rPr>
                <w:rFonts w:cstheme="minorHAnsi"/>
                <w:sz w:val="20"/>
                <w:szCs w:val="20"/>
              </w:rPr>
              <w:t>problema</w:t>
            </w:r>
            <w:proofErr w:type="spellEnd"/>
            <w:r w:rsidRPr="001D616F">
              <w:rPr>
                <w:rFonts w:cstheme="minorHAnsi"/>
                <w:sz w:val="20"/>
                <w:szCs w:val="20"/>
              </w:rPr>
              <w:t xml:space="preserve"> </w:t>
            </w:r>
            <w:proofErr w:type="spellStart"/>
            <w:r w:rsidRPr="001D616F">
              <w:rPr>
                <w:rFonts w:cstheme="minorHAnsi"/>
                <w:sz w:val="20"/>
                <w:szCs w:val="20"/>
              </w:rPr>
              <w:t>energijskog</w:t>
            </w:r>
            <w:proofErr w:type="spellEnd"/>
            <w:r w:rsidRPr="001D616F">
              <w:rPr>
                <w:rFonts w:cstheme="minorHAnsi"/>
                <w:sz w:val="20"/>
                <w:szCs w:val="20"/>
              </w:rPr>
              <w:t xml:space="preserve"> </w:t>
            </w:r>
            <w:proofErr w:type="spellStart"/>
            <w:r w:rsidRPr="001D616F">
              <w:rPr>
                <w:rFonts w:cstheme="minorHAnsi"/>
                <w:sz w:val="20"/>
                <w:szCs w:val="20"/>
              </w:rPr>
              <w:t>siromaštva</w:t>
            </w:r>
            <w:proofErr w:type="spellEnd"/>
          </w:p>
        </w:tc>
        <w:tc>
          <w:tcPr>
            <w:tcW w:w="2068" w:type="dxa"/>
            <w:tcBorders>
              <w:top w:val="single" w:sz="4" w:space="0" w:color="auto"/>
              <w:left w:val="single" w:sz="4" w:space="0" w:color="000000"/>
              <w:bottom w:val="single" w:sz="4" w:space="0" w:color="BFBFBF"/>
              <w:right w:val="single" w:sz="4" w:space="0" w:color="000000"/>
            </w:tcBorders>
            <w:vAlign w:val="center"/>
          </w:tcPr>
          <w:p w14:paraId="3B8D0553" w14:textId="77777777" w:rsidR="00A00D87" w:rsidRPr="001D616F" w:rsidRDefault="00A00D87" w:rsidP="00122946">
            <w:pPr>
              <w:ind w:right="40"/>
              <w:jc w:val="center"/>
              <w:rPr>
                <w:rFonts w:cstheme="minorHAnsi"/>
                <w:sz w:val="20"/>
                <w:szCs w:val="20"/>
              </w:rPr>
            </w:pPr>
            <w:proofErr w:type="spellStart"/>
            <w:r w:rsidRPr="001D616F">
              <w:rPr>
                <w:rFonts w:cstheme="minorHAnsi"/>
                <w:sz w:val="20"/>
                <w:szCs w:val="20"/>
              </w:rPr>
              <w:t>Nisu</w:t>
            </w:r>
            <w:proofErr w:type="spellEnd"/>
            <w:r w:rsidRPr="001D616F">
              <w:rPr>
                <w:rFonts w:cstheme="minorHAnsi"/>
                <w:sz w:val="20"/>
                <w:szCs w:val="20"/>
              </w:rPr>
              <w:t xml:space="preserve"> </w:t>
            </w:r>
            <w:proofErr w:type="spellStart"/>
            <w:r w:rsidRPr="001D616F">
              <w:rPr>
                <w:rFonts w:cstheme="minorHAnsi"/>
                <w:sz w:val="20"/>
                <w:szCs w:val="20"/>
              </w:rPr>
              <w:t>usvojene</w:t>
            </w:r>
            <w:proofErr w:type="spellEnd"/>
          </w:p>
        </w:tc>
        <w:tc>
          <w:tcPr>
            <w:tcW w:w="1471" w:type="dxa"/>
            <w:tcBorders>
              <w:top w:val="single" w:sz="4" w:space="0" w:color="000000"/>
              <w:left w:val="single" w:sz="4" w:space="0" w:color="000000"/>
              <w:bottom w:val="single" w:sz="4" w:space="0" w:color="BFBFBF"/>
              <w:right w:val="single" w:sz="4" w:space="0" w:color="000000"/>
            </w:tcBorders>
            <w:vAlign w:val="center"/>
          </w:tcPr>
          <w:p w14:paraId="2C120D0E" w14:textId="77777777" w:rsidR="00A00D87" w:rsidRPr="001D616F" w:rsidRDefault="00A00D87" w:rsidP="00122946">
            <w:pPr>
              <w:jc w:val="center"/>
              <w:rPr>
                <w:rFonts w:cstheme="minorHAnsi"/>
                <w:sz w:val="20"/>
                <w:szCs w:val="20"/>
              </w:rPr>
            </w:pPr>
            <w:proofErr w:type="spellStart"/>
            <w:r w:rsidRPr="001D616F">
              <w:rPr>
                <w:rFonts w:cstheme="minorHAnsi"/>
                <w:sz w:val="20"/>
                <w:szCs w:val="20"/>
              </w:rPr>
              <w:t>Usvojene</w:t>
            </w:r>
            <w:proofErr w:type="spellEnd"/>
          </w:p>
        </w:tc>
      </w:tr>
      <w:tr w:rsidR="00A00D87" w:rsidRPr="001D616F" w14:paraId="41DC0F6F"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85254A4"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Razvojni</w:t>
            </w:r>
            <w:proofErr w:type="spellEnd"/>
            <w:r w:rsidRPr="001D616F">
              <w:rPr>
                <w:rFonts w:cstheme="minorHAnsi"/>
                <w:b/>
                <w:sz w:val="20"/>
                <w:szCs w:val="20"/>
              </w:rPr>
              <w:t xml:space="preserve"> </w:t>
            </w:r>
            <w:proofErr w:type="spellStart"/>
            <w:r w:rsidRPr="001D616F">
              <w:rPr>
                <w:rFonts w:cstheme="minorHAnsi"/>
                <w:b/>
                <w:sz w:val="20"/>
                <w:szCs w:val="20"/>
              </w:rPr>
              <w:t>efekat</w:t>
            </w:r>
            <w:proofErr w:type="spellEnd"/>
            <w:r w:rsidRPr="001D616F">
              <w:rPr>
                <w:rFonts w:cstheme="minorHAnsi"/>
                <w:b/>
                <w:sz w:val="20"/>
                <w:szCs w:val="20"/>
              </w:rPr>
              <w:t xml:space="preserve"> i </w:t>
            </w:r>
            <w:proofErr w:type="spellStart"/>
            <w:r w:rsidRPr="001D616F">
              <w:rPr>
                <w:rFonts w:cstheme="minorHAnsi"/>
                <w:b/>
                <w:sz w:val="20"/>
                <w:szCs w:val="20"/>
              </w:rPr>
              <w:t>doprinos</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roofErr w:type="spellStart"/>
            <w:r w:rsidRPr="001D616F">
              <w:rPr>
                <w:rFonts w:cstheme="minorHAnsi"/>
                <w:b/>
                <w:sz w:val="20"/>
                <w:szCs w:val="20"/>
              </w:rPr>
              <w:lastRenderedPageBreak/>
              <w:t>ostvarenju</w:t>
            </w:r>
            <w:proofErr w:type="spellEnd"/>
            <w:r w:rsidRPr="001D616F">
              <w:rPr>
                <w:rFonts w:cstheme="minorHAnsi"/>
                <w:b/>
                <w:sz w:val="20"/>
                <w:szCs w:val="20"/>
              </w:rPr>
              <w:t xml:space="preserve"> </w:t>
            </w:r>
            <w:proofErr w:type="spellStart"/>
            <w:r w:rsidRPr="001D616F">
              <w:rPr>
                <w:rFonts w:cstheme="minorHAnsi"/>
                <w:b/>
                <w:sz w:val="20"/>
                <w:szCs w:val="20"/>
              </w:rPr>
              <w:t>prioriteta</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1985ECD9" w14:textId="77777777" w:rsidR="00A00D87" w:rsidRPr="001D616F" w:rsidRDefault="00A00D87" w:rsidP="00E6560A">
            <w:pPr>
              <w:spacing w:line="259" w:lineRule="auto"/>
              <w:ind w:left="1"/>
              <w:jc w:val="both"/>
              <w:rPr>
                <w:rFonts w:cstheme="minorHAnsi"/>
                <w:sz w:val="20"/>
                <w:szCs w:val="20"/>
              </w:rPr>
            </w:pPr>
            <w:proofErr w:type="spellStart"/>
            <w:r w:rsidRPr="001D616F">
              <w:rPr>
                <w:rFonts w:cstheme="minorHAnsi"/>
                <w:sz w:val="20"/>
                <w:szCs w:val="20"/>
              </w:rPr>
              <w:lastRenderedPageBreak/>
              <w:t>Kroz</w:t>
            </w:r>
            <w:proofErr w:type="spellEnd"/>
            <w:r w:rsidRPr="001D616F">
              <w:rPr>
                <w:rFonts w:cstheme="minorHAnsi"/>
                <w:sz w:val="20"/>
                <w:szCs w:val="20"/>
              </w:rPr>
              <w:t xml:space="preserve"> </w:t>
            </w:r>
            <w:proofErr w:type="spellStart"/>
            <w:r w:rsidRPr="001D616F">
              <w:rPr>
                <w:rFonts w:cstheme="minorHAnsi"/>
                <w:sz w:val="20"/>
                <w:szCs w:val="20"/>
              </w:rPr>
              <w:t>sistemsko</w:t>
            </w:r>
            <w:proofErr w:type="spellEnd"/>
            <w:r w:rsidRPr="001D616F">
              <w:rPr>
                <w:rFonts w:cstheme="minorHAnsi"/>
                <w:sz w:val="20"/>
                <w:szCs w:val="20"/>
              </w:rPr>
              <w:t xml:space="preserve"> </w:t>
            </w:r>
            <w:proofErr w:type="spellStart"/>
            <w:r w:rsidRPr="001D616F">
              <w:rPr>
                <w:rFonts w:cstheme="minorHAnsi"/>
                <w:sz w:val="20"/>
                <w:szCs w:val="20"/>
              </w:rPr>
              <w:t>ulaganje</w:t>
            </w:r>
            <w:proofErr w:type="spellEnd"/>
            <w:r w:rsidRPr="001D616F">
              <w:rPr>
                <w:rFonts w:cstheme="minorHAnsi"/>
                <w:sz w:val="20"/>
                <w:szCs w:val="20"/>
              </w:rPr>
              <w:t xml:space="preserve"> u </w:t>
            </w:r>
            <w:proofErr w:type="spellStart"/>
            <w:r w:rsidRPr="001D616F">
              <w:rPr>
                <w:rFonts w:cstheme="minorHAnsi"/>
                <w:sz w:val="20"/>
                <w:szCs w:val="20"/>
              </w:rPr>
              <w:t>energijsku</w:t>
            </w:r>
            <w:proofErr w:type="spellEnd"/>
            <w:r w:rsidRPr="001D616F">
              <w:rPr>
                <w:rFonts w:cstheme="minorHAnsi"/>
                <w:sz w:val="20"/>
                <w:szCs w:val="20"/>
              </w:rPr>
              <w:t xml:space="preserve"> </w:t>
            </w:r>
            <w:proofErr w:type="spellStart"/>
            <w:r w:rsidRPr="001D616F">
              <w:rPr>
                <w:rFonts w:cstheme="minorHAnsi"/>
                <w:sz w:val="20"/>
                <w:szCs w:val="20"/>
              </w:rPr>
              <w:t>obnovu</w:t>
            </w:r>
            <w:proofErr w:type="spellEnd"/>
            <w:r w:rsidRPr="001D616F">
              <w:rPr>
                <w:rFonts w:cstheme="minorHAnsi"/>
                <w:sz w:val="20"/>
                <w:szCs w:val="20"/>
              </w:rPr>
              <w:t xml:space="preserve"> </w:t>
            </w:r>
            <w:proofErr w:type="spellStart"/>
            <w:r w:rsidRPr="001D616F">
              <w:rPr>
                <w:rFonts w:cstheme="minorHAnsi"/>
                <w:sz w:val="20"/>
                <w:szCs w:val="20"/>
              </w:rPr>
              <w:t>fonda</w:t>
            </w:r>
            <w:proofErr w:type="spellEnd"/>
            <w:r w:rsidRPr="001D616F">
              <w:rPr>
                <w:rFonts w:cstheme="minorHAnsi"/>
                <w:sz w:val="20"/>
                <w:szCs w:val="20"/>
              </w:rPr>
              <w:t xml:space="preserve"> </w:t>
            </w:r>
            <w:proofErr w:type="spellStart"/>
            <w:r w:rsidRPr="001D616F">
              <w:rPr>
                <w:rFonts w:cstheme="minorHAnsi"/>
                <w:sz w:val="20"/>
                <w:szCs w:val="20"/>
              </w:rPr>
              <w:t>zgrada</w:t>
            </w:r>
            <w:proofErr w:type="spellEnd"/>
            <w:r w:rsidRPr="001D616F">
              <w:rPr>
                <w:rFonts w:cstheme="minorHAnsi"/>
                <w:sz w:val="20"/>
                <w:szCs w:val="20"/>
              </w:rPr>
              <w:t xml:space="preserve"> u </w:t>
            </w:r>
            <w:proofErr w:type="spellStart"/>
            <w:r w:rsidRPr="001D616F">
              <w:rPr>
                <w:rFonts w:cstheme="minorHAnsi"/>
                <w:sz w:val="20"/>
                <w:szCs w:val="20"/>
              </w:rPr>
              <w:t>vlasništvu</w:t>
            </w:r>
            <w:proofErr w:type="spellEnd"/>
            <w:r w:rsidRPr="001D616F">
              <w:rPr>
                <w:rFonts w:cstheme="minorHAnsi"/>
                <w:sz w:val="20"/>
                <w:szCs w:val="20"/>
              </w:rPr>
              <w:t xml:space="preserve"> </w:t>
            </w:r>
            <w:proofErr w:type="spellStart"/>
            <w:proofErr w:type="gramStart"/>
            <w:r w:rsidRPr="001D616F">
              <w:rPr>
                <w:rFonts w:cstheme="minorHAnsi"/>
                <w:sz w:val="20"/>
                <w:szCs w:val="20"/>
              </w:rPr>
              <w:t>posebno</w:t>
            </w:r>
            <w:proofErr w:type="spellEnd"/>
            <w:r w:rsidRPr="001D616F">
              <w:rPr>
                <w:rFonts w:cstheme="minorHAnsi"/>
                <w:sz w:val="20"/>
                <w:szCs w:val="20"/>
              </w:rPr>
              <w:t xml:space="preserve">  </w:t>
            </w:r>
            <w:proofErr w:type="spellStart"/>
            <w:r w:rsidRPr="001D616F">
              <w:rPr>
                <w:rFonts w:cstheme="minorHAnsi"/>
                <w:sz w:val="20"/>
                <w:szCs w:val="20"/>
              </w:rPr>
              <w:t>ugroženih</w:t>
            </w:r>
            <w:proofErr w:type="spellEnd"/>
            <w:proofErr w:type="gramEnd"/>
            <w:r w:rsidRPr="001D616F">
              <w:rPr>
                <w:rFonts w:cstheme="minorHAnsi"/>
                <w:sz w:val="20"/>
                <w:szCs w:val="20"/>
              </w:rPr>
              <w:t xml:space="preserve"> </w:t>
            </w:r>
            <w:proofErr w:type="spellStart"/>
            <w:r w:rsidRPr="001D616F">
              <w:rPr>
                <w:rFonts w:cstheme="minorHAnsi"/>
                <w:sz w:val="20"/>
                <w:szCs w:val="20"/>
              </w:rPr>
              <w:t>kategorija</w:t>
            </w:r>
            <w:proofErr w:type="spellEnd"/>
            <w:r w:rsidRPr="001D616F">
              <w:rPr>
                <w:rFonts w:cstheme="minorHAnsi"/>
                <w:sz w:val="20"/>
                <w:szCs w:val="20"/>
              </w:rPr>
              <w:t xml:space="preserve"> </w:t>
            </w:r>
            <w:proofErr w:type="spellStart"/>
            <w:r w:rsidRPr="001D616F">
              <w:rPr>
                <w:rFonts w:cstheme="minorHAnsi"/>
                <w:sz w:val="20"/>
                <w:szCs w:val="20"/>
              </w:rPr>
              <w:t>stanovništva</w:t>
            </w:r>
            <w:proofErr w:type="spellEnd"/>
            <w:r w:rsidRPr="001D616F">
              <w:rPr>
                <w:rFonts w:cstheme="minorHAnsi"/>
                <w:sz w:val="20"/>
                <w:szCs w:val="20"/>
              </w:rPr>
              <w:t xml:space="preserve">, </w:t>
            </w:r>
            <w:proofErr w:type="spellStart"/>
            <w:r w:rsidRPr="001D616F">
              <w:rPr>
                <w:rFonts w:cstheme="minorHAnsi"/>
                <w:sz w:val="20"/>
                <w:szCs w:val="20"/>
              </w:rPr>
              <w:t>smanjit</w:t>
            </w:r>
            <w:proofErr w:type="spellEnd"/>
            <w:r w:rsidRPr="001D616F">
              <w:rPr>
                <w:rFonts w:cstheme="minorHAnsi"/>
                <w:sz w:val="20"/>
                <w:szCs w:val="20"/>
              </w:rPr>
              <w:t xml:space="preserve"> </w:t>
            </w:r>
            <w:proofErr w:type="spellStart"/>
            <w:r w:rsidRPr="001D616F">
              <w:rPr>
                <w:rFonts w:cstheme="minorHAnsi"/>
                <w:sz w:val="20"/>
                <w:szCs w:val="20"/>
              </w:rPr>
              <w:t>će</w:t>
            </w:r>
            <w:proofErr w:type="spellEnd"/>
            <w:r w:rsidRPr="001D616F">
              <w:rPr>
                <w:rFonts w:cstheme="minorHAnsi"/>
                <w:sz w:val="20"/>
                <w:szCs w:val="20"/>
              </w:rPr>
              <w:t xml:space="preserve"> se </w:t>
            </w:r>
            <w:proofErr w:type="spellStart"/>
            <w:r w:rsidRPr="001D616F">
              <w:rPr>
                <w:rFonts w:cstheme="minorHAnsi"/>
                <w:sz w:val="20"/>
                <w:szCs w:val="20"/>
              </w:rPr>
              <w:t>troškovi</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strani</w:t>
            </w:r>
            <w:proofErr w:type="spellEnd"/>
            <w:r w:rsidRPr="001D616F">
              <w:rPr>
                <w:rFonts w:cstheme="minorHAnsi"/>
                <w:sz w:val="20"/>
                <w:szCs w:val="20"/>
              </w:rPr>
              <w:t xml:space="preserve"> </w:t>
            </w:r>
            <w:proofErr w:type="spellStart"/>
            <w:r w:rsidRPr="001D616F">
              <w:rPr>
                <w:rFonts w:cstheme="minorHAnsi"/>
                <w:sz w:val="20"/>
                <w:szCs w:val="20"/>
              </w:rPr>
              <w:t>vlasnika</w:t>
            </w:r>
            <w:proofErr w:type="spellEnd"/>
            <w:r w:rsidRPr="001D616F">
              <w:rPr>
                <w:rFonts w:cstheme="minorHAnsi"/>
                <w:sz w:val="20"/>
                <w:szCs w:val="20"/>
              </w:rPr>
              <w:t>/</w:t>
            </w:r>
            <w:proofErr w:type="spellStart"/>
            <w:r w:rsidRPr="001D616F">
              <w:rPr>
                <w:rFonts w:cstheme="minorHAnsi"/>
                <w:sz w:val="20"/>
                <w:szCs w:val="20"/>
              </w:rPr>
              <w:t>korisnika</w:t>
            </w:r>
            <w:proofErr w:type="spellEnd"/>
            <w:r w:rsidRPr="001D616F">
              <w:rPr>
                <w:rFonts w:cstheme="minorHAnsi"/>
                <w:sz w:val="20"/>
                <w:szCs w:val="20"/>
              </w:rPr>
              <w:t xml:space="preserve">  i </w:t>
            </w:r>
            <w:proofErr w:type="spellStart"/>
            <w:r w:rsidRPr="001D616F">
              <w:rPr>
                <w:rFonts w:cstheme="minorHAnsi"/>
                <w:sz w:val="20"/>
                <w:szCs w:val="20"/>
              </w:rPr>
              <w:lastRenderedPageBreak/>
              <w:t>osigurati</w:t>
            </w:r>
            <w:proofErr w:type="spellEnd"/>
            <w:r w:rsidRPr="001D616F">
              <w:rPr>
                <w:rFonts w:cstheme="minorHAnsi"/>
                <w:sz w:val="20"/>
                <w:szCs w:val="20"/>
              </w:rPr>
              <w:t xml:space="preserve"> </w:t>
            </w:r>
            <w:proofErr w:type="spellStart"/>
            <w:r w:rsidRPr="001D616F">
              <w:rPr>
                <w:rFonts w:cstheme="minorHAnsi"/>
                <w:sz w:val="20"/>
                <w:szCs w:val="20"/>
              </w:rPr>
              <w:t>kvalitetniji</w:t>
            </w:r>
            <w:proofErr w:type="spellEnd"/>
            <w:r w:rsidRPr="001D616F">
              <w:rPr>
                <w:rFonts w:cstheme="minorHAnsi"/>
                <w:sz w:val="20"/>
                <w:szCs w:val="20"/>
              </w:rPr>
              <w:t xml:space="preserve"> </w:t>
            </w:r>
            <w:proofErr w:type="spellStart"/>
            <w:r w:rsidRPr="001D616F">
              <w:rPr>
                <w:rFonts w:cstheme="minorHAnsi"/>
                <w:sz w:val="20"/>
                <w:szCs w:val="20"/>
              </w:rPr>
              <w:t>uvjeti</w:t>
            </w:r>
            <w:proofErr w:type="spellEnd"/>
            <w:r w:rsidRPr="001D616F">
              <w:rPr>
                <w:rFonts w:cstheme="minorHAnsi"/>
                <w:sz w:val="20"/>
                <w:szCs w:val="20"/>
              </w:rPr>
              <w:t xml:space="preserve"> </w:t>
            </w:r>
            <w:proofErr w:type="spellStart"/>
            <w:r w:rsidRPr="001D616F">
              <w:rPr>
                <w:rFonts w:cstheme="minorHAnsi"/>
                <w:sz w:val="20"/>
                <w:szCs w:val="20"/>
              </w:rPr>
              <w:t>života</w:t>
            </w:r>
            <w:proofErr w:type="spellEnd"/>
            <w:r w:rsidRPr="001D616F">
              <w:rPr>
                <w:rFonts w:cstheme="minorHAnsi"/>
                <w:sz w:val="20"/>
                <w:szCs w:val="20"/>
              </w:rPr>
              <w:t xml:space="preserve"> </w:t>
            </w:r>
            <w:proofErr w:type="spellStart"/>
            <w:r w:rsidRPr="001D616F">
              <w:rPr>
                <w:rFonts w:cstheme="minorHAnsi"/>
                <w:sz w:val="20"/>
                <w:szCs w:val="20"/>
              </w:rPr>
              <w:t>ove</w:t>
            </w:r>
            <w:proofErr w:type="spellEnd"/>
            <w:r w:rsidRPr="001D616F">
              <w:rPr>
                <w:rFonts w:cstheme="minorHAnsi"/>
                <w:sz w:val="20"/>
                <w:szCs w:val="20"/>
              </w:rPr>
              <w:t xml:space="preserve"> </w:t>
            </w:r>
            <w:proofErr w:type="spellStart"/>
            <w:r w:rsidRPr="001D616F">
              <w:rPr>
                <w:rFonts w:cstheme="minorHAnsi"/>
                <w:sz w:val="20"/>
                <w:szCs w:val="20"/>
              </w:rPr>
              <w:t>kategorije</w:t>
            </w:r>
            <w:proofErr w:type="spellEnd"/>
            <w:r w:rsidRPr="001D616F">
              <w:rPr>
                <w:rFonts w:cstheme="minorHAnsi"/>
                <w:sz w:val="20"/>
                <w:szCs w:val="20"/>
              </w:rPr>
              <w:t xml:space="preserve"> </w:t>
            </w:r>
            <w:proofErr w:type="spellStart"/>
            <w:r w:rsidRPr="001D616F">
              <w:rPr>
                <w:rFonts w:cstheme="minorHAnsi"/>
                <w:sz w:val="20"/>
                <w:szCs w:val="20"/>
              </w:rPr>
              <w:t>građana</w:t>
            </w:r>
            <w:proofErr w:type="spellEnd"/>
            <w:r w:rsidRPr="001D616F">
              <w:rPr>
                <w:rFonts w:cstheme="minorHAnsi"/>
                <w:sz w:val="20"/>
                <w:szCs w:val="20"/>
              </w:rPr>
              <w:t xml:space="preserve">. </w:t>
            </w:r>
            <w:proofErr w:type="spellStart"/>
            <w:r w:rsidRPr="001D616F">
              <w:rPr>
                <w:rFonts w:cstheme="minorHAnsi"/>
                <w:sz w:val="20"/>
                <w:szCs w:val="20"/>
              </w:rPr>
              <w:t>Dodatno</w:t>
            </w:r>
            <w:proofErr w:type="spellEnd"/>
            <w:r w:rsidRPr="001D616F">
              <w:rPr>
                <w:rFonts w:cstheme="minorHAnsi"/>
                <w:sz w:val="20"/>
                <w:szCs w:val="20"/>
              </w:rPr>
              <w:t xml:space="preserve">, </w:t>
            </w:r>
            <w:proofErr w:type="spellStart"/>
            <w:r w:rsidRPr="001D616F">
              <w:rPr>
                <w:rFonts w:cstheme="minorHAnsi"/>
                <w:sz w:val="20"/>
                <w:szCs w:val="20"/>
              </w:rPr>
              <w:t>smanjit</w:t>
            </w:r>
            <w:proofErr w:type="spellEnd"/>
            <w:r w:rsidRPr="001D616F">
              <w:rPr>
                <w:rFonts w:cstheme="minorHAnsi"/>
                <w:sz w:val="20"/>
                <w:szCs w:val="20"/>
              </w:rPr>
              <w:t xml:space="preserve"> </w:t>
            </w:r>
            <w:proofErr w:type="spellStart"/>
            <w:r w:rsidRPr="001D616F">
              <w:rPr>
                <w:rFonts w:cstheme="minorHAnsi"/>
                <w:sz w:val="20"/>
                <w:szCs w:val="20"/>
              </w:rPr>
              <w:t>će</w:t>
            </w:r>
            <w:proofErr w:type="spellEnd"/>
            <w:r w:rsidRPr="001D616F">
              <w:rPr>
                <w:rFonts w:cstheme="minorHAnsi"/>
                <w:sz w:val="20"/>
                <w:szCs w:val="20"/>
              </w:rPr>
              <w:t xml:space="preserve"> se </w:t>
            </w:r>
            <w:proofErr w:type="spellStart"/>
            <w:r w:rsidRPr="001D616F">
              <w:rPr>
                <w:rFonts w:cstheme="minorHAnsi"/>
                <w:sz w:val="20"/>
                <w:szCs w:val="20"/>
              </w:rPr>
              <w:t>emisije</w:t>
            </w:r>
            <w:proofErr w:type="spellEnd"/>
            <w:r w:rsidRPr="001D616F">
              <w:rPr>
                <w:rFonts w:cstheme="minorHAnsi"/>
                <w:sz w:val="20"/>
                <w:szCs w:val="20"/>
              </w:rPr>
              <w:t xml:space="preserve"> </w:t>
            </w:r>
            <w:proofErr w:type="spellStart"/>
            <w:r w:rsidRPr="001D616F">
              <w:rPr>
                <w:rFonts w:cstheme="minorHAnsi"/>
                <w:sz w:val="20"/>
                <w:szCs w:val="20"/>
              </w:rPr>
              <w:t>zagađujućih</w:t>
            </w:r>
            <w:proofErr w:type="spellEnd"/>
            <w:r w:rsidRPr="001D616F">
              <w:rPr>
                <w:rFonts w:cstheme="minorHAnsi"/>
                <w:sz w:val="20"/>
                <w:szCs w:val="20"/>
              </w:rPr>
              <w:t xml:space="preserve"> </w:t>
            </w:r>
            <w:proofErr w:type="spellStart"/>
            <w:r w:rsidRPr="001D616F">
              <w:rPr>
                <w:rFonts w:cstheme="minorHAnsi"/>
                <w:sz w:val="20"/>
                <w:szCs w:val="20"/>
              </w:rPr>
              <w:t>čestica</w:t>
            </w:r>
            <w:proofErr w:type="spellEnd"/>
            <w:r w:rsidRPr="001D616F">
              <w:rPr>
                <w:rFonts w:cstheme="minorHAnsi"/>
                <w:sz w:val="20"/>
                <w:szCs w:val="20"/>
              </w:rPr>
              <w:t xml:space="preserve"> u </w:t>
            </w:r>
            <w:proofErr w:type="spellStart"/>
            <w:r w:rsidRPr="001D616F">
              <w:rPr>
                <w:rFonts w:cstheme="minorHAnsi"/>
                <w:sz w:val="20"/>
                <w:szCs w:val="20"/>
              </w:rPr>
              <w:t>zrak</w:t>
            </w:r>
            <w:proofErr w:type="spellEnd"/>
            <w:r w:rsidRPr="001D616F">
              <w:rPr>
                <w:rFonts w:cstheme="minorHAnsi"/>
                <w:sz w:val="20"/>
                <w:szCs w:val="20"/>
              </w:rPr>
              <w:t xml:space="preserve"> </w:t>
            </w:r>
            <w:proofErr w:type="spellStart"/>
            <w:r w:rsidRPr="001D616F">
              <w:rPr>
                <w:rFonts w:cstheme="minorHAnsi"/>
                <w:sz w:val="20"/>
                <w:szCs w:val="20"/>
              </w:rPr>
              <w:t>što</w:t>
            </w:r>
            <w:proofErr w:type="spellEnd"/>
            <w:r w:rsidRPr="001D616F">
              <w:rPr>
                <w:rFonts w:cstheme="minorHAnsi"/>
                <w:sz w:val="20"/>
                <w:szCs w:val="20"/>
              </w:rPr>
              <w:t xml:space="preserve"> </w:t>
            </w:r>
            <w:proofErr w:type="spellStart"/>
            <w:r w:rsidRPr="001D616F">
              <w:rPr>
                <w:rFonts w:cstheme="minorHAnsi"/>
                <w:sz w:val="20"/>
                <w:szCs w:val="20"/>
              </w:rPr>
              <w:t>će</w:t>
            </w:r>
            <w:proofErr w:type="spellEnd"/>
            <w:r w:rsidRPr="001D616F">
              <w:rPr>
                <w:rFonts w:cstheme="minorHAnsi"/>
                <w:sz w:val="20"/>
                <w:szCs w:val="20"/>
              </w:rPr>
              <w:t xml:space="preserve"> </w:t>
            </w:r>
            <w:proofErr w:type="spellStart"/>
            <w:r w:rsidRPr="001D616F">
              <w:rPr>
                <w:rFonts w:cstheme="minorHAnsi"/>
                <w:sz w:val="20"/>
                <w:szCs w:val="20"/>
              </w:rPr>
              <w:t>doprinijeti</w:t>
            </w:r>
            <w:proofErr w:type="spellEnd"/>
            <w:r w:rsidRPr="001D616F">
              <w:rPr>
                <w:rFonts w:cstheme="minorHAnsi"/>
                <w:sz w:val="20"/>
                <w:szCs w:val="20"/>
              </w:rPr>
              <w:t xml:space="preserve"> </w:t>
            </w:r>
            <w:proofErr w:type="spellStart"/>
            <w:r w:rsidRPr="001D616F">
              <w:rPr>
                <w:rFonts w:cstheme="minorHAnsi"/>
                <w:sz w:val="20"/>
                <w:szCs w:val="20"/>
              </w:rPr>
              <w:t>niskoemisionom</w:t>
            </w:r>
            <w:proofErr w:type="spellEnd"/>
            <w:r w:rsidRPr="001D616F">
              <w:rPr>
                <w:rFonts w:cstheme="minorHAnsi"/>
                <w:sz w:val="20"/>
                <w:szCs w:val="20"/>
              </w:rPr>
              <w:t xml:space="preserve"> </w:t>
            </w:r>
            <w:proofErr w:type="spellStart"/>
            <w:r w:rsidRPr="001D616F">
              <w:rPr>
                <w:rFonts w:cstheme="minorHAnsi"/>
                <w:sz w:val="20"/>
                <w:szCs w:val="20"/>
              </w:rPr>
              <w:t>razvoju</w:t>
            </w:r>
            <w:proofErr w:type="spellEnd"/>
            <w:r w:rsidRPr="001D616F">
              <w:rPr>
                <w:rFonts w:cstheme="minorHAnsi"/>
                <w:sz w:val="20"/>
                <w:szCs w:val="20"/>
              </w:rPr>
              <w:t xml:space="preserve"> FBiH.</w:t>
            </w:r>
          </w:p>
        </w:tc>
      </w:tr>
      <w:tr w:rsidR="00A00D87" w:rsidRPr="001D616F" w14:paraId="5AB3C246" w14:textId="77777777" w:rsidTr="00122946">
        <w:trPr>
          <w:trHeight w:val="104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48DD8E" w14:textId="1BF914F0"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lastRenderedPageBreak/>
              <w:t>Indikativna</w:t>
            </w:r>
            <w:proofErr w:type="spellEnd"/>
            <w:r w:rsidRPr="001D616F">
              <w:rPr>
                <w:rFonts w:cstheme="minorHAnsi"/>
                <w:b/>
                <w:sz w:val="20"/>
                <w:szCs w:val="20"/>
              </w:rPr>
              <w:t xml:space="preserve"> </w:t>
            </w:r>
            <w:proofErr w:type="spellStart"/>
            <w:r w:rsidR="007B690C" w:rsidRPr="001D616F">
              <w:rPr>
                <w:rFonts w:cstheme="minorHAnsi"/>
                <w:b/>
                <w:sz w:val="20"/>
                <w:szCs w:val="20"/>
              </w:rPr>
              <w:t>financ</w:t>
            </w:r>
            <w:r w:rsidRPr="001D616F">
              <w:rPr>
                <w:rFonts w:cstheme="minorHAnsi"/>
                <w:b/>
                <w:sz w:val="20"/>
                <w:szCs w:val="20"/>
              </w:rPr>
              <w:t>ijska</w:t>
            </w:r>
            <w:proofErr w:type="spellEnd"/>
            <w:r w:rsidRPr="001D616F">
              <w:rPr>
                <w:rFonts w:cstheme="minorHAnsi"/>
                <w:b/>
                <w:sz w:val="20"/>
                <w:szCs w:val="20"/>
              </w:rPr>
              <w:t xml:space="preserve"> </w:t>
            </w:r>
            <w:proofErr w:type="spellStart"/>
            <w:r w:rsidRPr="001D616F">
              <w:rPr>
                <w:rFonts w:cstheme="minorHAnsi"/>
                <w:b/>
                <w:sz w:val="20"/>
                <w:szCs w:val="20"/>
              </w:rPr>
              <w:t>konstrukcija</w:t>
            </w:r>
            <w:proofErr w:type="spellEnd"/>
            <w:r w:rsidRPr="001D616F">
              <w:rPr>
                <w:rFonts w:cstheme="minorHAnsi"/>
                <w:b/>
                <w:sz w:val="20"/>
                <w:szCs w:val="20"/>
              </w:rPr>
              <w:t xml:space="preserve"> </w:t>
            </w:r>
            <w:proofErr w:type="spellStart"/>
            <w:r w:rsidRPr="001D616F">
              <w:rPr>
                <w:rFonts w:cstheme="minorHAnsi"/>
                <w:b/>
                <w:sz w:val="20"/>
                <w:szCs w:val="20"/>
              </w:rPr>
              <w:t>sa</w:t>
            </w:r>
            <w:proofErr w:type="spellEnd"/>
            <w:r w:rsidRPr="001D616F">
              <w:rPr>
                <w:rFonts w:cstheme="minorHAnsi"/>
                <w:b/>
                <w:sz w:val="20"/>
                <w:szCs w:val="20"/>
              </w:rPr>
              <w:t xml:space="preserve"> </w:t>
            </w:r>
            <w:proofErr w:type="spellStart"/>
            <w:r w:rsidRPr="001D616F">
              <w:rPr>
                <w:rFonts w:cstheme="minorHAnsi"/>
                <w:b/>
                <w:sz w:val="20"/>
                <w:szCs w:val="20"/>
              </w:rPr>
              <w:t>izvorima</w:t>
            </w:r>
            <w:proofErr w:type="spellEnd"/>
            <w:r w:rsidRPr="001D616F">
              <w:rPr>
                <w:rFonts w:cstheme="minorHAnsi"/>
                <w:b/>
                <w:sz w:val="20"/>
                <w:szCs w:val="20"/>
              </w:rPr>
              <w:t xml:space="preserve"> </w:t>
            </w:r>
            <w:proofErr w:type="spellStart"/>
            <w:r w:rsidR="007B690C" w:rsidRPr="001D616F">
              <w:rPr>
                <w:rFonts w:cstheme="minorHAnsi"/>
                <w:b/>
                <w:sz w:val="20"/>
                <w:szCs w:val="20"/>
              </w:rPr>
              <w:t>financ</w:t>
            </w:r>
            <w:r w:rsidRPr="001D616F">
              <w:rPr>
                <w:rFonts w:cstheme="minorHAnsi"/>
                <w:b/>
                <w:sz w:val="20"/>
                <w:szCs w:val="20"/>
              </w:rPr>
              <w:t>iranja</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30686E53" w14:textId="77777777" w:rsidR="00A00D87" w:rsidRPr="001D616F" w:rsidRDefault="00A00D87" w:rsidP="00122946">
            <w:pPr>
              <w:spacing w:line="259" w:lineRule="auto"/>
              <w:ind w:left="1"/>
              <w:rPr>
                <w:rFonts w:cstheme="minorHAnsi"/>
                <w:sz w:val="20"/>
                <w:szCs w:val="20"/>
              </w:rPr>
            </w:pPr>
            <w:proofErr w:type="spellStart"/>
            <w:r w:rsidRPr="001D616F">
              <w:rPr>
                <w:rFonts w:cstheme="minorHAnsi"/>
                <w:sz w:val="20"/>
                <w:szCs w:val="20"/>
              </w:rPr>
              <w:t>Iznos</w:t>
            </w:r>
            <w:proofErr w:type="spellEnd"/>
            <w:r w:rsidRPr="001D616F">
              <w:rPr>
                <w:rFonts w:cstheme="minorHAnsi"/>
                <w:sz w:val="20"/>
                <w:szCs w:val="20"/>
              </w:rPr>
              <w:t xml:space="preserve">: 0,40 mil. KM (program </w:t>
            </w:r>
            <w:proofErr w:type="spellStart"/>
            <w:r w:rsidRPr="001D616F">
              <w:rPr>
                <w:rFonts w:cstheme="minorHAnsi"/>
                <w:sz w:val="20"/>
                <w:szCs w:val="20"/>
              </w:rPr>
              <w:t>suzbijanja</w:t>
            </w:r>
            <w:proofErr w:type="spellEnd"/>
            <w:r w:rsidRPr="001D616F">
              <w:rPr>
                <w:rFonts w:cstheme="minorHAnsi"/>
                <w:sz w:val="20"/>
                <w:szCs w:val="20"/>
              </w:rPr>
              <w:t xml:space="preserve"> </w:t>
            </w:r>
            <w:proofErr w:type="spellStart"/>
            <w:r w:rsidRPr="001D616F">
              <w:rPr>
                <w:rFonts w:cstheme="minorHAnsi"/>
                <w:sz w:val="20"/>
                <w:szCs w:val="20"/>
              </w:rPr>
              <w:t>energijskog</w:t>
            </w:r>
            <w:proofErr w:type="spellEnd"/>
            <w:r w:rsidRPr="001D616F">
              <w:rPr>
                <w:rFonts w:cstheme="minorHAnsi"/>
                <w:sz w:val="20"/>
                <w:szCs w:val="20"/>
              </w:rPr>
              <w:t xml:space="preserve"> </w:t>
            </w:r>
            <w:proofErr w:type="spellStart"/>
            <w:r w:rsidRPr="001D616F">
              <w:rPr>
                <w:rFonts w:cstheme="minorHAnsi"/>
                <w:sz w:val="20"/>
                <w:szCs w:val="20"/>
              </w:rPr>
              <w:t>siromaštva</w:t>
            </w:r>
            <w:proofErr w:type="spellEnd"/>
            <w:r w:rsidRPr="001D616F">
              <w:rPr>
                <w:rFonts w:cstheme="minorHAnsi"/>
                <w:sz w:val="20"/>
                <w:szCs w:val="20"/>
              </w:rPr>
              <w:t>)</w:t>
            </w:r>
          </w:p>
          <w:p w14:paraId="141EEC1F" w14:textId="77777777" w:rsidR="0014666A" w:rsidRPr="001D616F" w:rsidRDefault="0014666A" w:rsidP="00122946">
            <w:pPr>
              <w:spacing w:line="259" w:lineRule="auto"/>
              <w:ind w:left="1"/>
              <w:rPr>
                <w:rFonts w:cstheme="minorHAnsi"/>
                <w:i/>
                <w:iCs/>
                <w:sz w:val="20"/>
                <w:szCs w:val="20"/>
              </w:rPr>
            </w:pPr>
            <w:proofErr w:type="spellStart"/>
            <w:r w:rsidRPr="001D616F">
              <w:rPr>
                <w:rFonts w:cstheme="minorHAnsi"/>
                <w:sz w:val="20"/>
                <w:szCs w:val="20"/>
              </w:rPr>
              <w:t>Izvor</w:t>
            </w:r>
            <w:proofErr w:type="spellEnd"/>
            <w:r w:rsidRPr="001D616F">
              <w:rPr>
                <w:rFonts w:cstheme="minorHAnsi"/>
                <w:sz w:val="20"/>
                <w:szCs w:val="20"/>
              </w:rPr>
              <w:t xml:space="preserve">: </w:t>
            </w:r>
            <w:proofErr w:type="spellStart"/>
            <w:r w:rsidRPr="001D616F">
              <w:rPr>
                <w:rFonts w:cstheme="minorHAnsi"/>
                <w:sz w:val="20"/>
                <w:szCs w:val="20"/>
              </w:rPr>
              <w:t>Budžet</w:t>
            </w:r>
            <w:proofErr w:type="spellEnd"/>
            <w:r w:rsidRPr="001D616F">
              <w:rPr>
                <w:rFonts w:cstheme="minorHAnsi"/>
                <w:sz w:val="20"/>
                <w:szCs w:val="20"/>
              </w:rPr>
              <w:t xml:space="preserve"> </w:t>
            </w:r>
            <w:proofErr w:type="spellStart"/>
            <w:r w:rsidRPr="001D616F">
              <w:rPr>
                <w:rFonts w:cstheme="minorHAnsi"/>
                <w:sz w:val="20"/>
                <w:szCs w:val="20"/>
              </w:rPr>
              <w:t>institucija</w:t>
            </w:r>
            <w:proofErr w:type="spellEnd"/>
            <w:r w:rsidRPr="001D616F">
              <w:rPr>
                <w:rFonts w:cstheme="minorHAnsi"/>
                <w:sz w:val="20"/>
                <w:szCs w:val="20"/>
              </w:rPr>
              <w:t xml:space="preserve">, </w:t>
            </w:r>
            <w:proofErr w:type="spellStart"/>
            <w:r w:rsidRPr="001D616F">
              <w:rPr>
                <w:rFonts w:cstheme="minorHAnsi"/>
                <w:sz w:val="20"/>
                <w:szCs w:val="20"/>
              </w:rPr>
              <w:t>ostali</w:t>
            </w:r>
            <w:proofErr w:type="spellEnd"/>
            <w:r w:rsidRPr="001D616F">
              <w:rPr>
                <w:rFonts w:cstheme="minorHAnsi"/>
                <w:sz w:val="20"/>
                <w:szCs w:val="20"/>
              </w:rPr>
              <w:t xml:space="preserve"> </w:t>
            </w:r>
            <w:proofErr w:type="spellStart"/>
            <w:r w:rsidRPr="001D616F">
              <w:rPr>
                <w:rFonts w:cstheme="minorHAnsi"/>
                <w:sz w:val="20"/>
                <w:szCs w:val="20"/>
              </w:rPr>
              <w:t>izvori</w:t>
            </w:r>
            <w:proofErr w:type="spellEnd"/>
            <w:r w:rsidRPr="001D616F">
              <w:rPr>
                <w:rFonts w:cstheme="minorHAnsi"/>
                <w:i/>
                <w:iCs/>
                <w:sz w:val="20"/>
                <w:szCs w:val="20"/>
              </w:rPr>
              <w:t xml:space="preserve"> </w:t>
            </w:r>
          </w:p>
          <w:p w14:paraId="315D228C" w14:textId="4F3089AF" w:rsidR="00A00D87" w:rsidRPr="001D616F" w:rsidRDefault="00A00D87" w:rsidP="00122946">
            <w:pPr>
              <w:spacing w:line="259" w:lineRule="auto"/>
              <w:ind w:left="1"/>
              <w:rPr>
                <w:rFonts w:cstheme="minorHAnsi"/>
                <w:i/>
                <w:iCs/>
                <w:sz w:val="20"/>
                <w:szCs w:val="20"/>
              </w:rPr>
            </w:pPr>
            <w:proofErr w:type="spellStart"/>
            <w:r w:rsidRPr="001D616F">
              <w:rPr>
                <w:rFonts w:cstheme="minorHAnsi"/>
                <w:i/>
                <w:iCs/>
                <w:sz w:val="20"/>
                <w:szCs w:val="20"/>
              </w:rPr>
              <w:t>Detaljna</w:t>
            </w:r>
            <w:proofErr w:type="spellEnd"/>
            <w:r w:rsidRPr="001D616F">
              <w:rPr>
                <w:rFonts w:cstheme="minorHAnsi"/>
                <w:i/>
                <w:iCs/>
                <w:sz w:val="20"/>
                <w:szCs w:val="20"/>
              </w:rPr>
              <w:t xml:space="preserve"> </w:t>
            </w:r>
            <w:proofErr w:type="spellStart"/>
            <w:r w:rsidR="007B690C" w:rsidRPr="001D616F">
              <w:rPr>
                <w:rFonts w:cstheme="minorHAnsi"/>
                <w:i/>
                <w:iCs/>
                <w:sz w:val="20"/>
                <w:szCs w:val="20"/>
              </w:rPr>
              <w:t>financ</w:t>
            </w:r>
            <w:r w:rsidRPr="001D616F">
              <w:rPr>
                <w:rFonts w:cstheme="minorHAnsi"/>
                <w:i/>
                <w:iCs/>
                <w:sz w:val="20"/>
                <w:szCs w:val="20"/>
              </w:rPr>
              <w:t>ijska</w:t>
            </w:r>
            <w:proofErr w:type="spellEnd"/>
            <w:r w:rsidRPr="001D616F">
              <w:rPr>
                <w:rFonts w:cstheme="minorHAnsi"/>
                <w:i/>
                <w:iCs/>
                <w:sz w:val="20"/>
                <w:szCs w:val="20"/>
              </w:rPr>
              <w:t xml:space="preserve"> </w:t>
            </w:r>
            <w:proofErr w:type="spellStart"/>
            <w:r w:rsidRPr="001D616F">
              <w:rPr>
                <w:rFonts w:cstheme="minorHAnsi"/>
                <w:i/>
                <w:iCs/>
                <w:sz w:val="20"/>
                <w:szCs w:val="20"/>
              </w:rPr>
              <w:t>procjena</w:t>
            </w:r>
            <w:proofErr w:type="spellEnd"/>
            <w:r w:rsidRPr="001D616F">
              <w:rPr>
                <w:rFonts w:cstheme="minorHAnsi"/>
                <w:i/>
                <w:iCs/>
                <w:sz w:val="20"/>
                <w:szCs w:val="20"/>
              </w:rPr>
              <w:t xml:space="preserve"> </w:t>
            </w:r>
            <w:proofErr w:type="spellStart"/>
            <w:r w:rsidRPr="001D616F">
              <w:rPr>
                <w:rFonts w:cstheme="minorHAnsi"/>
                <w:i/>
                <w:iCs/>
                <w:sz w:val="20"/>
                <w:szCs w:val="20"/>
              </w:rPr>
              <w:t>iznosa</w:t>
            </w:r>
            <w:proofErr w:type="spellEnd"/>
            <w:r w:rsidRPr="001D616F">
              <w:rPr>
                <w:rFonts w:cstheme="minorHAnsi"/>
                <w:i/>
                <w:iCs/>
                <w:sz w:val="20"/>
                <w:szCs w:val="20"/>
              </w:rPr>
              <w:t xml:space="preserve"> </w:t>
            </w:r>
            <w:proofErr w:type="spellStart"/>
            <w:r w:rsidRPr="001D616F">
              <w:rPr>
                <w:rFonts w:cstheme="minorHAnsi"/>
                <w:i/>
                <w:iCs/>
                <w:sz w:val="20"/>
                <w:szCs w:val="20"/>
              </w:rPr>
              <w:t>potrebnog</w:t>
            </w:r>
            <w:proofErr w:type="spellEnd"/>
            <w:r w:rsidRPr="001D616F">
              <w:rPr>
                <w:rFonts w:cstheme="minorHAnsi"/>
                <w:i/>
                <w:iCs/>
                <w:sz w:val="20"/>
                <w:szCs w:val="20"/>
              </w:rPr>
              <w:t xml:space="preserve"> za </w:t>
            </w:r>
            <w:proofErr w:type="spellStart"/>
            <w:r w:rsidRPr="001D616F">
              <w:rPr>
                <w:rFonts w:cstheme="minorHAnsi"/>
                <w:i/>
                <w:iCs/>
                <w:sz w:val="20"/>
                <w:szCs w:val="20"/>
              </w:rPr>
              <w:t>provedbu</w:t>
            </w:r>
            <w:proofErr w:type="spellEnd"/>
            <w:r w:rsidRPr="001D616F">
              <w:rPr>
                <w:rFonts w:cstheme="minorHAnsi"/>
                <w:i/>
                <w:iCs/>
                <w:sz w:val="20"/>
                <w:szCs w:val="20"/>
              </w:rPr>
              <w:t xml:space="preserve"> </w:t>
            </w:r>
            <w:proofErr w:type="spellStart"/>
            <w:r w:rsidRPr="001D616F">
              <w:rPr>
                <w:rFonts w:cstheme="minorHAnsi"/>
                <w:i/>
                <w:iCs/>
                <w:sz w:val="20"/>
                <w:szCs w:val="20"/>
              </w:rPr>
              <w:t>biti</w:t>
            </w:r>
            <w:proofErr w:type="spellEnd"/>
            <w:r w:rsidRPr="001D616F">
              <w:rPr>
                <w:rFonts w:cstheme="minorHAnsi"/>
                <w:i/>
                <w:iCs/>
                <w:sz w:val="20"/>
                <w:szCs w:val="20"/>
              </w:rPr>
              <w:t xml:space="preserve"> </w:t>
            </w:r>
            <w:proofErr w:type="spellStart"/>
            <w:r w:rsidRPr="001D616F">
              <w:rPr>
                <w:rFonts w:cstheme="minorHAnsi"/>
                <w:i/>
                <w:iCs/>
                <w:sz w:val="20"/>
                <w:szCs w:val="20"/>
              </w:rPr>
              <w:t>će</w:t>
            </w:r>
            <w:proofErr w:type="spellEnd"/>
            <w:r w:rsidRPr="001D616F">
              <w:rPr>
                <w:rFonts w:cstheme="minorHAnsi"/>
                <w:i/>
                <w:iCs/>
                <w:sz w:val="20"/>
                <w:szCs w:val="20"/>
              </w:rPr>
              <w:t xml:space="preserve"> </w:t>
            </w:r>
            <w:proofErr w:type="spellStart"/>
            <w:r w:rsidRPr="001D616F">
              <w:rPr>
                <w:rFonts w:cstheme="minorHAnsi"/>
                <w:i/>
                <w:iCs/>
                <w:sz w:val="20"/>
                <w:szCs w:val="20"/>
              </w:rPr>
              <w:t>definirana</w:t>
            </w:r>
            <w:proofErr w:type="spellEnd"/>
            <w:r w:rsidRPr="001D616F">
              <w:rPr>
                <w:rFonts w:cstheme="minorHAnsi"/>
                <w:i/>
                <w:iCs/>
                <w:sz w:val="20"/>
                <w:szCs w:val="20"/>
              </w:rPr>
              <w:t xml:space="preserve"> u </w:t>
            </w:r>
            <w:proofErr w:type="spellStart"/>
            <w:r w:rsidRPr="001D616F">
              <w:rPr>
                <w:rFonts w:cstheme="minorHAnsi"/>
                <w:i/>
                <w:iCs/>
                <w:sz w:val="20"/>
                <w:szCs w:val="20"/>
              </w:rPr>
              <w:t>okviru</w:t>
            </w:r>
            <w:proofErr w:type="spellEnd"/>
            <w:r w:rsidRPr="001D616F">
              <w:rPr>
                <w:rFonts w:cstheme="minorHAnsi"/>
                <w:i/>
                <w:iCs/>
                <w:sz w:val="20"/>
                <w:szCs w:val="20"/>
              </w:rPr>
              <w:t xml:space="preserve"> </w:t>
            </w:r>
            <w:proofErr w:type="spellStart"/>
            <w:r w:rsidRPr="001D616F">
              <w:rPr>
                <w:rFonts w:cstheme="minorHAnsi"/>
                <w:i/>
                <w:iCs/>
                <w:sz w:val="20"/>
                <w:szCs w:val="20"/>
              </w:rPr>
              <w:t>programa</w:t>
            </w:r>
            <w:proofErr w:type="spellEnd"/>
            <w:r w:rsidRPr="001D616F">
              <w:rPr>
                <w:rFonts w:cstheme="minorHAnsi"/>
                <w:i/>
                <w:iCs/>
                <w:sz w:val="20"/>
                <w:szCs w:val="20"/>
              </w:rPr>
              <w:t xml:space="preserve"> </w:t>
            </w:r>
            <w:proofErr w:type="spellStart"/>
            <w:r w:rsidRPr="001D616F">
              <w:rPr>
                <w:rFonts w:cstheme="minorHAnsi"/>
                <w:i/>
                <w:iCs/>
                <w:sz w:val="20"/>
                <w:szCs w:val="20"/>
              </w:rPr>
              <w:t>obnove</w:t>
            </w:r>
            <w:proofErr w:type="spellEnd"/>
          </w:p>
          <w:p w14:paraId="5D0317C5" w14:textId="173E55D6" w:rsidR="00A00D87" w:rsidRPr="001D616F" w:rsidRDefault="00A00D87" w:rsidP="00122946">
            <w:pPr>
              <w:spacing w:line="259" w:lineRule="auto"/>
              <w:ind w:left="1"/>
              <w:rPr>
                <w:rFonts w:cstheme="minorHAnsi"/>
                <w:sz w:val="20"/>
                <w:szCs w:val="20"/>
              </w:rPr>
            </w:pPr>
          </w:p>
        </w:tc>
      </w:tr>
      <w:tr w:rsidR="00A00D87" w:rsidRPr="001D616F" w14:paraId="1F455877" w14:textId="77777777" w:rsidTr="00122946">
        <w:trPr>
          <w:trHeight w:val="63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D30CBE0" w14:textId="77777777" w:rsidR="00A00D87" w:rsidRPr="001D616F" w:rsidRDefault="00A00D87" w:rsidP="00122946">
            <w:pPr>
              <w:spacing w:line="259" w:lineRule="auto"/>
              <w:rPr>
                <w:rFonts w:cstheme="minorHAnsi"/>
                <w:sz w:val="20"/>
                <w:szCs w:val="20"/>
              </w:rPr>
            </w:pPr>
            <w:r w:rsidRPr="001D616F">
              <w:rPr>
                <w:rFonts w:cstheme="minorHAnsi"/>
                <w:b/>
                <w:sz w:val="20"/>
                <w:szCs w:val="20"/>
              </w:rPr>
              <w:t xml:space="preserve">Period </w:t>
            </w:r>
            <w:proofErr w:type="spellStart"/>
            <w:r w:rsidRPr="001D616F">
              <w:rPr>
                <w:rFonts w:cstheme="minorHAnsi"/>
                <w:b/>
                <w:sz w:val="20"/>
                <w:szCs w:val="20"/>
              </w:rPr>
              <w:t>implementacije</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140A1F0D" w14:textId="77777777" w:rsidR="00A00D87" w:rsidRPr="001D616F" w:rsidRDefault="00A00D87" w:rsidP="00E6560A">
            <w:pPr>
              <w:ind w:left="1"/>
              <w:jc w:val="both"/>
              <w:rPr>
                <w:rFonts w:cstheme="minorHAnsi"/>
                <w:sz w:val="20"/>
                <w:szCs w:val="20"/>
              </w:rPr>
            </w:pPr>
            <w:r w:rsidRPr="001D616F">
              <w:rPr>
                <w:rFonts w:cstheme="minorHAnsi"/>
                <w:sz w:val="20"/>
                <w:szCs w:val="20"/>
              </w:rPr>
              <w:t>2022-2024. (</w:t>
            </w:r>
            <w:proofErr w:type="spellStart"/>
            <w:r w:rsidRPr="001D616F">
              <w:rPr>
                <w:rFonts w:cstheme="minorHAnsi"/>
                <w:sz w:val="20"/>
                <w:szCs w:val="20"/>
              </w:rPr>
              <w:t>donošenje</w:t>
            </w:r>
            <w:proofErr w:type="spellEnd"/>
            <w:r w:rsidRPr="001D616F">
              <w:rPr>
                <w:rFonts w:cstheme="minorHAnsi"/>
                <w:sz w:val="20"/>
                <w:szCs w:val="20"/>
              </w:rPr>
              <w:t xml:space="preserve"> </w:t>
            </w:r>
            <w:proofErr w:type="spellStart"/>
            <w:r w:rsidRPr="001D616F">
              <w:rPr>
                <w:rFonts w:cstheme="minorHAnsi"/>
                <w:sz w:val="20"/>
                <w:szCs w:val="20"/>
              </w:rPr>
              <w:t>programa</w:t>
            </w:r>
            <w:proofErr w:type="spellEnd"/>
            <w:r w:rsidRPr="001D616F">
              <w:rPr>
                <w:rFonts w:cstheme="minorHAnsi"/>
                <w:sz w:val="20"/>
                <w:szCs w:val="20"/>
              </w:rPr>
              <w:t>)</w:t>
            </w:r>
          </w:p>
          <w:p w14:paraId="635604EC" w14:textId="77777777" w:rsidR="00A00D87" w:rsidRPr="001D616F" w:rsidRDefault="00A00D87" w:rsidP="00E6560A">
            <w:pPr>
              <w:ind w:left="1"/>
              <w:jc w:val="both"/>
              <w:rPr>
                <w:rFonts w:cstheme="minorHAnsi"/>
                <w:sz w:val="20"/>
                <w:szCs w:val="20"/>
              </w:rPr>
            </w:pPr>
            <w:r w:rsidRPr="001D616F">
              <w:rPr>
                <w:rFonts w:cstheme="minorHAnsi"/>
                <w:sz w:val="20"/>
                <w:szCs w:val="20"/>
              </w:rPr>
              <w:t>2024-2050 (</w:t>
            </w:r>
            <w:proofErr w:type="spellStart"/>
            <w:r w:rsidRPr="001D616F">
              <w:rPr>
                <w:rFonts w:cstheme="minorHAnsi"/>
                <w:sz w:val="20"/>
                <w:szCs w:val="20"/>
              </w:rPr>
              <w:t>provođenje</w:t>
            </w:r>
            <w:proofErr w:type="spellEnd"/>
            <w:r w:rsidRPr="001D616F">
              <w:rPr>
                <w:rFonts w:cstheme="minorHAnsi"/>
                <w:sz w:val="20"/>
                <w:szCs w:val="20"/>
              </w:rPr>
              <w:t xml:space="preserve"> </w:t>
            </w:r>
            <w:proofErr w:type="spellStart"/>
            <w:r w:rsidRPr="001D616F">
              <w:rPr>
                <w:rFonts w:cstheme="minorHAnsi"/>
                <w:sz w:val="20"/>
                <w:szCs w:val="20"/>
              </w:rPr>
              <w:t>obnove</w:t>
            </w:r>
            <w:proofErr w:type="spellEnd"/>
            <w:r w:rsidRPr="001D616F">
              <w:rPr>
                <w:rFonts w:cstheme="minorHAnsi"/>
                <w:sz w:val="20"/>
                <w:szCs w:val="20"/>
              </w:rPr>
              <w:t>)</w:t>
            </w:r>
          </w:p>
          <w:p w14:paraId="7607AB58" w14:textId="77777777" w:rsidR="00A00D87" w:rsidRPr="001D616F" w:rsidRDefault="00A00D87" w:rsidP="00E6560A">
            <w:pPr>
              <w:ind w:left="1"/>
              <w:jc w:val="both"/>
              <w:rPr>
                <w:rFonts w:cstheme="minorHAnsi"/>
                <w:sz w:val="20"/>
                <w:szCs w:val="20"/>
              </w:rPr>
            </w:pPr>
            <w:proofErr w:type="spellStart"/>
            <w:r w:rsidRPr="001D616F">
              <w:rPr>
                <w:rFonts w:cstheme="minorHAnsi"/>
                <w:sz w:val="20"/>
                <w:szCs w:val="20"/>
              </w:rPr>
              <w:t>Mjera</w:t>
            </w:r>
            <w:proofErr w:type="spellEnd"/>
            <w:r w:rsidRPr="001D616F">
              <w:rPr>
                <w:rFonts w:cstheme="minorHAnsi"/>
                <w:sz w:val="20"/>
                <w:szCs w:val="20"/>
              </w:rPr>
              <w:t xml:space="preserve"> </w:t>
            </w:r>
            <w:proofErr w:type="spellStart"/>
            <w:r w:rsidRPr="001D616F">
              <w:rPr>
                <w:rFonts w:cstheme="minorHAnsi"/>
                <w:sz w:val="20"/>
                <w:szCs w:val="20"/>
              </w:rPr>
              <w:t>će</w:t>
            </w:r>
            <w:proofErr w:type="spellEnd"/>
            <w:r w:rsidRPr="001D616F">
              <w:rPr>
                <w:rFonts w:cstheme="minorHAnsi"/>
                <w:sz w:val="20"/>
                <w:szCs w:val="20"/>
              </w:rPr>
              <w:t xml:space="preserve"> se </w:t>
            </w:r>
            <w:proofErr w:type="spellStart"/>
            <w:r w:rsidRPr="001D616F">
              <w:rPr>
                <w:rFonts w:cstheme="minorHAnsi"/>
                <w:sz w:val="20"/>
                <w:szCs w:val="20"/>
              </w:rPr>
              <w:t>provoditi</w:t>
            </w:r>
            <w:proofErr w:type="spellEnd"/>
            <w:r w:rsidRPr="001D616F">
              <w:rPr>
                <w:rFonts w:cstheme="minorHAnsi"/>
                <w:sz w:val="20"/>
                <w:szCs w:val="20"/>
              </w:rPr>
              <w:t xml:space="preserve"> do 2050. </w:t>
            </w:r>
            <w:proofErr w:type="spellStart"/>
            <w:r w:rsidRPr="001D616F">
              <w:rPr>
                <w:rFonts w:cstheme="minorHAnsi"/>
                <w:sz w:val="20"/>
                <w:szCs w:val="20"/>
              </w:rPr>
              <w:t>godine</w:t>
            </w:r>
            <w:proofErr w:type="spellEnd"/>
            <w:r w:rsidRPr="001D616F">
              <w:rPr>
                <w:rFonts w:cstheme="minorHAnsi"/>
                <w:sz w:val="20"/>
                <w:szCs w:val="20"/>
              </w:rPr>
              <w:t xml:space="preserve"> </w:t>
            </w:r>
            <w:proofErr w:type="spellStart"/>
            <w:r w:rsidRPr="001D616F">
              <w:rPr>
                <w:rFonts w:cstheme="minorHAnsi"/>
                <w:sz w:val="20"/>
                <w:szCs w:val="20"/>
              </w:rPr>
              <w:t>uz</w:t>
            </w:r>
            <w:proofErr w:type="spellEnd"/>
            <w:r w:rsidRPr="001D616F">
              <w:rPr>
                <w:rFonts w:cstheme="minorHAnsi"/>
                <w:sz w:val="20"/>
                <w:szCs w:val="20"/>
              </w:rPr>
              <w:t xml:space="preserve"> </w:t>
            </w:r>
            <w:proofErr w:type="spellStart"/>
            <w:r w:rsidRPr="001D616F">
              <w:rPr>
                <w:rFonts w:cstheme="minorHAnsi"/>
                <w:sz w:val="20"/>
                <w:szCs w:val="20"/>
              </w:rPr>
              <w:t>moguće</w:t>
            </w:r>
            <w:proofErr w:type="spellEnd"/>
            <w:r w:rsidRPr="001D616F">
              <w:rPr>
                <w:rFonts w:cstheme="minorHAnsi"/>
                <w:sz w:val="20"/>
                <w:szCs w:val="20"/>
              </w:rPr>
              <w:t xml:space="preserve"> </w:t>
            </w:r>
            <w:proofErr w:type="spellStart"/>
            <w:r w:rsidRPr="001D616F">
              <w:rPr>
                <w:rFonts w:cstheme="minorHAnsi"/>
                <w:sz w:val="20"/>
                <w:szCs w:val="20"/>
              </w:rPr>
              <w:t>izmjene</w:t>
            </w:r>
            <w:proofErr w:type="spellEnd"/>
            <w:r w:rsidRPr="001D616F">
              <w:rPr>
                <w:rFonts w:cstheme="minorHAnsi"/>
                <w:sz w:val="20"/>
                <w:szCs w:val="20"/>
              </w:rPr>
              <w:t xml:space="preserve"> </w:t>
            </w:r>
            <w:proofErr w:type="spellStart"/>
            <w:r w:rsidRPr="001D616F">
              <w:rPr>
                <w:rFonts w:cstheme="minorHAnsi"/>
                <w:sz w:val="20"/>
                <w:szCs w:val="20"/>
              </w:rPr>
              <w:t>temeljene</w:t>
            </w:r>
            <w:proofErr w:type="spellEnd"/>
            <w:r w:rsidRPr="001D616F">
              <w:rPr>
                <w:rFonts w:cstheme="minorHAnsi"/>
                <w:sz w:val="20"/>
                <w:szCs w:val="20"/>
              </w:rPr>
              <w:t xml:space="preserve"> </w:t>
            </w:r>
            <w:proofErr w:type="spellStart"/>
            <w:r w:rsidRPr="001D616F">
              <w:rPr>
                <w:rFonts w:cstheme="minorHAnsi"/>
                <w:sz w:val="20"/>
                <w:szCs w:val="20"/>
              </w:rPr>
              <w:t>na</w:t>
            </w:r>
            <w:proofErr w:type="spellEnd"/>
            <w:r w:rsidRPr="001D616F">
              <w:rPr>
                <w:rFonts w:cstheme="minorHAnsi"/>
                <w:sz w:val="20"/>
                <w:szCs w:val="20"/>
              </w:rPr>
              <w:t xml:space="preserve"> </w:t>
            </w:r>
            <w:proofErr w:type="spellStart"/>
            <w:r w:rsidRPr="001D616F">
              <w:rPr>
                <w:rFonts w:cstheme="minorHAnsi"/>
                <w:sz w:val="20"/>
                <w:szCs w:val="20"/>
              </w:rPr>
              <w:t>prikupljenim</w:t>
            </w:r>
            <w:proofErr w:type="spellEnd"/>
            <w:r w:rsidRPr="001D616F">
              <w:rPr>
                <w:rFonts w:cstheme="minorHAnsi"/>
                <w:sz w:val="20"/>
                <w:szCs w:val="20"/>
              </w:rPr>
              <w:t xml:space="preserve"> </w:t>
            </w:r>
            <w:proofErr w:type="spellStart"/>
            <w:r w:rsidRPr="001D616F">
              <w:rPr>
                <w:rFonts w:cstheme="minorHAnsi"/>
                <w:sz w:val="20"/>
                <w:szCs w:val="20"/>
              </w:rPr>
              <w:t>iskustvima</w:t>
            </w:r>
            <w:proofErr w:type="spellEnd"/>
          </w:p>
        </w:tc>
      </w:tr>
      <w:tr w:rsidR="00A00D87" w:rsidRPr="001D616F" w14:paraId="5F794794" w14:textId="77777777" w:rsidTr="00122946">
        <w:trPr>
          <w:trHeight w:val="104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5F8CB2"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Institucija</w:t>
            </w:r>
            <w:proofErr w:type="spellEnd"/>
            <w:r w:rsidRPr="001D616F">
              <w:rPr>
                <w:rFonts w:cstheme="minorHAnsi"/>
                <w:b/>
                <w:sz w:val="20"/>
                <w:szCs w:val="20"/>
              </w:rPr>
              <w:t xml:space="preserve"> </w:t>
            </w:r>
          </w:p>
          <w:p w14:paraId="66A55CBB"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odgovorna</w:t>
            </w:r>
            <w:proofErr w:type="spellEnd"/>
            <w:r w:rsidRPr="001D616F">
              <w:rPr>
                <w:rFonts w:cstheme="minorHAnsi"/>
                <w:b/>
                <w:sz w:val="20"/>
                <w:szCs w:val="20"/>
              </w:rPr>
              <w:t xml:space="preserve"> za </w:t>
            </w:r>
            <w:proofErr w:type="spellStart"/>
            <w:r w:rsidRPr="001D616F">
              <w:rPr>
                <w:rFonts w:cstheme="minorHAnsi"/>
                <w:b/>
                <w:sz w:val="20"/>
                <w:szCs w:val="20"/>
              </w:rPr>
              <w:t>koordinaciju</w:t>
            </w:r>
            <w:proofErr w:type="spellEnd"/>
            <w:r w:rsidRPr="001D616F">
              <w:rPr>
                <w:rFonts w:cstheme="minorHAnsi"/>
                <w:b/>
                <w:sz w:val="20"/>
                <w:szCs w:val="20"/>
              </w:rPr>
              <w:t xml:space="preserve"> </w:t>
            </w:r>
            <w:proofErr w:type="spellStart"/>
            <w:r w:rsidRPr="001D616F">
              <w:rPr>
                <w:rFonts w:cstheme="minorHAnsi"/>
                <w:b/>
                <w:sz w:val="20"/>
                <w:szCs w:val="20"/>
              </w:rPr>
              <w:t>implementacije</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70E36A7E" w14:textId="77777777" w:rsidR="00A00D87" w:rsidRPr="001D616F" w:rsidRDefault="00A00D87" w:rsidP="00E6560A">
            <w:pPr>
              <w:spacing w:line="259" w:lineRule="auto"/>
              <w:ind w:left="1"/>
              <w:jc w:val="both"/>
              <w:rPr>
                <w:rFonts w:cstheme="minorHAnsi"/>
                <w:sz w:val="20"/>
                <w:szCs w:val="20"/>
              </w:rPr>
            </w:pPr>
            <w:r w:rsidRPr="001D616F">
              <w:rPr>
                <w:rFonts w:cstheme="minorHAnsi"/>
                <w:sz w:val="20"/>
                <w:szCs w:val="20"/>
              </w:rPr>
              <w:t xml:space="preserve">Federalno ministarstvo prostornog uređenja, Federalno ministarstvo rada i </w:t>
            </w:r>
            <w:proofErr w:type="spellStart"/>
            <w:r w:rsidRPr="001D616F">
              <w:rPr>
                <w:rFonts w:cstheme="minorHAnsi"/>
                <w:sz w:val="20"/>
                <w:szCs w:val="20"/>
              </w:rPr>
              <w:t>socijalne</w:t>
            </w:r>
            <w:proofErr w:type="spellEnd"/>
            <w:r w:rsidRPr="001D616F">
              <w:rPr>
                <w:rFonts w:cstheme="minorHAnsi"/>
                <w:sz w:val="20"/>
                <w:szCs w:val="20"/>
              </w:rPr>
              <w:t xml:space="preserve"> </w:t>
            </w:r>
            <w:proofErr w:type="spellStart"/>
            <w:r w:rsidRPr="001D616F">
              <w:rPr>
                <w:rFonts w:cstheme="minorHAnsi"/>
                <w:sz w:val="20"/>
                <w:szCs w:val="20"/>
              </w:rPr>
              <w:t>politike</w:t>
            </w:r>
            <w:proofErr w:type="spellEnd"/>
            <w:r w:rsidRPr="001D616F">
              <w:rPr>
                <w:rFonts w:cstheme="minorHAnsi"/>
                <w:sz w:val="20"/>
                <w:szCs w:val="20"/>
              </w:rPr>
              <w:t xml:space="preserve">, Federalnog </w:t>
            </w:r>
            <w:proofErr w:type="spellStart"/>
            <w:r w:rsidRPr="001D616F">
              <w:rPr>
                <w:rFonts w:cstheme="minorHAnsi"/>
                <w:sz w:val="20"/>
                <w:szCs w:val="20"/>
              </w:rPr>
              <w:t>ministarstva</w:t>
            </w:r>
            <w:proofErr w:type="spellEnd"/>
            <w:r w:rsidRPr="001D616F">
              <w:rPr>
                <w:rFonts w:cstheme="minorHAnsi"/>
                <w:sz w:val="20"/>
                <w:szCs w:val="20"/>
              </w:rPr>
              <w:t xml:space="preserve"> energije, rudarstva i industrije</w:t>
            </w:r>
          </w:p>
        </w:tc>
      </w:tr>
      <w:tr w:rsidR="00A00D87" w:rsidRPr="001D616F" w14:paraId="46BAC2A2" w14:textId="77777777" w:rsidTr="00122946">
        <w:trPr>
          <w:trHeight w:val="42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ABBD082" w14:textId="77777777" w:rsidR="00A00D87" w:rsidRPr="001D616F" w:rsidRDefault="00A00D87" w:rsidP="00122946">
            <w:pPr>
              <w:spacing w:line="259" w:lineRule="auto"/>
              <w:rPr>
                <w:rFonts w:cstheme="minorHAnsi"/>
                <w:sz w:val="20"/>
                <w:szCs w:val="20"/>
              </w:rPr>
            </w:pPr>
            <w:proofErr w:type="spellStart"/>
            <w:r w:rsidRPr="001D616F">
              <w:rPr>
                <w:rFonts w:cstheme="minorHAnsi"/>
                <w:b/>
                <w:sz w:val="20"/>
                <w:szCs w:val="20"/>
              </w:rPr>
              <w:t>Nosioci</w:t>
            </w:r>
            <w:proofErr w:type="spellEnd"/>
            <w:r w:rsidRPr="001D616F">
              <w:rPr>
                <w:rFonts w:cstheme="minorHAnsi"/>
                <w:b/>
                <w:sz w:val="20"/>
                <w:szCs w:val="20"/>
              </w:rPr>
              <w:t xml:space="preserve"> </w:t>
            </w:r>
            <w:proofErr w:type="spellStart"/>
            <w:r w:rsidRPr="001D616F">
              <w:rPr>
                <w:rFonts w:cstheme="minorHAnsi"/>
                <w:b/>
                <w:sz w:val="20"/>
                <w:szCs w:val="20"/>
              </w:rPr>
              <w:t>mjere</w:t>
            </w:r>
            <w:proofErr w:type="spellEnd"/>
            <w:r w:rsidRPr="001D616F">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223AD99B" w14:textId="0988C3A3" w:rsidR="00A00D87" w:rsidRPr="001D616F" w:rsidRDefault="00A00D87" w:rsidP="00E6560A">
            <w:pPr>
              <w:spacing w:line="259" w:lineRule="auto"/>
              <w:ind w:left="1" w:right="3"/>
              <w:jc w:val="both"/>
              <w:rPr>
                <w:rFonts w:cstheme="minorHAnsi"/>
                <w:sz w:val="20"/>
                <w:szCs w:val="20"/>
              </w:rPr>
            </w:pPr>
            <w:r w:rsidRPr="001D616F">
              <w:rPr>
                <w:rFonts w:cstheme="minorHAnsi"/>
                <w:sz w:val="20"/>
                <w:szCs w:val="20"/>
              </w:rPr>
              <w:t xml:space="preserve">Federalno ministarstvo energije, rudarstva i industrije, Federalno ministarstvo prostornog uređenja, Federalno ministarstvo </w:t>
            </w:r>
            <w:proofErr w:type="spellStart"/>
            <w:r w:rsidR="007B690C" w:rsidRPr="001D616F">
              <w:rPr>
                <w:rFonts w:cstheme="minorHAnsi"/>
                <w:sz w:val="20"/>
                <w:szCs w:val="20"/>
              </w:rPr>
              <w:t>financ</w:t>
            </w:r>
            <w:r w:rsidRPr="001D616F">
              <w:rPr>
                <w:rFonts w:cstheme="minorHAnsi"/>
                <w:sz w:val="20"/>
                <w:szCs w:val="20"/>
              </w:rPr>
              <w:t>ija</w:t>
            </w:r>
            <w:proofErr w:type="spellEnd"/>
            <w:r w:rsidRPr="001D616F">
              <w:rPr>
                <w:rFonts w:cstheme="minorHAnsi"/>
                <w:sz w:val="20"/>
                <w:szCs w:val="20"/>
              </w:rPr>
              <w:t xml:space="preserve">, Federalno ministarstvo zdravstva, Federalno ministarstvo za </w:t>
            </w:r>
            <w:proofErr w:type="spellStart"/>
            <w:r w:rsidRPr="001D616F">
              <w:rPr>
                <w:rFonts w:cstheme="minorHAnsi"/>
                <w:sz w:val="20"/>
                <w:szCs w:val="20"/>
              </w:rPr>
              <w:t>pitanja</w:t>
            </w:r>
            <w:proofErr w:type="spellEnd"/>
            <w:r w:rsidRPr="001D616F">
              <w:rPr>
                <w:rFonts w:cstheme="minorHAnsi"/>
                <w:sz w:val="20"/>
                <w:szCs w:val="20"/>
              </w:rPr>
              <w:t xml:space="preserve"> </w:t>
            </w:r>
            <w:proofErr w:type="spellStart"/>
            <w:r w:rsidRPr="001D616F">
              <w:rPr>
                <w:rFonts w:cstheme="minorHAnsi"/>
                <w:sz w:val="20"/>
                <w:szCs w:val="20"/>
              </w:rPr>
              <w:t>boraca</w:t>
            </w:r>
            <w:proofErr w:type="spellEnd"/>
            <w:r w:rsidRPr="001D616F">
              <w:rPr>
                <w:rFonts w:cstheme="minorHAnsi"/>
                <w:sz w:val="20"/>
                <w:szCs w:val="20"/>
              </w:rPr>
              <w:t xml:space="preserve"> i </w:t>
            </w:r>
            <w:proofErr w:type="spellStart"/>
            <w:r w:rsidRPr="001D616F">
              <w:rPr>
                <w:rFonts w:cstheme="minorHAnsi"/>
                <w:sz w:val="20"/>
                <w:szCs w:val="20"/>
              </w:rPr>
              <w:t>invalida</w:t>
            </w:r>
            <w:proofErr w:type="spellEnd"/>
            <w:r w:rsidRPr="001D616F">
              <w:rPr>
                <w:rFonts w:cstheme="minorHAnsi"/>
                <w:sz w:val="20"/>
                <w:szCs w:val="20"/>
              </w:rPr>
              <w:t xml:space="preserve"> </w:t>
            </w:r>
            <w:proofErr w:type="spellStart"/>
            <w:r w:rsidRPr="001D616F">
              <w:rPr>
                <w:rFonts w:cstheme="minorHAnsi"/>
                <w:sz w:val="20"/>
                <w:szCs w:val="20"/>
              </w:rPr>
              <w:t>odbrambeno-oslobodilačkog</w:t>
            </w:r>
            <w:proofErr w:type="spellEnd"/>
            <w:r w:rsidRPr="001D616F">
              <w:rPr>
                <w:rFonts w:cstheme="minorHAnsi"/>
                <w:sz w:val="20"/>
                <w:szCs w:val="20"/>
              </w:rPr>
              <w:t xml:space="preserve"> rata, Federalno ministarstvo </w:t>
            </w:r>
            <w:proofErr w:type="spellStart"/>
            <w:r w:rsidRPr="001D616F">
              <w:rPr>
                <w:rFonts w:cstheme="minorHAnsi"/>
                <w:sz w:val="20"/>
                <w:szCs w:val="20"/>
              </w:rPr>
              <w:t>raseljenih</w:t>
            </w:r>
            <w:proofErr w:type="spellEnd"/>
            <w:r w:rsidRPr="001D616F">
              <w:rPr>
                <w:rFonts w:cstheme="minorHAnsi"/>
                <w:sz w:val="20"/>
                <w:szCs w:val="20"/>
              </w:rPr>
              <w:t xml:space="preserve"> </w:t>
            </w:r>
            <w:proofErr w:type="spellStart"/>
            <w:r w:rsidRPr="001D616F">
              <w:rPr>
                <w:rFonts w:cstheme="minorHAnsi"/>
                <w:sz w:val="20"/>
                <w:szCs w:val="20"/>
              </w:rPr>
              <w:t>osoba</w:t>
            </w:r>
            <w:proofErr w:type="spellEnd"/>
            <w:r w:rsidRPr="001D616F">
              <w:rPr>
                <w:rFonts w:cstheme="minorHAnsi"/>
                <w:sz w:val="20"/>
                <w:szCs w:val="20"/>
              </w:rPr>
              <w:t xml:space="preserve"> i </w:t>
            </w:r>
            <w:proofErr w:type="spellStart"/>
            <w:r w:rsidRPr="001D616F">
              <w:rPr>
                <w:rFonts w:cstheme="minorHAnsi"/>
                <w:sz w:val="20"/>
                <w:szCs w:val="20"/>
              </w:rPr>
              <w:t>izbjeglica</w:t>
            </w:r>
            <w:proofErr w:type="spellEnd"/>
            <w:r w:rsidRPr="001D616F">
              <w:rPr>
                <w:rFonts w:cstheme="minorHAnsi"/>
                <w:sz w:val="20"/>
                <w:szCs w:val="20"/>
              </w:rPr>
              <w:t xml:space="preserve">, Federalno ministarstvo zdravstva, </w:t>
            </w:r>
            <w:proofErr w:type="spellStart"/>
            <w:r w:rsidRPr="001D616F">
              <w:rPr>
                <w:rFonts w:cstheme="minorHAnsi"/>
                <w:sz w:val="20"/>
                <w:szCs w:val="20"/>
              </w:rPr>
              <w:t>kantonalna</w:t>
            </w:r>
            <w:proofErr w:type="spellEnd"/>
            <w:r w:rsidRPr="001D616F">
              <w:rPr>
                <w:rFonts w:cstheme="minorHAnsi"/>
                <w:sz w:val="20"/>
                <w:szCs w:val="20"/>
              </w:rPr>
              <w:t xml:space="preserve"> </w:t>
            </w:r>
            <w:proofErr w:type="spellStart"/>
            <w:r w:rsidRPr="001D616F">
              <w:rPr>
                <w:rFonts w:cstheme="minorHAnsi"/>
                <w:sz w:val="20"/>
                <w:szCs w:val="20"/>
              </w:rPr>
              <w:t>ministarstva</w:t>
            </w:r>
            <w:proofErr w:type="spellEnd"/>
            <w:r w:rsidRPr="001D616F">
              <w:rPr>
                <w:rFonts w:cstheme="minorHAnsi"/>
                <w:sz w:val="20"/>
                <w:szCs w:val="20"/>
              </w:rPr>
              <w:t xml:space="preserve"> </w:t>
            </w:r>
            <w:proofErr w:type="spellStart"/>
            <w:r w:rsidRPr="001D616F">
              <w:rPr>
                <w:rFonts w:cstheme="minorHAnsi"/>
                <w:sz w:val="20"/>
                <w:szCs w:val="20"/>
              </w:rPr>
              <w:t>nadležna</w:t>
            </w:r>
            <w:proofErr w:type="spellEnd"/>
            <w:r w:rsidRPr="001D616F">
              <w:rPr>
                <w:rFonts w:cstheme="minorHAnsi"/>
                <w:sz w:val="20"/>
                <w:szCs w:val="20"/>
              </w:rPr>
              <w:t xml:space="preserve"> za </w:t>
            </w:r>
            <w:proofErr w:type="spellStart"/>
            <w:r w:rsidRPr="001D616F">
              <w:rPr>
                <w:rFonts w:cstheme="minorHAnsi"/>
                <w:sz w:val="20"/>
                <w:szCs w:val="20"/>
              </w:rPr>
              <w:t>prostorno</w:t>
            </w:r>
            <w:proofErr w:type="spellEnd"/>
            <w:r w:rsidRPr="001D616F">
              <w:rPr>
                <w:rFonts w:cstheme="minorHAnsi"/>
                <w:sz w:val="20"/>
                <w:szCs w:val="20"/>
              </w:rPr>
              <w:t xml:space="preserve"> </w:t>
            </w:r>
            <w:proofErr w:type="spellStart"/>
            <w:r w:rsidRPr="001D616F">
              <w:rPr>
                <w:rFonts w:cstheme="minorHAnsi"/>
                <w:sz w:val="20"/>
                <w:szCs w:val="20"/>
              </w:rPr>
              <w:t>uređenje</w:t>
            </w:r>
            <w:proofErr w:type="spellEnd"/>
            <w:r w:rsidRPr="001D616F">
              <w:rPr>
                <w:rFonts w:cstheme="minorHAnsi"/>
                <w:sz w:val="20"/>
                <w:szCs w:val="20"/>
              </w:rPr>
              <w:t xml:space="preserve"> i </w:t>
            </w:r>
            <w:proofErr w:type="spellStart"/>
            <w:r w:rsidRPr="001D616F">
              <w:rPr>
                <w:rFonts w:cstheme="minorHAnsi"/>
                <w:sz w:val="20"/>
                <w:szCs w:val="20"/>
              </w:rPr>
              <w:t>socijalna</w:t>
            </w:r>
            <w:proofErr w:type="spellEnd"/>
            <w:r w:rsidRPr="001D616F">
              <w:rPr>
                <w:rFonts w:cstheme="minorHAnsi"/>
                <w:sz w:val="20"/>
                <w:szCs w:val="20"/>
              </w:rPr>
              <w:t xml:space="preserve"> </w:t>
            </w:r>
            <w:proofErr w:type="spellStart"/>
            <w:r w:rsidRPr="001D616F">
              <w:rPr>
                <w:rFonts w:cstheme="minorHAnsi"/>
                <w:sz w:val="20"/>
                <w:szCs w:val="20"/>
              </w:rPr>
              <w:t>pitanja</w:t>
            </w:r>
            <w:proofErr w:type="spellEnd"/>
            <w:r w:rsidRPr="001D616F">
              <w:rPr>
                <w:rFonts w:cstheme="minorHAnsi"/>
                <w:sz w:val="20"/>
                <w:szCs w:val="20"/>
              </w:rPr>
              <w:t xml:space="preserve">, </w:t>
            </w:r>
            <w:proofErr w:type="spellStart"/>
            <w:r w:rsidRPr="001D616F">
              <w:rPr>
                <w:rFonts w:cstheme="minorHAnsi"/>
                <w:sz w:val="20"/>
                <w:szCs w:val="20"/>
              </w:rPr>
              <w:t>te</w:t>
            </w:r>
            <w:proofErr w:type="spellEnd"/>
            <w:r w:rsidRPr="001D616F">
              <w:rPr>
                <w:rFonts w:cstheme="minorHAnsi"/>
                <w:sz w:val="20"/>
                <w:szCs w:val="20"/>
              </w:rPr>
              <w:t xml:space="preserve"> </w:t>
            </w:r>
            <w:proofErr w:type="spellStart"/>
            <w:r w:rsidRPr="001D616F">
              <w:rPr>
                <w:rFonts w:cstheme="minorHAnsi"/>
                <w:sz w:val="20"/>
                <w:szCs w:val="20"/>
              </w:rPr>
              <w:t>jedinice</w:t>
            </w:r>
            <w:proofErr w:type="spellEnd"/>
            <w:r w:rsidRPr="001D616F">
              <w:rPr>
                <w:rFonts w:cstheme="minorHAnsi"/>
                <w:sz w:val="20"/>
                <w:szCs w:val="20"/>
              </w:rPr>
              <w:t xml:space="preserve"> </w:t>
            </w:r>
            <w:proofErr w:type="spellStart"/>
            <w:r w:rsidRPr="001D616F">
              <w:rPr>
                <w:rFonts w:cstheme="minorHAnsi"/>
                <w:sz w:val="20"/>
                <w:szCs w:val="20"/>
              </w:rPr>
              <w:t>lokalne</w:t>
            </w:r>
            <w:proofErr w:type="spellEnd"/>
            <w:r w:rsidRPr="001D616F">
              <w:rPr>
                <w:rFonts w:cstheme="minorHAnsi"/>
                <w:sz w:val="20"/>
                <w:szCs w:val="20"/>
              </w:rPr>
              <w:t xml:space="preserve"> </w:t>
            </w:r>
            <w:proofErr w:type="spellStart"/>
            <w:r w:rsidRPr="001D616F">
              <w:rPr>
                <w:rFonts w:cstheme="minorHAnsi"/>
                <w:sz w:val="20"/>
                <w:szCs w:val="20"/>
              </w:rPr>
              <w:t>samouprave</w:t>
            </w:r>
            <w:proofErr w:type="spellEnd"/>
            <w:r w:rsidRPr="001D616F">
              <w:rPr>
                <w:rFonts w:cstheme="minorHAnsi"/>
                <w:sz w:val="20"/>
                <w:szCs w:val="20"/>
              </w:rPr>
              <w:t>.</w:t>
            </w:r>
          </w:p>
        </w:tc>
      </w:tr>
      <w:tr w:rsidR="00ED7502" w:rsidRPr="001D616F" w14:paraId="03CDAC2E" w14:textId="77777777" w:rsidTr="007F1ECE">
        <w:trPr>
          <w:trHeight w:val="42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4FAEF8F" w14:textId="49AC2268" w:rsidR="00ED7502" w:rsidRPr="00BB40F0" w:rsidRDefault="001C6C64" w:rsidP="00ED7502">
            <w:pPr>
              <w:rPr>
                <w:rFonts w:cstheme="minorHAnsi"/>
                <w:b/>
                <w:bCs/>
                <w:sz w:val="20"/>
                <w:szCs w:val="20"/>
              </w:rPr>
            </w:pPr>
            <w:proofErr w:type="spellStart"/>
            <w:r>
              <w:rPr>
                <w:rFonts w:cstheme="minorHAnsi"/>
                <w:b/>
                <w:bCs/>
                <w:sz w:val="20"/>
                <w:szCs w:val="20"/>
              </w:rPr>
              <w:t>plin</w:t>
            </w:r>
            <w:proofErr w:type="spellEnd"/>
            <w:r w:rsidR="00ED7502" w:rsidRPr="00BB40F0">
              <w:rPr>
                <w:rFonts w:cstheme="minorHAnsi"/>
                <w:b/>
                <w:bCs/>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29C4F3E7" w14:textId="57CE6F2A" w:rsidR="00ED7502" w:rsidRPr="001D616F" w:rsidRDefault="00ED7502" w:rsidP="00ED7502">
            <w:pPr>
              <w:ind w:left="1" w:right="3"/>
              <w:rPr>
                <w:rFonts w:cstheme="minorHAnsi"/>
                <w:sz w:val="20"/>
                <w:szCs w:val="20"/>
              </w:rPr>
            </w:pPr>
            <w:proofErr w:type="spellStart"/>
            <w:r w:rsidRPr="001D616F">
              <w:rPr>
                <w:rFonts w:cstheme="minorHAnsi"/>
                <w:sz w:val="20"/>
                <w:szCs w:val="20"/>
              </w:rPr>
              <w:t>Posebno</w:t>
            </w:r>
            <w:proofErr w:type="spellEnd"/>
            <w:r w:rsidRPr="001D616F">
              <w:rPr>
                <w:rFonts w:cstheme="minorHAnsi"/>
                <w:sz w:val="20"/>
                <w:szCs w:val="20"/>
              </w:rPr>
              <w:t xml:space="preserve"> </w:t>
            </w:r>
            <w:proofErr w:type="spellStart"/>
            <w:r w:rsidRPr="001D616F">
              <w:rPr>
                <w:rFonts w:cstheme="minorHAnsi"/>
                <w:sz w:val="20"/>
                <w:szCs w:val="20"/>
              </w:rPr>
              <w:t>ugrožene</w:t>
            </w:r>
            <w:proofErr w:type="spellEnd"/>
            <w:r w:rsidRPr="001D616F">
              <w:rPr>
                <w:rFonts w:cstheme="minorHAnsi"/>
                <w:sz w:val="20"/>
                <w:szCs w:val="20"/>
              </w:rPr>
              <w:t xml:space="preserve"> </w:t>
            </w:r>
            <w:proofErr w:type="spellStart"/>
            <w:r w:rsidRPr="001D616F">
              <w:rPr>
                <w:rFonts w:cstheme="minorHAnsi"/>
                <w:sz w:val="20"/>
                <w:szCs w:val="20"/>
              </w:rPr>
              <w:t>kategorije</w:t>
            </w:r>
            <w:proofErr w:type="spellEnd"/>
            <w:r w:rsidRPr="001D616F">
              <w:rPr>
                <w:rFonts w:cstheme="minorHAnsi"/>
                <w:sz w:val="20"/>
                <w:szCs w:val="20"/>
              </w:rPr>
              <w:t xml:space="preserve"> </w:t>
            </w:r>
            <w:proofErr w:type="spellStart"/>
            <w:r w:rsidRPr="001D616F">
              <w:rPr>
                <w:rFonts w:cstheme="minorHAnsi"/>
                <w:sz w:val="20"/>
                <w:szCs w:val="20"/>
              </w:rPr>
              <w:t>stanovništva</w:t>
            </w:r>
            <w:proofErr w:type="spellEnd"/>
            <w:r w:rsidRPr="001D616F">
              <w:rPr>
                <w:rFonts w:cstheme="minorHAnsi"/>
                <w:sz w:val="20"/>
                <w:szCs w:val="20"/>
              </w:rPr>
              <w:t xml:space="preserve"> u FBiH</w:t>
            </w:r>
          </w:p>
        </w:tc>
      </w:tr>
    </w:tbl>
    <w:p w14:paraId="05C9AAF4" w14:textId="77777777" w:rsidR="00A00D87" w:rsidRDefault="00A00D87" w:rsidP="00A00D87"/>
    <w:p w14:paraId="24B00DE9" w14:textId="77777777" w:rsidR="00A00D87" w:rsidRDefault="00A00D87" w:rsidP="00A00D87"/>
    <w:p w14:paraId="11127120" w14:textId="77777777" w:rsidR="00A00D87" w:rsidRDefault="00A00D87" w:rsidP="00A00D87"/>
    <w:p w14:paraId="0B8A8510" w14:textId="77777777" w:rsidR="00A00D87" w:rsidRDefault="00A00D87" w:rsidP="00A00D87"/>
    <w:p w14:paraId="5C1F5F46" w14:textId="77777777" w:rsidR="00A00D87" w:rsidRDefault="00A00D87" w:rsidP="00A00D87"/>
    <w:p w14:paraId="3A96DD91" w14:textId="77777777" w:rsidR="00A00D87" w:rsidRDefault="00A00D87" w:rsidP="00A00D87"/>
    <w:p w14:paraId="48BED50C" w14:textId="77777777" w:rsidR="00A00D87" w:rsidRDefault="00A00D87" w:rsidP="00A00D87"/>
    <w:p w14:paraId="5C00113D" w14:textId="77777777" w:rsidR="00A00D87" w:rsidRDefault="00A00D87" w:rsidP="00A00D87"/>
    <w:p w14:paraId="0F160561" w14:textId="77777777" w:rsidR="006D442E" w:rsidRDefault="006D442E" w:rsidP="00A00D87"/>
    <w:p w14:paraId="02005B34" w14:textId="77777777" w:rsidR="006D442E" w:rsidRDefault="006D442E" w:rsidP="00A00D87"/>
    <w:p w14:paraId="233DF06F" w14:textId="77777777" w:rsidR="006D442E" w:rsidRDefault="006D442E" w:rsidP="00A00D87"/>
    <w:p w14:paraId="7CD42876" w14:textId="77777777" w:rsidR="00921FAC" w:rsidRDefault="00921FAC" w:rsidP="00A00D87"/>
    <w:p w14:paraId="7D73147E" w14:textId="77777777" w:rsidR="00921FAC" w:rsidRDefault="00921FAC" w:rsidP="00A00D87"/>
    <w:p w14:paraId="1115478A" w14:textId="77777777" w:rsidR="00921FAC" w:rsidRDefault="00921FAC" w:rsidP="00A00D87"/>
    <w:p w14:paraId="0179DD7B" w14:textId="77777777" w:rsidR="00921FAC" w:rsidRDefault="00921FAC" w:rsidP="00A00D87"/>
    <w:p w14:paraId="09A22FE0" w14:textId="77777777" w:rsidR="00A00D87" w:rsidRDefault="00A00D87" w:rsidP="00A00D87"/>
    <w:tbl>
      <w:tblPr>
        <w:tblStyle w:val="TableGrid0"/>
        <w:tblpPr w:leftFromText="180" w:rightFromText="180" w:vertAnchor="text" w:tblpY="143"/>
        <w:tblW w:w="9016" w:type="dxa"/>
        <w:tblInd w:w="0" w:type="dxa"/>
        <w:tblCellMar>
          <w:top w:w="5" w:type="dxa"/>
          <w:left w:w="107" w:type="dxa"/>
          <w:right w:w="69" w:type="dxa"/>
        </w:tblCellMar>
        <w:tblLook w:val="04A0" w:firstRow="1" w:lastRow="0" w:firstColumn="1" w:lastColumn="0" w:noHBand="0" w:noVBand="1"/>
      </w:tblPr>
      <w:tblGrid>
        <w:gridCol w:w="1767"/>
        <w:gridCol w:w="3710"/>
        <w:gridCol w:w="2068"/>
        <w:gridCol w:w="1471"/>
      </w:tblGrid>
      <w:tr w:rsidR="00A00D87" w:rsidRPr="00921FAC" w14:paraId="7F506FC7" w14:textId="77777777" w:rsidTr="00122946">
        <w:trPr>
          <w:trHeight w:val="42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E134844"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lastRenderedPageBreak/>
              <w:t>Veza</w:t>
            </w:r>
            <w:proofErr w:type="spellEnd"/>
            <w:r w:rsidRPr="00921FAC">
              <w:rPr>
                <w:rFonts w:cstheme="minorHAnsi"/>
                <w:b/>
                <w:sz w:val="20"/>
                <w:szCs w:val="20"/>
              </w:rPr>
              <w:t xml:space="preserve"> </w:t>
            </w:r>
            <w:proofErr w:type="spellStart"/>
            <w:r w:rsidRPr="00921FAC">
              <w:rPr>
                <w:rFonts w:cstheme="minorHAnsi"/>
                <w:b/>
                <w:sz w:val="20"/>
                <w:szCs w:val="20"/>
              </w:rPr>
              <w:t>sa</w:t>
            </w:r>
            <w:proofErr w:type="spellEnd"/>
            <w:r w:rsidRPr="00921FAC">
              <w:rPr>
                <w:rFonts w:cstheme="minorHAnsi"/>
                <w:b/>
                <w:sz w:val="20"/>
                <w:szCs w:val="20"/>
              </w:rPr>
              <w:t xml:space="preserve"> </w:t>
            </w:r>
            <w:proofErr w:type="spellStart"/>
            <w:r w:rsidRPr="00921FAC">
              <w:rPr>
                <w:rFonts w:cstheme="minorHAnsi"/>
                <w:b/>
                <w:sz w:val="20"/>
                <w:szCs w:val="20"/>
              </w:rPr>
              <w:t>strateškim</w:t>
            </w:r>
            <w:proofErr w:type="spellEnd"/>
            <w:r w:rsidRPr="00921FAC">
              <w:rPr>
                <w:rFonts w:cstheme="minorHAnsi"/>
                <w:b/>
                <w:sz w:val="20"/>
                <w:szCs w:val="20"/>
              </w:rPr>
              <w:t xml:space="preserve"> </w:t>
            </w:r>
            <w:proofErr w:type="spellStart"/>
            <w:r w:rsidRPr="00921FAC">
              <w:rPr>
                <w:rFonts w:cstheme="minorHAnsi"/>
                <w:b/>
                <w:sz w:val="20"/>
                <w:szCs w:val="20"/>
              </w:rPr>
              <w:t>ciljem</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34C832C5" w14:textId="77777777" w:rsidR="00A00D87" w:rsidRPr="00921FAC" w:rsidRDefault="00A00D87" w:rsidP="00122946">
            <w:pPr>
              <w:spacing w:line="259" w:lineRule="auto"/>
              <w:ind w:left="1"/>
              <w:rPr>
                <w:rFonts w:cstheme="minorHAnsi"/>
                <w:sz w:val="20"/>
                <w:szCs w:val="20"/>
              </w:rPr>
            </w:pPr>
            <w:r w:rsidRPr="00921FAC">
              <w:rPr>
                <w:rFonts w:cstheme="minorHAnsi"/>
                <w:b/>
                <w:sz w:val="20"/>
                <w:szCs w:val="20"/>
              </w:rPr>
              <w:t xml:space="preserve">1. </w:t>
            </w:r>
            <w:proofErr w:type="spellStart"/>
            <w:r w:rsidRPr="00921FAC">
              <w:rPr>
                <w:rFonts w:cstheme="minorHAnsi"/>
                <w:b/>
                <w:sz w:val="20"/>
                <w:szCs w:val="20"/>
              </w:rPr>
              <w:t>Postojeći</w:t>
            </w:r>
            <w:proofErr w:type="spellEnd"/>
            <w:r w:rsidRPr="00921FAC">
              <w:rPr>
                <w:rFonts w:cstheme="minorHAnsi"/>
                <w:b/>
                <w:sz w:val="20"/>
                <w:szCs w:val="20"/>
              </w:rPr>
              <w:t xml:space="preserve"> fond </w:t>
            </w:r>
            <w:proofErr w:type="spellStart"/>
            <w:r w:rsidRPr="00921FAC">
              <w:rPr>
                <w:rFonts w:cstheme="minorHAnsi"/>
                <w:b/>
                <w:sz w:val="20"/>
                <w:szCs w:val="20"/>
              </w:rPr>
              <w:t>zgrada</w:t>
            </w:r>
            <w:proofErr w:type="spellEnd"/>
            <w:r w:rsidRPr="00921FAC">
              <w:rPr>
                <w:rFonts w:cstheme="minorHAnsi"/>
                <w:b/>
                <w:sz w:val="20"/>
                <w:szCs w:val="20"/>
              </w:rPr>
              <w:t xml:space="preserve"> u FBiH je </w:t>
            </w:r>
            <w:proofErr w:type="spellStart"/>
            <w:r w:rsidRPr="00921FAC">
              <w:rPr>
                <w:rFonts w:cstheme="minorHAnsi"/>
                <w:b/>
                <w:sz w:val="20"/>
                <w:szCs w:val="20"/>
              </w:rPr>
              <w:t>transformiran</w:t>
            </w:r>
            <w:proofErr w:type="spellEnd"/>
            <w:r w:rsidRPr="00921FAC">
              <w:rPr>
                <w:rFonts w:cstheme="minorHAnsi"/>
                <w:b/>
                <w:sz w:val="20"/>
                <w:szCs w:val="20"/>
              </w:rPr>
              <w:t xml:space="preserve"> u </w:t>
            </w:r>
            <w:proofErr w:type="spellStart"/>
            <w:r w:rsidRPr="00921FAC">
              <w:rPr>
                <w:rFonts w:cstheme="minorHAnsi"/>
                <w:b/>
                <w:sz w:val="20"/>
                <w:szCs w:val="20"/>
              </w:rPr>
              <w:t>energijski</w:t>
            </w:r>
            <w:proofErr w:type="spellEnd"/>
            <w:r w:rsidRPr="00921FAC">
              <w:rPr>
                <w:rFonts w:cstheme="minorHAnsi"/>
                <w:b/>
                <w:sz w:val="20"/>
                <w:szCs w:val="20"/>
              </w:rPr>
              <w:t xml:space="preserve"> </w:t>
            </w:r>
            <w:proofErr w:type="spellStart"/>
            <w:r w:rsidRPr="00921FAC">
              <w:rPr>
                <w:rFonts w:cstheme="minorHAnsi"/>
                <w:b/>
                <w:sz w:val="20"/>
                <w:szCs w:val="20"/>
              </w:rPr>
              <w:t>visokoefikasan</w:t>
            </w:r>
            <w:proofErr w:type="spellEnd"/>
            <w:r w:rsidRPr="00921FAC">
              <w:rPr>
                <w:rFonts w:cstheme="minorHAnsi"/>
                <w:b/>
                <w:sz w:val="20"/>
                <w:szCs w:val="20"/>
              </w:rPr>
              <w:t xml:space="preserve"> i </w:t>
            </w:r>
            <w:proofErr w:type="spellStart"/>
            <w:r w:rsidRPr="00921FAC">
              <w:rPr>
                <w:rFonts w:cstheme="minorHAnsi"/>
                <w:b/>
                <w:sz w:val="20"/>
                <w:szCs w:val="20"/>
              </w:rPr>
              <w:t>dekarboniziran</w:t>
            </w:r>
            <w:proofErr w:type="spellEnd"/>
            <w:r w:rsidRPr="00921FAC">
              <w:rPr>
                <w:rFonts w:cstheme="minorHAnsi"/>
                <w:b/>
                <w:sz w:val="20"/>
                <w:szCs w:val="20"/>
              </w:rPr>
              <w:t xml:space="preserve"> fond </w:t>
            </w:r>
            <w:proofErr w:type="spellStart"/>
            <w:r w:rsidRPr="00921FAC">
              <w:rPr>
                <w:rFonts w:cstheme="minorHAnsi"/>
                <w:b/>
                <w:sz w:val="20"/>
                <w:szCs w:val="20"/>
              </w:rPr>
              <w:t>zgrada</w:t>
            </w:r>
            <w:proofErr w:type="spellEnd"/>
            <w:r w:rsidRPr="00921FAC">
              <w:rPr>
                <w:rFonts w:cstheme="minorHAnsi"/>
                <w:b/>
                <w:sz w:val="20"/>
                <w:szCs w:val="20"/>
              </w:rPr>
              <w:t xml:space="preserve"> do 2050. </w:t>
            </w:r>
            <w:proofErr w:type="spellStart"/>
            <w:r w:rsidRPr="00921FAC">
              <w:rPr>
                <w:rFonts w:cstheme="minorHAnsi"/>
                <w:b/>
                <w:sz w:val="20"/>
                <w:szCs w:val="20"/>
              </w:rPr>
              <w:t>godine</w:t>
            </w:r>
            <w:proofErr w:type="spellEnd"/>
          </w:p>
        </w:tc>
      </w:tr>
      <w:tr w:rsidR="00A00D87" w:rsidRPr="00921FAC" w14:paraId="76DE0548" w14:textId="77777777" w:rsidTr="00122946">
        <w:trPr>
          <w:trHeight w:val="21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DD18AF"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Prioritet</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7C08C0EC" w14:textId="77777777" w:rsidR="00A00D87" w:rsidRPr="00921FAC" w:rsidRDefault="00A00D87" w:rsidP="00122946">
            <w:pPr>
              <w:spacing w:line="259" w:lineRule="auto"/>
              <w:ind w:left="32"/>
              <w:rPr>
                <w:rFonts w:cstheme="minorHAnsi"/>
                <w:sz w:val="20"/>
                <w:szCs w:val="20"/>
              </w:rPr>
            </w:pPr>
            <w:r w:rsidRPr="00921FAC">
              <w:rPr>
                <w:rFonts w:cstheme="minorHAnsi"/>
                <w:b/>
                <w:sz w:val="20"/>
                <w:szCs w:val="20"/>
              </w:rPr>
              <w:t xml:space="preserve">1.2. </w:t>
            </w:r>
            <w:proofErr w:type="spellStart"/>
            <w:r w:rsidRPr="00921FAC">
              <w:rPr>
                <w:rFonts w:cstheme="minorHAnsi"/>
                <w:b/>
                <w:sz w:val="20"/>
                <w:szCs w:val="20"/>
              </w:rPr>
              <w:t>Dekarbonizirati</w:t>
            </w:r>
            <w:proofErr w:type="spellEnd"/>
            <w:r w:rsidRPr="00921FAC">
              <w:rPr>
                <w:rFonts w:cstheme="minorHAnsi"/>
                <w:b/>
                <w:sz w:val="20"/>
                <w:szCs w:val="20"/>
              </w:rPr>
              <w:t xml:space="preserve"> </w:t>
            </w:r>
            <w:proofErr w:type="spellStart"/>
            <w:r w:rsidRPr="00921FAC">
              <w:rPr>
                <w:rFonts w:cstheme="minorHAnsi"/>
                <w:b/>
                <w:sz w:val="20"/>
                <w:szCs w:val="20"/>
              </w:rPr>
              <w:t>postojeći</w:t>
            </w:r>
            <w:proofErr w:type="spellEnd"/>
            <w:r w:rsidRPr="00921FAC">
              <w:rPr>
                <w:rFonts w:cstheme="minorHAnsi"/>
                <w:b/>
                <w:sz w:val="20"/>
                <w:szCs w:val="20"/>
              </w:rPr>
              <w:t xml:space="preserve"> fond </w:t>
            </w:r>
            <w:proofErr w:type="spellStart"/>
            <w:r w:rsidRPr="00921FAC">
              <w:rPr>
                <w:rFonts w:cstheme="minorHAnsi"/>
                <w:b/>
                <w:sz w:val="20"/>
                <w:szCs w:val="20"/>
              </w:rPr>
              <w:t>zgrada</w:t>
            </w:r>
            <w:proofErr w:type="spellEnd"/>
            <w:r w:rsidRPr="00921FAC">
              <w:rPr>
                <w:rFonts w:cstheme="minorHAnsi"/>
                <w:b/>
                <w:sz w:val="20"/>
                <w:szCs w:val="20"/>
              </w:rPr>
              <w:t xml:space="preserve"> FBiH</w:t>
            </w:r>
          </w:p>
        </w:tc>
      </w:tr>
      <w:tr w:rsidR="00A00D87" w:rsidRPr="00921FAC" w14:paraId="3C33F23B" w14:textId="77777777" w:rsidTr="00122946">
        <w:trPr>
          <w:trHeight w:val="425"/>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E7D9C8F"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Naziv</w:t>
            </w:r>
            <w:proofErr w:type="spellEnd"/>
            <w:r w:rsidRPr="00921FAC">
              <w:rPr>
                <w:rFonts w:cstheme="minorHAnsi"/>
                <w:b/>
                <w:sz w:val="20"/>
                <w:szCs w:val="20"/>
              </w:rPr>
              <w:t xml:space="preserve"> </w:t>
            </w:r>
            <w:proofErr w:type="spellStart"/>
            <w:r w:rsidRPr="00921FAC">
              <w:rPr>
                <w:rFonts w:cstheme="minorHAnsi"/>
                <w:b/>
                <w:sz w:val="20"/>
                <w:szCs w:val="20"/>
              </w:rPr>
              <w:t>mjere</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73EBE819" w14:textId="4D6FB25B" w:rsidR="00A00D87" w:rsidRPr="00921FAC" w:rsidRDefault="00A00D87" w:rsidP="00122946">
            <w:pPr>
              <w:spacing w:line="259" w:lineRule="auto"/>
              <w:ind w:left="635" w:hanging="574"/>
              <w:rPr>
                <w:rFonts w:cstheme="minorHAnsi"/>
                <w:sz w:val="20"/>
                <w:szCs w:val="20"/>
              </w:rPr>
            </w:pPr>
            <w:r w:rsidRPr="00921FAC">
              <w:rPr>
                <w:rFonts w:cstheme="minorHAnsi"/>
                <w:b/>
                <w:sz w:val="20"/>
                <w:szCs w:val="20"/>
              </w:rPr>
              <w:t xml:space="preserve">1.2.1. </w:t>
            </w:r>
            <w:r w:rsidRPr="00921FAC">
              <w:rPr>
                <w:rFonts w:cstheme="minorHAnsi"/>
                <w:sz w:val="20"/>
                <w:szCs w:val="20"/>
              </w:rPr>
              <w:t xml:space="preserve"> </w:t>
            </w:r>
            <w:proofErr w:type="spellStart"/>
            <w:r w:rsidRPr="00921FAC">
              <w:rPr>
                <w:rFonts w:cstheme="minorHAnsi"/>
                <w:b/>
                <w:sz w:val="20"/>
                <w:szCs w:val="20"/>
              </w:rPr>
              <w:t>Povećati</w:t>
            </w:r>
            <w:proofErr w:type="spellEnd"/>
            <w:r w:rsidRPr="00921FAC">
              <w:rPr>
                <w:rFonts w:cstheme="minorHAnsi"/>
                <w:b/>
                <w:sz w:val="20"/>
                <w:szCs w:val="20"/>
              </w:rPr>
              <w:t xml:space="preserve"> </w:t>
            </w:r>
            <w:proofErr w:type="spellStart"/>
            <w:r w:rsidRPr="00921FAC">
              <w:rPr>
                <w:rFonts w:cstheme="minorHAnsi"/>
                <w:b/>
                <w:sz w:val="20"/>
                <w:szCs w:val="20"/>
              </w:rPr>
              <w:t>udio</w:t>
            </w:r>
            <w:proofErr w:type="spellEnd"/>
            <w:r w:rsidRPr="00921FAC">
              <w:rPr>
                <w:rFonts w:cstheme="minorHAnsi"/>
                <w:b/>
                <w:sz w:val="20"/>
                <w:szCs w:val="20"/>
              </w:rPr>
              <w:t xml:space="preserve"> OIE i </w:t>
            </w:r>
            <w:proofErr w:type="spellStart"/>
            <w:r w:rsidRPr="00921FAC">
              <w:rPr>
                <w:rFonts w:cstheme="minorHAnsi"/>
                <w:b/>
                <w:sz w:val="20"/>
                <w:szCs w:val="20"/>
              </w:rPr>
              <w:t>sigurnost</w:t>
            </w:r>
            <w:proofErr w:type="spellEnd"/>
            <w:r w:rsidRPr="00921FAC">
              <w:rPr>
                <w:rFonts w:cstheme="minorHAnsi"/>
                <w:b/>
                <w:sz w:val="20"/>
                <w:szCs w:val="20"/>
              </w:rPr>
              <w:t xml:space="preserve"> </w:t>
            </w:r>
            <w:proofErr w:type="spellStart"/>
            <w:r w:rsidRPr="00921FAC">
              <w:rPr>
                <w:rFonts w:cstheme="minorHAnsi"/>
                <w:b/>
                <w:sz w:val="20"/>
                <w:szCs w:val="20"/>
              </w:rPr>
              <w:t>snabdijevanja</w:t>
            </w:r>
            <w:proofErr w:type="spellEnd"/>
            <w:r w:rsidRPr="00921FAC">
              <w:rPr>
                <w:rFonts w:cstheme="minorHAnsi"/>
                <w:b/>
                <w:sz w:val="20"/>
                <w:szCs w:val="20"/>
              </w:rPr>
              <w:t xml:space="preserve"> </w:t>
            </w:r>
            <w:proofErr w:type="spellStart"/>
            <w:r w:rsidRPr="00921FAC">
              <w:rPr>
                <w:rFonts w:cstheme="minorHAnsi"/>
                <w:b/>
                <w:sz w:val="20"/>
                <w:szCs w:val="20"/>
              </w:rPr>
              <w:t>energentima</w:t>
            </w:r>
            <w:proofErr w:type="spellEnd"/>
            <w:r w:rsidRPr="00921FAC">
              <w:rPr>
                <w:rFonts w:cstheme="minorHAnsi"/>
                <w:b/>
                <w:sz w:val="20"/>
                <w:szCs w:val="20"/>
              </w:rPr>
              <w:t xml:space="preserve"> u </w:t>
            </w:r>
            <w:proofErr w:type="spellStart"/>
            <w:r w:rsidRPr="00921FAC">
              <w:rPr>
                <w:rFonts w:cstheme="minorHAnsi"/>
                <w:b/>
                <w:sz w:val="20"/>
                <w:szCs w:val="20"/>
              </w:rPr>
              <w:t>sektoru</w:t>
            </w:r>
            <w:proofErr w:type="spellEnd"/>
            <w:r w:rsidRPr="00921FAC">
              <w:rPr>
                <w:rFonts w:cstheme="minorHAnsi"/>
                <w:b/>
                <w:sz w:val="20"/>
                <w:szCs w:val="20"/>
              </w:rPr>
              <w:t xml:space="preserve"> </w:t>
            </w:r>
            <w:proofErr w:type="spellStart"/>
            <w:r w:rsidRPr="00921FAC">
              <w:rPr>
                <w:rFonts w:cstheme="minorHAnsi"/>
                <w:b/>
                <w:sz w:val="20"/>
                <w:szCs w:val="20"/>
              </w:rPr>
              <w:t>zgradarstva</w:t>
            </w:r>
            <w:proofErr w:type="spellEnd"/>
          </w:p>
        </w:tc>
      </w:tr>
      <w:tr w:rsidR="00A00D87" w:rsidRPr="001972F5" w14:paraId="7A005B85"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FE091AF"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Opis</w:t>
            </w:r>
            <w:proofErr w:type="spellEnd"/>
            <w:r w:rsidRPr="00921FAC">
              <w:rPr>
                <w:rFonts w:cstheme="minorHAnsi"/>
                <w:b/>
                <w:sz w:val="20"/>
                <w:szCs w:val="20"/>
              </w:rPr>
              <w:t xml:space="preserve"> </w:t>
            </w:r>
            <w:proofErr w:type="spellStart"/>
            <w:r w:rsidRPr="00921FAC">
              <w:rPr>
                <w:rFonts w:cstheme="minorHAnsi"/>
                <w:b/>
                <w:sz w:val="20"/>
                <w:szCs w:val="20"/>
              </w:rPr>
              <w:t>mjere</w:t>
            </w:r>
            <w:proofErr w:type="spellEnd"/>
            <w:r w:rsidRPr="00921FAC">
              <w:rPr>
                <w:rFonts w:cstheme="minorHAnsi"/>
                <w:b/>
                <w:sz w:val="20"/>
                <w:szCs w:val="20"/>
              </w:rPr>
              <w:t xml:space="preserve"> </w:t>
            </w:r>
            <w:proofErr w:type="spellStart"/>
            <w:r w:rsidRPr="00921FAC">
              <w:rPr>
                <w:rFonts w:cstheme="minorHAnsi"/>
                <w:b/>
                <w:sz w:val="20"/>
                <w:szCs w:val="20"/>
              </w:rPr>
              <w:t>sa</w:t>
            </w:r>
            <w:proofErr w:type="spellEnd"/>
            <w:r w:rsidRPr="00921FAC">
              <w:rPr>
                <w:rFonts w:cstheme="minorHAnsi"/>
                <w:b/>
                <w:sz w:val="20"/>
                <w:szCs w:val="20"/>
              </w:rPr>
              <w:t xml:space="preserve"> </w:t>
            </w:r>
            <w:proofErr w:type="spellStart"/>
            <w:r w:rsidRPr="00921FAC">
              <w:rPr>
                <w:rFonts w:cstheme="minorHAnsi"/>
                <w:b/>
                <w:sz w:val="20"/>
                <w:szCs w:val="20"/>
              </w:rPr>
              <w:t>okvirnim</w:t>
            </w:r>
            <w:proofErr w:type="spellEnd"/>
            <w:r w:rsidRPr="00921FAC">
              <w:rPr>
                <w:rFonts w:cstheme="minorHAnsi"/>
                <w:b/>
                <w:sz w:val="20"/>
                <w:szCs w:val="20"/>
              </w:rPr>
              <w:t xml:space="preserve"> </w:t>
            </w:r>
            <w:proofErr w:type="spellStart"/>
            <w:r w:rsidRPr="00921FAC">
              <w:rPr>
                <w:rFonts w:cstheme="minorHAnsi"/>
                <w:b/>
                <w:sz w:val="20"/>
                <w:szCs w:val="20"/>
              </w:rPr>
              <w:t>područjima</w:t>
            </w:r>
            <w:proofErr w:type="spellEnd"/>
            <w:r w:rsidRPr="00921FAC">
              <w:rPr>
                <w:rFonts w:cstheme="minorHAnsi"/>
                <w:b/>
                <w:sz w:val="20"/>
                <w:szCs w:val="20"/>
              </w:rPr>
              <w:t xml:space="preserve"> </w:t>
            </w:r>
            <w:proofErr w:type="spellStart"/>
            <w:r w:rsidRPr="00921FAC">
              <w:rPr>
                <w:rFonts w:cstheme="minorHAnsi"/>
                <w:b/>
                <w:sz w:val="20"/>
                <w:szCs w:val="20"/>
              </w:rPr>
              <w:t>djelovanja</w:t>
            </w:r>
            <w:proofErr w:type="spellEnd"/>
          </w:p>
        </w:tc>
        <w:tc>
          <w:tcPr>
            <w:tcW w:w="7249" w:type="dxa"/>
            <w:gridSpan w:val="3"/>
            <w:tcBorders>
              <w:top w:val="single" w:sz="4" w:space="0" w:color="000000"/>
              <w:left w:val="single" w:sz="4" w:space="0" w:color="000000"/>
              <w:bottom w:val="single" w:sz="4" w:space="0" w:color="000000"/>
              <w:right w:val="single" w:sz="4" w:space="0" w:color="000000"/>
            </w:tcBorders>
          </w:tcPr>
          <w:p w14:paraId="5541AEA7" w14:textId="77777777" w:rsidR="00A00D87" w:rsidRPr="00921FAC" w:rsidRDefault="00A00D87" w:rsidP="00E6560A">
            <w:pPr>
              <w:jc w:val="both"/>
              <w:rPr>
                <w:rFonts w:cstheme="minorHAnsi"/>
                <w:sz w:val="20"/>
                <w:szCs w:val="20"/>
              </w:rPr>
            </w:pPr>
            <w:bookmarkStart w:id="273" w:name="_Hlk126132456"/>
            <w:proofErr w:type="spellStart"/>
            <w:r w:rsidRPr="00921FAC">
              <w:rPr>
                <w:rFonts w:cstheme="minorHAnsi"/>
                <w:sz w:val="20"/>
                <w:szCs w:val="20"/>
              </w:rPr>
              <w:t>Cilj</w:t>
            </w:r>
            <w:proofErr w:type="spellEnd"/>
            <w:r w:rsidRPr="00921FAC">
              <w:rPr>
                <w:rFonts w:cstheme="minorHAnsi"/>
                <w:sz w:val="20"/>
                <w:szCs w:val="20"/>
              </w:rPr>
              <w:t xml:space="preserve"> </w:t>
            </w:r>
            <w:proofErr w:type="spellStart"/>
            <w:r w:rsidRPr="00921FAC">
              <w:rPr>
                <w:rFonts w:cstheme="minorHAnsi"/>
                <w:sz w:val="20"/>
                <w:szCs w:val="20"/>
              </w:rPr>
              <w:t>mjere</w:t>
            </w:r>
            <w:proofErr w:type="spellEnd"/>
            <w:r w:rsidRPr="00921FAC">
              <w:rPr>
                <w:rFonts w:cstheme="minorHAnsi"/>
                <w:sz w:val="20"/>
                <w:szCs w:val="20"/>
              </w:rPr>
              <w:t xml:space="preserve"> je </w:t>
            </w:r>
            <w:proofErr w:type="spellStart"/>
            <w:r w:rsidRPr="00921FAC">
              <w:rPr>
                <w:rFonts w:cstheme="minorHAnsi"/>
                <w:sz w:val="20"/>
                <w:szCs w:val="20"/>
              </w:rPr>
              <w:t>kreiranje</w:t>
            </w:r>
            <w:proofErr w:type="spellEnd"/>
            <w:r w:rsidRPr="00921FAC">
              <w:rPr>
                <w:rFonts w:cstheme="minorHAnsi"/>
                <w:sz w:val="20"/>
                <w:szCs w:val="20"/>
              </w:rPr>
              <w:t xml:space="preserve"> </w:t>
            </w:r>
            <w:proofErr w:type="spellStart"/>
            <w:r w:rsidRPr="00921FAC">
              <w:rPr>
                <w:rFonts w:cstheme="minorHAnsi"/>
                <w:sz w:val="20"/>
                <w:szCs w:val="20"/>
              </w:rPr>
              <w:t>povoljnog</w:t>
            </w:r>
            <w:proofErr w:type="spellEnd"/>
            <w:r w:rsidRPr="00921FAC">
              <w:rPr>
                <w:rFonts w:cstheme="minorHAnsi"/>
                <w:sz w:val="20"/>
                <w:szCs w:val="20"/>
              </w:rPr>
              <w:t xml:space="preserve"> </w:t>
            </w:r>
            <w:proofErr w:type="spellStart"/>
            <w:r w:rsidRPr="00921FAC">
              <w:rPr>
                <w:rFonts w:cstheme="minorHAnsi"/>
                <w:sz w:val="20"/>
                <w:szCs w:val="20"/>
              </w:rPr>
              <w:t>okruženja</w:t>
            </w:r>
            <w:proofErr w:type="spellEnd"/>
            <w:r w:rsidRPr="00921FAC">
              <w:rPr>
                <w:rFonts w:cstheme="minorHAnsi"/>
                <w:sz w:val="20"/>
                <w:szCs w:val="20"/>
              </w:rPr>
              <w:t xml:space="preserve"> </w:t>
            </w:r>
            <w:proofErr w:type="gramStart"/>
            <w:r w:rsidRPr="00921FAC">
              <w:rPr>
                <w:rFonts w:cstheme="minorHAnsi"/>
                <w:sz w:val="20"/>
                <w:szCs w:val="20"/>
              </w:rPr>
              <w:t xml:space="preserve">za  </w:t>
            </w:r>
            <w:proofErr w:type="spellStart"/>
            <w:r w:rsidRPr="00921FAC">
              <w:rPr>
                <w:rFonts w:cstheme="minorHAnsi"/>
                <w:sz w:val="20"/>
                <w:szCs w:val="20"/>
              </w:rPr>
              <w:t>prelazak</w:t>
            </w:r>
            <w:proofErr w:type="spellEnd"/>
            <w:proofErr w:type="gramEnd"/>
            <w:r w:rsidRPr="00921FAC">
              <w:rPr>
                <w:rFonts w:cstheme="minorHAnsi"/>
                <w:sz w:val="20"/>
                <w:szCs w:val="20"/>
              </w:rPr>
              <w:t xml:space="preserve">  </w:t>
            </w:r>
            <w:proofErr w:type="spellStart"/>
            <w:r w:rsidRPr="00921FAC">
              <w:rPr>
                <w:rFonts w:cstheme="minorHAnsi"/>
                <w:sz w:val="20"/>
                <w:szCs w:val="20"/>
              </w:rPr>
              <w:t>sektora</w:t>
            </w:r>
            <w:proofErr w:type="spellEnd"/>
            <w:r w:rsidRPr="00921FAC">
              <w:rPr>
                <w:rFonts w:cstheme="minorHAnsi"/>
                <w:sz w:val="20"/>
                <w:szCs w:val="20"/>
              </w:rPr>
              <w:t xml:space="preserve"> </w:t>
            </w:r>
            <w:proofErr w:type="spellStart"/>
            <w:r w:rsidRPr="00921FAC">
              <w:rPr>
                <w:rFonts w:cstheme="minorHAnsi"/>
                <w:sz w:val="20"/>
                <w:szCs w:val="20"/>
              </w:rPr>
              <w:t>zgradarstva</w:t>
            </w:r>
            <w:proofErr w:type="spellEnd"/>
            <w:r w:rsidRPr="00921FAC">
              <w:rPr>
                <w:rFonts w:cstheme="minorHAnsi"/>
                <w:sz w:val="20"/>
                <w:szCs w:val="20"/>
              </w:rPr>
              <w:t xml:space="preserve"> </w:t>
            </w:r>
            <w:proofErr w:type="spellStart"/>
            <w:r w:rsidRPr="00921FAC">
              <w:rPr>
                <w:rFonts w:cstheme="minorHAnsi"/>
                <w:sz w:val="20"/>
                <w:szCs w:val="20"/>
              </w:rPr>
              <w:t>na</w:t>
            </w:r>
            <w:proofErr w:type="spellEnd"/>
            <w:r w:rsidRPr="00921FAC">
              <w:rPr>
                <w:rFonts w:cstheme="minorHAnsi"/>
                <w:sz w:val="20"/>
                <w:szCs w:val="20"/>
              </w:rPr>
              <w:t xml:space="preserve"> </w:t>
            </w:r>
            <w:proofErr w:type="spellStart"/>
            <w:r w:rsidRPr="00921FAC">
              <w:rPr>
                <w:rFonts w:cstheme="minorHAnsi"/>
                <w:sz w:val="20"/>
                <w:szCs w:val="20"/>
              </w:rPr>
              <w:t>čistu</w:t>
            </w:r>
            <w:proofErr w:type="spellEnd"/>
            <w:r w:rsidRPr="00921FAC">
              <w:rPr>
                <w:rFonts w:cstheme="minorHAnsi"/>
                <w:sz w:val="20"/>
                <w:szCs w:val="20"/>
              </w:rPr>
              <w:t xml:space="preserve"> </w:t>
            </w:r>
            <w:proofErr w:type="spellStart"/>
            <w:r w:rsidRPr="00921FAC">
              <w:rPr>
                <w:rFonts w:cstheme="minorHAnsi"/>
                <w:sz w:val="20"/>
                <w:szCs w:val="20"/>
              </w:rPr>
              <w:t>energiju</w:t>
            </w:r>
            <w:proofErr w:type="spellEnd"/>
            <w:r w:rsidRPr="00921FAC">
              <w:rPr>
                <w:rFonts w:cstheme="minorHAnsi"/>
                <w:sz w:val="20"/>
                <w:szCs w:val="20"/>
              </w:rPr>
              <w:t xml:space="preserve">, </w:t>
            </w:r>
            <w:proofErr w:type="spellStart"/>
            <w:r w:rsidRPr="00921FAC">
              <w:rPr>
                <w:rFonts w:cstheme="minorHAnsi"/>
                <w:sz w:val="20"/>
                <w:szCs w:val="20"/>
              </w:rPr>
              <w:t>što</w:t>
            </w:r>
            <w:proofErr w:type="spellEnd"/>
            <w:r w:rsidRPr="00921FAC">
              <w:rPr>
                <w:rFonts w:cstheme="minorHAnsi"/>
                <w:sz w:val="20"/>
                <w:szCs w:val="20"/>
              </w:rPr>
              <w:t xml:space="preserve"> </w:t>
            </w:r>
            <w:proofErr w:type="spellStart"/>
            <w:r w:rsidRPr="00921FAC">
              <w:rPr>
                <w:rFonts w:cstheme="minorHAnsi"/>
                <w:sz w:val="20"/>
                <w:szCs w:val="20"/>
              </w:rPr>
              <w:t>između</w:t>
            </w:r>
            <w:proofErr w:type="spellEnd"/>
            <w:r w:rsidRPr="00921FAC">
              <w:rPr>
                <w:rFonts w:cstheme="minorHAnsi"/>
                <w:sz w:val="20"/>
                <w:szCs w:val="20"/>
              </w:rPr>
              <w:t xml:space="preserve"> </w:t>
            </w:r>
            <w:proofErr w:type="spellStart"/>
            <w:r w:rsidRPr="00921FAC">
              <w:rPr>
                <w:rFonts w:cstheme="minorHAnsi"/>
                <w:sz w:val="20"/>
                <w:szCs w:val="20"/>
              </w:rPr>
              <w:t>ostalog</w:t>
            </w:r>
            <w:proofErr w:type="spellEnd"/>
            <w:r w:rsidRPr="00921FAC">
              <w:rPr>
                <w:rFonts w:cstheme="minorHAnsi"/>
                <w:sz w:val="20"/>
                <w:szCs w:val="20"/>
              </w:rPr>
              <w:t xml:space="preserve"> </w:t>
            </w:r>
            <w:proofErr w:type="spellStart"/>
            <w:r w:rsidRPr="00921FAC">
              <w:rPr>
                <w:rFonts w:cstheme="minorHAnsi"/>
                <w:sz w:val="20"/>
                <w:szCs w:val="20"/>
              </w:rPr>
              <w:t>podrazumijeva</w:t>
            </w:r>
            <w:proofErr w:type="spellEnd"/>
            <w:r w:rsidRPr="00921FAC">
              <w:rPr>
                <w:rFonts w:cstheme="minorHAnsi"/>
                <w:sz w:val="20"/>
                <w:szCs w:val="20"/>
              </w:rPr>
              <w:t xml:space="preserve"> </w:t>
            </w:r>
            <w:proofErr w:type="spellStart"/>
            <w:r w:rsidRPr="00921FAC">
              <w:rPr>
                <w:rFonts w:cstheme="minorHAnsi"/>
                <w:sz w:val="20"/>
                <w:szCs w:val="20"/>
              </w:rPr>
              <w:t>razvoj</w:t>
            </w:r>
            <w:proofErr w:type="spellEnd"/>
            <w:r w:rsidRPr="00921FAC">
              <w:rPr>
                <w:rFonts w:cstheme="minorHAnsi"/>
                <w:sz w:val="20"/>
                <w:szCs w:val="20"/>
              </w:rPr>
              <w:t xml:space="preserve"> </w:t>
            </w:r>
            <w:proofErr w:type="spellStart"/>
            <w:r w:rsidRPr="00921FAC">
              <w:rPr>
                <w:rFonts w:cstheme="minorHAnsi"/>
                <w:sz w:val="20"/>
                <w:szCs w:val="20"/>
              </w:rPr>
              <w:t>obnovljivih</w:t>
            </w:r>
            <w:proofErr w:type="spellEnd"/>
            <w:r w:rsidRPr="00921FAC">
              <w:rPr>
                <w:rFonts w:cstheme="minorHAnsi"/>
                <w:sz w:val="20"/>
                <w:szCs w:val="20"/>
              </w:rPr>
              <w:t xml:space="preserve"> </w:t>
            </w:r>
            <w:proofErr w:type="spellStart"/>
            <w:r w:rsidRPr="00921FAC">
              <w:rPr>
                <w:rFonts w:cstheme="minorHAnsi"/>
                <w:sz w:val="20"/>
                <w:szCs w:val="20"/>
              </w:rPr>
              <w:t>izvora</w:t>
            </w:r>
            <w:proofErr w:type="spellEnd"/>
            <w:r w:rsidRPr="00921FAC">
              <w:rPr>
                <w:rFonts w:cstheme="minorHAnsi"/>
                <w:sz w:val="20"/>
                <w:szCs w:val="20"/>
              </w:rPr>
              <w:t xml:space="preserve"> energije, </w:t>
            </w:r>
            <w:proofErr w:type="spellStart"/>
            <w:r w:rsidRPr="00921FAC">
              <w:rPr>
                <w:rFonts w:cstheme="minorHAnsi"/>
                <w:sz w:val="20"/>
                <w:szCs w:val="20"/>
              </w:rPr>
              <w:t>jačanje</w:t>
            </w:r>
            <w:proofErr w:type="spellEnd"/>
            <w:r w:rsidRPr="00921FAC">
              <w:rPr>
                <w:rFonts w:cstheme="minorHAnsi"/>
                <w:sz w:val="20"/>
                <w:szCs w:val="20"/>
              </w:rPr>
              <w:t xml:space="preserve"> </w:t>
            </w:r>
            <w:proofErr w:type="spellStart"/>
            <w:r w:rsidRPr="00921FAC">
              <w:rPr>
                <w:rFonts w:cstheme="minorHAnsi"/>
                <w:sz w:val="20"/>
                <w:szCs w:val="20"/>
              </w:rPr>
              <w:t>energijske</w:t>
            </w:r>
            <w:proofErr w:type="spellEnd"/>
            <w:r w:rsidRPr="00921FAC">
              <w:rPr>
                <w:rFonts w:cstheme="minorHAnsi"/>
                <w:sz w:val="20"/>
                <w:szCs w:val="20"/>
              </w:rPr>
              <w:t xml:space="preserve"> </w:t>
            </w:r>
            <w:proofErr w:type="spellStart"/>
            <w:r w:rsidRPr="00921FAC">
              <w:rPr>
                <w:rFonts w:cstheme="minorHAnsi"/>
                <w:sz w:val="20"/>
                <w:szCs w:val="20"/>
              </w:rPr>
              <w:t>sigurnosti</w:t>
            </w:r>
            <w:proofErr w:type="spellEnd"/>
            <w:r w:rsidRPr="00921FAC">
              <w:rPr>
                <w:rFonts w:cstheme="minorHAnsi"/>
                <w:sz w:val="20"/>
                <w:szCs w:val="20"/>
              </w:rPr>
              <w:t xml:space="preserve">, </w:t>
            </w:r>
            <w:proofErr w:type="spellStart"/>
            <w:r w:rsidRPr="00921FAC">
              <w:rPr>
                <w:rFonts w:cstheme="minorHAnsi"/>
                <w:sz w:val="20"/>
                <w:szCs w:val="20"/>
              </w:rPr>
              <w:t>te</w:t>
            </w:r>
            <w:proofErr w:type="spellEnd"/>
            <w:r w:rsidRPr="00921FAC">
              <w:rPr>
                <w:rFonts w:cstheme="minorHAnsi"/>
                <w:sz w:val="20"/>
                <w:szCs w:val="20"/>
              </w:rPr>
              <w:t xml:space="preserve"> </w:t>
            </w:r>
            <w:proofErr w:type="spellStart"/>
            <w:r w:rsidRPr="00921FAC">
              <w:rPr>
                <w:rFonts w:cstheme="minorHAnsi"/>
                <w:sz w:val="20"/>
                <w:szCs w:val="20"/>
              </w:rPr>
              <w:t>rješavanje</w:t>
            </w:r>
            <w:proofErr w:type="spellEnd"/>
            <w:r w:rsidRPr="00921FAC">
              <w:rPr>
                <w:rFonts w:cstheme="minorHAnsi"/>
                <w:sz w:val="20"/>
                <w:szCs w:val="20"/>
              </w:rPr>
              <w:t xml:space="preserve"> </w:t>
            </w:r>
            <w:proofErr w:type="spellStart"/>
            <w:r w:rsidRPr="00921FAC">
              <w:rPr>
                <w:rFonts w:cstheme="minorHAnsi"/>
                <w:sz w:val="20"/>
                <w:szCs w:val="20"/>
              </w:rPr>
              <w:t>zagađenja</w:t>
            </w:r>
            <w:proofErr w:type="spellEnd"/>
            <w:r w:rsidRPr="00921FAC">
              <w:rPr>
                <w:rFonts w:cstheme="minorHAnsi"/>
                <w:sz w:val="20"/>
                <w:szCs w:val="20"/>
              </w:rPr>
              <w:t xml:space="preserve"> </w:t>
            </w:r>
            <w:proofErr w:type="spellStart"/>
            <w:r w:rsidRPr="00921FAC">
              <w:rPr>
                <w:rFonts w:cstheme="minorHAnsi"/>
                <w:sz w:val="20"/>
                <w:szCs w:val="20"/>
              </w:rPr>
              <w:t>zraka</w:t>
            </w:r>
            <w:proofErr w:type="spellEnd"/>
            <w:r w:rsidRPr="00921FAC">
              <w:rPr>
                <w:rFonts w:cstheme="minorHAnsi"/>
                <w:sz w:val="20"/>
                <w:szCs w:val="20"/>
              </w:rPr>
              <w:t xml:space="preserve"> i  </w:t>
            </w:r>
            <w:proofErr w:type="spellStart"/>
            <w:r w:rsidRPr="00921FAC">
              <w:rPr>
                <w:rFonts w:cstheme="minorHAnsi"/>
                <w:sz w:val="20"/>
                <w:szCs w:val="20"/>
              </w:rPr>
              <w:t>smanjenje</w:t>
            </w:r>
            <w:proofErr w:type="spellEnd"/>
            <w:r w:rsidRPr="00921FAC">
              <w:rPr>
                <w:rFonts w:cstheme="minorHAnsi"/>
                <w:sz w:val="20"/>
                <w:szCs w:val="20"/>
              </w:rPr>
              <w:t xml:space="preserve"> </w:t>
            </w:r>
            <w:proofErr w:type="spellStart"/>
            <w:r w:rsidRPr="00921FAC">
              <w:rPr>
                <w:rFonts w:cstheme="minorHAnsi"/>
                <w:sz w:val="20"/>
                <w:szCs w:val="20"/>
              </w:rPr>
              <w:t>negativnih</w:t>
            </w:r>
            <w:proofErr w:type="spellEnd"/>
            <w:r w:rsidRPr="00921FAC">
              <w:rPr>
                <w:rFonts w:cstheme="minorHAnsi"/>
                <w:sz w:val="20"/>
                <w:szCs w:val="20"/>
              </w:rPr>
              <w:t xml:space="preserve"> </w:t>
            </w:r>
            <w:proofErr w:type="spellStart"/>
            <w:r w:rsidRPr="00921FAC">
              <w:rPr>
                <w:rFonts w:cstheme="minorHAnsi"/>
                <w:sz w:val="20"/>
                <w:szCs w:val="20"/>
              </w:rPr>
              <w:t>uticaja</w:t>
            </w:r>
            <w:proofErr w:type="spellEnd"/>
            <w:r w:rsidRPr="00921FAC">
              <w:rPr>
                <w:rFonts w:cstheme="minorHAnsi"/>
                <w:sz w:val="20"/>
                <w:szCs w:val="20"/>
              </w:rPr>
              <w:t xml:space="preserve"> </w:t>
            </w:r>
            <w:proofErr w:type="spellStart"/>
            <w:r w:rsidRPr="00921FAC">
              <w:rPr>
                <w:rFonts w:cstheme="minorHAnsi"/>
                <w:sz w:val="20"/>
                <w:szCs w:val="20"/>
              </w:rPr>
              <w:t>na</w:t>
            </w:r>
            <w:proofErr w:type="spellEnd"/>
            <w:r w:rsidRPr="00921FAC">
              <w:rPr>
                <w:rFonts w:cstheme="minorHAnsi"/>
                <w:sz w:val="20"/>
                <w:szCs w:val="20"/>
              </w:rPr>
              <w:t xml:space="preserve"> </w:t>
            </w:r>
            <w:proofErr w:type="spellStart"/>
            <w:r w:rsidRPr="00921FAC">
              <w:rPr>
                <w:rFonts w:cstheme="minorHAnsi"/>
                <w:sz w:val="20"/>
                <w:szCs w:val="20"/>
              </w:rPr>
              <w:t>zdravlje</w:t>
            </w:r>
            <w:proofErr w:type="spellEnd"/>
            <w:r w:rsidRPr="00921FAC">
              <w:rPr>
                <w:rFonts w:cstheme="minorHAnsi"/>
                <w:sz w:val="20"/>
                <w:szCs w:val="20"/>
              </w:rPr>
              <w:t xml:space="preserve"> </w:t>
            </w:r>
            <w:proofErr w:type="spellStart"/>
            <w:r w:rsidRPr="00921FAC">
              <w:rPr>
                <w:rFonts w:cstheme="minorHAnsi"/>
                <w:sz w:val="20"/>
                <w:szCs w:val="20"/>
              </w:rPr>
              <w:t>stanovništva</w:t>
            </w:r>
            <w:proofErr w:type="spellEnd"/>
            <w:r w:rsidRPr="00921FAC">
              <w:rPr>
                <w:rFonts w:cstheme="minorHAnsi"/>
                <w:sz w:val="20"/>
                <w:szCs w:val="20"/>
              </w:rPr>
              <w:t>.</w:t>
            </w:r>
          </w:p>
          <w:p w14:paraId="53D632D4" w14:textId="77777777" w:rsidR="00A00D87" w:rsidRPr="00921FAC" w:rsidRDefault="00A00D87" w:rsidP="00E6560A">
            <w:pPr>
              <w:jc w:val="both"/>
              <w:rPr>
                <w:rFonts w:cstheme="minorHAnsi"/>
                <w:sz w:val="20"/>
                <w:szCs w:val="20"/>
              </w:rPr>
            </w:pPr>
            <w:proofErr w:type="spellStart"/>
            <w:r w:rsidRPr="00921FAC">
              <w:rPr>
                <w:rFonts w:cstheme="minorHAnsi"/>
                <w:sz w:val="20"/>
                <w:szCs w:val="20"/>
              </w:rPr>
              <w:t>Korištenje</w:t>
            </w:r>
            <w:proofErr w:type="spellEnd"/>
            <w:r w:rsidRPr="00921FAC">
              <w:rPr>
                <w:rFonts w:cstheme="minorHAnsi"/>
                <w:sz w:val="20"/>
                <w:szCs w:val="20"/>
              </w:rPr>
              <w:t xml:space="preserve"> </w:t>
            </w:r>
            <w:proofErr w:type="spellStart"/>
            <w:r w:rsidRPr="00921FAC">
              <w:rPr>
                <w:rFonts w:cstheme="minorHAnsi"/>
                <w:sz w:val="20"/>
                <w:szCs w:val="20"/>
              </w:rPr>
              <w:t>lokalnih</w:t>
            </w:r>
            <w:proofErr w:type="spellEnd"/>
            <w:r w:rsidRPr="00921FAC">
              <w:rPr>
                <w:rFonts w:cstheme="minorHAnsi"/>
                <w:sz w:val="20"/>
                <w:szCs w:val="20"/>
              </w:rPr>
              <w:t xml:space="preserve"> </w:t>
            </w:r>
            <w:proofErr w:type="spellStart"/>
            <w:r w:rsidRPr="00921FAC">
              <w:rPr>
                <w:rFonts w:cstheme="minorHAnsi"/>
                <w:sz w:val="20"/>
                <w:szCs w:val="20"/>
              </w:rPr>
              <w:t>obnovljivih</w:t>
            </w:r>
            <w:proofErr w:type="spellEnd"/>
            <w:r w:rsidRPr="00921FAC">
              <w:rPr>
                <w:rFonts w:cstheme="minorHAnsi"/>
                <w:sz w:val="20"/>
                <w:szCs w:val="20"/>
              </w:rPr>
              <w:t xml:space="preserve"> </w:t>
            </w:r>
            <w:proofErr w:type="spellStart"/>
            <w:r w:rsidRPr="00921FAC">
              <w:rPr>
                <w:rFonts w:cstheme="minorHAnsi"/>
                <w:sz w:val="20"/>
                <w:szCs w:val="20"/>
              </w:rPr>
              <w:t>izvora</w:t>
            </w:r>
            <w:proofErr w:type="spellEnd"/>
            <w:r w:rsidRPr="00921FAC">
              <w:rPr>
                <w:rFonts w:cstheme="minorHAnsi"/>
                <w:sz w:val="20"/>
                <w:szCs w:val="20"/>
              </w:rPr>
              <w:t xml:space="preserve"> energije </w:t>
            </w:r>
            <w:proofErr w:type="spellStart"/>
            <w:r w:rsidRPr="00921FAC">
              <w:rPr>
                <w:rFonts w:cstheme="minorHAnsi"/>
                <w:sz w:val="20"/>
                <w:szCs w:val="20"/>
              </w:rPr>
              <w:t>pokazalo</w:t>
            </w:r>
            <w:proofErr w:type="spellEnd"/>
            <w:r w:rsidRPr="00921FAC">
              <w:rPr>
                <w:rFonts w:cstheme="minorHAnsi"/>
                <w:sz w:val="20"/>
                <w:szCs w:val="20"/>
              </w:rPr>
              <w:t xml:space="preserve"> se </w:t>
            </w:r>
            <w:proofErr w:type="spellStart"/>
            <w:r w:rsidRPr="00921FAC">
              <w:rPr>
                <w:rFonts w:cstheme="minorHAnsi"/>
                <w:sz w:val="20"/>
                <w:szCs w:val="20"/>
              </w:rPr>
              <w:t>kao</w:t>
            </w:r>
            <w:proofErr w:type="spellEnd"/>
            <w:r w:rsidRPr="00921FAC">
              <w:rPr>
                <w:rFonts w:cstheme="minorHAnsi"/>
                <w:sz w:val="20"/>
                <w:szCs w:val="20"/>
              </w:rPr>
              <w:t xml:space="preserve"> </w:t>
            </w:r>
            <w:proofErr w:type="spellStart"/>
            <w:r w:rsidRPr="00921FAC">
              <w:rPr>
                <w:rFonts w:cstheme="minorHAnsi"/>
                <w:sz w:val="20"/>
                <w:szCs w:val="20"/>
              </w:rPr>
              <w:t>prioritetno</w:t>
            </w:r>
            <w:proofErr w:type="spellEnd"/>
            <w:r w:rsidRPr="00921FAC">
              <w:rPr>
                <w:rFonts w:cstheme="minorHAnsi"/>
                <w:sz w:val="20"/>
                <w:szCs w:val="20"/>
              </w:rPr>
              <w:t xml:space="preserve"> u </w:t>
            </w:r>
            <w:proofErr w:type="spellStart"/>
            <w:r w:rsidRPr="00921FAC">
              <w:rPr>
                <w:rFonts w:cstheme="minorHAnsi"/>
                <w:sz w:val="20"/>
                <w:szCs w:val="20"/>
              </w:rPr>
              <w:t>okolnostima</w:t>
            </w:r>
            <w:proofErr w:type="spellEnd"/>
            <w:r w:rsidRPr="00921FAC">
              <w:rPr>
                <w:rFonts w:cstheme="minorHAnsi"/>
                <w:sz w:val="20"/>
                <w:szCs w:val="20"/>
              </w:rPr>
              <w:t xml:space="preserve"> </w:t>
            </w:r>
            <w:proofErr w:type="spellStart"/>
            <w:r w:rsidRPr="00921FAC">
              <w:rPr>
                <w:rFonts w:cstheme="minorHAnsi"/>
                <w:sz w:val="20"/>
                <w:szCs w:val="20"/>
              </w:rPr>
              <w:t>globalne</w:t>
            </w:r>
            <w:proofErr w:type="spellEnd"/>
            <w:r w:rsidRPr="00921FAC">
              <w:rPr>
                <w:rFonts w:cstheme="minorHAnsi"/>
                <w:sz w:val="20"/>
                <w:szCs w:val="20"/>
              </w:rPr>
              <w:t xml:space="preserve"> </w:t>
            </w:r>
            <w:proofErr w:type="spellStart"/>
            <w:r w:rsidRPr="00921FAC">
              <w:rPr>
                <w:rFonts w:cstheme="minorHAnsi"/>
                <w:sz w:val="20"/>
                <w:szCs w:val="20"/>
              </w:rPr>
              <w:t>energetske</w:t>
            </w:r>
            <w:proofErr w:type="spellEnd"/>
            <w:r w:rsidRPr="00921FAC">
              <w:rPr>
                <w:rFonts w:cstheme="minorHAnsi"/>
                <w:sz w:val="20"/>
                <w:szCs w:val="20"/>
              </w:rPr>
              <w:t xml:space="preserve"> </w:t>
            </w:r>
            <w:proofErr w:type="spellStart"/>
            <w:r w:rsidRPr="00921FAC">
              <w:rPr>
                <w:rFonts w:cstheme="minorHAnsi"/>
                <w:sz w:val="20"/>
                <w:szCs w:val="20"/>
              </w:rPr>
              <w:t>krize</w:t>
            </w:r>
            <w:proofErr w:type="spellEnd"/>
            <w:r w:rsidRPr="00921FAC">
              <w:rPr>
                <w:rFonts w:cstheme="minorHAnsi"/>
                <w:sz w:val="20"/>
                <w:szCs w:val="20"/>
              </w:rPr>
              <w:t xml:space="preserve"> i </w:t>
            </w:r>
            <w:proofErr w:type="spellStart"/>
            <w:r w:rsidRPr="00921FAC">
              <w:rPr>
                <w:rFonts w:cstheme="minorHAnsi"/>
                <w:sz w:val="20"/>
                <w:szCs w:val="20"/>
              </w:rPr>
              <w:t>povećanja</w:t>
            </w:r>
            <w:proofErr w:type="spellEnd"/>
            <w:r w:rsidRPr="00921FAC">
              <w:rPr>
                <w:rFonts w:cstheme="minorHAnsi"/>
                <w:sz w:val="20"/>
                <w:szCs w:val="20"/>
              </w:rPr>
              <w:t xml:space="preserve"> </w:t>
            </w:r>
            <w:proofErr w:type="spellStart"/>
            <w:r w:rsidRPr="00921FAC">
              <w:rPr>
                <w:rFonts w:cstheme="minorHAnsi"/>
                <w:sz w:val="20"/>
                <w:szCs w:val="20"/>
              </w:rPr>
              <w:t>cijena</w:t>
            </w:r>
            <w:proofErr w:type="spellEnd"/>
            <w:r w:rsidRPr="00921FAC">
              <w:rPr>
                <w:rFonts w:cstheme="minorHAnsi"/>
                <w:sz w:val="20"/>
                <w:szCs w:val="20"/>
              </w:rPr>
              <w:t xml:space="preserve"> </w:t>
            </w:r>
            <w:proofErr w:type="spellStart"/>
            <w:r w:rsidRPr="00921FAC">
              <w:rPr>
                <w:rFonts w:cstheme="minorHAnsi"/>
                <w:sz w:val="20"/>
                <w:szCs w:val="20"/>
              </w:rPr>
              <w:t>energenata</w:t>
            </w:r>
            <w:proofErr w:type="spellEnd"/>
            <w:r w:rsidRPr="00921FAC">
              <w:rPr>
                <w:rFonts w:cstheme="minorHAnsi"/>
                <w:sz w:val="20"/>
                <w:szCs w:val="20"/>
              </w:rPr>
              <w:t xml:space="preserve">. </w:t>
            </w:r>
            <w:proofErr w:type="spellStart"/>
            <w:r w:rsidRPr="00921FAC">
              <w:rPr>
                <w:rFonts w:cstheme="minorHAnsi"/>
                <w:sz w:val="20"/>
                <w:szCs w:val="20"/>
              </w:rPr>
              <w:t>Preduvjet</w:t>
            </w:r>
            <w:proofErr w:type="spellEnd"/>
            <w:r w:rsidRPr="00921FAC">
              <w:rPr>
                <w:rFonts w:cstheme="minorHAnsi"/>
                <w:sz w:val="20"/>
                <w:szCs w:val="20"/>
              </w:rPr>
              <w:t xml:space="preserve"> za </w:t>
            </w:r>
            <w:proofErr w:type="spellStart"/>
            <w:r w:rsidRPr="00921FAC">
              <w:rPr>
                <w:rFonts w:cstheme="minorHAnsi"/>
                <w:sz w:val="20"/>
                <w:szCs w:val="20"/>
              </w:rPr>
              <w:t>dekarbonizaciju</w:t>
            </w:r>
            <w:proofErr w:type="spellEnd"/>
            <w:r w:rsidRPr="00921FAC">
              <w:rPr>
                <w:rFonts w:cstheme="minorHAnsi"/>
                <w:sz w:val="20"/>
                <w:szCs w:val="20"/>
              </w:rPr>
              <w:t xml:space="preserve"> </w:t>
            </w:r>
            <w:proofErr w:type="spellStart"/>
            <w:r w:rsidRPr="00921FAC">
              <w:rPr>
                <w:rFonts w:cstheme="minorHAnsi"/>
                <w:sz w:val="20"/>
                <w:szCs w:val="20"/>
              </w:rPr>
              <w:t>sistema</w:t>
            </w:r>
            <w:proofErr w:type="spellEnd"/>
            <w:r w:rsidRPr="00921FAC">
              <w:rPr>
                <w:rFonts w:cstheme="minorHAnsi"/>
                <w:sz w:val="20"/>
                <w:szCs w:val="20"/>
              </w:rPr>
              <w:t xml:space="preserve"> </w:t>
            </w:r>
            <w:proofErr w:type="spellStart"/>
            <w:r w:rsidRPr="00921FAC">
              <w:rPr>
                <w:rFonts w:cstheme="minorHAnsi"/>
                <w:sz w:val="20"/>
                <w:szCs w:val="20"/>
              </w:rPr>
              <w:t>grijanja</w:t>
            </w:r>
            <w:proofErr w:type="spellEnd"/>
            <w:r w:rsidRPr="00921FAC">
              <w:rPr>
                <w:rFonts w:cstheme="minorHAnsi"/>
                <w:sz w:val="20"/>
                <w:szCs w:val="20"/>
              </w:rPr>
              <w:t xml:space="preserve"> </w:t>
            </w:r>
            <w:proofErr w:type="spellStart"/>
            <w:r w:rsidRPr="00921FAC">
              <w:rPr>
                <w:rFonts w:cstheme="minorHAnsi"/>
                <w:sz w:val="20"/>
                <w:szCs w:val="20"/>
              </w:rPr>
              <w:t>zgrada</w:t>
            </w:r>
            <w:proofErr w:type="spellEnd"/>
            <w:r w:rsidRPr="00921FAC">
              <w:rPr>
                <w:rFonts w:cstheme="minorHAnsi"/>
                <w:sz w:val="20"/>
                <w:szCs w:val="20"/>
              </w:rPr>
              <w:t xml:space="preserve"> u FBiH, </w:t>
            </w:r>
            <w:proofErr w:type="spellStart"/>
            <w:r w:rsidRPr="00921FAC">
              <w:rPr>
                <w:rFonts w:cstheme="minorHAnsi"/>
                <w:sz w:val="20"/>
                <w:szCs w:val="20"/>
              </w:rPr>
              <w:t>kako</w:t>
            </w:r>
            <w:proofErr w:type="spellEnd"/>
            <w:r w:rsidRPr="00921FAC">
              <w:rPr>
                <w:rFonts w:cstheme="minorHAnsi"/>
                <w:sz w:val="20"/>
                <w:szCs w:val="20"/>
              </w:rPr>
              <w:t xml:space="preserve"> </w:t>
            </w:r>
            <w:proofErr w:type="spellStart"/>
            <w:r w:rsidRPr="00921FAC">
              <w:rPr>
                <w:rFonts w:cstheme="minorHAnsi"/>
                <w:sz w:val="20"/>
                <w:szCs w:val="20"/>
              </w:rPr>
              <w:t>individualnih</w:t>
            </w:r>
            <w:proofErr w:type="spellEnd"/>
            <w:r w:rsidRPr="00921FAC">
              <w:rPr>
                <w:rFonts w:cstheme="minorHAnsi"/>
                <w:sz w:val="20"/>
                <w:szCs w:val="20"/>
              </w:rPr>
              <w:t xml:space="preserve">, </w:t>
            </w:r>
            <w:proofErr w:type="spellStart"/>
            <w:r w:rsidRPr="00921FAC">
              <w:rPr>
                <w:rFonts w:cstheme="minorHAnsi"/>
                <w:sz w:val="20"/>
                <w:szCs w:val="20"/>
              </w:rPr>
              <w:t>tako</w:t>
            </w:r>
            <w:proofErr w:type="spellEnd"/>
            <w:r w:rsidRPr="00921FAC">
              <w:rPr>
                <w:rFonts w:cstheme="minorHAnsi"/>
                <w:sz w:val="20"/>
                <w:szCs w:val="20"/>
              </w:rPr>
              <w:t xml:space="preserve"> i </w:t>
            </w:r>
            <w:proofErr w:type="spellStart"/>
            <w:r w:rsidRPr="00921FAC">
              <w:rPr>
                <w:rFonts w:cstheme="minorHAnsi"/>
                <w:sz w:val="20"/>
                <w:szCs w:val="20"/>
              </w:rPr>
              <w:t>centraliziranih</w:t>
            </w:r>
            <w:proofErr w:type="spellEnd"/>
            <w:r w:rsidRPr="00921FAC">
              <w:rPr>
                <w:rFonts w:cstheme="minorHAnsi"/>
                <w:sz w:val="20"/>
                <w:szCs w:val="20"/>
              </w:rPr>
              <w:t xml:space="preserve"> </w:t>
            </w:r>
            <w:proofErr w:type="spellStart"/>
            <w:r w:rsidRPr="00921FAC">
              <w:rPr>
                <w:rFonts w:cstheme="minorHAnsi"/>
                <w:sz w:val="20"/>
                <w:szCs w:val="20"/>
              </w:rPr>
              <w:t>ili</w:t>
            </w:r>
            <w:proofErr w:type="spellEnd"/>
            <w:r w:rsidRPr="00921FAC">
              <w:rPr>
                <w:rFonts w:cstheme="minorHAnsi"/>
                <w:sz w:val="20"/>
                <w:szCs w:val="20"/>
              </w:rPr>
              <w:t xml:space="preserve"> </w:t>
            </w:r>
            <w:proofErr w:type="spellStart"/>
            <w:r w:rsidRPr="00921FAC">
              <w:rPr>
                <w:rFonts w:cstheme="minorHAnsi"/>
                <w:sz w:val="20"/>
                <w:szCs w:val="20"/>
              </w:rPr>
              <w:t>daljinskih</w:t>
            </w:r>
            <w:proofErr w:type="spellEnd"/>
            <w:r w:rsidRPr="00921FAC">
              <w:rPr>
                <w:rFonts w:cstheme="minorHAnsi"/>
                <w:sz w:val="20"/>
                <w:szCs w:val="20"/>
              </w:rPr>
              <w:t xml:space="preserve">, </w:t>
            </w:r>
            <w:proofErr w:type="spellStart"/>
            <w:r w:rsidRPr="00921FAC">
              <w:rPr>
                <w:rFonts w:cstheme="minorHAnsi"/>
                <w:sz w:val="20"/>
                <w:szCs w:val="20"/>
              </w:rPr>
              <w:t>kao</w:t>
            </w:r>
            <w:proofErr w:type="spellEnd"/>
            <w:r w:rsidRPr="00921FAC">
              <w:rPr>
                <w:rFonts w:cstheme="minorHAnsi"/>
                <w:sz w:val="20"/>
                <w:szCs w:val="20"/>
              </w:rPr>
              <w:t xml:space="preserve"> i </w:t>
            </w:r>
            <w:proofErr w:type="spellStart"/>
            <w:r w:rsidRPr="00921FAC">
              <w:rPr>
                <w:rFonts w:cstheme="minorHAnsi"/>
                <w:sz w:val="20"/>
                <w:szCs w:val="20"/>
              </w:rPr>
              <w:t>sigurnost</w:t>
            </w:r>
            <w:proofErr w:type="spellEnd"/>
            <w:r w:rsidRPr="00921FAC">
              <w:rPr>
                <w:rFonts w:cstheme="minorHAnsi"/>
                <w:sz w:val="20"/>
                <w:szCs w:val="20"/>
              </w:rPr>
              <w:t xml:space="preserve"> </w:t>
            </w:r>
            <w:proofErr w:type="spellStart"/>
            <w:r w:rsidRPr="00921FAC">
              <w:rPr>
                <w:rFonts w:cstheme="minorHAnsi"/>
                <w:sz w:val="20"/>
                <w:szCs w:val="20"/>
              </w:rPr>
              <w:t>snabdijevanja</w:t>
            </w:r>
            <w:proofErr w:type="spellEnd"/>
            <w:r w:rsidRPr="00921FAC">
              <w:rPr>
                <w:rFonts w:cstheme="minorHAnsi"/>
                <w:sz w:val="20"/>
                <w:szCs w:val="20"/>
              </w:rPr>
              <w:t xml:space="preserve"> </w:t>
            </w:r>
            <w:proofErr w:type="spellStart"/>
            <w:r w:rsidRPr="00921FAC">
              <w:rPr>
                <w:rFonts w:cstheme="minorHAnsi"/>
                <w:sz w:val="20"/>
                <w:szCs w:val="20"/>
              </w:rPr>
              <w:t>energentima</w:t>
            </w:r>
            <w:proofErr w:type="spellEnd"/>
            <w:r w:rsidRPr="00921FAC">
              <w:rPr>
                <w:rFonts w:cstheme="minorHAnsi"/>
                <w:sz w:val="20"/>
                <w:szCs w:val="20"/>
              </w:rPr>
              <w:t xml:space="preserve"> </w:t>
            </w:r>
            <w:proofErr w:type="gramStart"/>
            <w:r w:rsidRPr="00921FAC">
              <w:rPr>
                <w:rFonts w:cstheme="minorHAnsi"/>
                <w:sz w:val="20"/>
                <w:szCs w:val="20"/>
              </w:rPr>
              <w:t xml:space="preserve">je  </w:t>
            </w:r>
            <w:proofErr w:type="spellStart"/>
            <w:r w:rsidRPr="00921FAC">
              <w:rPr>
                <w:rFonts w:cstheme="minorHAnsi"/>
                <w:sz w:val="20"/>
                <w:szCs w:val="20"/>
              </w:rPr>
              <w:t>usaglašavanje</w:t>
            </w:r>
            <w:proofErr w:type="spellEnd"/>
            <w:proofErr w:type="gramEnd"/>
            <w:r w:rsidRPr="00921FAC">
              <w:rPr>
                <w:rFonts w:cstheme="minorHAnsi"/>
                <w:sz w:val="20"/>
                <w:szCs w:val="20"/>
              </w:rPr>
              <w:t xml:space="preserve"> </w:t>
            </w:r>
            <w:proofErr w:type="spellStart"/>
            <w:r w:rsidRPr="00921FAC">
              <w:rPr>
                <w:rFonts w:cstheme="minorHAnsi"/>
                <w:sz w:val="20"/>
                <w:szCs w:val="20"/>
              </w:rPr>
              <w:t>postojeće</w:t>
            </w:r>
            <w:proofErr w:type="spellEnd"/>
            <w:r w:rsidRPr="00921FAC">
              <w:rPr>
                <w:rFonts w:cstheme="minorHAnsi"/>
                <w:sz w:val="20"/>
                <w:szCs w:val="20"/>
              </w:rPr>
              <w:t xml:space="preserve"> legislative u FBiH u </w:t>
            </w:r>
            <w:proofErr w:type="spellStart"/>
            <w:r w:rsidRPr="00921FAC">
              <w:rPr>
                <w:rFonts w:cstheme="minorHAnsi"/>
                <w:sz w:val="20"/>
                <w:szCs w:val="20"/>
              </w:rPr>
              <w:t>oblasti</w:t>
            </w:r>
            <w:proofErr w:type="spellEnd"/>
            <w:r w:rsidRPr="00921FAC">
              <w:rPr>
                <w:rFonts w:cstheme="minorHAnsi"/>
                <w:sz w:val="20"/>
                <w:szCs w:val="20"/>
              </w:rPr>
              <w:t xml:space="preserve"> OIE </w:t>
            </w:r>
            <w:proofErr w:type="spellStart"/>
            <w:r w:rsidRPr="00921FAC">
              <w:rPr>
                <w:rFonts w:cstheme="minorHAnsi"/>
                <w:sz w:val="20"/>
                <w:szCs w:val="20"/>
              </w:rPr>
              <w:t>sa</w:t>
            </w:r>
            <w:proofErr w:type="spellEnd"/>
            <w:r w:rsidRPr="00921FAC">
              <w:rPr>
                <w:rFonts w:cstheme="minorHAnsi"/>
                <w:sz w:val="20"/>
                <w:szCs w:val="20"/>
              </w:rPr>
              <w:t xml:space="preserve"> </w:t>
            </w:r>
            <w:proofErr w:type="spellStart"/>
            <w:r w:rsidRPr="00921FAC">
              <w:rPr>
                <w:rFonts w:cstheme="minorHAnsi"/>
                <w:sz w:val="20"/>
                <w:szCs w:val="20"/>
              </w:rPr>
              <w:t>relevantnim</w:t>
            </w:r>
            <w:proofErr w:type="spellEnd"/>
            <w:r w:rsidRPr="00921FAC">
              <w:rPr>
                <w:rFonts w:cstheme="minorHAnsi"/>
                <w:sz w:val="20"/>
                <w:szCs w:val="20"/>
              </w:rPr>
              <w:t xml:space="preserve"> </w:t>
            </w:r>
            <w:proofErr w:type="spellStart"/>
            <w:r w:rsidRPr="00921FAC">
              <w:rPr>
                <w:rFonts w:cstheme="minorHAnsi"/>
                <w:sz w:val="20"/>
                <w:szCs w:val="20"/>
              </w:rPr>
              <w:t>direktivama</w:t>
            </w:r>
            <w:proofErr w:type="spellEnd"/>
            <w:r w:rsidRPr="00921FAC">
              <w:rPr>
                <w:rFonts w:cstheme="minorHAnsi"/>
                <w:sz w:val="20"/>
                <w:szCs w:val="20"/>
              </w:rPr>
              <w:t xml:space="preserve"> EU. Ovo se </w:t>
            </w:r>
            <w:proofErr w:type="spellStart"/>
            <w:r w:rsidRPr="00921FAC">
              <w:rPr>
                <w:rFonts w:cstheme="minorHAnsi"/>
                <w:sz w:val="20"/>
                <w:szCs w:val="20"/>
              </w:rPr>
              <w:t>prije</w:t>
            </w:r>
            <w:proofErr w:type="spellEnd"/>
            <w:r w:rsidRPr="00921FAC">
              <w:rPr>
                <w:rFonts w:cstheme="minorHAnsi"/>
                <w:sz w:val="20"/>
                <w:szCs w:val="20"/>
              </w:rPr>
              <w:t xml:space="preserve"> </w:t>
            </w:r>
            <w:proofErr w:type="spellStart"/>
            <w:r w:rsidRPr="00921FAC">
              <w:rPr>
                <w:rFonts w:cstheme="minorHAnsi"/>
                <w:sz w:val="20"/>
                <w:szCs w:val="20"/>
              </w:rPr>
              <w:t>svega</w:t>
            </w:r>
            <w:proofErr w:type="spellEnd"/>
            <w:r w:rsidRPr="00921FAC">
              <w:rPr>
                <w:rFonts w:cstheme="minorHAnsi"/>
                <w:sz w:val="20"/>
                <w:szCs w:val="20"/>
              </w:rPr>
              <w:t xml:space="preserve"> </w:t>
            </w:r>
            <w:proofErr w:type="spellStart"/>
            <w:r w:rsidRPr="00921FAC">
              <w:rPr>
                <w:rFonts w:cstheme="minorHAnsi"/>
                <w:sz w:val="20"/>
                <w:szCs w:val="20"/>
              </w:rPr>
              <w:t>odnosi</w:t>
            </w:r>
            <w:proofErr w:type="spellEnd"/>
            <w:r w:rsidRPr="00921FAC">
              <w:rPr>
                <w:rFonts w:cstheme="minorHAnsi"/>
                <w:sz w:val="20"/>
                <w:szCs w:val="20"/>
              </w:rPr>
              <w:t xml:space="preserve"> </w:t>
            </w:r>
            <w:proofErr w:type="spellStart"/>
            <w:r w:rsidRPr="00921FAC">
              <w:rPr>
                <w:rFonts w:cstheme="minorHAnsi"/>
                <w:sz w:val="20"/>
                <w:szCs w:val="20"/>
              </w:rPr>
              <w:t>na</w:t>
            </w:r>
            <w:proofErr w:type="spellEnd"/>
            <w:r w:rsidRPr="00921FAC">
              <w:rPr>
                <w:rFonts w:cstheme="minorHAnsi"/>
                <w:sz w:val="20"/>
                <w:szCs w:val="20"/>
              </w:rPr>
              <w:t xml:space="preserve"> </w:t>
            </w:r>
            <w:proofErr w:type="spellStart"/>
            <w:r w:rsidRPr="00921FAC">
              <w:rPr>
                <w:rFonts w:cstheme="minorHAnsi"/>
                <w:sz w:val="20"/>
                <w:szCs w:val="20"/>
              </w:rPr>
              <w:t>usvajanje</w:t>
            </w:r>
            <w:proofErr w:type="spellEnd"/>
            <w:r w:rsidRPr="00921FAC">
              <w:rPr>
                <w:rFonts w:cstheme="minorHAnsi"/>
                <w:sz w:val="20"/>
                <w:szCs w:val="20"/>
              </w:rPr>
              <w:t xml:space="preserve"> </w:t>
            </w:r>
            <w:proofErr w:type="spellStart"/>
            <w:r w:rsidRPr="00921FAC">
              <w:rPr>
                <w:rFonts w:cstheme="minorHAnsi"/>
                <w:sz w:val="20"/>
                <w:szCs w:val="20"/>
              </w:rPr>
              <w:t>odgovarajuće</w:t>
            </w:r>
            <w:proofErr w:type="spellEnd"/>
            <w:r w:rsidRPr="00921FAC">
              <w:rPr>
                <w:rFonts w:cstheme="minorHAnsi"/>
                <w:sz w:val="20"/>
                <w:szCs w:val="20"/>
              </w:rPr>
              <w:t xml:space="preserve"> </w:t>
            </w:r>
            <w:proofErr w:type="spellStart"/>
            <w:r w:rsidRPr="00921FAC">
              <w:rPr>
                <w:rFonts w:cstheme="minorHAnsi"/>
                <w:sz w:val="20"/>
                <w:szCs w:val="20"/>
              </w:rPr>
              <w:t>zakonske</w:t>
            </w:r>
            <w:proofErr w:type="spellEnd"/>
            <w:r w:rsidRPr="00921FAC">
              <w:rPr>
                <w:rFonts w:cstheme="minorHAnsi"/>
                <w:sz w:val="20"/>
                <w:szCs w:val="20"/>
              </w:rPr>
              <w:t xml:space="preserve"> i </w:t>
            </w:r>
            <w:proofErr w:type="spellStart"/>
            <w:r w:rsidRPr="00921FAC">
              <w:rPr>
                <w:rFonts w:cstheme="minorHAnsi"/>
                <w:sz w:val="20"/>
                <w:szCs w:val="20"/>
              </w:rPr>
              <w:t>podzakonske</w:t>
            </w:r>
            <w:proofErr w:type="spellEnd"/>
            <w:r w:rsidRPr="00921FAC">
              <w:rPr>
                <w:rFonts w:cstheme="minorHAnsi"/>
                <w:sz w:val="20"/>
                <w:szCs w:val="20"/>
              </w:rPr>
              <w:t xml:space="preserve"> regulative </w:t>
            </w:r>
            <w:proofErr w:type="spellStart"/>
            <w:r w:rsidRPr="00921FAC">
              <w:rPr>
                <w:rFonts w:cstheme="minorHAnsi"/>
                <w:sz w:val="20"/>
                <w:szCs w:val="20"/>
              </w:rPr>
              <w:t>koja</w:t>
            </w:r>
            <w:proofErr w:type="spellEnd"/>
            <w:r w:rsidRPr="00921FAC">
              <w:rPr>
                <w:rFonts w:cstheme="minorHAnsi"/>
                <w:sz w:val="20"/>
                <w:szCs w:val="20"/>
              </w:rPr>
              <w:t xml:space="preserve"> </w:t>
            </w:r>
            <w:proofErr w:type="spellStart"/>
            <w:r w:rsidRPr="00921FAC">
              <w:rPr>
                <w:rFonts w:cstheme="minorHAnsi"/>
                <w:sz w:val="20"/>
                <w:szCs w:val="20"/>
              </w:rPr>
              <w:t>će</w:t>
            </w:r>
            <w:proofErr w:type="spellEnd"/>
            <w:r w:rsidRPr="00921FAC">
              <w:rPr>
                <w:rFonts w:cstheme="minorHAnsi"/>
                <w:sz w:val="20"/>
                <w:szCs w:val="20"/>
              </w:rPr>
              <w:t xml:space="preserve"> </w:t>
            </w:r>
            <w:proofErr w:type="spellStart"/>
            <w:r w:rsidRPr="00921FAC">
              <w:rPr>
                <w:rFonts w:cstheme="minorHAnsi"/>
                <w:sz w:val="20"/>
                <w:szCs w:val="20"/>
              </w:rPr>
              <w:t>osigurati</w:t>
            </w:r>
            <w:proofErr w:type="spellEnd"/>
            <w:r w:rsidRPr="00921FAC">
              <w:rPr>
                <w:rFonts w:cstheme="minorHAnsi"/>
                <w:sz w:val="20"/>
                <w:szCs w:val="20"/>
              </w:rPr>
              <w:t xml:space="preserve"> da </w:t>
            </w:r>
            <w:proofErr w:type="spellStart"/>
            <w:r w:rsidRPr="00921FAC">
              <w:rPr>
                <w:rFonts w:cstheme="minorHAnsi"/>
                <w:sz w:val="20"/>
                <w:szCs w:val="20"/>
              </w:rPr>
              <w:t>sistem</w:t>
            </w:r>
            <w:proofErr w:type="spellEnd"/>
            <w:r w:rsidRPr="00921FAC">
              <w:rPr>
                <w:rFonts w:cstheme="minorHAnsi"/>
                <w:sz w:val="20"/>
                <w:szCs w:val="20"/>
              </w:rPr>
              <w:t xml:space="preserve"> </w:t>
            </w:r>
            <w:proofErr w:type="spellStart"/>
            <w:r w:rsidRPr="00921FAC">
              <w:rPr>
                <w:rFonts w:cstheme="minorHAnsi"/>
                <w:sz w:val="20"/>
                <w:szCs w:val="20"/>
              </w:rPr>
              <w:t>podsticanja</w:t>
            </w:r>
            <w:proofErr w:type="spellEnd"/>
            <w:r w:rsidRPr="00921FAC">
              <w:rPr>
                <w:rFonts w:cstheme="minorHAnsi"/>
                <w:sz w:val="20"/>
                <w:szCs w:val="20"/>
              </w:rPr>
              <w:t xml:space="preserve"> OIE </w:t>
            </w:r>
            <w:proofErr w:type="spellStart"/>
            <w:r w:rsidRPr="00921FAC">
              <w:rPr>
                <w:rFonts w:cstheme="minorHAnsi"/>
                <w:sz w:val="20"/>
                <w:szCs w:val="20"/>
              </w:rPr>
              <w:t>bude</w:t>
            </w:r>
            <w:proofErr w:type="spellEnd"/>
            <w:r w:rsidRPr="00921FAC">
              <w:rPr>
                <w:rFonts w:cstheme="minorHAnsi"/>
                <w:sz w:val="20"/>
                <w:szCs w:val="20"/>
              </w:rPr>
              <w:t xml:space="preserve"> </w:t>
            </w:r>
            <w:proofErr w:type="spellStart"/>
            <w:r w:rsidRPr="00921FAC">
              <w:rPr>
                <w:rFonts w:cstheme="minorHAnsi"/>
                <w:sz w:val="20"/>
                <w:szCs w:val="20"/>
              </w:rPr>
              <w:t>usklađen</w:t>
            </w:r>
            <w:proofErr w:type="spellEnd"/>
            <w:r w:rsidRPr="00921FAC">
              <w:rPr>
                <w:rFonts w:cstheme="minorHAnsi"/>
                <w:sz w:val="20"/>
                <w:szCs w:val="20"/>
              </w:rPr>
              <w:t xml:space="preserve"> s </w:t>
            </w:r>
            <w:proofErr w:type="spellStart"/>
            <w:r w:rsidRPr="00921FAC">
              <w:rPr>
                <w:rFonts w:cstheme="minorHAnsi"/>
                <w:sz w:val="20"/>
                <w:szCs w:val="20"/>
              </w:rPr>
              <w:t>Direktivom</w:t>
            </w:r>
            <w:proofErr w:type="spellEnd"/>
            <w:r w:rsidRPr="00921FAC">
              <w:rPr>
                <w:rFonts w:cstheme="minorHAnsi"/>
                <w:sz w:val="20"/>
                <w:szCs w:val="20"/>
              </w:rPr>
              <w:t xml:space="preserve"> EU RED II, </w:t>
            </w:r>
            <w:proofErr w:type="spellStart"/>
            <w:r w:rsidRPr="00921FAC">
              <w:rPr>
                <w:rFonts w:cstheme="minorHAnsi"/>
                <w:sz w:val="20"/>
                <w:szCs w:val="20"/>
              </w:rPr>
              <w:t>kako</w:t>
            </w:r>
            <w:proofErr w:type="spellEnd"/>
            <w:r w:rsidRPr="00921FAC">
              <w:rPr>
                <w:rFonts w:cstheme="minorHAnsi"/>
                <w:sz w:val="20"/>
                <w:szCs w:val="20"/>
              </w:rPr>
              <w:t xml:space="preserve"> bi se </w:t>
            </w:r>
            <w:proofErr w:type="spellStart"/>
            <w:r w:rsidRPr="00921FAC">
              <w:rPr>
                <w:rFonts w:cstheme="minorHAnsi"/>
                <w:sz w:val="20"/>
                <w:szCs w:val="20"/>
              </w:rPr>
              <w:t>mogli</w:t>
            </w:r>
            <w:proofErr w:type="spellEnd"/>
            <w:r w:rsidRPr="00921FAC">
              <w:rPr>
                <w:rFonts w:cstheme="minorHAnsi"/>
                <w:sz w:val="20"/>
                <w:szCs w:val="20"/>
              </w:rPr>
              <w:t xml:space="preserve"> </w:t>
            </w:r>
            <w:proofErr w:type="spellStart"/>
            <w:r w:rsidRPr="00921FAC">
              <w:rPr>
                <w:rFonts w:cstheme="minorHAnsi"/>
                <w:sz w:val="20"/>
                <w:szCs w:val="20"/>
              </w:rPr>
              <w:t>koristiti</w:t>
            </w:r>
            <w:proofErr w:type="spellEnd"/>
            <w:r w:rsidRPr="00921FAC">
              <w:rPr>
                <w:rFonts w:cstheme="minorHAnsi"/>
                <w:sz w:val="20"/>
                <w:szCs w:val="20"/>
              </w:rPr>
              <w:t xml:space="preserve"> </w:t>
            </w:r>
            <w:proofErr w:type="spellStart"/>
            <w:r w:rsidRPr="00921FAC">
              <w:rPr>
                <w:rFonts w:cstheme="minorHAnsi"/>
                <w:sz w:val="20"/>
                <w:szCs w:val="20"/>
              </w:rPr>
              <w:t>dostupni</w:t>
            </w:r>
            <w:proofErr w:type="spellEnd"/>
            <w:r w:rsidRPr="00921FAC">
              <w:rPr>
                <w:rFonts w:cstheme="minorHAnsi"/>
                <w:sz w:val="20"/>
                <w:szCs w:val="20"/>
              </w:rPr>
              <w:t xml:space="preserve"> </w:t>
            </w:r>
            <w:proofErr w:type="spellStart"/>
            <w:r w:rsidRPr="00921FAC">
              <w:rPr>
                <w:rFonts w:cstheme="minorHAnsi"/>
                <w:sz w:val="20"/>
                <w:szCs w:val="20"/>
              </w:rPr>
              <w:t>fondovi</w:t>
            </w:r>
            <w:proofErr w:type="spellEnd"/>
            <w:r w:rsidRPr="00921FAC">
              <w:rPr>
                <w:rFonts w:cstheme="minorHAnsi"/>
                <w:sz w:val="20"/>
                <w:szCs w:val="20"/>
              </w:rPr>
              <w:t xml:space="preserve"> EU za </w:t>
            </w:r>
            <w:proofErr w:type="spellStart"/>
            <w:r w:rsidRPr="00921FAC">
              <w:rPr>
                <w:rFonts w:cstheme="minorHAnsi"/>
                <w:sz w:val="20"/>
                <w:szCs w:val="20"/>
              </w:rPr>
              <w:t>poticanje</w:t>
            </w:r>
            <w:proofErr w:type="spellEnd"/>
            <w:r w:rsidRPr="00921FAC">
              <w:rPr>
                <w:rFonts w:cstheme="minorHAnsi"/>
                <w:sz w:val="20"/>
                <w:szCs w:val="20"/>
              </w:rPr>
              <w:t xml:space="preserve"> </w:t>
            </w:r>
            <w:proofErr w:type="spellStart"/>
            <w:r w:rsidRPr="00921FAC">
              <w:rPr>
                <w:rFonts w:cstheme="minorHAnsi"/>
                <w:sz w:val="20"/>
                <w:szCs w:val="20"/>
              </w:rPr>
              <w:t>korištenja</w:t>
            </w:r>
            <w:proofErr w:type="spellEnd"/>
            <w:r w:rsidRPr="00921FAC">
              <w:rPr>
                <w:rFonts w:cstheme="minorHAnsi"/>
                <w:sz w:val="20"/>
                <w:szCs w:val="20"/>
              </w:rPr>
              <w:t xml:space="preserve"> i </w:t>
            </w:r>
            <w:proofErr w:type="spellStart"/>
            <w:r w:rsidRPr="00921FAC">
              <w:rPr>
                <w:rFonts w:cstheme="minorHAnsi"/>
                <w:sz w:val="20"/>
                <w:szCs w:val="20"/>
              </w:rPr>
              <w:t>implementaciju</w:t>
            </w:r>
            <w:proofErr w:type="spellEnd"/>
            <w:r w:rsidRPr="00921FAC">
              <w:rPr>
                <w:rFonts w:cstheme="minorHAnsi"/>
                <w:sz w:val="20"/>
                <w:szCs w:val="20"/>
              </w:rPr>
              <w:t xml:space="preserve"> </w:t>
            </w:r>
            <w:proofErr w:type="spellStart"/>
            <w:r w:rsidRPr="00921FAC">
              <w:rPr>
                <w:rFonts w:cstheme="minorHAnsi"/>
                <w:sz w:val="20"/>
                <w:szCs w:val="20"/>
              </w:rPr>
              <w:t>mjera</w:t>
            </w:r>
            <w:proofErr w:type="spellEnd"/>
            <w:r w:rsidRPr="00921FAC">
              <w:rPr>
                <w:rFonts w:cstheme="minorHAnsi"/>
                <w:sz w:val="20"/>
                <w:szCs w:val="20"/>
              </w:rPr>
              <w:t xml:space="preserve"> </w:t>
            </w:r>
            <w:proofErr w:type="spellStart"/>
            <w:r w:rsidRPr="00921FAC">
              <w:rPr>
                <w:rFonts w:cstheme="minorHAnsi"/>
                <w:sz w:val="20"/>
                <w:szCs w:val="20"/>
              </w:rPr>
              <w:t>zamjene</w:t>
            </w:r>
            <w:proofErr w:type="spellEnd"/>
            <w:r w:rsidRPr="00921FAC">
              <w:rPr>
                <w:rFonts w:cstheme="minorHAnsi"/>
                <w:sz w:val="20"/>
                <w:szCs w:val="20"/>
              </w:rPr>
              <w:t xml:space="preserve"> </w:t>
            </w:r>
            <w:proofErr w:type="spellStart"/>
            <w:r w:rsidRPr="00921FAC">
              <w:rPr>
                <w:rFonts w:cstheme="minorHAnsi"/>
                <w:sz w:val="20"/>
                <w:szCs w:val="20"/>
              </w:rPr>
              <w:t>fosilnih</w:t>
            </w:r>
            <w:proofErr w:type="spellEnd"/>
            <w:r w:rsidRPr="00921FAC">
              <w:rPr>
                <w:rFonts w:cstheme="minorHAnsi"/>
                <w:sz w:val="20"/>
                <w:szCs w:val="20"/>
              </w:rPr>
              <w:t xml:space="preserve"> </w:t>
            </w:r>
            <w:proofErr w:type="spellStart"/>
            <w:r w:rsidRPr="00921FAC">
              <w:rPr>
                <w:rFonts w:cstheme="minorHAnsi"/>
                <w:sz w:val="20"/>
                <w:szCs w:val="20"/>
              </w:rPr>
              <w:t>goriva</w:t>
            </w:r>
            <w:proofErr w:type="spellEnd"/>
            <w:r w:rsidRPr="00921FAC">
              <w:rPr>
                <w:rFonts w:cstheme="minorHAnsi"/>
                <w:sz w:val="20"/>
                <w:szCs w:val="20"/>
              </w:rPr>
              <w:t xml:space="preserve"> </w:t>
            </w:r>
            <w:proofErr w:type="spellStart"/>
            <w:r w:rsidRPr="00921FAC">
              <w:rPr>
                <w:rFonts w:cstheme="minorHAnsi"/>
                <w:sz w:val="20"/>
                <w:szCs w:val="20"/>
              </w:rPr>
              <w:t>sa</w:t>
            </w:r>
            <w:proofErr w:type="spellEnd"/>
            <w:r w:rsidRPr="00921FAC">
              <w:rPr>
                <w:rFonts w:cstheme="minorHAnsi"/>
                <w:sz w:val="20"/>
                <w:szCs w:val="20"/>
              </w:rPr>
              <w:t xml:space="preserve"> OIE, </w:t>
            </w:r>
            <w:proofErr w:type="spellStart"/>
            <w:r w:rsidRPr="00921FAC">
              <w:rPr>
                <w:rFonts w:cstheme="minorHAnsi"/>
                <w:sz w:val="20"/>
                <w:szCs w:val="20"/>
              </w:rPr>
              <w:t>te</w:t>
            </w:r>
            <w:proofErr w:type="spellEnd"/>
            <w:r w:rsidRPr="00921FAC">
              <w:rPr>
                <w:rFonts w:cstheme="minorHAnsi"/>
                <w:sz w:val="20"/>
                <w:szCs w:val="20"/>
              </w:rPr>
              <w:t xml:space="preserve"> </w:t>
            </w:r>
            <w:proofErr w:type="spellStart"/>
            <w:r w:rsidRPr="00921FAC">
              <w:rPr>
                <w:rFonts w:cstheme="minorHAnsi"/>
                <w:sz w:val="20"/>
                <w:szCs w:val="20"/>
              </w:rPr>
              <w:t>mjera</w:t>
            </w:r>
            <w:proofErr w:type="spellEnd"/>
            <w:r w:rsidRPr="00921FAC">
              <w:rPr>
                <w:rFonts w:cstheme="minorHAnsi"/>
                <w:sz w:val="20"/>
                <w:szCs w:val="20"/>
              </w:rPr>
              <w:t xml:space="preserve"> </w:t>
            </w:r>
            <w:proofErr w:type="spellStart"/>
            <w:r w:rsidRPr="00921FAC">
              <w:rPr>
                <w:rFonts w:cstheme="minorHAnsi"/>
                <w:sz w:val="20"/>
                <w:szCs w:val="20"/>
              </w:rPr>
              <w:t>energijske</w:t>
            </w:r>
            <w:proofErr w:type="spellEnd"/>
            <w:r w:rsidRPr="00921FAC">
              <w:rPr>
                <w:rFonts w:cstheme="minorHAnsi"/>
                <w:sz w:val="20"/>
                <w:szCs w:val="20"/>
              </w:rPr>
              <w:t xml:space="preserve"> </w:t>
            </w:r>
            <w:proofErr w:type="spellStart"/>
            <w:r w:rsidRPr="00921FAC">
              <w:rPr>
                <w:rFonts w:cstheme="minorHAnsi"/>
                <w:sz w:val="20"/>
                <w:szCs w:val="20"/>
              </w:rPr>
              <w:t>efikasnosti</w:t>
            </w:r>
            <w:proofErr w:type="spellEnd"/>
            <w:r w:rsidRPr="00921FAC">
              <w:rPr>
                <w:rFonts w:cstheme="minorHAnsi"/>
                <w:sz w:val="20"/>
                <w:szCs w:val="20"/>
              </w:rPr>
              <w:t xml:space="preserve"> u </w:t>
            </w:r>
            <w:proofErr w:type="spellStart"/>
            <w:r w:rsidRPr="00921FAC">
              <w:rPr>
                <w:rFonts w:cstheme="minorHAnsi"/>
                <w:sz w:val="20"/>
                <w:szCs w:val="20"/>
              </w:rPr>
              <w:t>svrhu</w:t>
            </w:r>
            <w:proofErr w:type="spellEnd"/>
            <w:r w:rsidRPr="00921FAC">
              <w:rPr>
                <w:rFonts w:cstheme="minorHAnsi"/>
                <w:sz w:val="20"/>
                <w:szCs w:val="20"/>
              </w:rPr>
              <w:t xml:space="preserve"> </w:t>
            </w:r>
            <w:proofErr w:type="spellStart"/>
            <w:r w:rsidRPr="00921FAC">
              <w:rPr>
                <w:rFonts w:cstheme="minorHAnsi"/>
                <w:sz w:val="20"/>
                <w:szCs w:val="20"/>
              </w:rPr>
              <w:t>smanjenja</w:t>
            </w:r>
            <w:proofErr w:type="spellEnd"/>
            <w:r w:rsidRPr="00921FAC">
              <w:rPr>
                <w:rFonts w:cstheme="minorHAnsi"/>
                <w:sz w:val="20"/>
                <w:szCs w:val="20"/>
              </w:rPr>
              <w:t xml:space="preserve"> </w:t>
            </w:r>
            <w:proofErr w:type="spellStart"/>
            <w:r w:rsidRPr="00921FAC">
              <w:rPr>
                <w:rFonts w:cstheme="minorHAnsi"/>
                <w:sz w:val="20"/>
                <w:szCs w:val="20"/>
              </w:rPr>
              <w:t>emisija</w:t>
            </w:r>
            <w:proofErr w:type="spellEnd"/>
            <w:r w:rsidRPr="00921FAC">
              <w:rPr>
                <w:rFonts w:cstheme="minorHAnsi"/>
                <w:sz w:val="20"/>
                <w:szCs w:val="20"/>
              </w:rPr>
              <w:t xml:space="preserve"> </w:t>
            </w:r>
            <w:proofErr w:type="spellStart"/>
            <w:r w:rsidRPr="00921FAC">
              <w:rPr>
                <w:rFonts w:cstheme="minorHAnsi"/>
                <w:sz w:val="20"/>
                <w:szCs w:val="20"/>
              </w:rPr>
              <w:t>stakleničkih</w:t>
            </w:r>
            <w:proofErr w:type="spellEnd"/>
            <w:r w:rsidRPr="00921FAC">
              <w:rPr>
                <w:rFonts w:cstheme="minorHAnsi"/>
                <w:sz w:val="20"/>
                <w:szCs w:val="20"/>
              </w:rPr>
              <w:t xml:space="preserve"> </w:t>
            </w:r>
            <w:proofErr w:type="spellStart"/>
            <w:r w:rsidRPr="00921FAC">
              <w:rPr>
                <w:rFonts w:cstheme="minorHAnsi"/>
                <w:sz w:val="20"/>
                <w:szCs w:val="20"/>
              </w:rPr>
              <w:t>plinova</w:t>
            </w:r>
            <w:proofErr w:type="spellEnd"/>
            <w:r w:rsidRPr="00921FAC">
              <w:rPr>
                <w:rFonts w:cstheme="minorHAnsi"/>
                <w:sz w:val="20"/>
                <w:szCs w:val="20"/>
              </w:rPr>
              <w:t xml:space="preserve">. </w:t>
            </w:r>
          </w:p>
          <w:p w14:paraId="5B68DA03" w14:textId="5720BB3C" w:rsidR="00A00D87" w:rsidRPr="00921FAC" w:rsidRDefault="00A00D87" w:rsidP="00E6560A">
            <w:pPr>
              <w:jc w:val="both"/>
              <w:rPr>
                <w:rFonts w:cstheme="minorHAnsi"/>
                <w:sz w:val="20"/>
                <w:szCs w:val="20"/>
              </w:rPr>
            </w:pPr>
            <w:proofErr w:type="spellStart"/>
            <w:r w:rsidRPr="00921FAC">
              <w:rPr>
                <w:rFonts w:cstheme="minorHAnsi"/>
                <w:sz w:val="20"/>
                <w:szCs w:val="20"/>
              </w:rPr>
              <w:t>Kako</w:t>
            </w:r>
            <w:proofErr w:type="spellEnd"/>
            <w:r w:rsidRPr="00921FAC">
              <w:rPr>
                <w:rFonts w:cstheme="minorHAnsi"/>
                <w:sz w:val="20"/>
                <w:szCs w:val="20"/>
              </w:rPr>
              <w:t xml:space="preserve"> bi se </w:t>
            </w:r>
            <w:proofErr w:type="spellStart"/>
            <w:r w:rsidRPr="00921FAC">
              <w:rPr>
                <w:rFonts w:cstheme="minorHAnsi"/>
                <w:sz w:val="20"/>
                <w:szCs w:val="20"/>
              </w:rPr>
              <w:t>ostvarilo</w:t>
            </w:r>
            <w:proofErr w:type="spellEnd"/>
            <w:r w:rsidRPr="00921FAC">
              <w:rPr>
                <w:rFonts w:cstheme="minorHAnsi"/>
                <w:sz w:val="20"/>
                <w:szCs w:val="20"/>
              </w:rPr>
              <w:t xml:space="preserve"> </w:t>
            </w:r>
            <w:proofErr w:type="spellStart"/>
            <w:r w:rsidRPr="00921FAC">
              <w:rPr>
                <w:rFonts w:cstheme="minorHAnsi"/>
                <w:sz w:val="20"/>
                <w:szCs w:val="20"/>
              </w:rPr>
              <w:t>povećanje</w:t>
            </w:r>
            <w:proofErr w:type="spellEnd"/>
            <w:r w:rsidRPr="00921FAC">
              <w:rPr>
                <w:rFonts w:cstheme="minorHAnsi"/>
                <w:sz w:val="20"/>
                <w:szCs w:val="20"/>
              </w:rPr>
              <w:t xml:space="preserve"> </w:t>
            </w:r>
            <w:proofErr w:type="spellStart"/>
            <w:r w:rsidRPr="00921FAC">
              <w:rPr>
                <w:rFonts w:cstheme="minorHAnsi"/>
                <w:sz w:val="20"/>
                <w:szCs w:val="20"/>
              </w:rPr>
              <w:t>udjela</w:t>
            </w:r>
            <w:proofErr w:type="spellEnd"/>
            <w:r w:rsidRPr="00921FAC">
              <w:rPr>
                <w:rFonts w:cstheme="minorHAnsi"/>
                <w:sz w:val="20"/>
                <w:szCs w:val="20"/>
              </w:rPr>
              <w:t xml:space="preserve"> OIE i </w:t>
            </w:r>
            <w:proofErr w:type="spellStart"/>
            <w:r w:rsidRPr="00921FAC">
              <w:rPr>
                <w:rFonts w:cstheme="minorHAnsi"/>
                <w:sz w:val="20"/>
                <w:szCs w:val="20"/>
              </w:rPr>
              <w:t>sigurnosti</w:t>
            </w:r>
            <w:proofErr w:type="spellEnd"/>
            <w:r w:rsidRPr="00921FAC">
              <w:rPr>
                <w:rFonts w:cstheme="minorHAnsi"/>
                <w:sz w:val="20"/>
                <w:szCs w:val="20"/>
              </w:rPr>
              <w:t xml:space="preserve"> </w:t>
            </w:r>
            <w:proofErr w:type="spellStart"/>
            <w:r w:rsidRPr="00921FAC">
              <w:rPr>
                <w:rFonts w:cstheme="minorHAnsi"/>
                <w:sz w:val="20"/>
                <w:szCs w:val="20"/>
              </w:rPr>
              <w:t>snabdijevanja</w:t>
            </w:r>
            <w:proofErr w:type="spellEnd"/>
            <w:r w:rsidRPr="00921FAC">
              <w:rPr>
                <w:rFonts w:cstheme="minorHAnsi"/>
                <w:sz w:val="20"/>
                <w:szCs w:val="20"/>
              </w:rPr>
              <w:t xml:space="preserve"> </w:t>
            </w:r>
            <w:proofErr w:type="spellStart"/>
            <w:r w:rsidRPr="00921FAC">
              <w:rPr>
                <w:rFonts w:cstheme="minorHAnsi"/>
                <w:sz w:val="20"/>
                <w:szCs w:val="20"/>
              </w:rPr>
              <w:t>energentima</w:t>
            </w:r>
            <w:proofErr w:type="spellEnd"/>
            <w:r w:rsidRPr="00921FAC">
              <w:rPr>
                <w:rFonts w:cstheme="minorHAnsi"/>
                <w:sz w:val="20"/>
                <w:szCs w:val="20"/>
              </w:rPr>
              <w:t xml:space="preserve"> u </w:t>
            </w:r>
            <w:proofErr w:type="spellStart"/>
            <w:r w:rsidRPr="00921FAC">
              <w:rPr>
                <w:rFonts w:cstheme="minorHAnsi"/>
                <w:sz w:val="20"/>
                <w:szCs w:val="20"/>
              </w:rPr>
              <w:t>sektoru</w:t>
            </w:r>
            <w:proofErr w:type="spellEnd"/>
            <w:r w:rsidRPr="00921FAC">
              <w:rPr>
                <w:rFonts w:cstheme="minorHAnsi"/>
                <w:sz w:val="20"/>
                <w:szCs w:val="20"/>
              </w:rPr>
              <w:t xml:space="preserve"> </w:t>
            </w:r>
            <w:proofErr w:type="spellStart"/>
            <w:r w:rsidRPr="00921FAC">
              <w:rPr>
                <w:rFonts w:cstheme="minorHAnsi"/>
                <w:sz w:val="20"/>
                <w:szCs w:val="20"/>
              </w:rPr>
              <w:t>zgradarstva</w:t>
            </w:r>
            <w:proofErr w:type="spellEnd"/>
            <w:r w:rsidRPr="00921FAC">
              <w:rPr>
                <w:rFonts w:cstheme="minorHAnsi"/>
                <w:sz w:val="20"/>
                <w:szCs w:val="20"/>
              </w:rPr>
              <w:t xml:space="preserve">, </w:t>
            </w:r>
            <w:proofErr w:type="spellStart"/>
            <w:r w:rsidRPr="00921FAC">
              <w:rPr>
                <w:rFonts w:cstheme="minorHAnsi"/>
                <w:sz w:val="20"/>
                <w:szCs w:val="20"/>
              </w:rPr>
              <w:t>neophodno</w:t>
            </w:r>
            <w:proofErr w:type="spellEnd"/>
            <w:r w:rsidRPr="00921FAC">
              <w:rPr>
                <w:rFonts w:cstheme="minorHAnsi"/>
                <w:sz w:val="20"/>
                <w:szCs w:val="20"/>
              </w:rPr>
              <w:t xml:space="preserve"> je </w:t>
            </w:r>
            <w:proofErr w:type="spellStart"/>
            <w:r w:rsidRPr="00921FAC">
              <w:rPr>
                <w:rFonts w:cstheme="minorHAnsi"/>
                <w:sz w:val="20"/>
                <w:szCs w:val="20"/>
              </w:rPr>
              <w:t>integriranje</w:t>
            </w:r>
            <w:proofErr w:type="spellEnd"/>
            <w:r w:rsidRPr="00921FAC">
              <w:rPr>
                <w:rFonts w:cstheme="minorHAnsi"/>
                <w:sz w:val="20"/>
                <w:szCs w:val="20"/>
              </w:rPr>
              <w:t xml:space="preserve"> </w:t>
            </w:r>
            <w:proofErr w:type="spellStart"/>
            <w:r w:rsidRPr="00921FAC">
              <w:rPr>
                <w:rFonts w:cstheme="minorHAnsi"/>
                <w:sz w:val="20"/>
                <w:szCs w:val="20"/>
              </w:rPr>
              <w:t>Bosne</w:t>
            </w:r>
            <w:proofErr w:type="spellEnd"/>
            <w:r w:rsidRPr="00921FAC">
              <w:rPr>
                <w:rFonts w:cstheme="minorHAnsi"/>
                <w:sz w:val="20"/>
                <w:szCs w:val="20"/>
              </w:rPr>
              <w:t xml:space="preserve"> i </w:t>
            </w:r>
            <w:proofErr w:type="spellStart"/>
            <w:r w:rsidRPr="00921FAC">
              <w:rPr>
                <w:rFonts w:cstheme="minorHAnsi"/>
                <w:sz w:val="20"/>
                <w:szCs w:val="20"/>
              </w:rPr>
              <w:t>Hercegovine</w:t>
            </w:r>
            <w:proofErr w:type="spellEnd"/>
            <w:r w:rsidRPr="00921FAC">
              <w:rPr>
                <w:rFonts w:cstheme="minorHAnsi"/>
                <w:sz w:val="20"/>
                <w:szCs w:val="20"/>
              </w:rPr>
              <w:t xml:space="preserve"> u </w:t>
            </w:r>
            <w:proofErr w:type="spellStart"/>
            <w:r w:rsidRPr="00921FAC">
              <w:rPr>
                <w:rFonts w:cstheme="minorHAnsi"/>
                <w:sz w:val="20"/>
                <w:szCs w:val="20"/>
              </w:rPr>
              <w:t>sistem</w:t>
            </w:r>
            <w:proofErr w:type="spellEnd"/>
            <w:r w:rsidRPr="00921FAC">
              <w:rPr>
                <w:rFonts w:cstheme="minorHAnsi"/>
                <w:sz w:val="20"/>
                <w:szCs w:val="20"/>
              </w:rPr>
              <w:t xml:space="preserve"> </w:t>
            </w:r>
            <w:proofErr w:type="spellStart"/>
            <w:r w:rsidRPr="00921FAC">
              <w:rPr>
                <w:rFonts w:cstheme="minorHAnsi"/>
                <w:sz w:val="20"/>
                <w:szCs w:val="20"/>
              </w:rPr>
              <w:t>trgovanja</w:t>
            </w:r>
            <w:proofErr w:type="spellEnd"/>
            <w:r w:rsidRPr="00921FAC">
              <w:rPr>
                <w:rFonts w:cstheme="minorHAnsi"/>
                <w:sz w:val="20"/>
                <w:szCs w:val="20"/>
              </w:rPr>
              <w:t xml:space="preserve"> </w:t>
            </w:r>
            <w:proofErr w:type="spellStart"/>
            <w:r w:rsidRPr="00921FAC">
              <w:rPr>
                <w:rFonts w:cstheme="minorHAnsi"/>
                <w:sz w:val="20"/>
                <w:szCs w:val="20"/>
              </w:rPr>
              <w:t>emisijskim</w:t>
            </w:r>
            <w:proofErr w:type="spellEnd"/>
            <w:r w:rsidRPr="00921FAC">
              <w:rPr>
                <w:rFonts w:cstheme="minorHAnsi"/>
                <w:sz w:val="20"/>
                <w:szCs w:val="20"/>
              </w:rPr>
              <w:t xml:space="preserve"> </w:t>
            </w:r>
            <w:proofErr w:type="spellStart"/>
            <w:r w:rsidRPr="00921FAC">
              <w:rPr>
                <w:rFonts w:cstheme="minorHAnsi"/>
                <w:sz w:val="20"/>
                <w:szCs w:val="20"/>
              </w:rPr>
              <w:t>jedinicama</w:t>
            </w:r>
            <w:proofErr w:type="spellEnd"/>
            <w:r w:rsidRPr="00921FAC">
              <w:rPr>
                <w:rFonts w:cstheme="minorHAnsi"/>
                <w:sz w:val="20"/>
                <w:szCs w:val="20"/>
              </w:rPr>
              <w:t xml:space="preserve"> </w:t>
            </w:r>
            <w:proofErr w:type="spellStart"/>
            <w:r w:rsidRPr="00921FAC">
              <w:rPr>
                <w:rFonts w:cstheme="minorHAnsi"/>
                <w:sz w:val="20"/>
                <w:szCs w:val="20"/>
              </w:rPr>
              <w:t>stakleničkih</w:t>
            </w:r>
            <w:proofErr w:type="spellEnd"/>
            <w:r w:rsidRPr="00921FAC">
              <w:rPr>
                <w:rFonts w:cstheme="minorHAnsi"/>
                <w:sz w:val="20"/>
                <w:szCs w:val="20"/>
              </w:rPr>
              <w:t xml:space="preserve"> </w:t>
            </w:r>
            <w:proofErr w:type="spellStart"/>
            <w:r w:rsidRPr="00921FAC">
              <w:rPr>
                <w:rFonts w:cstheme="minorHAnsi"/>
                <w:sz w:val="20"/>
                <w:szCs w:val="20"/>
              </w:rPr>
              <w:t>plinova</w:t>
            </w:r>
            <w:proofErr w:type="spellEnd"/>
            <w:r w:rsidRPr="00921FAC">
              <w:rPr>
                <w:rFonts w:cstheme="minorHAnsi"/>
                <w:sz w:val="20"/>
                <w:szCs w:val="20"/>
              </w:rPr>
              <w:t xml:space="preserve"> (EU ETS). </w:t>
            </w:r>
            <w:proofErr w:type="spellStart"/>
            <w:proofErr w:type="gramStart"/>
            <w:r w:rsidRPr="00921FAC">
              <w:rPr>
                <w:rFonts w:cstheme="minorHAnsi"/>
                <w:sz w:val="20"/>
                <w:szCs w:val="20"/>
              </w:rPr>
              <w:t>Dodatno</w:t>
            </w:r>
            <w:proofErr w:type="spellEnd"/>
            <w:r w:rsidRPr="00921FAC">
              <w:rPr>
                <w:rFonts w:cstheme="minorHAnsi"/>
                <w:sz w:val="20"/>
                <w:szCs w:val="20"/>
              </w:rPr>
              <w:t xml:space="preserve">,  </w:t>
            </w:r>
            <w:proofErr w:type="spellStart"/>
            <w:r w:rsidRPr="00921FAC">
              <w:rPr>
                <w:rFonts w:cstheme="minorHAnsi"/>
                <w:sz w:val="20"/>
                <w:szCs w:val="20"/>
              </w:rPr>
              <w:t>potrebno</w:t>
            </w:r>
            <w:proofErr w:type="spellEnd"/>
            <w:proofErr w:type="gramEnd"/>
            <w:r w:rsidRPr="00921FAC">
              <w:rPr>
                <w:rFonts w:cstheme="minorHAnsi"/>
                <w:sz w:val="20"/>
                <w:szCs w:val="20"/>
              </w:rPr>
              <w:t xml:space="preserve"> je </w:t>
            </w:r>
            <w:proofErr w:type="spellStart"/>
            <w:r w:rsidRPr="00921FAC">
              <w:rPr>
                <w:rFonts w:cstheme="minorHAnsi"/>
                <w:sz w:val="20"/>
                <w:szCs w:val="20"/>
              </w:rPr>
              <w:t>uspostaviti</w:t>
            </w:r>
            <w:proofErr w:type="spellEnd"/>
            <w:r w:rsidRPr="00921FAC">
              <w:rPr>
                <w:rFonts w:cstheme="minorHAnsi"/>
                <w:sz w:val="20"/>
                <w:szCs w:val="20"/>
              </w:rPr>
              <w:t xml:space="preserve"> i </w:t>
            </w:r>
            <w:proofErr w:type="spellStart"/>
            <w:r w:rsidR="007B690C" w:rsidRPr="00921FAC">
              <w:rPr>
                <w:rFonts w:cstheme="minorHAnsi"/>
                <w:sz w:val="20"/>
                <w:szCs w:val="20"/>
              </w:rPr>
              <w:t>financ</w:t>
            </w:r>
            <w:r w:rsidRPr="00921FAC">
              <w:rPr>
                <w:rFonts w:cstheme="minorHAnsi"/>
                <w:sz w:val="20"/>
                <w:szCs w:val="20"/>
              </w:rPr>
              <w:t>ijski</w:t>
            </w:r>
            <w:proofErr w:type="spellEnd"/>
            <w:r w:rsidRPr="00921FAC">
              <w:rPr>
                <w:rFonts w:cstheme="minorHAnsi"/>
                <w:sz w:val="20"/>
                <w:szCs w:val="20"/>
              </w:rPr>
              <w:t xml:space="preserve"> </w:t>
            </w:r>
            <w:proofErr w:type="spellStart"/>
            <w:r w:rsidRPr="00921FAC">
              <w:rPr>
                <w:rFonts w:cstheme="minorHAnsi"/>
                <w:sz w:val="20"/>
                <w:szCs w:val="20"/>
              </w:rPr>
              <w:t>mehanizam</w:t>
            </w:r>
            <w:proofErr w:type="spellEnd"/>
            <w:r w:rsidRPr="00921FAC">
              <w:rPr>
                <w:rFonts w:cstheme="minorHAnsi"/>
                <w:sz w:val="20"/>
                <w:szCs w:val="20"/>
              </w:rPr>
              <w:t xml:space="preserve"> </w:t>
            </w:r>
            <w:proofErr w:type="spellStart"/>
            <w:r w:rsidRPr="00921FAC">
              <w:rPr>
                <w:rFonts w:cstheme="minorHAnsi"/>
                <w:sz w:val="20"/>
                <w:szCs w:val="20"/>
              </w:rPr>
              <w:t>smanjenja</w:t>
            </w:r>
            <w:proofErr w:type="spellEnd"/>
            <w:r w:rsidRPr="00921FAC">
              <w:rPr>
                <w:rFonts w:cstheme="minorHAnsi"/>
                <w:sz w:val="20"/>
                <w:szCs w:val="20"/>
              </w:rPr>
              <w:t xml:space="preserve"> </w:t>
            </w:r>
            <w:proofErr w:type="spellStart"/>
            <w:r w:rsidRPr="00921FAC">
              <w:rPr>
                <w:rFonts w:cstheme="minorHAnsi"/>
                <w:sz w:val="20"/>
                <w:szCs w:val="20"/>
              </w:rPr>
              <w:t>rizika</w:t>
            </w:r>
            <w:proofErr w:type="spellEnd"/>
            <w:r w:rsidRPr="00921FAC">
              <w:rPr>
                <w:rFonts w:cstheme="minorHAnsi"/>
                <w:sz w:val="20"/>
                <w:szCs w:val="20"/>
              </w:rPr>
              <w:t xml:space="preserve"> </w:t>
            </w:r>
            <w:proofErr w:type="spellStart"/>
            <w:r w:rsidRPr="00921FAC">
              <w:rPr>
                <w:rFonts w:cstheme="minorHAnsi"/>
                <w:sz w:val="20"/>
                <w:szCs w:val="20"/>
              </w:rPr>
              <w:t>prilikom</w:t>
            </w:r>
            <w:proofErr w:type="spellEnd"/>
            <w:r w:rsidRPr="00921FAC">
              <w:rPr>
                <w:rFonts w:cstheme="minorHAnsi"/>
                <w:sz w:val="20"/>
                <w:szCs w:val="20"/>
              </w:rPr>
              <w:t xml:space="preserve"> </w:t>
            </w:r>
            <w:proofErr w:type="spellStart"/>
            <w:r w:rsidRPr="00921FAC">
              <w:rPr>
                <w:rFonts w:cstheme="minorHAnsi"/>
                <w:sz w:val="20"/>
                <w:szCs w:val="20"/>
              </w:rPr>
              <w:t>implementacija</w:t>
            </w:r>
            <w:proofErr w:type="spellEnd"/>
            <w:r w:rsidRPr="00921FAC">
              <w:rPr>
                <w:rFonts w:cstheme="minorHAnsi"/>
                <w:sz w:val="20"/>
                <w:szCs w:val="20"/>
              </w:rPr>
              <w:t xml:space="preserve"> </w:t>
            </w:r>
            <w:proofErr w:type="spellStart"/>
            <w:r w:rsidRPr="00921FAC">
              <w:rPr>
                <w:rFonts w:cstheme="minorHAnsi"/>
                <w:sz w:val="20"/>
                <w:szCs w:val="20"/>
              </w:rPr>
              <w:t>projekata</w:t>
            </w:r>
            <w:proofErr w:type="spellEnd"/>
            <w:r w:rsidRPr="00921FAC">
              <w:rPr>
                <w:rFonts w:cstheme="minorHAnsi"/>
                <w:sz w:val="20"/>
                <w:szCs w:val="20"/>
              </w:rPr>
              <w:t xml:space="preserve"> koji </w:t>
            </w:r>
            <w:proofErr w:type="spellStart"/>
            <w:r w:rsidRPr="00921FAC">
              <w:rPr>
                <w:rFonts w:cstheme="minorHAnsi"/>
                <w:sz w:val="20"/>
                <w:szCs w:val="20"/>
              </w:rPr>
              <w:t>imaju</w:t>
            </w:r>
            <w:proofErr w:type="spellEnd"/>
            <w:r w:rsidRPr="00921FAC">
              <w:rPr>
                <w:rFonts w:cstheme="minorHAnsi"/>
                <w:sz w:val="20"/>
                <w:szCs w:val="20"/>
              </w:rPr>
              <w:t xml:space="preserve"> za </w:t>
            </w:r>
            <w:proofErr w:type="spellStart"/>
            <w:r w:rsidRPr="00921FAC">
              <w:rPr>
                <w:rFonts w:cstheme="minorHAnsi"/>
                <w:sz w:val="20"/>
                <w:szCs w:val="20"/>
              </w:rPr>
              <w:t>cilj</w:t>
            </w:r>
            <w:proofErr w:type="spellEnd"/>
            <w:r w:rsidRPr="00921FAC">
              <w:rPr>
                <w:rFonts w:cstheme="minorHAnsi"/>
                <w:sz w:val="20"/>
                <w:szCs w:val="20"/>
              </w:rPr>
              <w:t xml:space="preserve"> </w:t>
            </w:r>
            <w:proofErr w:type="spellStart"/>
            <w:r w:rsidRPr="00921FAC">
              <w:rPr>
                <w:rFonts w:cstheme="minorHAnsi"/>
                <w:sz w:val="20"/>
                <w:szCs w:val="20"/>
              </w:rPr>
              <w:t>korištenje</w:t>
            </w:r>
            <w:proofErr w:type="spellEnd"/>
            <w:r w:rsidRPr="00921FAC">
              <w:rPr>
                <w:rFonts w:cstheme="minorHAnsi"/>
                <w:sz w:val="20"/>
                <w:szCs w:val="20"/>
              </w:rPr>
              <w:t xml:space="preserve"> OIE. </w:t>
            </w:r>
            <w:proofErr w:type="spellStart"/>
            <w:r w:rsidRPr="00921FAC">
              <w:rPr>
                <w:rFonts w:cstheme="minorHAnsi"/>
                <w:sz w:val="20"/>
                <w:szCs w:val="20"/>
              </w:rPr>
              <w:t>Jedan</w:t>
            </w:r>
            <w:proofErr w:type="spellEnd"/>
            <w:r w:rsidRPr="00921FAC">
              <w:rPr>
                <w:rFonts w:cstheme="minorHAnsi"/>
                <w:sz w:val="20"/>
                <w:szCs w:val="20"/>
              </w:rPr>
              <w:t xml:space="preserve"> od </w:t>
            </w:r>
            <w:proofErr w:type="spellStart"/>
            <w:r w:rsidRPr="00921FAC">
              <w:rPr>
                <w:rFonts w:cstheme="minorHAnsi"/>
                <w:sz w:val="20"/>
                <w:szCs w:val="20"/>
              </w:rPr>
              <w:t>takvih</w:t>
            </w:r>
            <w:proofErr w:type="spellEnd"/>
            <w:r w:rsidRPr="00921FAC">
              <w:rPr>
                <w:rFonts w:cstheme="minorHAnsi"/>
                <w:sz w:val="20"/>
                <w:szCs w:val="20"/>
              </w:rPr>
              <w:t xml:space="preserve"> </w:t>
            </w:r>
            <w:proofErr w:type="spellStart"/>
            <w:r w:rsidR="007B690C" w:rsidRPr="00921FAC">
              <w:rPr>
                <w:rFonts w:cstheme="minorHAnsi"/>
                <w:sz w:val="20"/>
                <w:szCs w:val="20"/>
              </w:rPr>
              <w:t>financ</w:t>
            </w:r>
            <w:r w:rsidRPr="00921FAC">
              <w:rPr>
                <w:rFonts w:cstheme="minorHAnsi"/>
                <w:sz w:val="20"/>
                <w:szCs w:val="20"/>
              </w:rPr>
              <w:t>ijskih</w:t>
            </w:r>
            <w:proofErr w:type="spellEnd"/>
            <w:r w:rsidRPr="00921FAC">
              <w:rPr>
                <w:rFonts w:cstheme="minorHAnsi"/>
                <w:sz w:val="20"/>
                <w:szCs w:val="20"/>
              </w:rPr>
              <w:t xml:space="preserve"> </w:t>
            </w:r>
            <w:proofErr w:type="spellStart"/>
            <w:r w:rsidRPr="00921FAC">
              <w:rPr>
                <w:rFonts w:cstheme="minorHAnsi"/>
                <w:sz w:val="20"/>
                <w:szCs w:val="20"/>
              </w:rPr>
              <w:t>mehanizama</w:t>
            </w:r>
            <w:proofErr w:type="spellEnd"/>
            <w:r w:rsidRPr="00921FAC">
              <w:rPr>
                <w:rFonts w:cstheme="minorHAnsi"/>
                <w:sz w:val="20"/>
                <w:szCs w:val="20"/>
              </w:rPr>
              <w:t xml:space="preserve"> je </w:t>
            </w:r>
            <w:proofErr w:type="spellStart"/>
            <w:r w:rsidRPr="00921FAC">
              <w:rPr>
                <w:rFonts w:cstheme="minorHAnsi"/>
                <w:sz w:val="20"/>
                <w:szCs w:val="20"/>
              </w:rPr>
              <w:t>uspostavljanje</w:t>
            </w:r>
            <w:proofErr w:type="spellEnd"/>
            <w:r w:rsidRPr="00921FAC">
              <w:rPr>
                <w:rFonts w:cstheme="minorHAnsi"/>
                <w:sz w:val="20"/>
                <w:szCs w:val="20"/>
              </w:rPr>
              <w:t xml:space="preserve"> i </w:t>
            </w:r>
            <w:proofErr w:type="spellStart"/>
            <w:r w:rsidRPr="00921FAC">
              <w:rPr>
                <w:rFonts w:cstheme="minorHAnsi"/>
                <w:sz w:val="20"/>
                <w:szCs w:val="20"/>
              </w:rPr>
              <w:t>poticanje</w:t>
            </w:r>
            <w:proofErr w:type="spellEnd"/>
            <w:r w:rsidRPr="00921FAC">
              <w:rPr>
                <w:rFonts w:cstheme="minorHAnsi"/>
                <w:sz w:val="20"/>
                <w:szCs w:val="20"/>
              </w:rPr>
              <w:t xml:space="preserve"> </w:t>
            </w:r>
            <w:proofErr w:type="spellStart"/>
            <w:r w:rsidRPr="00921FAC">
              <w:rPr>
                <w:rFonts w:cstheme="minorHAnsi"/>
                <w:sz w:val="20"/>
                <w:szCs w:val="20"/>
              </w:rPr>
              <w:t>sistema</w:t>
            </w:r>
            <w:proofErr w:type="spellEnd"/>
            <w:r w:rsidRPr="00921FAC">
              <w:rPr>
                <w:rFonts w:cstheme="minorHAnsi"/>
                <w:sz w:val="20"/>
                <w:szCs w:val="20"/>
              </w:rPr>
              <w:t xml:space="preserve"> </w:t>
            </w:r>
            <w:proofErr w:type="spellStart"/>
            <w:r w:rsidRPr="00921FAC">
              <w:rPr>
                <w:rFonts w:cstheme="minorHAnsi"/>
                <w:sz w:val="20"/>
                <w:szCs w:val="20"/>
              </w:rPr>
              <w:t>proizvodnje</w:t>
            </w:r>
            <w:proofErr w:type="spellEnd"/>
            <w:r w:rsidRPr="00921FAC">
              <w:rPr>
                <w:rFonts w:cstheme="minorHAnsi"/>
                <w:sz w:val="20"/>
                <w:szCs w:val="20"/>
              </w:rPr>
              <w:t xml:space="preserve">, </w:t>
            </w:r>
            <w:proofErr w:type="spellStart"/>
            <w:r w:rsidRPr="00921FAC">
              <w:rPr>
                <w:rFonts w:cstheme="minorHAnsi"/>
                <w:sz w:val="20"/>
                <w:szCs w:val="20"/>
              </w:rPr>
              <w:t>potrošnje</w:t>
            </w:r>
            <w:proofErr w:type="spellEnd"/>
            <w:r w:rsidRPr="00921FAC">
              <w:rPr>
                <w:rFonts w:cstheme="minorHAnsi"/>
                <w:sz w:val="20"/>
                <w:szCs w:val="20"/>
              </w:rPr>
              <w:t xml:space="preserve">, </w:t>
            </w:r>
            <w:proofErr w:type="spellStart"/>
            <w:r w:rsidRPr="00921FAC">
              <w:rPr>
                <w:rFonts w:cstheme="minorHAnsi"/>
                <w:sz w:val="20"/>
                <w:szCs w:val="20"/>
              </w:rPr>
              <w:t>predaje</w:t>
            </w:r>
            <w:proofErr w:type="spellEnd"/>
            <w:r w:rsidRPr="00921FAC">
              <w:rPr>
                <w:rFonts w:cstheme="minorHAnsi"/>
                <w:sz w:val="20"/>
                <w:szCs w:val="20"/>
              </w:rPr>
              <w:t xml:space="preserve"> u </w:t>
            </w:r>
            <w:proofErr w:type="spellStart"/>
            <w:r w:rsidRPr="00921FAC">
              <w:rPr>
                <w:rFonts w:cstheme="minorHAnsi"/>
                <w:sz w:val="20"/>
                <w:szCs w:val="20"/>
              </w:rPr>
              <w:t>sistem</w:t>
            </w:r>
            <w:proofErr w:type="spellEnd"/>
            <w:r w:rsidRPr="00921FAC">
              <w:rPr>
                <w:rFonts w:cstheme="minorHAnsi"/>
                <w:sz w:val="20"/>
                <w:szCs w:val="20"/>
              </w:rPr>
              <w:t xml:space="preserve"> i </w:t>
            </w:r>
            <w:proofErr w:type="spellStart"/>
            <w:r w:rsidRPr="00921FAC">
              <w:rPr>
                <w:rFonts w:cstheme="minorHAnsi"/>
                <w:sz w:val="20"/>
                <w:szCs w:val="20"/>
              </w:rPr>
              <w:t>prodaje</w:t>
            </w:r>
            <w:proofErr w:type="spellEnd"/>
            <w:r w:rsidRPr="00921FAC">
              <w:rPr>
                <w:rFonts w:cstheme="minorHAnsi"/>
                <w:sz w:val="20"/>
                <w:szCs w:val="20"/>
              </w:rPr>
              <w:t xml:space="preserve"> </w:t>
            </w:r>
            <w:proofErr w:type="spellStart"/>
            <w:r w:rsidRPr="00921FAC">
              <w:rPr>
                <w:rFonts w:cstheme="minorHAnsi"/>
                <w:sz w:val="20"/>
                <w:szCs w:val="20"/>
              </w:rPr>
              <w:t>električne</w:t>
            </w:r>
            <w:proofErr w:type="spellEnd"/>
            <w:r w:rsidRPr="00921FAC">
              <w:rPr>
                <w:rFonts w:cstheme="minorHAnsi"/>
                <w:sz w:val="20"/>
                <w:szCs w:val="20"/>
              </w:rPr>
              <w:t xml:space="preserve"> energije (</w:t>
            </w:r>
            <w:proofErr w:type="spellStart"/>
            <w:r w:rsidRPr="00921FAC">
              <w:rPr>
                <w:rFonts w:cstheme="minorHAnsi"/>
                <w:sz w:val="20"/>
                <w:szCs w:val="20"/>
              </w:rPr>
              <w:t>tzv</w:t>
            </w:r>
            <w:proofErr w:type="spellEnd"/>
            <w:r w:rsidRPr="00921FAC">
              <w:rPr>
                <w:rFonts w:cstheme="minorHAnsi"/>
                <w:sz w:val="20"/>
                <w:szCs w:val="20"/>
              </w:rPr>
              <w:t xml:space="preserve">. </w:t>
            </w:r>
            <w:proofErr w:type="spellStart"/>
            <w:r w:rsidRPr="00921FAC">
              <w:rPr>
                <w:rFonts w:cstheme="minorHAnsi"/>
                <w:sz w:val="20"/>
                <w:szCs w:val="20"/>
              </w:rPr>
              <w:t>prosumeri</w:t>
            </w:r>
            <w:proofErr w:type="spellEnd"/>
            <w:r w:rsidRPr="00921FAC">
              <w:rPr>
                <w:rFonts w:cstheme="minorHAnsi"/>
                <w:sz w:val="20"/>
                <w:szCs w:val="20"/>
              </w:rPr>
              <w:t xml:space="preserve">) za </w:t>
            </w:r>
            <w:proofErr w:type="spellStart"/>
            <w:r w:rsidRPr="00921FAC">
              <w:rPr>
                <w:rFonts w:cstheme="minorHAnsi"/>
                <w:sz w:val="20"/>
                <w:szCs w:val="20"/>
              </w:rPr>
              <w:t>fizička</w:t>
            </w:r>
            <w:proofErr w:type="spellEnd"/>
            <w:r w:rsidRPr="00921FAC">
              <w:rPr>
                <w:rFonts w:cstheme="minorHAnsi"/>
                <w:sz w:val="20"/>
                <w:szCs w:val="20"/>
              </w:rPr>
              <w:t xml:space="preserve"> i </w:t>
            </w:r>
            <w:proofErr w:type="spellStart"/>
            <w:r w:rsidRPr="00921FAC">
              <w:rPr>
                <w:rFonts w:cstheme="minorHAnsi"/>
                <w:sz w:val="20"/>
                <w:szCs w:val="20"/>
              </w:rPr>
              <w:t>pravna</w:t>
            </w:r>
            <w:proofErr w:type="spellEnd"/>
            <w:r w:rsidRPr="00921FAC">
              <w:rPr>
                <w:rFonts w:cstheme="minorHAnsi"/>
                <w:sz w:val="20"/>
                <w:szCs w:val="20"/>
              </w:rPr>
              <w:t xml:space="preserve"> </w:t>
            </w:r>
            <w:proofErr w:type="spellStart"/>
            <w:r w:rsidRPr="00921FAC">
              <w:rPr>
                <w:rFonts w:cstheme="minorHAnsi"/>
                <w:sz w:val="20"/>
                <w:szCs w:val="20"/>
              </w:rPr>
              <w:t>lica</w:t>
            </w:r>
            <w:proofErr w:type="spellEnd"/>
            <w:r w:rsidRPr="00921FAC">
              <w:rPr>
                <w:rFonts w:cstheme="minorHAnsi"/>
                <w:sz w:val="20"/>
                <w:szCs w:val="20"/>
              </w:rPr>
              <w:t xml:space="preserve">, </w:t>
            </w:r>
            <w:proofErr w:type="spellStart"/>
            <w:r w:rsidRPr="00921FAC">
              <w:rPr>
                <w:rFonts w:cstheme="minorHAnsi"/>
                <w:sz w:val="20"/>
                <w:szCs w:val="20"/>
              </w:rPr>
              <w:t>te</w:t>
            </w:r>
            <w:proofErr w:type="spellEnd"/>
            <w:r w:rsidRPr="00921FAC">
              <w:rPr>
                <w:rFonts w:cstheme="minorHAnsi"/>
                <w:sz w:val="20"/>
                <w:szCs w:val="20"/>
              </w:rPr>
              <w:t xml:space="preserve"> </w:t>
            </w:r>
            <w:proofErr w:type="spellStart"/>
            <w:r w:rsidRPr="00921FAC">
              <w:rPr>
                <w:rFonts w:cstheme="minorHAnsi"/>
                <w:sz w:val="20"/>
                <w:szCs w:val="20"/>
              </w:rPr>
              <w:t>lokalne</w:t>
            </w:r>
            <w:proofErr w:type="spellEnd"/>
            <w:r w:rsidRPr="00921FAC">
              <w:rPr>
                <w:rFonts w:cstheme="minorHAnsi"/>
                <w:sz w:val="20"/>
                <w:szCs w:val="20"/>
              </w:rPr>
              <w:t xml:space="preserve"> </w:t>
            </w:r>
            <w:proofErr w:type="spellStart"/>
            <w:r w:rsidRPr="00921FAC">
              <w:rPr>
                <w:rFonts w:cstheme="minorHAnsi"/>
                <w:sz w:val="20"/>
                <w:szCs w:val="20"/>
              </w:rPr>
              <w:t>zajednice</w:t>
            </w:r>
            <w:proofErr w:type="spellEnd"/>
            <w:r w:rsidRPr="00921FAC">
              <w:rPr>
                <w:rFonts w:cstheme="minorHAnsi"/>
                <w:sz w:val="20"/>
                <w:szCs w:val="20"/>
              </w:rPr>
              <w:t>.</w:t>
            </w:r>
          </w:p>
          <w:p w14:paraId="60808D9D" w14:textId="77777777" w:rsidR="00A00D87" w:rsidRPr="00921FAC" w:rsidRDefault="00A00D87" w:rsidP="00E6560A">
            <w:pPr>
              <w:jc w:val="both"/>
              <w:rPr>
                <w:rFonts w:cstheme="minorHAnsi"/>
                <w:sz w:val="20"/>
                <w:szCs w:val="20"/>
              </w:rPr>
            </w:pPr>
            <w:r w:rsidRPr="00921FAC">
              <w:rPr>
                <w:rFonts w:cstheme="minorHAnsi"/>
                <w:sz w:val="20"/>
                <w:szCs w:val="20"/>
              </w:rPr>
              <w:t xml:space="preserve">Kao </w:t>
            </w:r>
            <w:proofErr w:type="spellStart"/>
            <w:r w:rsidRPr="00921FAC">
              <w:rPr>
                <w:rFonts w:cstheme="minorHAnsi"/>
                <w:sz w:val="20"/>
                <w:szCs w:val="20"/>
              </w:rPr>
              <w:t>olakšice</w:t>
            </w:r>
            <w:proofErr w:type="spellEnd"/>
            <w:r w:rsidRPr="00921FAC">
              <w:rPr>
                <w:rFonts w:cstheme="minorHAnsi"/>
                <w:sz w:val="20"/>
                <w:szCs w:val="20"/>
              </w:rPr>
              <w:t xml:space="preserve"> za </w:t>
            </w:r>
            <w:proofErr w:type="spellStart"/>
            <w:r w:rsidRPr="00921FAC">
              <w:rPr>
                <w:rFonts w:cstheme="minorHAnsi"/>
                <w:sz w:val="20"/>
                <w:szCs w:val="20"/>
              </w:rPr>
              <w:t>korištenje</w:t>
            </w:r>
            <w:proofErr w:type="spellEnd"/>
            <w:r w:rsidRPr="00921FAC">
              <w:rPr>
                <w:rFonts w:cstheme="minorHAnsi"/>
                <w:sz w:val="20"/>
                <w:szCs w:val="20"/>
              </w:rPr>
              <w:t xml:space="preserve"> OIE </w:t>
            </w:r>
            <w:proofErr w:type="spellStart"/>
            <w:r w:rsidRPr="00921FAC">
              <w:rPr>
                <w:rFonts w:cstheme="minorHAnsi"/>
                <w:sz w:val="20"/>
                <w:szCs w:val="20"/>
              </w:rPr>
              <w:t>potrebno</w:t>
            </w:r>
            <w:proofErr w:type="spellEnd"/>
            <w:r w:rsidRPr="00921FAC">
              <w:rPr>
                <w:rFonts w:cstheme="minorHAnsi"/>
                <w:sz w:val="20"/>
                <w:szCs w:val="20"/>
              </w:rPr>
              <w:t xml:space="preserve"> je </w:t>
            </w:r>
            <w:proofErr w:type="spellStart"/>
            <w:r w:rsidRPr="00921FAC">
              <w:rPr>
                <w:rFonts w:cstheme="minorHAnsi"/>
                <w:sz w:val="20"/>
                <w:szCs w:val="20"/>
              </w:rPr>
              <w:t>na</w:t>
            </w:r>
            <w:proofErr w:type="spellEnd"/>
            <w:r w:rsidRPr="00921FAC">
              <w:rPr>
                <w:rFonts w:cstheme="minorHAnsi"/>
                <w:sz w:val="20"/>
                <w:szCs w:val="20"/>
              </w:rPr>
              <w:t xml:space="preserve"> </w:t>
            </w:r>
            <w:proofErr w:type="spellStart"/>
            <w:r w:rsidRPr="00921FAC">
              <w:rPr>
                <w:rFonts w:cstheme="minorHAnsi"/>
                <w:sz w:val="20"/>
                <w:szCs w:val="20"/>
              </w:rPr>
              <w:t>lokalnim</w:t>
            </w:r>
            <w:proofErr w:type="spellEnd"/>
            <w:r w:rsidRPr="00921FAC">
              <w:rPr>
                <w:rFonts w:cstheme="minorHAnsi"/>
                <w:sz w:val="20"/>
                <w:szCs w:val="20"/>
              </w:rPr>
              <w:t xml:space="preserve"> </w:t>
            </w:r>
            <w:proofErr w:type="spellStart"/>
            <w:r w:rsidRPr="00921FAC">
              <w:rPr>
                <w:rFonts w:cstheme="minorHAnsi"/>
                <w:sz w:val="20"/>
                <w:szCs w:val="20"/>
              </w:rPr>
              <w:t>nivoima</w:t>
            </w:r>
            <w:proofErr w:type="spellEnd"/>
            <w:r w:rsidRPr="00921FAC">
              <w:rPr>
                <w:rFonts w:cstheme="minorHAnsi"/>
                <w:sz w:val="20"/>
                <w:szCs w:val="20"/>
              </w:rPr>
              <w:t xml:space="preserve"> </w:t>
            </w:r>
            <w:proofErr w:type="spellStart"/>
            <w:r w:rsidRPr="00921FAC">
              <w:rPr>
                <w:rFonts w:cstheme="minorHAnsi"/>
                <w:sz w:val="20"/>
                <w:szCs w:val="20"/>
              </w:rPr>
              <w:t>pojednostaviti</w:t>
            </w:r>
            <w:proofErr w:type="spellEnd"/>
            <w:r w:rsidRPr="00921FAC">
              <w:rPr>
                <w:rFonts w:cstheme="minorHAnsi"/>
                <w:sz w:val="20"/>
                <w:szCs w:val="20"/>
              </w:rPr>
              <w:t xml:space="preserve"> procedure za </w:t>
            </w:r>
            <w:proofErr w:type="spellStart"/>
            <w:r w:rsidRPr="00921FAC">
              <w:rPr>
                <w:rFonts w:cstheme="minorHAnsi"/>
                <w:sz w:val="20"/>
                <w:szCs w:val="20"/>
              </w:rPr>
              <w:t>ishodovanje</w:t>
            </w:r>
            <w:proofErr w:type="spellEnd"/>
            <w:r w:rsidRPr="00921FAC">
              <w:rPr>
                <w:rFonts w:cstheme="minorHAnsi"/>
                <w:sz w:val="20"/>
                <w:szCs w:val="20"/>
              </w:rPr>
              <w:t xml:space="preserve"> </w:t>
            </w:r>
            <w:proofErr w:type="spellStart"/>
            <w:r w:rsidRPr="00921FAC">
              <w:rPr>
                <w:rFonts w:cstheme="minorHAnsi"/>
                <w:sz w:val="20"/>
                <w:szCs w:val="20"/>
              </w:rPr>
              <w:t>građevinskih</w:t>
            </w:r>
            <w:proofErr w:type="spellEnd"/>
            <w:r w:rsidRPr="00921FAC">
              <w:rPr>
                <w:rFonts w:cstheme="minorHAnsi"/>
                <w:sz w:val="20"/>
                <w:szCs w:val="20"/>
              </w:rPr>
              <w:t xml:space="preserve"> i </w:t>
            </w:r>
            <w:proofErr w:type="spellStart"/>
            <w:r w:rsidRPr="00921FAC">
              <w:rPr>
                <w:rFonts w:cstheme="minorHAnsi"/>
                <w:sz w:val="20"/>
                <w:szCs w:val="20"/>
              </w:rPr>
              <w:t>upotrebnih</w:t>
            </w:r>
            <w:proofErr w:type="spellEnd"/>
            <w:r w:rsidRPr="00921FAC">
              <w:rPr>
                <w:rFonts w:cstheme="minorHAnsi"/>
                <w:sz w:val="20"/>
                <w:szCs w:val="20"/>
              </w:rPr>
              <w:t xml:space="preserve"> </w:t>
            </w:r>
            <w:proofErr w:type="spellStart"/>
            <w:proofErr w:type="gramStart"/>
            <w:r w:rsidRPr="00921FAC">
              <w:rPr>
                <w:rFonts w:cstheme="minorHAnsi"/>
                <w:sz w:val="20"/>
                <w:szCs w:val="20"/>
              </w:rPr>
              <w:t>dozvola</w:t>
            </w:r>
            <w:proofErr w:type="spellEnd"/>
            <w:r w:rsidRPr="00921FAC">
              <w:rPr>
                <w:rFonts w:cstheme="minorHAnsi"/>
                <w:sz w:val="20"/>
                <w:szCs w:val="20"/>
              </w:rPr>
              <w:t xml:space="preserve">  za</w:t>
            </w:r>
            <w:proofErr w:type="gramEnd"/>
            <w:r w:rsidRPr="00921FAC">
              <w:rPr>
                <w:rFonts w:cstheme="minorHAnsi"/>
                <w:sz w:val="20"/>
                <w:szCs w:val="20"/>
              </w:rPr>
              <w:t xml:space="preserve"> </w:t>
            </w:r>
            <w:proofErr w:type="spellStart"/>
            <w:r w:rsidRPr="00921FAC">
              <w:rPr>
                <w:rFonts w:cstheme="minorHAnsi"/>
                <w:sz w:val="20"/>
                <w:szCs w:val="20"/>
              </w:rPr>
              <w:t>projekte</w:t>
            </w:r>
            <w:proofErr w:type="spellEnd"/>
            <w:r w:rsidRPr="00921FAC">
              <w:rPr>
                <w:rFonts w:cstheme="minorHAnsi"/>
                <w:sz w:val="20"/>
                <w:szCs w:val="20"/>
              </w:rPr>
              <w:t>/</w:t>
            </w:r>
            <w:proofErr w:type="spellStart"/>
            <w:r w:rsidRPr="00921FAC">
              <w:rPr>
                <w:rFonts w:cstheme="minorHAnsi"/>
                <w:sz w:val="20"/>
                <w:szCs w:val="20"/>
              </w:rPr>
              <w:t>elektrane</w:t>
            </w:r>
            <w:proofErr w:type="spellEnd"/>
            <w:r w:rsidRPr="00921FAC">
              <w:rPr>
                <w:rFonts w:cstheme="minorHAnsi"/>
                <w:sz w:val="20"/>
                <w:szCs w:val="20"/>
              </w:rPr>
              <w:t xml:space="preserve"> OIE, </w:t>
            </w:r>
            <w:proofErr w:type="spellStart"/>
            <w:r w:rsidRPr="00921FAC">
              <w:rPr>
                <w:rFonts w:cstheme="minorHAnsi"/>
                <w:sz w:val="20"/>
                <w:szCs w:val="20"/>
              </w:rPr>
              <w:t>te</w:t>
            </w:r>
            <w:proofErr w:type="spellEnd"/>
            <w:r w:rsidRPr="00921FAC">
              <w:rPr>
                <w:rFonts w:cstheme="minorHAnsi"/>
                <w:sz w:val="20"/>
                <w:szCs w:val="20"/>
              </w:rPr>
              <w:t xml:space="preserve"> </w:t>
            </w:r>
            <w:proofErr w:type="spellStart"/>
            <w:r w:rsidRPr="00921FAC">
              <w:rPr>
                <w:rFonts w:cstheme="minorHAnsi"/>
                <w:sz w:val="20"/>
                <w:szCs w:val="20"/>
              </w:rPr>
              <w:t>promovirati</w:t>
            </w:r>
            <w:proofErr w:type="spellEnd"/>
            <w:r w:rsidRPr="00921FAC">
              <w:rPr>
                <w:rFonts w:cstheme="minorHAnsi"/>
                <w:sz w:val="20"/>
                <w:szCs w:val="20"/>
              </w:rPr>
              <w:t xml:space="preserve"> </w:t>
            </w:r>
            <w:proofErr w:type="spellStart"/>
            <w:r w:rsidRPr="00921FAC">
              <w:rPr>
                <w:rFonts w:cstheme="minorHAnsi"/>
                <w:sz w:val="20"/>
                <w:szCs w:val="20"/>
              </w:rPr>
              <w:t>značaj</w:t>
            </w:r>
            <w:proofErr w:type="spellEnd"/>
            <w:r w:rsidRPr="00921FAC">
              <w:rPr>
                <w:rFonts w:cstheme="minorHAnsi"/>
                <w:sz w:val="20"/>
                <w:szCs w:val="20"/>
              </w:rPr>
              <w:t xml:space="preserve"> OIE u </w:t>
            </w:r>
            <w:proofErr w:type="spellStart"/>
            <w:r w:rsidRPr="00921FAC">
              <w:rPr>
                <w:rFonts w:cstheme="minorHAnsi"/>
                <w:sz w:val="20"/>
                <w:szCs w:val="20"/>
              </w:rPr>
              <w:t>sektoru</w:t>
            </w:r>
            <w:proofErr w:type="spellEnd"/>
            <w:r w:rsidRPr="00921FAC">
              <w:rPr>
                <w:rFonts w:cstheme="minorHAnsi"/>
                <w:sz w:val="20"/>
                <w:szCs w:val="20"/>
              </w:rPr>
              <w:t xml:space="preserve"> </w:t>
            </w:r>
            <w:proofErr w:type="spellStart"/>
            <w:r w:rsidRPr="00921FAC">
              <w:rPr>
                <w:rFonts w:cstheme="minorHAnsi"/>
                <w:sz w:val="20"/>
                <w:szCs w:val="20"/>
              </w:rPr>
              <w:t>zgradarstva</w:t>
            </w:r>
            <w:proofErr w:type="spellEnd"/>
            <w:r w:rsidRPr="00921FAC">
              <w:rPr>
                <w:rFonts w:cstheme="minorHAnsi"/>
                <w:sz w:val="20"/>
                <w:szCs w:val="20"/>
              </w:rPr>
              <w:t xml:space="preserve"> i </w:t>
            </w:r>
            <w:proofErr w:type="spellStart"/>
            <w:r w:rsidRPr="00921FAC">
              <w:rPr>
                <w:rFonts w:cstheme="minorHAnsi"/>
                <w:sz w:val="20"/>
                <w:szCs w:val="20"/>
              </w:rPr>
              <w:t>edukacija</w:t>
            </w:r>
            <w:proofErr w:type="spellEnd"/>
            <w:r w:rsidRPr="00921FAC">
              <w:rPr>
                <w:rFonts w:cstheme="minorHAnsi"/>
                <w:sz w:val="20"/>
                <w:szCs w:val="20"/>
              </w:rPr>
              <w:t xml:space="preserve"> </w:t>
            </w:r>
            <w:proofErr w:type="spellStart"/>
            <w:r w:rsidRPr="00921FAC">
              <w:rPr>
                <w:rFonts w:cstheme="minorHAnsi"/>
                <w:sz w:val="20"/>
                <w:szCs w:val="20"/>
              </w:rPr>
              <w:t>korisnika</w:t>
            </w:r>
            <w:proofErr w:type="spellEnd"/>
            <w:r w:rsidRPr="00921FAC">
              <w:rPr>
                <w:rFonts w:cstheme="minorHAnsi"/>
                <w:sz w:val="20"/>
                <w:szCs w:val="20"/>
              </w:rPr>
              <w:t>/</w:t>
            </w:r>
            <w:proofErr w:type="spellStart"/>
            <w:r w:rsidRPr="00921FAC">
              <w:rPr>
                <w:rFonts w:cstheme="minorHAnsi"/>
                <w:sz w:val="20"/>
                <w:szCs w:val="20"/>
              </w:rPr>
              <w:t>građana</w:t>
            </w:r>
            <w:proofErr w:type="spellEnd"/>
            <w:r w:rsidRPr="00921FAC">
              <w:rPr>
                <w:rFonts w:cstheme="minorHAnsi"/>
                <w:sz w:val="20"/>
                <w:szCs w:val="20"/>
              </w:rPr>
              <w:t>.</w:t>
            </w:r>
          </w:p>
          <w:p w14:paraId="3EC5A8C9" w14:textId="77777777" w:rsidR="00A00D87" w:rsidRPr="001972F5" w:rsidRDefault="00A00D87" w:rsidP="00E6560A">
            <w:pPr>
              <w:spacing w:line="259" w:lineRule="auto"/>
              <w:ind w:left="1" w:right="32"/>
              <w:jc w:val="both"/>
              <w:rPr>
                <w:rFonts w:cstheme="minorHAnsi"/>
                <w:sz w:val="20"/>
                <w:szCs w:val="20"/>
                <w:lang w:val="fi-FI"/>
              </w:rPr>
            </w:pPr>
            <w:bookmarkStart w:id="274" w:name="_Hlk126534148"/>
            <w:r w:rsidRPr="001972F5">
              <w:rPr>
                <w:rFonts w:cstheme="minorHAnsi"/>
                <w:sz w:val="20"/>
                <w:szCs w:val="20"/>
                <w:lang w:val="fi-FI"/>
              </w:rPr>
              <w:t>Aktivnosti planirane u sklopu ove mjere su:</w:t>
            </w:r>
          </w:p>
          <w:p w14:paraId="3FE8FE50"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Usaglašavanje postojeće legislative u oblasti OIE u FBiH sa relevantnim direktivama EU;</w:t>
            </w:r>
          </w:p>
          <w:p w14:paraId="68710DFD"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Usvajanje odgovarajuće zakonske i podzakonske regulative koja osigurava da sistem poticanja OIE bude usklađen s Direktivom EU RED II;</w:t>
            </w:r>
          </w:p>
          <w:p w14:paraId="54329553"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Izrada i usvajanje „Studije primjenjivosti alternativnih sistema u FBiH“;</w:t>
            </w:r>
          </w:p>
          <w:p w14:paraId="33977901"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Uspostavljanje procedure za sprovođenje analize korištenja alternativnih energijskih sistema pri izdavanju građevinskih dozvola za objekte;</w:t>
            </w:r>
          </w:p>
          <w:p w14:paraId="5509EBC3"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Usvojeni operativni planovi povećanja učešća obnovljive energije za period 2021‒2030;</w:t>
            </w:r>
          </w:p>
          <w:p w14:paraId="78A66DDB"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Procjena potencijala solarne energije na krovnim površinama zgrada;</w:t>
            </w:r>
          </w:p>
          <w:p w14:paraId="23D1587B"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Integriranje BiH u Europski sistem trgovanja emisijskim jedinicama (EUETS);</w:t>
            </w:r>
          </w:p>
          <w:p w14:paraId="313C2C25"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Pojednostavljenje procedure za ishodovanje građevinskih dozvola  za projekte/elektrane OIE u sektoru zgradarstva (npr. izdavanja elektronskih građevinskih dozvola);</w:t>
            </w:r>
          </w:p>
          <w:p w14:paraId="6C764987"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Uspostavljanje sistema podrške malim i srednjim preduzećima za decentraliziranu proizvodnju i korištenje obnovljivih izvora energije</w:t>
            </w:r>
          </w:p>
          <w:p w14:paraId="10EFA1D4" w14:textId="77777777" w:rsidR="00A00D87" w:rsidRPr="00921FAC" w:rsidRDefault="00A00D87" w:rsidP="00581C1C">
            <w:pPr>
              <w:pStyle w:val="ListParagraph"/>
              <w:numPr>
                <w:ilvl w:val="0"/>
                <w:numId w:val="51"/>
              </w:numPr>
              <w:spacing w:after="160" w:line="259" w:lineRule="auto"/>
              <w:jc w:val="both"/>
              <w:rPr>
                <w:rFonts w:cstheme="minorHAnsi"/>
                <w:sz w:val="20"/>
                <w:szCs w:val="20"/>
              </w:rPr>
            </w:pPr>
            <w:r w:rsidRPr="00921FAC">
              <w:rPr>
                <w:rFonts w:cstheme="minorHAnsi"/>
                <w:sz w:val="20"/>
                <w:szCs w:val="20"/>
              </w:rPr>
              <w:t>Uspostavljanje sistema podrške domaćinstvima i lokalnim zajednicama za decentraliziranu proizvodnju i korištenje  obnovljivih izvora;</w:t>
            </w:r>
          </w:p>
          <w:p w14:paraId="541FF724" w14:textId="4B1E861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 xml:space="preserve">Uspostavljanje </w:t>
            </w:r>
            <w:r w:rsidR="007B690C" w:rsidRPr="00921FAC">
              <w:rPr>
                <w:rFonts w:cstheme="minorHAnsi"/>
                <w:sz w:val="20"/>
                <w:szCs w:val="20"/>
              </w:rPr>
              <w:t>financ</w:t>
            </w:r>
            <w:r w:rsidRPr="00921FAC">
              <w:rPr>
                <w:rFonts w:cstheme="minorHAnsi"/>
                <w:sz w:val="20"/>
                <w:szCs w:val="20"/>
              </w:rPr>
              <w:t>ijskih mehanizama smanjenja rizika prilikom implementacije projekata koji imaju za cilj korištenje obnovljivih izvora energije;</w:t>
            </w:r>
          </w:p>
          <w:p w14:paraId="6958F199"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Uspostavljanje i poticanje sistema proizvodnje, potrošnje, predaje u sistem i prodaje električne energije (tzv. prosumeri) za fizička i pravna lica, te lokalne zajednice;</w:t>
            </w:r>
          </w:p>
          <w:p w14:paraId="14396C67" w14:textId="77777777" w:rsidR="00A00D87" w:rsidRPr="00921FAC" w:rsidRDefault="00A00D87" w:rsidP="00581C1C">
            <w:pPr>
              <w:pStyle w:val="ListParagraph"/>
              <w:numPr>
                <w:ilvl w:val="0"/>
                <w:numId w:val="51"/>
              </w:numPr>
              <w:ind w:right="32"/>
              <w:jc w:val="both"/>
              <w:rPr>
                <w:rFonts w:cstheme="minorHAnsi"/>
                <w:sz w:val="20"/>
                <w:szCs w:val="20"/>
              </w:rPr>
            </w:pPr>
            <w:r w:rsidRPr="00921FAC">
              <w:rPr>
                <w:rFonts w:cstheme="minorHAnsi"/>
                <w:sz w:val="20"/>
                <w:szCs w:val="20"/>
              </w:rPr>
              <w:t>Promocija značaja OIE u sektoru zgradarstva i edukacija korisnika/stanovništva</w:t>
            </w:r>
            <w:bookmarkEnd w:id="273"/>
            <w:r w:rsidRPr="00921FAC">
              <w:rPr>
                <w:rFonts w:cstheme="minorHAnsi"/>
                <w:sz w:val="20"/>
                <w:szCs w:val="20"/>
              </w:rPr>
              <w:t xml:space="preserve"> od strane FZO FBiH.</w:t>
            </w:r>
            <w:bookmarkEnd w:id="274"/>
          </w:p>
        </w:tc>
      </w:tr>
      <w:tr w:rsidR="00A00D87" w:rsidRPr="00921FAC" w14:paraId="60A9C4E4"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AC3EEAE"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lastRenderedPageBreak/>
              <w:t>Strateški</w:t>
            </w:r>
            <w:proofErr w:type="spellEnd"/>
            <w:r w:rsidRPr="00921FAC">
              <w:rPr>
                <w:rFonts w:cstheme="minorHAnsi"/>
                <w:b/>
                <w:sz w:val="20"/>
                <w:szCs w:val="20"/>
              </w:rPr>
              <w:t xml:space="preserve"> </w:t>
            </w:r>
            <w:proofErr w:type="spellStart"/>
            <w:r w:rsidRPr="00921FAC">
              <w:rPr>
                <w:rFonts w:cstheme="minorHAnsi"/>
                <w:b/>
                <w:sz w:val="20"/>
                <w:szCs w:val="20"/>
              </w:rPr>
              <w:t>projekti</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49A882AB" w14:textId="77777777" w:rsidR="00A00D87" w:rsidRPr="00921FAC" w:rsidRDefault="00A00D87" w:rsidP="00122946">
            <w:pPr>
              <w:spacing w:line="259" w:lineRule="auto"/>
              <w:ind w:left="1"/>
              <w:rPr>
                <w:rFonts w:cstheme="minorHAnsi"/>
                <w:sz w:val="20"/>
                <w:szCs w:val="20"/>
              </w:rPr>
            </w:pPr>
            <w:r w:rsidRPr="00921FAC">
              <w:rPr>
                <w:rFonts w:cstheme="minorHAnsi"/>
                <w:sz w:val="20"/>
                <w:szCs w:val="20"/>
              </w:rPr>
              <w:t xml:space="preserve"> -</w:t>
            </w:r>
          </w:p>
        </w:tc>
      </w:tr>
      <w:tr w:rsidR="00A00D87" w:rsidRPr="00921FAC" w14:paraId="1A64925E" w14:textId="77777777" w:rsidTr="00122946">
        <w:trPr>
          <w:trHeight w:val="423"/>
        </w:trPr>
        <w:tc>
          <w:tcPr>
            <w:tcW w:w="1767"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6BF358CF"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Indikatori</w:t>
            </w:r>
            <w:proofErr w:type="spellEnd"/>
            <w:r w:rsidRPr="00921FAC">
              <w:rPr>
                <w:rFonts w:cstheme="minorHAnsi"/>
                <w:b/>
                <w:sz w:val="20"/>
                <w:szCs w:val="20"/>
              </w:rPr>
              <w:t xml:space="preserve"> za </w:t>
            </w:r>
            <w:proofErr w:type="spellStart"/>
            <w:r w:rsidRPr="00921FAC">
              <w:rPr>
                <w:rFonts w:cstheme="minorHAnsi"/>
                <w:b/>
                <w:sz w:val="20"/>
                <w:szCs w:val="20"/>
              </w:rPr>
              <w:t>praćenje</w:t>
            </w:r>
            <w:proofErr w:type="spellEnd"/>
            <w:r w:rsidRPr="00921FAC">
              <w:rPr>
                <w:rFonts w:cstheme="minorHAnsi"/>
                <w:b/>
                <w:sz w:val="20"/>
                <w:szCs w:val="20"/>
              </w:rPr>
              <w:t xml:space="preserve"> </w:t>
            </w:r>
            <w:proofErr w:type="spellStart"/>
            <w:r w:rsidRPr="00921FAC">
              <w:rPr>
                <w:rFonts w:cstheme="minorHAnsi"/>
                <w:b/>
                <w:sz w:val="20"/>
                <w:szCs w:val="20"/>
              </w:rPr>
              <w:t>rezultata</w:t>
            </w:r>
            <w:proofErr w:type="spellEnd"/>
            <w:r w:rsidRPr="00921FAC">
              <w:rPr>
                <w:rFonts w:cstheme="minorHAnsi"/>
                <w:b/>
                <w:sz w:val="20"/>
                <w:szCs w:val="20"/>
              </w:rPr>
              <w:t xml:space="preserve"> </w:t>
            </w:r>
            <w:proofErr w:type="spellStart"/>
            <w:r w:rsidRPr="00921FAC">
              <w:rPr>
                <w:rFonts w:cstheme="minorHAnsi"/>
                <w:b/>
                <w:sz w:val="20"/>
                <w:szCs w:val="20"/>
              </w:rPr>
              <w:t>mjere</w:t>
            </w:r>
            <w:proofErr w:type="spellEnd"/>
            <w:r w:rsidRPr="00921FAC">
              <w:rPr>
                <w:rFonts w:cstheme="minorHAnsi"/>
                <w:b/>
                <w:sz w:val="20"/>
                <w:szCs w:val="20"/>
              </w:rPr>
              <w:t xml:space="preserve"> </w:t>
            </w:r>
          </w:p>
        </w:tc>
        <w:tc>
          <w:tcPr>
            <w:tcW w:w="3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A2F24F" w14:textId="77777777" w:rsidR="00A00D87" w:rsidRPr="00921FAC" w:rsidRDefault="00A00D87" w:rsidP="00122946">
            <w:pPr>
              <w:spacing w:line="259" w:lineRule="auto"/>
              <w:ind w:right="39"/>
              <w:jc w:val="center"/>
              <w:rPr>
                <w:rFonts w:cstheme="minorHAnsi"/>
                <w:sz w:val="20"/>
                <w:szCs w:val="20"/>
              </w:rPr>
            </w:pPr>
            <w:proofErr w:type="spellStart"/>
            <w:r w:rsidRPr="00921FAC">
              <w:rPr>
                <w:rFonts w:cstheme="minorHAnsi"/>
                <w:b/>
                <w:sz w:val="20"/>
                <w:szCs w:val="20"/>
              </w:rPr>
              <w:t>Indikatori</w:t>
            </w:r>
            <w:proofErr w:type="spellEnd"/>
            <w:r w:rsidRPr="00921FAC">
              <w:rPr>
                <w:rFonts w:cstheme="minorHAnsi"/>
                <w:b/>
                <w:sz w:val="20"/>
                <w:szCs w:val="20"/>
              </w:rPr>
              <w:t xml:space="preserve"> </w:t>
            </w:r>
          </w:p>
        </w:tc>
        <w:tc>
          <w:tcPr>
            <w:tcW w:w="2068"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1336BD4F" w14:textId="77777777" w:rsidR="00A00D87" w:rsidRPr="00921FAC" w:rsidRDefault="00A00D87" w:rsidP="00122946">
            <w:pPr>
              <w:spacing w:line="259" w:lineRule="auto"/>
              <w:jc w:val="center"/>
              <w:rPr>
                <w:rFonts w:cstheme="minorHAnsi"/>
                <w:sz w:val="20"/>
                <w:szCs w:val="20"/>
              </w:rPr>
            </w:pPr>
            <w:proofErr w:type="spellStart"/>
            <w:r w:rsidRPr="00921FAC">
              <w:rPr>
                <w:rFonts w:cstheme="minorHAnsi"/>
                <w:b/>
                <w:sz w:val="20"/>
                <w:szCs w:val="20"/>
              </w:rPr>
              <w:t>Indikatori</w:t>
            </w:r>
            <w:proofErr w:type="spellEnd"/>
            <w:r w:rsidRPr="00921FAC">
              <w:rPr>
                <w:rFonts w:cstheme="minorHAnsi"/>
                <w:b/>
                <w:sz w:val="20"/>
                <w:szCs w:val="20"/>
              </w:rPr>
              <w:t xml:space="preserve"> </w:t>
            </w:r>
          </w:p>
        </w:tc>
        <w:tc>
          <w:tcPr>
            <w:tcW w:w="14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0935E0" w14:textId="77777777" w:rsidR="00A00D87" w:rsidRPr="00921FAC" w:rsidRDefault="00A00D87" w:rsidP="00122946">
            <w:pPr>
              <w:spacing w:line="259" w:lineRule="auto"/>
              <w:jc w:val="center"/>
              <w:rPr>
                <w:rFonts w:cstheme="minorHAnsi"/>
                <w:sz w:val="20"/>
                <w:szCs w:val="20"/>
              </w:rPr>
            </w:pPr>
            <w:proofErr w:type="spellStart"/>
            <w:r w:rsidRPr="00921FAC">
              <w:rPr>
                <w:rFonts w:cstheme="minorHAnsi"/>
                <w:b/>
                <w:sz w:val="20"/>
                <w:szCs w:val="20"/>
              </w:rPr>
              <w:t>Indikatori</w:t>
            </w:r>
            <w:proofErr w:type="spellEnd"/>
            <w:r w:rsidRPr="00921FAC">
              <w:rPr>
                <w:rFonts w:cstheme="minorHAnsi"/>
                <w:b/>
                <w:sz w:val="20"/>
                <w:szCs w:val="20"/>
              </w:rPr>
              <w:t xml:space="preserve"> </w:t>
            </w:r>
          </w:p>
        </w:tc>
      </w:tr>
      <w:tr w:rsidR="00A00D87" w:rsidRPr="00921FAC" w14:paraId="2D999D34"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1F4FD846" w14:textId="77777777" w:rsidR="00A00D87" w:rsidRPr="00921FAC"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5528AAC7" w14:textId="77777777" w:rsidR="00A00D87" w:rsidRPr="00921FAC" w:rsidRDefault="00A00D87" w:rsidP="00122946">
            <w:pPr>
              <w:ind w:left="1"/>
              <w:rPr>
                <w:rFonts w:cstheme="minorHAnsi"/>
                <w:sz w:val="20"/>
                <w:szCs w:val="20"/>
              </w:rPr>
            </w:pPr>
            <w:proofErr w:type="spellStart"/>
            <w:r w:rsidRPr="00921FAC">
              <w:rPr>
                <w:rFonts w:cstheme="minorHAnsi"/>
                <w:sz w:val="20"/>
                <w:szCs w:val="20"/>
              </w:rPr>
              <w:t>Smanjenje</w:t>
            </w:r>
            <w:proofErr w:type="spellEnd"/>
            <w:r w:rsidRPr="00921FAC">
              <w:rPr>
                <w:rFonts w:cstheme="minorHAnsi"/>
                <w:sz w:val="20"/>
                <w:szCs w:val="20"/>
              </w:rPr>
              <w:t xml:space="preserve"> </w:t>
            </w:r>
            <w:proofErr w:type="spellStart"/>
            <w:r w:rsidRPr="00921FAC">
              <w:rPr>
                <w:rFonts w:cstheme="minorHAnsi"/>
                <w:sz w:val="20"/>
                <w:szCs w:val="20"/>
              </w:rPr>
              <w:t>emisije</w:t>
            </w:r>
            <w:proofErr w:type="spellEnd"/>
            <w:r w:rsidRPr="00921FAC">
              <w:rPr>
                <w:rFonts w:cstheme="minorHAnsi"/>
                <w:sz w:val="20"/>
                <w:szCs w:val="20"/>
              </w:rPr>
              <w:t xml:space="preserve"> </w:t>
            </w:r>
            <w:proofErr w:type="spellStart"/>
            <w:r w:rsidRPr="00921FAC">
              <w:rPr>
                <w:rFonts w:cstheme="minorHAnsi"/>
                <w:sz w:val="20"/>
                <w:szCs w:val="20"/>
              </w:rPr>
              <w:t>stakleničkih</w:t>
            </w:r>
            <w:proofErr w:type="spellEnd"/>
            <w:r w:rsidRPr="00921FAC">
              <w:rPr>
                <w:rFonts w:cstheme="minorHAnsi"/>
                <w:sz w:val="20"/>
                <w:szCs w:val="20"/>
              </w:rPr>
              <w:t xml:space="preserve"> </w:t>
            </w:r>
            <w:proofErr w:type="spellStart"/>
            <w:r w:rsidRPr="00921FAC">
              <w:rPr>
                <w:rFonts w:cstheme="minorHAnsi"/>
                <w:sz w:val="20"/>
                <w:szCs w:val="20"/>
              </w:rPr>
              <w:t>plinova</w:t>
            </w:r>
            <w:proofErr w:type="spellEnd"/>
            <w:r w:rsidRPr="00921FAC">
              <w:rPr>
                <w:rFonts w:cstheme="minorHAnsi"/>
                <w:sz w:val="20"/>
                <w:szCs w:val="20"/>
              </w:rPr>
              <w:t>, %</w:t>
            </w:r>
          </w:p>
        </w:tc>
        <w:tc>
          <w:tcPr>
            <w:tcW w:w="2068" w:type="dxa"/>
            <w:tcBorders>
              <w:top w:val="single" w:sz="4" w:space="0" w:color="auto"/>
              <w:left w:val="single" w:sz="4" w:space="0" w:color="auto"/>
              <w:bottom w:val="single" w:sz="4" w:space="0" w:color="auto"/>
              <w:right w:val="single" w:sz="4" w:space="0" w:color="auto"/>
            </w:tcBorders>
            <w:vAlign w:val="center"/>
          </w:tcPr>
          <w:p w14:paraId="142C7AB9" w14:textId="77777777" w:rsidR="00A00D87" w:rsidRPr="00921FAC" w:rsidRDefault="00A00D87" w:rsidP="00122946">
            <w:pPr>
              <w:widowControl w:val="0"/>
              <w:pBdr>
                <w:top w:val="nil"/>
                <w:left w:val="nil"/>
                <w:bottom w:val="nil"/>
                <w:right w:val="nil"/>
                <w:between w:val="nil"/>
              </w:pBdr>
              <w:ind w:right="447"/>
              <w:jc w:val="center"/>
              <w:rPr>
                <w:rFonts w:cstheme="minorHAnsi"/>
                <w:sz w:val="20"/>
                <w:szCs w:val="20"/>
                <w:highlight w:val="yellow"/>
              </w:rPr>
            </w:pPr>
            <w:r w:rsidRPr="00921FAC">
              <w:rPr>
                <w:rFonts w:cstheme="minorHAnsi"/>
                <w:sz w:val="20"/>
                <w:szCs w:val="20"/>
              </w:rPr>
              <w:t>0</w:t>
            </w:r>
          </w:p>
        </w:tc>
        <w:tc>
          <w:tcPr>
            <w:tcW w:w="1471" w:type="dxa"/>
            <w:tcBorders>
              <w:top w:val="single" w:sz="4" w:space="0" w:color="000000"/>
              <w:left w:val="single" w:sz="4" w:space="0" w:color="auto"/>
              <w:bottom w:val="single" w:sz="4" w:space="0" w:color="000000"/>
              <w:right w:val="single" w:sz="4" w:space="0" w:color="000000"/>
            </w:tcBorders>
            <w:vAlign w:val="center"/>
          </w:tcPr>
          <w:p w14:paraId="096CCA4D" w14:textId="77777777" w:rsidR="00A00D87" w:rsidRPr="00921FAC" w:rsidRDefault="00A00D87" w:rsidP="00122946">
            <w:pPr>
              <w:jc w:val="center"/>
              <w:rPr>
                <w:rFonts w:cstheme="minorHAnsi"/>
                <w:sz w:val="20"/>
                <w:szCs w:val="20"/>
                <w:highlight w:val="yellow"/>
              </w:rPr>
            </w:pPr>
            <w:r w:rsidRPr="00921FAC">
              <w:rPr>
                <w:rFonts w:cstheme="minorHAnsi"/>
                <w:sz w:val="20"/>
                <w:szCs w:val="20"/>
              </w:rPr>
              <w:t>72,9</w:t>
            </w:r>
          </w:p>
        </w:tc>
      </w:tr>
      <w:tr w:rsidR="00A00D87" w:rsidRPr="00921FAC" w14:paraId="6B21992A" w14:textId="77777777" w:rsidTr="00122946">
        <w:trPr>
          <w:trHeight w:val="217"/>
        </w:trPr>
        <w:tc>
          <w:tcPr>
            <w:tcW w:w="0" w:type="auto"/>
            <w:vMerge/>
            <w:tcBorders>
              <w:left w:val="single" w:sz="4" w:space="0" w:color="000000"/>
              <w:right w:val="single" w:sz="4" w:space="0" w:color="000000"/>
            </w:tcBorders>
            <w:shd w:val="clear" w:color="auto" w:fill="D9D9D9" w:themeFill="background1" w:themeFillShade="D9"/>
          </w:tcPr>
          <w:p w14:paraId="79309453" w14:textId="77777777" w:rsidR="00A00D87" w:rsidRPr="00921FAC" w:rsidRDefault="00A00D87" w:rsidP="00122946">
            <w:pPr>
              <w:rPr>
                <w:rFonts w:cstheme="minorHAnsi"/>
                <w:sz w:val="20"/>
                <w:szCs w:val="20"/>
              </w:rPr>
            </w:pPr>
          </w:p>
        </w:tc>
        <w:tc>
          <w:tcPr>
            <w:tcW w:w="3710" w:type="dxa"/>
            <w:tcBorders>
              <w:top w:val="single" w:sz="4" w:space="0" w:color="000000"/>
              <w:left w:val="single" w:sz="4" w:space="0" w:color="000000"/>
              <w:bottom w:val="single" w:sz="4" w:space="0" w:color="000000"/>
              <w:right w:val="single" w:sz="4" w:space="0" w:color="auto"/>
            </w:tcBorders>
          </w:tcPr>
          <w:p w14:paraId="57B73C72" w14:textId="77777777" w:rsidR="00A00D87" w:rsidRPr="00921FAC" w:rsidRDefault="00A00D87" w:rsidP="00122946">
            <w:pPr>
              <w:ind w:left="1"/>
              <w:rPr>
                <w:rFonts w:cstheme="minorHAnsi"/>
                <w:sz w:val="20"/>
                <w:szCs w:val="20"/>
              </w:rPr>
            </w:pPr>
            <w:proofErr w:type="spellStart"/>
            <w:r w:rsidRPr="00921FAC">
              <w:rPr>
                <w:rFonts w:cstheme="minorHAnsi"/>
                <w:sz w:val="20"/>
                <w:szCs w:val="20"/>
              </w:rPr>
              <w:t>Smanjenje</w:t>
            </w:r>
            <w:proofErr w:type="spellEnd"/>
            <w:r w:rsidRPr="00921FAC">
              <w:rPr>
                <w:rFonts w:cstheme="minorHAnsi"/>
                <w:sz w:val="20"/>
                <w:szCs w:val="20"/>
              </w:rPr>
              <w:t xml:space="preserve"> </w:t>
            </w:r>
            <w:proofErr w:type="spellStart"/>
            <w:r w:rsidRPr="00921FAC">
              <w:rPr>
                <w:rFonts w:cstheme="minorHAnsi"/>
                <w:sz w:val="20"/>
                <w:szCs w:val="20"/>
              </w:rPr>
              <w:t>emisije</w:t>
            </w:r>
            <w:proofErr w:type="spellEnd"/>
            <w:r w:rsidRPr="00921FAC">
              <w:rPr>
                <w:rFonts w:cstheme="minorHAnsi"/>
                <w:sz w:val="20"/>
                <w:szCs w:val="20"/>
              </w:rPr>
              <w:t xml:space="preserve"> CO</w:t>
            </w:r>
            <w:r w:rsidRPr="00921FAC">
              <w:rPr>
                <w:rFonts w:cstheme="minorHAnsi"/>
                <w:sz w:val="20"/>
                <w:szCs w:val="20"/>
                <w:vertAlign w:val="subscript"/>
              </w:rPr>
              <w:t>2</w:t>
            </w:r>
            <w:r w:rsidRPr="00921FAC">
              <w:rPr>
                <w:rFonts w:cstheme="minorHAnsi"/>
                <w:sz w:val="20"/>
                <w:szCs w:val="20"/>
              </w:rPr>
              <w:t xml:space="preserve"> u </w:t>
            </w:r>
            <w:proofErr w:type="spellStart"/>
            <w:r w:rsidRPr="00921FAC">
              <w:rPr>
                <w:rFonts w:cstheme="minorHAnsi"/>
                <w:sz w:val="20"/>
                <w:szCs w:val="20"/>
              </w:rPr>
              <w:t>sektoru</w:t>
            </w:r>
            <w:proofErr w:type="spellEnd"/>
            <w:r w:rsidRPr="00921FAC">
              <w:rPr>
                <w:rFonts w:cstheme="minorHAnsi"/>
                <w:sz w:val="20"/>
                <w:szCs w:val="20"/>
              </w:rPr>
              <w:t xml:space="preserve"> </w:t>
            </w:r>
            <w:proofErr w:type="spellStart"/>
            <w:r w:rsidRPr="00921FAC">
              <w:rPr>
                <w:rFonts w:cstheme="minorHAnsi"/>
                <w:sz w:val="20"/>
                <w:szCs w:val="20"/>
              </w:rPr>
              <w:t>zgradarstva</w:t>
            </w:r>
            <w:proofErr w:type="spellEnd"/>
            <w:r w:rsidRPr="00921FAC">
              <w:rPr>
                <w:rFonts w:cstheme="minorHAnsi"/>
                <w:sz w:val="20"/>
                <w:szCs w:val="20"/>
              </w:rPr>
              <w:t xml:space="preserve"> (</w:t>
            </w:r>
            <w:proofErr w:type="spellStart"/>
            <w:r w:rsidRPr="00921FAC">
              <w:rPr>
                <w:rFonts w:cstheme="minorHAnsi"/>
                <w:sz w:val="20"/>
                <w:szCs w:val="20"/>
              </w:rPr>
              <w:t>stambeni</w:t>
            </w:r>
            <w:proofErr w:type="spellEnd"/>
            <w:r w:rsidRPr="00921FAC">
              <w:rPr>
                <w:rFonts w:cstheme="minorHAnsi"/>
                <w:sz w:val="20"/>
                <w:szCs w:val="20"/>
              </w:rPr>
              <w:t xml:space="preserve"> </w:t>
            </w:r>
            <w:proofErr w:type="spellStart"/>
            <w:r w:rsidRPr="00921FAC">
              <w:rPr>
                <w:rFonts w:cstheme="minorHAnsi"/>
                <w:sz w:val="20"/>
                <w:szCs w:val="20"/>
              </w:rPr>
              <w:t>sektor</w:t>
            </w:r>
            <w:proofErr w:type="spellEnd"/>
            <w:r w:rsidRPr="00921FAC">
              <w:rPr>
                <w:rFonts w:cstheme="minorHAnsi"/>
                <w:sz w:val="20"/>
                <w:szCs w:val="20"/>
              </w:rPr>
              <w:t xml:space="preserve"> i </w:t>
            </w:r>
            <w:proofErr w:type="spellStart"/>
            <w:r w:rsidRPr="00921FAC">
              <w:rPr>
                <w:rFonts w:cstheme="minorHAnsi"/>
                <w:sz w:val="20"/>
                <w:szCs w:val="20"/>
              </w:rPr>
              <w:t>javne</w:t>
            </w:r>
            <w:proofErr w:type="spellEnd"/>
            <w:r w:rsidRPr="00921FAC">
              <w:rPr>
                <w:rFonts w:cstheme="minorHAnsi"/>
                <w:sz w:val="20"/>
                <w:szCs w:val="20"/>
              </w:rPr>
              <w:t xml:space="preserve"> </w:t>
            </w:r>
            <w:proofErr w:type="spellStart"/>
            <w:r w:rsidRPr="00921FAC">
              <w:rPr>
                <w:rFonts w:cstheme="minorHAnsi"/>
                <w:sz w:val="20"/>
                <w:szCs w:val="20"/>
              </w:rPr>
              <w:t>zgrade</w:t>
            </w:r>
            <w:proofErr w:type="spellEnd"/>
            <w:r w:rsidRPr="00921FAC">
              <w:rPr>
                <w:rFonts w:cstheme="minorHAnsi"/>
                <w:sz w:val="20"/>
                <w:szCs w:val="20"/>
              </w:rPr>
              <w:t>). 10</w:t>
            </w:r>
            <w:r w:rsidRPr="00921FAC">
              <w:rPr>
                <w:rFonts w:cstheme="minorHAnsi"/>
                <w:sz w:val="20"/>
                <w:szCs w:val="20"/>
                <w:vertAlign w:val="superscript"/>
              </w:rPr>
              <w:t>3</w:t>
            </w:r>
            <w:r w:rsidRPr="00921FAC">
              <w:rPr>
                <w:rFonts w:cstheme="minorHAnsi"/>
                <w:sz w:val="20"/>
                <w:szCs w:val="20"/>
              </w:rPr>
              <w:t>t</w:t>
            </w:r>
          </w:p>
        </w:tc>
        <w:tc>
          <w:tcPr>
            <w:tcW w:w="2068" w:type="dxa"/>
            <w:tcBorders>
              <w:top w:val="single" w:sz="4" w:space="0" w:color="auto"/>
              <w:left w:val="single" w:sz="4" w:space="0" w:color="auto"/>
              <w:bottom w:val="single" w:sz="4" w:space="0" w:color="auto"/>
              <w:right w:val="single" w:sz="4" w:space="0" w:color="auto"/>
            </w:tcBorders>
            <w:vAlign w:val="center"/>
          </w:tcPr>
          <w:p w14:paraId="2B96CAD7" w14:textId="77777777" w:rsidR="00A00D87" w:rsidRPr="00921FAC" w:rsidRDefault="00A00D87" w:rsidP="00122946">
            <w:pPr>
              <w:widowControl w:val="0"/>
              <w:pBdr>
                <w:top w:val="nil"/>
                <w:left w:val="nil"/>
                <w:bottom w:val="nil"/>
                <w:right w:val="nil"/>
                <w:between w:val="nil"/>
              </w:pBdr>
              <w:ind w:right="447"/>
              <w:jc w:val="center"/>
              <w:rPr>
                <w:rFonts w:cstheme="minorHAnsi"/>
                <w:sz w:val="20"/>
                <w:szCs w:val="20"/>
                <w:highlight w:val="yellow"/>
              </w:rPr>
            </w:pPr>
            <w:r w:rsidRPr="00921FAC">
              <w:rPr>
                <w:rFonts w:cstheme="minorHAnsi"/>
                <w:sz w:val="20"/>
                <w:szCs w:val="20"/>
              </w:rPr>
              <w:t>0</w:t>
            </w:r>
          </w:p>
        </w:tc>
        <w:tc>
          <w:tcPr>
            <w:tcW w:w="1471" w:type="dxa"/>
            <w:tcBorders>
              <w:top w:val="single" w:sz="4" w:space="0" w:color="000000"/>
              <w:left w:val="single" w:sz="4" w:space="0" w:color="auto"/>
              <w:bottom w:val="single" w:sz="4" w:space="0" w:color="000000"/>
              <w:right w:val="single" w:sz="4" w:space="0" w:color="000000"/>
            </w:tcBorders>
            <w:vAlign w:val="center"/>
          </w:tcPr>
          <w:p w14:paraId="52F06362" w14:textId="77777777" w:rsidR="00A00D87" w:rsidRPr="00921FAC" w:rsidRDefault="00A00D87" w:rsidP="00122946">
            <w:pPr>
              <w:jc w:val="center"/>
              <w:rPr>
                <w:rFonts w:cstheme="minorHAnsi"/>
                <w:sz w:val="20"/>
                <w:szCs w:val="20"/>
                <w:highlight w:val="yellow"/>
              </w:rPr>
            </w:pPr>
            <w:r w:rsidRPr="00921FAC">
              <w:rPr>
                <w:rFonts w:cstheme="minorHAnsi"/>
                <w:sz w:val="20"/>
                <w:szCs w:val="20"/>
              </w:rPr>
              <w:t>910</w:t>
            </w:r>
          </w:p>
        </w:tc>
      </w:tr>
      <w:tr w:rsidR="00A00D87" w:rsidRPr="00921FAC" w14:paraId="03AF68BA" w14:textId="77777777" w:rsidTr="00122946">
        <w:trPr>
          <w:trHeight w:val="838"/>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FDD60D"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Razvojni</w:t>
            </w:r>
            <w:proofErr w:type="spellEnd"/>
            <w:r w:rsidRPr="00921FAC">
              <w:rPr>
                <w:rFonts w:cstheme="minorHAnsi"/>
                <w:b/>
                <w:sz w:val="20"/>
                <w:szCs w:val="20"/>
              </w:rPr>
              <w:t xml:space="preserve"> </w:t>
            </w:r>
            <w:proofErr w:type="spellStart"/>
            <w:r w:rsidRPr="00921FAC">
              <w:rPr>
                <w:rFonts w:cstheme="minorHAnsi"/>
                <w:b/>
                <w:sz w:val="20"/>
                <w:szCs w:val="20"/>
              </w:rPr>
              <w:t>efekat</w:t>
            </w:r>
            <w:proofErr w:type="spellEnd"/>
            <w:r w:rsidRPr="00921FAC">
              <w:rPr>
                <w:rFonts w:cstheme="minorHAnsi"/>
                <w:b/>
                <w:sz w:val="20"/>
                <w:szCs w:val="20"/>
              </w:rPr>
              <w:t xml:space="preserve"> i </w:t>
            </w:r>
            <w:proofErr w:type="spellStart"/>
            <w:r w:rsidRPr="00921FAC">
              <w:rPr>
                <w:rFonts w:cstheme="minorHAnsi"/>
                <w:b/>
                <w:sz w:val="20"/>
                <w:szCs w:val="20"/>
              </w:rPr>
              <w:t>doprinos</w:t>
            </w:r>
            <w:proofErr w:type="spellEnd"/>
            <w:r w:rsidRPr="00921FAC">
              <w:rPr>
                <w:rFonts w:cstheme="minorHAnsi"/>
                <w:b/>
                <w:sz w:val="20"/>
                <w:szCs w:val="20"/>
              </w:rPr>
              <w:t xml:space="preserve"> </w:t>
            </w:r>
            <w:proofErr w:type="spellStart"/>
            <w:r w:rsidRPr="00921FAC">
              <w:rPr>
                <w:rFonts w:cstheme="minorHAnsi"/>
                <w:b/>
                <w:sz w:val="20"/>
                <w:szCs w:val="20"/>
              </w:rPr>
              <w:t>mjere</w:t>
            </w:r>
            <w:proofErr w:type="spellEnd"/>
            <w:r w:rsidRPr="00921FAC">
              <w:rPr>
                <w:rFonts w:cstheme="minorHAnsi"/>
                <w:b/>
                <w:sz w:val="20"/>
                <w:szCs w:val="20"/>
              </w:rPr>
              <w:t xml:space="preserve"> </w:t>
            </w:r>
            <w:proofErr w:type="spellStart"/>
            <w:r w:rsidRPr="00921FAC">
              <w:rPr>
                <w:rFonts w:cstheme="minorHAnsi"/>
                <w:b/>
                <w:sz w:val="20"/>
                <w:szCs w:val="20"/>
              </w:rPr>
              <w:t>ostvarenju</w:t>
            </w:r>
            <w:proofErr w:type="spellEnd"/>
            <w:r w:rsidRPr="00921FAC">
              <w:rPr>
                <w:rFonts w:cstheme="minorHAnsi"/>
                <w:b/>
                <w:sz w:val="20"/>
                <w:szCs w:val="20"/>
              </w:rPr>
              <w:t xml:space="preserve"> </w:t>
            </w:r>
            <w:proofErr w:type="spellStart"/>
            <w:r w:rsidRPr="00921FAC">
              <w:rPr>
                <w:rFonts w:cstheme="minorHAnsi"/>
                <w:b/>
                <w:sz w:val="20"/>
                <w:szCs w:val="20"/>
              </w:rPr>
              <w:t>prioriteta</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5F095284" w14:textId="748C6921" w:rsidR="00A00D87" w:rsidRPr="00921FAC" w:rsidRDefault="00A00D87" w:rsidP="00E6560A">
            <w:pPr>
              <w:spacing w:line="259" w:lineRule="auto"/>
              <w:ind w:left="1"/>
              <w:jc w:val="both"/>
              <w:rPr>
                <w:rFonts w:cstheme="minorHAnsi"/>
                <w:sz w:val="20"/>
                <w:szCs w:val="20"/>
              </w:rPr>
            </w:pPr>
            <w:bookmarkStart w:id="275" w:name="_Hlk126235711"/>
            <w:proofErr w:type="spellStart"/>
            <w:r w:rsidRPr="00921FAC">
              <w:rPr>
                <w:rFonts w:cstheme="minorHAnsi"/>
                <w:sz w:val="20"/>
                <w:szCs w:val="20"/>
              </w:rPr>
              <w:t>Smanjenje</w:t>
            </w:r>
            <w:proofErr w:type="spellEnd"/>
            <w:r w:rsidRPr="00921FAC">
              <w:rPr>
                <w:rFonts w:cstheme="minorHAnsi"/>
                <w:sz w:val="20"/>
                <w:szCs w:val="20"/>
              </w:rPr>
              <w:t xml:space="preserve"> </w:t>
            </w:r>
            <w:proofErr w:type="spellStart"/>
            <w:r w:rsidRPr="00921FAC">
              <w:rPr>
                <w:rFonts w:cstheme="minorHAnsi"/>
                <w:sz w:val="20"/>
                <w:szCs w:val="20"/>
              </w:rPr>
              <w:t>energijskog</w:t>
            </w:r>
            <w:proofErr w:type="spellEnd"/>
            <w:r w:rsidRPr="00921FAC">
              <w:rPr>
                <w:rFonts w:cstheme="minorHAnsi"/>
                <w:sz w:val="20"/>
                <w:szCs w:val="20"/>
              </w:rPr>
              <w:t xml:space="preserve"> </w:t>
            </w:r>
            <w:proofErr w:type="spellStart"/>
            <w:r w:rsidRPr="00921FAC">
              <w:rPr>
                <w:rFonts w:cstheme="minorHAnsi"/>
                <w:sz w:val="20"/>
                <w:szCs w:val="20"/>
              </w:rPr>
              <w:t>siromaštva</w:t>
            </w:r>
            <w:proofErr w:type="spellEnd"/>
            <w:r w:rsidRPr="00921FAC">
              <w:rPr>
                <w:rFonts w:cstheme="minorHAnsi"/>
                <w:sz w:val="20"/>
                <w:szCs w:val="20"/>
              </w:rPr>
              <w:t xml:space="preserve"> i </w:t>
            </w:r>
            <w:proofErr w:type="spellStart"/>
            <w:r w:rsidRPr="00921FAC">
              <w:rPr>
                <w:rFonts w:cstheme="minorHAnsi"/>
                <w:sz w:val="20"/>
                <w:szCs w:val="20"/>
              </w:rPr>
              <w:t>negativnih</w:t>
            </w:r>
            <w:proofErr w:type="spellEnd"/>
            <w:r w:rsidRPr="00921FAC">
              <w:rPr>
                <w:rFonts w:cstheme="minorHAnsi"/>
                <w:sz w:val="20"/>
                <w:szCs w:val="20"/>
              </w:rPr>
              <w:t xml:space="preserve"> </w:t>
            </w:r>
            <w:proofErr w:type="spellStart"/>
            <w:r w:rsidRPr="00921FAC">
              <w:rPr>
                <w:rFonts w:cstheme="minorHAnsi"/>
                <w:sz w:val="20"/>
                <w:szCs w:val="20"/>
              </w:rPr>
              <w:t>uticaja</w:t>
            </w:r>
            <w:proofErr w:type="spellEnd"/>
            <w:r w:rsidRPr="00921FAC">
              <w:rPr>
                <w:rFonts w:cstheme="minorHAnsi"/>
                <w:sz w:val="20"/>
                <w:szCs w:val="20"/>
              </w:rPr>
              <w:t xml:space="preserve"> </w:t>
            </w:r>
            <w:proofErr w:type="spellStart"/>
            <w:r w:rsidRPr="00921FAC">
              <w:rPr>
                <w:rFonts w:cstheme="minorHAnsi"/>
                <w:sz w:val="20"/>
                <w:szCs w:val="20"/>
              </w:rPr>
              <w:t>na</w:t>
            </w:r>
            <w:proofErr w:type="spellEnd"/>
            <w:r w:rsidRPr="00921FAC">
              <w:rPr>
                <w:rFonts w:cstheme="minorHAnsi"/>
                <w:sz w:val="20"/>
                <w:szCs w:val="20"/>
              </w:rPr>
              <w:t xml:space="preserve"> </w:t>
            </w:r>
            <w:proofErr w:type="spellStart"/>
            <w:r w:rsidR="0014666A" w:rsidRPr="00921FAC">
              <w:rPr>
                <w:rFonts w:cstheme="minorHAnsi"/>
                <w:sz w:val="20"/>
                <w:szCs w:val="20"/>
              </w:rPr>
              <w:t>okolis</w:t>
            </w:r>
            <w:proofErr w:type="spellEnd"/>
            <w:r w:rsidR="0014666A" w:rsidRPr="00921FAC">
              <w:rPr>
                <w:rFonts w:cstheme="minorHAnsi"/>
                <w:sz w:val="20"/>
                <w:szCs w:val="20"/>
              </w:rPr>
              <w:t xml:space="preserve">, </w:t>
            </w:r>
            <w:proofErr w:type="spellStart"/>
            <w:r w:rsidR="0014666A" w:rsidRPr="00921FAC">
              <w:rPr>
                <w:rFonts w:cstheme="minorHAnsi"/>
                <w:sz w:val="20"/>
                <w:szCs w:val="20"/>
              </w:rPr>
              <w:t>ter</w:t>
            </w:r>
            <w:r w:rsidRPr="00921FAC">
              <w:rPr>
                <w:rFonts w:cstheme="minorHAnsi"/>
                <w:sz w:val="20"/>
                <w:szCs w:val="20"/>
              </w:rPr>
              <w:t>ast</w:t>
            </w:r>
            <w:proofErr w:type="spellEnd"/>
            <w:r w:rsidRPr="00921FAC">
              <w:rPr>
                <w:rFonts w:cstheme="minorHAnsi"/>
                <w:sz w:val="20"/>
                <w:szCs w:val="20"/>
              </w:rPr>
              <w:t xml:space="preserve"> </w:t>
            </w:r>
            <w:proofErr w:type="spellStart"/>
            <w:r w:rsidRPr="00921FAC">
              <w:rPr>
                <w:rFonts w:cstheme="minorHAnsi"/>
                <w:sz w:val="20"/>
                <w:szCs w:val="20"/>
              </w:rPr>
              <w:t>industrijske</w:t>
            </w:r>
            <w:proofErr w:type="spellEnd"/>
            <w:r w:rsidRPr="00921FAC">
              <w:rPr>
                <w:rFonts w:cstheme="minorHAnsi"/>
                <w:sz w:val="20"/>
                <w:szCs w:val="20"/>
              </w:rPr>
              <w:t xml:space="preserve"> </w:t>
            </w:r>
            <w:proofErr w:type="spellStart"/>
            <w:r w:rsidRPr="00921FAC">
              <w:rPr>
                <w:rFonts w:cstheme="minorHAnsi"/>
                <w:sz w:val="20"/>
                <w:szCs w:val="20"/>
              </w:rPr>
              <w:t>proizvodnje</w:t>
            </w:r>
            <w:proofErr w:type="spellEnd"/>
            <w:r w:rsidRPr="00921FAC">
              <w:rPr>
                <w:rFonts w:cstheme="minorHAnsi"/>
                <w:sz w:val="20"/>
                <w:szCs w:val="20"/>
              </w:rPr>
              <w:t xml:space="preserve"> i </w:t>
            </w:r>
            <w:proofErr w:type="spellStart"/>
            <w:r w:rsidRPr="00921FAC">
              <w:rPr>
                <w:rFonts w:cstheme="minorHAnsi"/>
                <w:sz w:val="20"/>
                <w:szCs w:val="20"/>
              </w:rPr>
              <w:t>upošljavanje</w:t>
            </w:r>
            <w:proofErr w:type="spellEnd"/>
            <w:r w:rsidRPr="00921FAC">
              <w:rPr>
                <w:rFonts w:cstheme="minorHAnsi"/>
                <w:sz w:val="20"/>
                <w:szCs w:val="20"/>
              </w:rPr>
              <w:t xml:space="preserve"> </w:t>
            </w:r>
            <w:proofErr w:type="spellStart"/>
            <w:r w:rsidRPr="00921FAC">
              <w:rPr>
                <w:rFonts w:cstheme="minorHAnsi"/>
                <w:sz w:val="20"/>
                <w:szCs w:val="20"/>
              </w:rPr>
              <w:t>postojeće</w:t>
            </w:r>
            <w:proofErr w:type="spellEnd"/>
            <w:r w:rsidRPr="00921FAC">
              <w:rPr>
                <w:rFonts w:cstheme="minorHAnsi"/>
                <w:sz w:val="20"/>
                <w:szCs w:val="20"/>
              </w:rPr>
              <w:t xml:space="preserve"> </w:t>
            </w:r>
            <w:proofErr w:type="spellStart"/>
            <w:r w:rsidRPr="00921FAC">
              <w:rPr>
                <w:rFonts w:cstheme="minorHAnsi"/>
                <w:sz w:val="20"/>
                <w:szCs w:val="20"/>
              </w:rPr>
              <w:t>građevinske</w:t>
            </w:r>
            <w:proofErr w:type="spellEnd"/>
            <w:r w:rsidRPr="00921FAC">
              <w:rPr>
                <w:rFonts w:cstheme="minorHAnsi"/>
                <w:sz w:val="20"/>
                <w:szCs w:val="20"/>
              </w:rPr>
              <w:t xml:space="preserve"> operative, </w:t>
            </w:r>
            <w:proofErr w:type="spellStart"/>
            <w:r w:rsidRPr="00921FAC">
              <w:rPr>
                <w:rFonts w:cstheme="minorHAnsi"/>
                <w:sz w:val="20"/>
                <w:szCs w:val="20"/>
              </w:rPr>
              <w:t>što</w:t>
            </w:r>
            <w:proofErr w:type="spellEnd"/>
            <w:r w:rsidRPr="00921FAC">
              <w:rPr>
                <w:rFonts w:cstheme="minorHAnsi"/>
                <w:sz w:val="20"/>
                <w:szCs w:val="20"/>
              </w:rPr>
              <w:t xml:space="preserve"> </w:t>
            </w:r>
            <w:proofErr w:type="spellStart"/>
            <w:r w:rsidRPr="00921FAC">
              <w:rPr>
                <w:rFonts w:cstheme="minorHAnsi"/>
                <w:sz w:val="20"/>
                <w:szCs w:val="20"/>
              </w:rPr>
              <w:t>direktno</w:t>
            </w:r>
            <w:proofErr w:type="spellEnd"/>
            <w:r w:rsidRPr="00921FAC">
              <w:rPr>
                <w:rFonts w:cstheme="minorHAnsi"/>
                <w:sz w:val="20"/>
                <w:szCs w:val="20"/>
              </w:rPr>
              <w:t xml:space="preserve"> </w:t>
            </w:r>
            <w:proofErr w:type="spellStart"/>
            <w:r w:rsidRPr="00921FAC">
              <w:rPr>
                <w:rFonts w:cstheme="minorHAnsi"/>
                <w:sz w:val="20"/>
                <w:szCs w:val="20"/>
              </w:rPr>
              <w:t>doprinosi</w:t>
            </w:r>
            <w:proofErr w:type="spellEnd"/>
            <w:r w:rsidRPr="00921FAC">
              <w:rPr>
                <w:rFonts w:cstheme="minorHAnsi"/>
                <w:sz w:val="20"/>
                <w:szCs w:val="20"/>
              </w:rPr>
              <w:t xml:space="preserve"> </w:t>
            </w:r>
            <w:proofErr w:type="spellStart"/>
            <w:r w:rsidRPr="00921FAC">
              <w:rPr>
                <w:rFonts w:cstheme="minorHAnsi"/>
                <w:sz w:val="20"/>
                <w:szCs w:val="20"/>
              </w:rPr>
              <w:t>privrednom</w:t>
            </w:r>
            <w:proofErr w:type="spellEnd"/>
            <w:r w:rsidRPr="00921FAC">
              <w:rPr>
                <w:rFonts w:cstheme="minorHAnsi"/>
                <w:sz w:val="20"/>
                <w:szCs w:val="20"/>
              </w:rPr>
              <w:t xml:space="preserve"> </w:t>
            </w:r>
            <w:proofErr w:type="spellStart"/>
            <w:r w:rsidRPr="00921FAC">
              <w:rPr>
                <w:rFonts w:cstheme="minorHAnsi"/>
                <w:sz w:val="20"/>
                <w:szCs w:val="20"/>
              </w:rPr>
              <w:t>razvoju</w:t>
            </w:r>
            <w:proofErr w:type="spellEnd"/>
            <w:r w:rsidRPr="00921FAC">
              <w:rPr>
                <w:rFonts w:cstheme="minorHAnsi"/>
                <w:sz w:val="20"/>
                <w:szCs w:val="20"/>
              </w:rPr>
              <w:t xml:space="preserve"> FBiH.</w:t>
            </w:r>
            <w:bookmarkEnd w:id="275"/>
          </w:p>
        </w:tc>
      </w:tr>
      <w:tr w:rsidR="00A00D87" w:rsidRPr="00921FAC" w14:paraId="028E8C80" w14:textId="77777777" w:rsidTr="00122946">
        <w:trPr>
          <w:trHeight w:val="1044"/>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B5158B8" w14:textId="0BAC88E1"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Indikativna</w:t>
            </w:r>
            <w:proofErr w:type="spellEnd"/>
            <w:r w:rsidRPr="00921FAC">
              <w:rPr>
                <w:rFonts w:cstheme="minorHAnsi"/>
                <w:b/>
                <w:sz w:val="20"/>
                <w:szCs w:val="20"/>
              </w:rPr>
              <w:t xml:space="preserve"> </w:t>
            </w:r>
            <w:proofErr w:type="spellStart"/>
            <w:r w:rsidR="007B690C" w:rsidRPr="00921FAC">
              <w:rPr>
                <w:rFonts w:cstheme="minorHAnsi"/>
                <w:b/>
                <w:sz w:val="20"/>
                <w:szCs w:val="20"/>
              </w:rPr>
              <w:t>financ</w:t>
            </w:r>
            <w:r w:rsidRPr="00921FAC">
              <w:rPr>
                <w:rFonts w:cstheme="minorHAnsi"/>
                <w:b/>
                <w:sz w:val="20"/>
                <w:szCs w:val="20"/>
              </w:rPr>
              <w:t>ijska</w:t>
            </w:r>
            <w:proofErr w:type="spellEnd"/>
            <w:r w:rsidRPr="00921FAC">
              <w:rPr>
                <w:rFonts w:cstheme="minorHAnsi"/>
                <w:b/>
                <w:sz w:val="20"/>
                <w:szCs w:val="20"/>
              </w:rPr>
              <w:t xml:space="preserve"> </w:t>
            </w:r>
            <w:proofErr w:type="spellStart"/>
            <w:r w:rsidRPr="00921FAC">
              <w:rPr>
                <w:rFonts w:cstheme="minorHAnsi"/>
                <w:b/>
                <w:sz w:val="20"/>
                <w:szCs w:val="20"/>
              </w:rPr>
              <w:t>konstrukcija</w:t>
            </w:r>
            <w:proofErr w:type="spellEnd"/>
            <w:r w:rsidRPr="00921FAC">
              <w:rPr>
                <w:rFonts w:cstheme="minorHAnsi"/>
                <w:b/>
                <w:sz w:val="20"/>
                <w:szCs w:val="20"/>
              </w:rPr>
              <w:t xml:space="preserve"> </w:t>
            </w:r>
            <w:proofErr w:type="spellStart"/>
            <w:r w:rsidRPr="00921FAC">
              <w:rPr>
                <w:rFonts w:cstheme="minorHAnsi"/>
                <w:b/>
                <w:sz w:val="20"/>
                <w:szCs w:val="20"/>
              </w:rPr>
              <w:t>sa</w:t>
            </w:r>
            <w:proofErr w:type="spellEnd"/>
            <w:r w:rsidRPr="00921FAC">
              <w:rPr>
                <w:rFonts w:cstheme="minorHAnsi"/>
                <w:b/>
                <w:sz w:val="20"/>
                <w:szCs w:val="20"/>
              </w:rPr>
              <w:t xml:space="preserve"> </w:t>
            </w:r>
            <w:proofErr w:type="spellStart"/>
            <w:r w:rsidRPr="00921FAC">
              <w:rPr>
                <w:rFonts w:cstheme="minorHAnsi"/>
                <w:b/>
                <w:sz w:val="20"/>
                <w:szCs w:val="20"/>
              </w:rPr>
              <w:t>izvorima</w:t>
            </w:r>
            <w:proofErr w:type="spellEnd"/>
            <w:r w:rsidRPr="00921FAC">
              <w:rPr>
                <w:rFonts w:cstheme="minorHAnsi"/>
                <w:b/>
                <w:sz w:val="20"/>
                <w:szCs w:val="20"/>
              </w:rPr>
              <w:t xml:space="preserve"> </w:t>
            </w:r>
            <w:proofErr w:type="spellStart"/>
            <w:r w:rsidR="007B690C" w:rsidRPr="00921FAC">
              <w:rPr>
                <w:rFonts w:cstheme="minorHAnsi"/>
                <w:b/>
                <w:sz w:val="20"/>
                <w:szCs w:val="20"/>
              </w:rPr>
              <w:t>financ</w:t>
            </w:r>
            <w:r w:rsidRPr="00921FAC">
              <w:rPr>
                <w:rFonts w:cstheme="minorHAnsi"/>
                <w:b/>
                <w:sz w:val="20"/>
                <w:szCs w:val="20"/>
              </w:rPr>
              <w:t>iranja</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7AC59109" w14:textId="77777777" w:rsidR="00A00D87" w:rsidRPr="00921FAC" w:rsidRDefault="00A00D87" w:rsidP="00122946">
            <w:pPr>
              <w:spacing w:line="259" w:lineRule="auto"/>
              <w:ind w:left="1"/>
              <w:rPr>
                <w:rFonts w:cstheme="minorHAnsi"/>
                <w:sz w:val="20"/>
                <w:szCs w:val="20"/>
              </w:rPr>
            </w:pPr>
            <w:proofErr w:type="spellStart"/>
            <w:r w:rsidRPr="00921FAC">
              <w:rPr>
                <w:rFonts w:cstheme="minorHAnsi"/>
                <w:sz w:val="20"/>
                <w:szCs w:val="20"/>
              </w:rPr>
              <w:t>Iznos</w:t>
            </w:r>
            <w:proofErr w:type="spellEnd"/>
            <w:r w:rsidRPr="00921FAC">
              <w:rPr>
                <w:rFonts w:cstheme="minorHAnsi"/>
                <w:sz w:val="20"/>
                <w:szCs w:val="20"/>
              </w:rPr>
              <w:t xml:space="preserve">: 5,0 mil. KM </w:t>
            </w:r>
          </w:p>
          <w:p w14:paraId="085A12C4" w14:textId="77777777" w:rsidR="00A00D87" w:rsidRPr="00921FAC" w:rsidRDefault="00A00D87" w:rsidP="00122946">
            <w:pPr>
              <w:spacing w:line="259" w:lineRule="auto"/>
              <w:ind w:left="1"/>
              <w:rPr>
                <w:rFonts w:cstheme="minorHAnsi"/>
                <w:sz w:val="20"/>
                <w:szCs w:val="20"/>
              </w:rPr>
            </w:pPr>
            <w:proofErr w:type="spellStart"/>
            <w:r w:rsidRPr="00921FAC">
              <w:rPr>
                <w:rFonts w:cstheme="minorHAnsi"/>
                <w:sz w:val="20"/>
                <w:szCs w:val="20"/>
              </w:rPr>
              <w:t>Izvor</w:t>
            </w:r>
            <w:proofErr w:type="spellEnd"/>
            <w:r w:rsidRPr="00921FAC">
              <w:rPr>
                <w:rFonts w:cstheme="minorHAnsi"/>
                <w:sz w:val="20"/>
                <w:szCs w:val="20"/>
              </w:rPr>
              <w:t xml:space="preserve">: </w:t>
            </w:r>
            <w:proofErr w:type="spellStart"/>
            <w:r w:rsidRPr="00921FAC">
              <w:rPr>
                <w:rFonts w:cstheme="minorHAnsi"/>
                <w:sz w:val="20"/>
                <w:szCs w:val="20"/>
              </w:rPr>
              <w:t>Budžet</w:t>
            </w:r>
            <w:proofErr w:type="spellEnd"/>
            <w:r w:rsidRPr="00921FAC">
              <w:rPr>
                <w:rFonts w:cstheme="minorHAnsi"/>
                <w:sz w:val="20"/>
                <w:szCs w:val="20"/>
              </w:rPr>
              <w:t xml:space="preserve"> </w:t>
            </w:r>
            <w:proofErr w:type="spellStart"/>
            <w:r w:rsidRPr="00921FAC">
              <w:rPr>
                <w:rFonts w:cstheme="minorHAnsi"/>
                <w:sz w:val="20"/>
                <w:szCs w:val="20"/>
              </w:rPr>
              <w:t>institucija</w:t>
            </w:r>
            <w:proofErr w:type="spellEnd"/>
            <w:r w:rsidRPr="00921FAC">
              <w:rPr>
                <w:rFonts w:cstheme="minorHAnsi"/>
                <w:sz w:val="20"/>
                <w:szCs w:val="20"/>
              </w:rPr>
              <w:t xml:space="preserve">, </w:t>
            </w:r>
            <w:proofErr w:type="spellStart"/>
            <w:r w:rsidRPr="00921FAC">
              <w:rPr>
                <w:rFonts w:cstheme="minorHAnsi"/>
                <w:sz w:val="20"/>
                <w:szCs w:val="20"/>
              </w:rPr>
              <w:t>privatni</w:t>
            </w:r>
            <w:proofErr w:type="spellEnd"/>
            <w:r w:rsidRPr="00921FAC">
              <w:rPr>
                <w:rFonts w:cstheme="minorHAnsi"/>
                <w:sz w:val="20"/>
                <w:szCs w:val="20"/>
              </w:rPr>
              <w:t xml:space="preserve"> </w:t>
            </w:r>
            <w:proofErr w:type="spellStart"/>
            <w:r w:rsidRPr="00921FAC">
              <w:rPr>
                <w:rFonts w:cstheme="minorHAnsi"/>
                <w:sz w:val="20"/>
                <w:szCs w:val="20"/>
              </w:rPr>
              <w:t>investitori</w:t>
            </w:r>
            <w:proofErr w:type="spellEnd"/>
            <w:r w:rsidRPr="00921FAC">
              <w:rPr>
                <w:rFonts w:cstheme="minorHAnsi"/>
                <w:sz w:val="20"/>
                <w:szCs w:val="20"/>
              </w:rPr>
              <w:t xml:space="preserve">, </w:t>
            </w:r>
            <w:proofErr w:type="spellStart"/>
            <w:r w:rsidRPr="00921FAC">
              <w:rPr>
                <w:rFonts w:cstheme="minorHAnsi"/>
                <w:sz w:val="20"/>
                <w:szCs w:val="20"/>
              </w:rPr>
              <w:t>ostali</w:t>
            </w:r>
            <w:proofErr w:type="spellEnd"/>
            <w:r w:rsidRPr="00921FAC">
              <w:rPr>
                <w:rFonts w:cstheme="minorHAnsi"/>
                <w:sz w:val="20"/>
                <w:szCs w:val="20"/>
              </w:rPr>
              <w:t xml:space="preserve"> </w:t>
            </w:r>
            <w:proofErr w:type="spellStart"/>
            <w:r w:rsidRPr="00921FAC">
              <w:rPr>
                <w:rFonts w:cstheme="minorHAnsi"/>
                <w:sz w:val="20"/>
                <w:szCs w:val="20"/>
              </w:rPr>
              <w:t>izvori</w:t>
            </w:r>
            <w:proofErr w:type="spellEnd"/>
          </w:p>
        </w:tc>
      </w:tr>
      <w:tr w:rsidR="00A00D87" w:rsidRPr="00921FAC" w14:paraId="4ADF52BC" w14:textId="77777777" w:rsidTr="00122946">
        <w:trPr>
          <w:trHeight w:val="63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B0ACD2" w14:textId="77777777" w:rsidR="00A00D87" w:rsidRPr="00921FAC" w:rsidRDefault="00A00D87" w:rsidP="00122946">
            <w:pPr>
              <w:spacing w:line="259" w:lineRule="auto"/>
              <w:rPr>
                <w:rFonts w:cstheme="minorHAnsi"/>
                <w:sz w:val="20"/>
                <w:szCs w:val="20"/>
              </w:rPr>
            </w:pPr>
            <w:r w:rsidRPr="00921FAC">
              <w:rPr>
                <w:rFonts w:cstheme="minorHAnsi"/>
                <w:b/>
                <w:sz w:val="20"/>
                <w:szCs w:val="20"/>
              </w:rPr>
              <w:t xml:space="preserve">Period </w:t>
            </w:r>
            <w:proofErr w:type="spellStart"/>
            <w:r w:rsidRPr="00921FAC">
              <w:rPr>
                <w:rFonts w:cstheme="minorHAnsi"/>
                <w:b/>
                <w:sz w:val="20"/>
                <w:szCs w:val="20"/>
              </w:rPr>
              <w:t>implementacije</w:t>
            </w:r>
            <w:proofErr w:type="spellEnd"/>
            <w:r w:rsidRPr="00921FAC">
              <w:rPr>
                <w:rFonts w:cstheme="minorHAnsi"/>
                <w:b/>
                <w:sz w:val="20"/>
                <w:szCs w:val="20"/>
              </w:rPr>
              <w:t xml:space="preserve"> </w:t>
            </w:r>
            <w:proofErr w:type="spellStart"/>
            <w:r w:rsidRPr="00921FAC">
              <w:rPr>
                <w:rFonts w:cstheme="minorHAnsi"/>
                <w:b/>
                <w:sz w:val="20"/>
                <w:szCs w:val="20"/>
              </w:rPr>
              <w:t>mjere</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61E2AF1C" w14:textId="77777777" w:rsidR="00A00D87" w:rsidRPr="00921FAC" w:rsidRDefault="00A00D87" w:rsidP="00E6560A">
            <w:pPr>
              <w:ind w:left="1"/>
              <w:jc w:val="both"/>
              <w:rPr>
                <w:rFonts w:cstheme="minorHAnsi"/>
                <w:sz w:val="20"/>
                <w:szCs w:val="20"/>
              </w:rPr>
            </w:pPr>
            <w:r w:rsidRPr="00921FAC">
              <w:rPr>
                <w:rFonts w:cstheme="minorHAnsi"/>
                <w:sz w:val="20"/>
                <w:szCs w:val="20"/>
              </w:rPr>
              <w:t>2022-2024. (</w:t>
            </w:r>
            <w:proofErr w:type="spellStart"/>
            <w:proofErr w:type="gramStart"/>
            <w:r w:rsidRPr="00921FAC">
              <w:rPr>
                <w:rFonts w:cstheme="minorHAnsi"/>
                <w:sz w:val="20"/>
                <w:szCs w:val="20"/>
              </w:rPr>
              <w:t>uspostavljanje</w:t>
            </w:r>
            <w:proofErr w:type="spellEnd"/>
            <w:proofErr w:type="gramEnd"/>
            <w:r w:rsidRPr="00921FAC">
              <w:rPr>
                <w:rFonts w:cstheme="minorHAnsi"/>
                <w:sz w:val="20"/>
                <w:szCs w:val="20"/>
              </w:rPr>
              <w:t xml:space="preserve"> </w:t>
            </w:r>
            <w:proofErr w:type="spellStart"/>
            <w:r w:rsidRPr="00921FAC">
              <w:rPr>
                <w:rFonts w:cstheme="minorHAnsi"/>
                <w:sz w:val="20"/>
                <w:szCs w:val="20"/>
              </w:rPr>
              <w:t>regulatornog</w:t>
            </w:r>
            <w:proofErr w:type="spellEnd"/>
            <w:r w:rsidRPr="00921FAC">
              <w:rPr>
                <w:rFonts w:cstheme="minorHAnsi"/>
                <w:sz w:val="20"/>
                <w:szCs w:val="20"/>
              </w:rPr>
              <w:t xml:space="preserve"> i </w:t>
            </w:r>
            <w:proofErr w:type="spellStart"/>
            <w:r w:rsidRPr="00921FAC">
              <w:rPr>
                <w:rFonts w:cstheme="minorHAnsi"/>
                <w:sz w:val="20"/>
                <w:szCs w:val="20"/>
              </w:rPr>
              <w:t>pravnog</w:t>
            </w:r>
            <w:proofErr w:type="spellEnd"/>
            <w:r w:rsidRPr="00921FAC">
              <w:rPr>
                <w:rFonts w:cstheme="minorHAnsi"/>
                <w:sz w:val="20"/>
                <w:szCs w:val="20"/>
              </w:rPr>
              <w:t xml:space="preserve"> </w:t>
            </w:r>
            <w:proofErr w:type="spellStart"/>
            <w:r w:rsidRPr="00921FAC">
              <w:rPr>
                <w:rFonts w:cstheme="minorHAnsi"/>
                <w:sz w:val="20"/>
                <w:szCs w:val="20"/>
              </w:rPr>
              <w:t>okvira</w:t>
            </w:r>
            <w:proofErr w:type="spellEnd"/>
            <w:r w:rsidRPr="00921FAC">
              <w:rPr>
                <w:rFonts w:cstheme="minorHAnsi"/>
                <w:sz w:val="20"/>
                <w:szCs w:val="20"/>
              </w:rPr>
              <w:t>)</w:t>
            </w:r>
          </w:p>
          <w:p w14:paraId="5064A634" w14:textId="77777777" w:rsidR="00A00D87" w:rsidRPr="00921FAC" w:rsidRDefault="00A00D87" w:rsidP="00E6560A">
            <w:pPr>
              <w:ind w:left="1"/>
              <w:jc w:val="both"/>
              <w:rPr>
                <w:rFonts w:cstheme="minorHAnsi"/>
                <w:sz w:val="20"/>
                <w:szCs w:val="20"/>
              </w:rPr>
            </w:pPr>
            <w:r w:rsidRPr="00921FAC">
              <w:rPr>
                <w:rFonts w:cstheme="minorHAnsi"/>
                <w:sz w:val="20"/>
                <w:szCs w:val="20"/>
              </w:rPr>
              <w:t>2024-2050. (</w:t>
            </w:r>
            <w:proofErr w:type="spellStart"/>
            <w:r w:rsidRPr="00921FAC">
              <w:rPr>
                <w:rFonts w:cstheme="minorHAnsi"/>
                <w:sz w:val="20"/>
                <w:szCs w:val="20"/>
              </w:rPr>
              <w:t>provođenje</w:t>
            </w:r>
            <w:proofErr w:type="spellEnd"/>
            <w:r w:rsidRPr="00921FAC">
              <w:rPr>
                <w:rFonts w:cstheme="minorHAnsi"/>
                <w:sz w:val="20"/>
                <w:szCs w:val="20"/>
              </w:rPr>
              <w:t xml:space="preserve"> </w:t>
            </w:r>
            <w:proofErr w:type="spellStart"/>
            <w:r w:rsidRPr="00921FAC">
              <w:rPr>
                <w:rFonts w:cstheme="minorHAnsi"/>
                <w:sz w:val="20"/>
                <w:szCs w:val="20"/>
              </w:rPr>
              <w:t>mjere</w:t>
            </w:r>
            <w:proofErr w:type="spellEnd"/>
            <w:r w:rsidRPr="00921FAC">
              <w:rPr>
                <w:rFonts w:cstheme="minorHAnsi"/>
                <w:sz w:val="20"/>
                <w:szCs w:val="20"/>
              </w:rPr>
              <w:t>)</w:t>
            </w:r>
          </w:p>
          <w:p w14:paraId="4048FB59" w14:textId="77777777" w:rsidR="00A00D87" w:rsidRPr="00921FAC" w:rsidRDefault="00A00D87" w:rsidP="00E6560A">
            <w:pPr>
              <w:ind w:left="1"/>
              <w:jc w:val="both"/>
              <w:rPr>
                <w:rFonts w:cstheme="minorHAnsi"/>
                <w:sz w:val="20"/>
                <w:szCs w:val="20"/>
              </w:rPr>
            </w:pPr>
            <w:proofErr w:type="spellStart"/>
            <w:r w:rsidRPr="00921FAC">
              <w:rPr>
                <w:rFonts w:cstheme="minorHAnsi"/>
                <w:sz w:val="20"/>
                <w:szCs w:val="20"/>
              </w:rPr>
              <w:t>Mjera</w:t>
            </w:r>
            <w:proofErr w:type="spellEnd"/>
            <w:r w:rsidRPr="00921FAC">
              <w:rPr>
                <w:rFonts w:cstheme="minorHAnsi"/>
                <w:sz w:val="20"/>
                <w:szCs w:val="20"/>
              </w:rPr>
              <w:t xml:space="preserve"> </w:t>
            </w:r>
            <w:proofErr w:type="spellStart"/>
            <w:r w:rsidRPr="00921FAC">
              <w:rPr>
                <w:rFonts w:cstheme="minorHAnsi"/>
                <w:sz w:val="20"/>
                <w:szCs w:val="20"/>
              </w:rPr>
              <w:t>će</w:t>
            </w:r>
            <w:proofErr w:type="spellEnd"/>
            <w:r w:rsidRPr="00921FAC">
              <w:rPr>
                <w:rFonts w:cstheme="minorHAnsi"/>
                <w:sz w:val="20"/>
                <w:szCs w:val="20"/>
              </w:rPr>
              <w:t xml:space="preserve"> se </w:t>
            </w:r>
            <w:proofErr w:type="spellStart"/>
            <w:r w:rsidRPr="00921FAC">
              <w:rPr>
                <w:rFonts w:cstheme="minorHAnsi"/>
                <w:sz w:val="20"/>
                <w:szCs w:val="20"/>
              </w:rPr>
              <w:t>provoditi</w:t>
            </w:r>
            <w:proofErr w:type="spellEnd"/>
            <w:r w:rsidRPr="00921FAC">
              <w:rPr>
                <w:rFonts w:cstheme="minorHAnsi"/>
                <w:sz w:val="20"/>
                <w:szCs w:val="20"/>
              </w:rPr>
              <w:t xml:space="preserve"> do 2050. </w:t>
            </w:r>
            <w:proofErr w:type="spellStart"/>
            <w:r w:rsidRPr="00921FAC">
              <w:rPr>
                <w:rFonts w:cstheme="minorHAnsi"/>
                <w:sz w:val="20"/>
                <w:szCs w:val="20"/>
              </w:rPr>
              <w:t>godine</w:t>
            </w:r>
            <w:proofErr w:type="spellEnd"/>
            <w:r w:rsidRPr="00921FAC">
              <w:rPr>
                <w:rFonts w:cstheme="minorHAnsi"/>
                <w:sz w:val="20"/>
                <w:szCs w:val="20"/>
              </w:rPr>
              <w:t xml:space="preserve">, </w:t>
            </w:r>
            <w:proofErr w:type="spellStart"/>
            <w:r w:rsidRPr="00921FAC">
              <w:rPr>
                <w:rFonts w:cstheme="minorHAnsi"/>
                <w:sz w:val="20"/>
                <w:szCs w:val="20"/>
              </w:rPr>
              <w:t>uz</w:t>
            </w:r>
            <w:proofErr w:type="spellEnd"/>
            <w:r w:rsidRPr="00921FAC">
              <w:rPr>
                <w:rFonts w:cstheme="minorHAnsi"/>
                <w:sz w:val="20"/>
                <w:szCs w:val="20"/>
              </w:rPr>
              <w:t xml:space="preserve"> </w:t>
            </w:r>
            <w:proofErr w:type="spellStart"/>
            <w:r w:rsidRPr="00921FAC">
              <w:rPr>
                <w:rFonts w:cstheme="minorHAnsi"/>
                <w:sz w:val="20"/>
                <w:szCs w:val="20"/>
              </w:rPr>
              <w:t>moguće</w:t>
            </w:r>
            <w:proofErr w:type="spellEnd"/>
            <w:r w:rsidRPr="00921FAC">
              <w:rPr>
                <w:rFonts w:cstheme="minorHAnsi"/>
                <w:sz w:val="20"/>
                <w:szCs w:val="20"/>
              </w:rPr>
              <w:t xml:space="preserve"> </w:t>
            </w:r>
            <w:proofErr w:type="spellStart"/>
            <w:r w:rsidRPr="00921FAC">
              <w:rPr>
                <w:rFonts w:cstheme="minorHAnsi"/>
                <w:sz w:val="20"/>
                <w:szCs w:val="20"/>
              </w:rPr>
              <w:t>izmjene</w:t>
            </w:r>
            <w:proofErr w:type="spellEnd"/>
            <w:r w:rsidRPr="00921FAC">
              <w:rPr>
                <w:rFonts w:cstheme="minorHAnsi"/>
                <w:sz w:val="20"/>
                <w:szCs w:val="20"/>
              </w:rPr>
              <w:t xml:space="preserve"> </w:t>
            </w:r>
            <w:proofErr w:type="spellStart"/>
            <w:r w:rsidRPr="00921FAC">
              <w:rPr>
                <w:rFonts w:cstheme="minorHAnsi"/>
                <w:sz w:val="20"/>
                <w:szCs w:val="20"/>
              </w:rPr>
              <w:t>temeljene</w:t>
            </w:r>
            <w:proofErr w:type="spellEnd"/>
            <w:r w:rsidRPr="00921FAC">
              <w:rPr>
                <w:rFonts w:cstheme="minorHAnsi"/>
                <w:sz w:val="20"/>
                <w:szCs w:val="20"/>
              </w:rPr>
              <w:t xml:space="preserve"> </w:t>
            </w:r>
            <w:proofErr w:type="spellStart"/>
            <w:r w:rsidRPr="00921FAC">
              <w:rPr>
                <w:rFonts w:cstheme="minorHAnsi"/>
                <w:sz w:val="20"/>
                <w:szCs w:val="20"/>
              </w:rPr>
              <w:t>na</w:t>
            </w:r>
            <w:proofErr w:type="spellEnd"/>
            <w:r w:rsidRPr="00921FAC">
              <w:rPr>
                <w:rFonts w:cstheme="minorHAnsi"/>
                <w:sz w:val="20"/>
                <w:szCs w:val="20"/>
              </w:rPr>
              <w:t xml:space="preserve"> </w:t>
            </w:r>
            <w:proofErr w:type="spellStart"/>
            <w:r w:rsidRPr="00921FAC">
              <w:rPr>
                <w:rFonts w:cstheme="minorHAnsi"/>
                <w:sz w:val="20"/>
                <w:szCs w:val="20"/>
              </w:rPr>
              <w:t>prikupljenim</w:t>
            </w:r>
            <w:proofErr w:type="spellEnd"/>
            <w:r w:rsidRPr="00921FAC">
              <w:rPr>
                <w:rFonts w:cstheme="minorHAnsi"/>
                <w:sz w:val="20"/>
                <w:szCs w:val="20"/>
              </w:rPr>
              <w:t xml:space="preserve"> </w:t>
            </w:r>
            <w:proofErr w:type="spellStart"/>
            <w:r w:rsidRPr="00921FAC">
              <w:rPr>
                <w:rFonts w:cstheme="minorHAnsi"/>
                <w:sz w:val="20"/>
                <w:szCs w:val="20"/>
              </w:rPr>
              <w:t>iskustvima</w:t>
            </w:r>
            <w:proofErr w:type="spellEnd"/>
          </w:p>
        </w:tc>
      </w:tr>
      <w:tr w:rsidR="00A00D87" w:rsidRPr="00921FAC" w14:paraId="6F32EE3C" w14:textId="77777777" w:rsidTr="00122946">
        <w:trPr>
          <w:trHeight w:val="1046"/>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475C21F"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Institucija</w:t>
            </w:r>
            <w:proofErr w:type="spellEnd"/>
            <w:r w:rsidRPr="00921FAC">
              <w:rPr>
                <w:rFonts w:cstheme="minorHAnsi"/>
                <w:b/>
                <w:sz w:val="20"/>
                <w:szCs w:val="20"/>
              </w:rPr>
              <w:t xml:space="preserve"> </w:t>
            </w:r>
          </w:p>
          <w:p w14:paraId="64A51892"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odgovorna</w:t>
            </w:r>
            <w:proofErr w:type="spellEnd"/>
            <w:r w:rsidRPr="00921FAC">
              <w:rPr>
                <w:rFonts w:cstheme="minorHAnsi"/>
                <w:b/>
                <w:sz w:val="20"/>
                <w:szCs w:val="20"/>
              </w:rPr>
              <w:t xml:space="preserve"> za </w:t>
            </w:r>
            <w:proofErr w:type="spellStart"/>
            <w:r w:rsidRPr="00921FAC">
              <w:rPr>
                <w:rFonts w:cstheme="minorHAnsi"/>
                <w:b/>
                <w:sz w:val="20"/>
                <w:szCs w:val="20"/>
              </w:rPr>
              <w:t>koordinaciju</w:t>
            </w:r>
            <w:proofErr w:type="spellEnd"/>
            <w:r w:rsidRPr="00921FAC">
              <w:rPr>
                <w:rFonts w:cstheme="minorHAnsi"/>
                <w:b/>
                <w:sz w:val="20"/>
                <w:szCs w:val="20"/>
              </w:rPr>
              <w:t xml:space="preserve"> </w:t>
            </w:r>
            <w:proofErr w:type="spellStart"/>
            <w:r w:rsidRPr="00921FAC">
              <w:rPr>
                <w:rFonts w:cstheme="minorHAnsi"/>
                <w:b/>
                <w:sz w:val="20"/>
                <w:szCs w:val="20"/>
              </w:rPr>
              <w:t>implementacije</w:t>
            </w:r>
            <w:proofErr w:type="spellEnd"/>
            <w:r w:rsidRPr="00921FAC">
              <w:rPr>
                <w:rFonts w:cstheme="minorHAnsi"/>
                <w:b/>
                <w:sz w:val="20"/>
                <w:szCs w:val="20"/>
              </w:rPr>
              <w:t xml:space="preserve"> </w:t>
            </w:r>
            <w:proofErr w:type="spellStart"/>
            <w:r w:rsidRPr="00921FAC">
              <w:rPr>
                <w:rFonts w:cstheme="minorHAnsi"/>
                <w:b/>
                <w:sz w:val="20"/>
                <w:szCs w:val="20"/>
              </w:rPr>
              <w:t>mjere</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vAlign w:val="center"/>
          </w:tcPr>
          <w:p w14:paraId="2CAC75E0" w14:textId="77777777" w:rsidR="00A00D87" w:rsidRPr="00921FAC" w:rsidRDefault="00A00D87" w:rsidP="00E6560A">
            <w:pPr>
              <w:spacing w:line="259" w:lineRule="auto"/>
              <w:ind w:left="1"/>
              <w:jc w:val="both"/>
              <w:rPr>
                <w:rFonts w:cstheme="minorHAnsi"/>
                <w:sz w:val="20"/>
                <w:szCs w:val="20"/>
              </w:rPr>
            </w:pPr>
            <w:r w:rsidRPr="00921FAC">
              <w:rPr>
                <w:rFonts w:cstheme="minorHAnsi"/>
                <w:sz w:val="20"/>
                <w:szCs w:val="20"/>
              </w:rPr>
              <w:t>Federalno ministarstvo energije, rudarstva i industrije i Federalno ministarstvo prostornog uređenja</w:t>
            </w:r>
          </w:p>
        </w:tc>
      </w:tr>
      <w:tr w:rsidR="00A00D87" w:rsidRPr="00921FAC" w14:paraId="691B2604" w14:textId="77777777" w:rsidTr="00122946">
        <w:trPr>
          <w:trHeight w:val="422"/>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FEA682A"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Nosioci</w:t>
            </w:r>
            <w:proofErr w:type="spellEnd"/>
            <w:r w:rsidRPr="00921FAC">
              <w:rPr>
                <w:rFonts w:cstheme="minorHAnsi"/>
                <w:b/>
                <w:sz w:val="20"/>
                <w:szCs w:val="20"/>
              </w:rPr>
              <w:t xml:space="preserve"> </w:t>
            </w:r>
            <w:proofErr w:type="spellStart"/>
            <w:r w:rsidRPr="00921FAC">
              <w:rPr>
                <w:rFonts w:cstheme="minorHAnsi"/>
                <w:b/>
                <w:sz w:val="20"/>
                <w:szCs w:val="20"/>
              </w:rPr>
              <w:t>mjere</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2EAACA2E" w14:textId="79A41A75" w:rsidR="00A00D87" w:rsidRPr="00921FAC" w:rsidRDefault="0014666A" w:rsidP="00E6560A">
            <w:pPr>
              <w:spacing w:line="259" w:lineRule="auto"/>
              <w:ind w:left="1" w:right="3"/>
              <w:jc w:val="both"/>
              <w:rPr>
                <w:rFonts w:cstheme="minorHAnsi"/>
                <w:sz w:val="20"/>
                <w:szCs w:val="20"/>
              </w:rPr>
            </w:pPr>
            <w:r w:rsidRPr="00921FAC">
              <w:rPr>
                <w:rFonts w:cstheme="minorHAnsi"/>
                <w:sz w:val="20"/>
                <w:szCs w:val="20"/>
              </w:rPr>
              <w:t xml:space="preserve">Federalno ministarstvo energije, rudarstva i industrije, </w:t>
            </w:r>
            <w:r w:rsidR="00A00D87" w:rsidRPr="00921FAC">
              <w:rPr>
                <w:rFonts w:cstheme="minorHAnsi"/>
                <w:sz w:val="20"/>
                <w:szCs w:val="20"/>
              </w:rPr>
              <w:t xml:space="preserve">Federalno ministarstvo okoliša i turizma, </w:t>
            </w:r>
            <w:proofErr w:type="spellStart"/>
            <w:r w:rsidR="00A00D87" w:rsidRPr="00921FAC">
              <w:rPr>
                <w:rFonts w:cstheme="minorHAnsi"/>
                <w:sz w:val="20"/>
                <w:szCs w:val="20"/>
              </w:rPr>
              <w:t>kantonalna</w:t>
            </w:r>
            <w:proofErr w:type="spellEnd"/>
            <w:r w:rsidR="00A00D87" w:rsidRPr="00921FAC">
              <w:rPr>
                <w:rFonts w:cstheme="minorHAnsi"/>
                <w:sz w:val="20"/>
                <w:szCs w:val="20"/>
              </w:rPr>
              <w:t xml:space="preserve"> </w:t>
            </w:r>
            <w:proofErr w:type="spellStart"/>
            <w:r w:rsidR="00A00D87" w:rsidRPr="00921FAC">
              <w:rPr>
                <w:rFonts w:cstheme="minorHAnsi"/>
                <w:sz w:val="20"/>
                <w:szCs w:val="20"/>
              </w:rPr>
              <w:t>ministarstva</w:t>
            </w:r>
            <w:proofErr w:type="spellEnd"/>
            <w:r w:rsidR="00A00D87" w:rsidRPr="00921FAC">
              <w:rPr>
                <w:rFonts w:cstheme="minorHAnsi"/>
                <w:sz w:val="20"/>
                <w:szCs w:val="20"/>
              </w:rPr>
              <w:t xml:space="preserve"> </w:t>
            </w:r>
            <w:proofErr w:type="spellStart"/>
            <w:r w:rsidR="00A00D87" w:rsidRPr="00921FAC">
              <w:rPr>
                <w:rFonts w:cstheme="minorHAnsi"/>
                <w:sz w:val="20"/>
                <w:szCs w:val="20"/>
              </w:rPr>
              <w:t>nadležna</w:t>
            </w:r>
            <w:proofErr w:type="spellEnd"/>
            <w:r w:rsidR="00A00D87" w:rsidRPr="00921FAC">
              <w:rPr>
                <w:rFonts w:cstheme="minorHAnsi"/>
                <w:sz w:val="20"/>
                <w:szCs w:val="20"/>
              </w:rPr>
              <w:t xml:space="preserve"> za </w:t>
            </w:r>
            <w:proofErr w:type="spellStart"/>
            <w:r w:rsidR="00A00D87" w:rsidRPr="00921FAC">
              <w:rPr>
                <w:rFonts w:cstheme="minorHAnsi"/>
                <w:sz w:val="20"/>
                <w:szCs w:val="20"/>
              </w:rPr>
              <w:t>okoliš</w:t>
            </w:r>
            <w:proofErr w:type="spellEnd"/>
            <w:r w:rsidR="00A00D87" w:rsidRPr="00921FAC">
              <w:rPr>
                <w:rFonts w:cstheme="minorHAnsi"/>
                <w:sz w:val="20"/>
                <w:szCs w:val="20"/>
              </w:rPr>
              <w:t xml:space="preserve">, </w:t>
            </w:r>
            <w:proofErr w:type="spellStart"/>
            <w:r w:rsidR="00A00D87" w:rsidRPr="00921FAC">
              <w:rPr>
                <w:rFonts w:cstheme="minorHAnsi"/>
                <w:sz w:val="20"/>
                <w:szCs w:val="20"/>
              </w:rPr>
              <w:t>jedinice</w:t>
            </w:r>
            <w:proofErr w:type="spellEnd"/>
            <w:r w:rsidR="00A00D87" w:rsidRPr="00921FAC">
              <w:rPr>
                <w:rFonts w:cstheme="minorHAnsi"/>
                <w:sz w:val="20"/>
                <w:szCs w:val="20"/>
              </w:rPr>
              <w:t xml:space="preserve"> </w:t>
            </w:r>
            <w:proofErr w:type="spellStart"/>
            <w:r w:rsidR="00A00D87" w:rsidRPr="00921FAC">
              <w:rPr>
                <w:rFonts w:cstheme="minorHAnsi"/>
                <w:sz w:val="20"/>
                <w:szCs w:val="20"/>
              </w:rPr>
              <w:t>lokalne</w:t>
            </w:r>
            <w:proofErr w:type="spellEnd"/>
            <w:r w:rsidR="00A00D87" w:rsidRPr="00921FAC">
              <w:rPr>
                <w:rFonts w:cstheme="minorHAnsi"/>
                <w:sz w:val="20"/>
                <w:szCs w:val="20"/>
              </w:rPr>
              <w:t xml:space="preserve"> </w:t>
            </w:r>
            <w:proofErr w:type="spellStart"/>
            <w:r w:rsidR="00A00D87" w:rsidRPr="00921FAC">
              <w:rPr>
                <w:rFonts w:cstheme="minorHAnsi"/>
                <w:sz w:val="20"/>
                <w:szCs w:val="20"/>
              </w:rPr>
              <w:t>samouprave</w:t>
            </w:r>
            <w:proofErr w:type="spellEnd"/>
            <w:r w:rsidR="00A00D87" w:rsidRPr="00921FAC">
              <w:rPr>
                <w:rFonts w:cstheme="minorHAnsi"/>
                <w:sz w:val="20"/>
                <w:szCs w:val="20"/>
              </w:rPr>
              <w:t xml:space="preserve">, Federalni fond za zaštitu okoliša, Federalno ministarstvo okoliša i turizma, Federalni </w:t>
            </w:r>
            <w:proofErr w:type="spellStart"/>
            <w:r w:rsidR="00A00D87" w:rsidRPr="00921FAC">
              <w:rPr>
                <w:rFonts w:cstheme="minorHAnsi"/>
                <w:sz w:val="20"/>
                <w:szCs w:val="20"/>
              </w:rPr>
              <w:t>hidrometeorološki</w:t>
            </w:r>
            <w:proofErr w:type="spellEnd"/>
            <w:r w:rsidR="00A00D87" w:rsidRPr="00921FAC">
              <w:rPr>
                <w:rFonts w:cstheme="minorHAnsi"/>
                <w:sz w:val="20"/>
                <w:szCs w:val="20"/>
              </w:rPr>
              <w:t xml:space="preserve"> zavod, Federalni zavod za </w:t>
            </w:r>
            <w:proofErr w:type="spellStart"/>
            <w:r w:rsidR="00A00D87" w:rsidRPr="00921FAC">
              <w:rPr>
                <w:rFonts w:cstheme="minorHAnsi"/>
                <w:sz w:val="20"/>
                <w:szCs w:val="20"/>
              </w:rPr>
              <w:t>statistiku</w:t>
            </w:r>
            <w:proofErr w:type="spellEnd"/>
          </w:p>
        </w:tc>
      </w:tr>
      <w:tr w:rsidR="00A00D87" w:rsidRPr="00921FAC" w14:paraId="761CE527" w14:textId="77777777" w:rsidTr="00122946">
        <w:trPr>
          <w:trHeight w:val="217"/>
        </w:trPr>
        <w:tc>
          <w:tcPr>
            <w:tcW w:w="176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18E6974" w14:textId="77777777" w:rsidR="00A00D87" w:rsidRPr="00921FAC" w:rsidRDefault="00A00D87" w:rsidP="00122946">
            <w:pPr>
              <w:spacing w:line="259" w:lineRule="auto"/>
              <w:rPr>
                <w:rFonts w:cstheme="minorHAnsi"/>
                <w:sz w:val="20"/>
                <w:szCs w:val="20"/>
              </w:rPr>
            </w:pPr>
            <w:proofErr w:type="spellStart"/>
            <w:r w:rsidRPr="00921FAC">
              <w:rPr>
                <w:rFonts w:cstheme="minorHAnsi"/>
                <w:b/>
                <w:sz w:val="20"/>
                <w:szCs w:val="20"/>
              </w:rPr>
              <w:t>Ciljne</w:t>
            </w:r>
            <w:proofErr w:type="spellEnd"/>
            <w:r w:rsidRPr="00921FAC">
              <w:rPr>
                <w:rFonts w:cstheme="minorHAnsi"/>
                <w:b/>
                <w:sz w:val="20"/>
                <w:szCs w:val="20"/>
              </w:rPr>
              <w:t xml:space="preserve"> </w:t>
            </w:r>
            <w:proofErr w:type="spellStart"/>
            <w:r w:rsidRPr="00921FAC">
              <w:rPr>
                <w:rFonts w:cstheme="minorHAnsi"/>
                <w:b/>
                <w:sz w:val="20"/>
                <w:szCs w:val="20"/>
              </w:rPr>
              <w:t>grupe</w:t>
            </w:r>
            <w:proofErr w:type="spellEnd"/>
            <w:r w:rsidRPr="00921FAC">
              <w:rPr>
                <w:rFonts w:cstheme="minorHAnsi"/>
                <w:b/>
                <w:sz w:val="20"/>
                <w:szCs w:val="20"/>
              </w:rPr>
              <w:t xml:space="preserve"> </w:t>
            </w:r>
          </w:p>
        </w:tc>
        <w:tc>
          <w:tcPr>
            <w:tcW w:w="7249" w:type="dxa"/>
            <w:gridSpan w:val="3"/>
            <w:tcBorders>
              <w:top w:val="single" w:sz="4" w:space="0" w:color="000000"/>
              <w:left w:val="single" w:sz="4" w:space="0" w:color="000000"/>
              <w:bottom w:val="single" w:sz="4" w:space="0" w:color="000000"/>
              <w:right w:val="single" w:sz="4" w:space="0" w:color="000000"/>
            </w:tcBorders>
          </w:tcPr>
          <w:p w14:paraId="5F706699" w14:textId="2B17772F" w:rsidR="00A00D87" w:rsidRPr="00921FAC" w:rsidRDefault="00A00D87" w:rsidP="00E6560A">
            <w:pPr>
              <w:spacing w:line="259" w:lineRule="auto"/>
              <w:ind w:left="1"/>
              <w:jc w:val="both"/>
              <w:rPr>
                <w:rFonts w:cstheme="minorHAnsi"/>
                <w:sz w:val="20"/>
                <w:szCs w:val="20"/>
              </w:rPr>
            </w:pPr>
            <w:proofErr w:type="spellStart"/>
            <w:r w:rsidRPr="00921FAC">
              <w:rPr>
                <w:rFonts w:cstheme="minorHAnsi"/>
                <w:sz w:val="20"/>
                <w:szCs w:val="20"/>
              </w:rPr>
              <w:t>Vlasnici</w:t>
            </w:r>
            <w:proofErr w:type="spellEnd"/>
            <w:r w:rsidRPr="00921FAC">
              <w:rPr>
                <w:rFonts w:cstheme="minorHAnsi"/>
                <w:sz w:val="20"/>
                <w:szCs w:val="20"/>
              </w:rPr>
              <w:t xml:space="preserve"> i </w:t>
            </w:r>
            <w:proofErr w:type="spellStart"/>
            <w:r w:rsidRPr="00921FAC">
              <w:rPr>
                <w:rFonts w:cstheme="minorHAnsi"/>
                <w:sz w:val="20"/>
                <w:szCs w:val="20"/>
              </w:rPr>
              <w:t>korisnici</w:t>
            </w:r>
            <w:proofErr w:type="spellEnd"/>
            <w:r w:rsidRPr="00921FAC">
              <w:rPr>
                <w:rFonts w:cstheme="minorHAnsi"/>
                <w:sz w:val="20"/>
                <w:szCs w:val="20"/>
              </w:rPr>
              <w:t xml:space="preserve"> </w:t>
            </w:r>
            <w:proofErr w:type="spellStart"/>
            <w:r w:rsidRPr="00921FAC">
              <w:rPr>
                <w:rFonts w:cstheme="minorHAnsi"/>
                <w:sz w:val="20"/>
                <w:szCs w:val="20"/>
              </w:rPr>
              <w:t>stambenih</w:t>
            </w:r>
            <w:proofErr w:type="spellEnd"/>
            <w:r w:rsidRPr="00921FAC">
              <w:rPr>
                <w:rFonts w:cstheme="minorHAnsi"/>
                <w:sz w:val="20"/>
                <w:szCs w:val="20"/>
              </w:rPr>
              <w:t xml:space="preserve"> i </w:t>
            </w:r>
            <w:proofErr w:type="spellStart"/>
            <w:r w:rsidRPr="00921FAC">
              <w:rPr>
                <w:rFonts w:cstheme="minorHAnsi"/>
                <w:sz w:val="20"/>
                <w:szCs w:val="20"/>
              </w:rPr>
              <w:t>nestambenih</w:t>
            </w:r>
            <w:proofErr w:type="spellEnd"/>
            <w:r w:rsidRPr="00921FAC">
              <w:rPr>
                <w:rFonts w:cstheme="minorHAnsi"/>
                <w:sz w:val="20"/>
                <w:szCs w:val="20"/>
              </w:rPr>
              <w:t xml:space="preserve"> </w:t>
            </w:r>
            <w:proofErr w:type="spellStart"/>
            <w:r w:rsidRPr="00921FAC">
              <w:rPr>
                <w:rFonts w:cstheme="minorHAnsi"/>
                <w:sz w:val="20"/>
                <w:szCs w:val="20"/>
              </w:rPr>
              <w:t>zgrada</w:t>
            </w:r>
            <w:proofErr w:type="spellEnd"/>
            <w:r w:rsidR="0014666A" w:rsidRPr="00921FAC">
              <w:rPr>
                <w:rFonts w:cstheme="minorHAnsi"/>
                <w:sz w:val="20"/>
                <w:szCs w:val="20"/>
              </w:rPr>
              <w:t xml:space="preserve"> </w:t>
            </w:r>
            <w:proofErr w:type="spellStart"/>
            <w:r w:rsidR="0014666A" w:rsidRPr="00921FAC">
              <w:rPr>
                <w:rFonts w:cstheme="minorHAnsi"/>
                <w:sz w:val="20"/>
                <w:szCs w:val="20"/>
              </w:rPr>
              <w:t>te</w:t>
            </w:r>
            <w:proofErr w:type="spellEnd"/>
            <w:r w:rsidRPr="00921FAC">
              <w:rPr>
                <w:rFonts w:cstheme="minorHAnsi"/>
                <w:sz w:val="20"/>
                <w:szCs w:val="20"/>
              </w:rPr>
              <w:t xml:space="preserve"> </w:t>
            </w:r>
            <w:proofErr w:type="spellStart"/>
            <w:r w:rsidRPr="00921FAC">
              <w:rPr>
                <w:rFonts w:cstheme="minorHAnsi"/>
                <w:sz w:val="20"/>
                <w:szCs w:val="20"/>
              </w:rPr>
              <w:t>privrednici</w:t>
            </w:r>
            <w:proofErr w:type="spellEnd"/>
          </w:p>
        </w:tc>
      </w:tr>
    </w:tbl>
    <w:p w14:paraId="4D9006BF" w14:textId="77777777" w:rsidR="00A00D87" w:rsidRDefault="00A00D87" w:rsidP="00A00D87"/>
    <w:p w14:paraId="295FB7B6" w14:textId="77777777" w:rsidR="00A00D87" w:rsidRDefault="00A00D87" w:rsidP="00A00D87"/>
    <w:p w14:paraId="2C7CB1CE" w14:textId="77777777" w:rsidR="006D442E" w:rsidRDefault="006D442E" w:rsidP="00A00D87"/>
    <w:p w14:paraId="373B2BE0" w14:textId="77777777" w:rsidR="006D442E" w:rsidRDefault="006D442E" w:rsidP="00A00D87"/>
    <w:p w14:paraId="4801956E" w14:textId="77777777" w:rsidR="006D442E" w:rsidRDefault="006D442E" w:rsidP="00A00D87"/>
    <w:p w14:paraId="51D32118" w14:textId="77777777" w:rsidR="006D442E" w:rsidRDefault="006D442E" w:rsidP="00A00D87"/>
    <w:p w14:paraId="3EA528DB" w14:textId="77777777" w:rsidR="006D442E" w:rsidRDefault="006D442E" w:rsidP="00A00D87"/>
    <w:p w14:paraId="3F58D53D" w14:textId="77777777" w:rsidR="002E4C49" w:rsidRDefault="002E4C49" w:rsidP="00A00D87"/>
    <w:p w14:paraId="71656430" w14:textId="77777777" w:rsidR="002E4C49" w:rsidRDefault="002E4C49" w:rsidP="00A00D87"/>
    <w:p w14:paraId="6F7E7E57" w14:textId="77777777" w:rsidR="002E4C49" w:rsidRDefault="002E4C49" w:rsidP="00A00D87"/>
    <w:p w14:paraId="3F53F51F" w14:textId="77777777" w:rsidR="002E4C49" w:rsidRDefault="002E4C49" w:rsidP="00A00D87"/>
    <w:p w14:paraId="0AFDC102" w14:textId="77777777" w:rsidR="002E4C49" w:rsidRDefault="002E4C49" w:rsidP="00A00D87"/>
    <w:p w14:paraId="52569EC8" w14:textId="77777777" w:rsidR="002E4C49" w:rsidRDefault="002E4C49" w:rsidP="00A00D87"/>
    <w:tbl>
      <w:tblPr>
        <w:tblStyle w:val="TableGrid0"/>
        <w:tblW w:w="9219" w:type="dxa"/>
        <w:tblInd w:w="-5" w:type="dxa"/>
        <w:tblCellMar>
          <w:top w:w="5" w:type="dxa"/>
          <w:left w:w="107" w:type="dxa"/>
          <w:right w:w="69" w:type="dxa"/>
        </w:tblCellMar>
        <w:tblLook w:val="04A0" w:firstRow="1" w:lastRow="0" w:firstColumn="1" w:lastColumn="0" w:noHBand="0" w:noVBand="1"/>
      </w:tblPr>
      <w:tblGrid>
        <w:gridCol w:w="1731"/>
        <w:gridCol w:w="2662"/>
        <w:gridCol w:w="1981"/>
        <w:gridCol w:w="2845"/>
      </w:tblGrid>
      <w:tr w:rsidR="00A00D87" w:rsidRPr="002E4C49" w14:paraId="4213BC57" w14:textId="77777777" w:rsidTr="006D442E">
        <w:trPr>
          <w:trHeight w:val="424"/>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817914A"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lastRenderedPageBreak/>
              <w:t>Veza</w:t>
            </w:r>
            <w:proofErr w:type="spellEnd"/>
            <w:r w:rsidRPr="002E4C49">
              <w:rPr>
                <w:rFonts w:cstheme="minorHAnsi"/>
                <w:b/>
                <w:sz w:val="20"/>
                <w:szCs w:val="20"/>
              </w:rPr>
              <w:t xml:space="preserve"> </w:t>
            </w:r>
            <w:proofErr w:type="spellStart"/>
            <w:r w:rsidRPr="002E4C49">
              <w:rPr>
                <w:rFonts w:cstheme="minorHAnsi"/>
                <w:b/>
                <w:sz w:val="20"/>
                <w:szCs w:val="20"/>
              </w:rPr>
              <w:t>sa</w:t>
            </w:r>
            <w:proofErr w:type="spellEnd"/>
            <w:r w:rsidRPr="002E4C49">
              <w:rPr>
                <w:rFonts w:cstheme="minorHAnsi"/>
                <w:b/>
                <w:sz w:val="20"/>
                <w:szCs w:val="20"/>
              </w:rPr>
              <w:t xml:space="preserve"> </w:t>
            </w:r>
            <w:proofErr w:type="spellStart"/>
            <w:r w:rsidRPr="002E4C49">
              <w:rPr>
                <w:rFonts w:cstheme="minorHAnsi"/>
                <w:b/>
                <w:sz w:val="20"/>
                <w:szCs w:val="20"/>
              </w:rPr>
              <w:t>strateškim</w:t>
            </w:r>
            <w:proofErr w:type="spellEnd"/>
            <w:r w:rsidRPr="002E4C49">
              <w:rPr>
                <w:rFonts w:cstheme="minorHAnsi"/>
                <w:b/>
                <w:sz w:val="20"/>
                <w:szCs w:val="20"/>
              </w:rPr>
              <w:t xml:space="preserve"> </w:t>
            </w:r>
            <w:proofErr w:type="spellStart"/>
            <w:r w:rsidRPr="002E4C49">
              <w:rPr>
                <w:rFonts w:cstheme="minorHAnsi"/>
                <w:b/>
                <w:sz w:val="20"/>
                <w:szCs w:val="20"/>
              </w:rPr>
              <w:t>ciljem</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vAlign w:val="center"/>
          </w:tcPr>
          <w:p w14:paraId="1B2DAB5D" w14:textId="77777777" w:rsidR="00A00D87" w:rsidRPr="002E4C49" w:rsidRDefault="00A00D87" w:rsidP="00122946">
            <w:pPr>
              <w:spacing w:line="259" w:lineRule="auto"/>
              <w:ind w:left="1"/>
              <w:rPr>
                <w:rFonts w:cstheme="minorHAnsi"/>
                <w:sz w:val="20"/>
                <w:szCs w:val="20"/>
              </w:rPr>
            </w:pPr>
            <w:r w:rsidRPr="002E4C49">
              <w:rPr>
                <w:rFonts w:cstheme="minorHAnsi"/>
                <w:b/>
                <w:sz w:val="20"/>
                <w:szCs w:val="20"/>
              </w:rPr>
              <w:t xml:space="preserve">1. </w:t>
            </w:r>
            <w:proofErr w:type="spellStart"/>
            <w:r w:rsidRPr="002E4C49">
              <w:rPr>
                <w:rFonts w:cstheme="minorHAnsi"/>
                <w:b/>
                <w:sz w:val="20"/>
                <w:szCs w:val="20"/>
              </w:rPr>
              <w:t>Postojeći</w:t>
            </w:r>
            <w:proofErr w:type="spellEnd"/>
            <w:r w:rsidRPr="002E4C49">
              <w:rPr>
                <w:rFonts w:cstheme="minorHAnsi"/>
                <w:b/>
                <w:sz w:val="20"/>
                <w:szCs w:val="20"/>
              </w:rPr>
              <w:t xml:space="preserve"> fond </w:t>
            </w:r>
            <w:proofErr w:type="spellStart"/>
            <w:r w:rsidRPr="002E4C49">
              <w:rPr>
                <w:rFonts w:cstheme="minorHAnsi"/>
                <w:b/>
                <w:sz w:val="20"/>
                <w:szCs w:val="20"/>
              </w:rPr>
              <w:t>zgrada</w:t>
            </w:r>
            <w:proofErr w:type="spellEnd"/>
            <w:r w:rsidRPr="002E4C49">
              <w:rPr>
                <w:rFonts w:cstheme="minorHAnsi"/>
                <w:b/>
                <w:sz w:val="20"/>
                <w:szCs w:val="20"/>
              </w:rPr>
              <w:t xml:space="preserve"> u FBiH je </w:t>
            </w:r>
            <w:proofErr w:type="spellStart"/>
            <w:r w:rsidRPr="002E4C49">
              <w:rPr>
                <w:rFonts w:cstheme="minorHAnsi"/>
                <w:b/>
                <w:sz w:val="20"/>
                <w:szCs w:val="20"/>
              </w:rPr>
              <w:t>transformiran</w:t>
            </w:r>
            <w:proofErr w:type="spellEnd"/>
            <w:r w:rsidRPr="002E4C49">
              <w:rPr>
                <w:rFonts w:cstheme="minorHAnsi"/>
                <w:b/>
                <w:sz w:val="20"/>
                <w:szCs w:val="20"/>
              </w:rPr>
              <w:t xml:space="preserve"> u </w:t>
            </w:r>
            <w:proofErr w:type="spellStart"/>
            <w:r w:rsidRPr="002E4C49">
              <w:rPr>
                <w:rFonts w:cstheme="minorHAnsi"/>
                <w:b/>
                <w:sz w:val="20"/>
                <w:szCs w:val="20"/>
              </w:rPr>
              <w:t>energijski</w:t>
            </w:r>
            <w:proofErr w:type="spellEnd"/>
            <w:r w:rsidRPr="002E4C49">
              <w:rPr>
                <w:rFonts w:cstheme="minorHAnsi"/>
                <w:b/>
                <w:sz w:val="20"/>
                <w:szCs w:val="20"/>
              </w:rPr>
              <w:t xml:space="preserve"> </w:t>
            </w:r>
            <w:proofErr w:type="spellStart"/>
            <w:r w:rsidRPr="002E4C49">
              <w:rPr>
                <w:rFonts w:cstheme="minorHAnsi"/>
                <w:b/>
                <w:sz w:val="20"/>
                <w:szCs w:val="20"/>
              </w:rPr>
              <w:t>visokoefikasan</w:t>
            </w:r>
            <w:proofErr w:type="spellEnd"/>
            <w:r w:rsidRPr="002E4C49">
              <w:rPr>
                <w:rFonts w:cstheme="minorHAnsi"/>
                <w:b/>
                <w:sz w:val="20"/>
                <w:szCs w:val="20"/>
              </w:rPr>
              <w:t xml:space="preserve"> i </w:t>
            </w:r>
            <w:proofErr w:type="spellStart"/>
            <w:r w:rsidRPr="002E4C49">
              <w:rPr>
                <w:rFonts w:cstheme="minorHAnsi"/>
                <w:b/>
                <w:sz w:val="20"/>
                <w:szCs w:val="20"/>
              </w:rPr>
              <w:t>dekarboniziran</w:t>
            </w:r>
            <w:proofErr w:type="spellEnd"/>
            <w:r w:rsidRPr="002E4C49">
              <w:rPr>
                <w:rFonts w:cstheme="minorHAnsi"/>
                <w:b/>
                <w:sz w:val="20"/>
                <w:szCs w:val="20"/>
              </w:rPr>
              <w:t xml:space="preserve"> fond </w:t>
            </w:r>
            <w:proofErr w:type="spellStart"/>
            <w:r w:rsidRPr="002E4C49">
              <w:rPr>
                <w:rFonts w:cstheme="minorHAnsi"/>
                <w:b/>
                <w:sz w:val="20"/>
                <w:szCs w:val="20"/>
              </w:rPr>
              <w:t>zgrada</w:t>
            </w:r>
            <w:proofErr w:type="spellEnd"/>
            <w:r w:rsidRPr="002E4C49">
              <w:rPr>
                <w:rFonts w:cstheme="minorHAnsi"/>
                <w:b/>
                <w:sz w:val="20"/>
                <w:szCs w:val="20"/>
              </w:rPr>
              <w:t xml:space="preserve"> do 2050. </w:t>
            </w:r>
            <w:proofErr w:type="spellStart"/>
            <w:r w:rsidRPr="002E4C49">
              <w:rPr>
                <w:rFonts w:cstheme="minorHAnsi"/>
                <w:b/>
                <w:sz w:val="20"/>
                <w:szCs w:val="20"/>
              </w:rPr>
              <w:t>godine</w:t>
            </w:r>
            <w:proofErr w:type="spellEnd"/>
          </w:p>
        </w:tc>
      </w:tr>
      <w:tr w:rsidR="00A00D87" w:rsidRPr="002E4C49" w14:paraId="4D009EE4" w14:textId="77777777" w:rsidTr="006D442E">
        <w:trPr>
          <w:trHeight w:val="216"/>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2D403B"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Prioritet</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tcPr>
          <w:p w14:paraId="0505DD1F" w14:textId="77777777" w:rsidR="00A00D87" w:rsidRPr="002E4C49" w:rsidRDefault="00A00D87" w:rsidP="00122946">
            <w:pPr>
              <w:spacing w:line="259" w:lineRule="auto"/>
              <w:ind w:left="32"/>
              <w:rPr>
                <w:rFonts w:cstheme="minorHAnsi"/>
                <w:sz w:val="20"/>
                <w:szCs w:val="20"/>
              </w:rPr>
            </w:pPr>
            <w:r w:rsidRPr="002E4C49">
              <w:rPr>
                <w:rFonts w:cstheme="minorHAnsi"/>
                <w:b/>
                <w:sz w:val="20"/>
                <w:szCs w:val="20"/>
              </w:rPr>
              <w:t xml:space="preserve">1.2. </w:t>
            </w:r>
            <w:proofErr w:type="spellStart"/>
            <w:r w:rsidRPr="002E4C49">
              <w:rPr>
                <w:rFonts w:cstheme="minorHAnsi"/>
                <w:b/>
                <w:sz w:val="20"/>
                <w:szCs w:val="20"/>
              </w:rPr>
              <w:t>Dekarbonizirati</w:t>
            </w:r>
            <w:proofErr w:type="spellEnd"/>
            <w:r w:rsidRPr="002E4C49">
              <w:rPr>
                <w:rFonts w:cstheme="minorHAnsi"/>
                <w:b/>
                <w:sz w:val="20"/>
                <w:szCs w:val="20"/>
              </w:rPr>
              <w:t xml:space="preserve"> </w:t>
            </w:r>
            <w:proofErr w:type="spellStart"/>
            <w:r w:rsidRPr="002E4C49">
              <w:rPr>
                <w:rFonts w:cstheme="minorHAnsi"/>
                <w:b/>
                <w:sz w:val="20"/>
                <w:szCs w:val="20"/>
              </w:rPr>
              <w:t>postojeći</w:t>
            </w:r>
            <w:proofErr w:type="spellEnd"/>
            <w:r w:rsidRPr="002E4C49">
              <w:rPr>
                <w:rFonts w:cstheme="minorHAnsi"/>
                <w:b/>
                <w:sz w:val="20"/>
                <w:szCs w:val="20"/>
              </w:rPr>
              <w:t xml:space="preserve"> fond </w:t>
            </w:r>
            <w:proofErr w:type="spellStart"/>
            <w:r w:rsidRPr="002E4C49">
              <w:rPr>
                <w:rFonts w:cstheme="minorHAnsi"/>
                <w:b/>
                <w:sz w:val="20"/>
                <w:szCs w:val="20"/>
              </w:rPr>
              <w:t>zgrada</w:t>
            </w:r>
            <w:proofErr w:type="spellEnd"/>
            <w:r w:rsidRPr="002E4C49">
              <w:rPr>
                <w:rFonts w:cstheme="minorHAnsi"/>
                <w:b/>
                <w:sz w:val="20"/>
                <w:szCs w:val="20"/>
              </w:rPr>
              <w:t xml:space="preserve"> FBiH</w:t>
            </w:r>
          </w:p>
        </w:tc>
      </w:tr>
      <w:tr w:rsidR="00A00D87" w:rsidRPr="002E4C49" w14:paraId="02FF2497" w14:textId="77777777" w:rsidTr="006D442E">
        <w:trPr>
          <w:trHeight w:val="425"/>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DC663F"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Naziv</w:t>
            </w:r>
            <w:proofErr w:type="spellEnd"/>
            <w:r w:rsidRPr="002E4C49">
              <w:rPr>
                <w:rFonts w:cstheme="minorHAnsi"/>
                <w:b/>
                <w:sz w:val="20"/>
                <w:szCs w:val="20"/>
              </w:rPr>
              <w:t xml:space="preserve"> </w:t>
            </w:r>
            <w:proofErr w:type="spellStart"/>
            <w:r w:rsidRPr="002E4C49">
              <w:rPr>
                <w:rFonts w:cstheme="minorHAnsi"/>
                <w:b/>
                <w:sz w:val="20"/>
                <w:szCs w:val="20"/>
              </w:rPr>
              <w:t>mjere</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tcPr>
          <w:p w14:paraId="414B5B6C" w14:textId="77777777" w:rsidR="00A00D87" w:rsidRPr="002E4C49" w:rsidRDefault="00A00D87" w:rsidP="00122946">
            <w:pPr>
              <w:spacing w:line="259" w:lineRule="auto"/>
              <w:ind w:left="635" w:hanging="574"/>
              <w:rPr>
                <w:rFonts w:cstheme="minorHAnsi"/>
                <w:sz w:val="20"/>
                <w:szCs w:val="20"/>
              </w:rPr>
            </w:pPr>
            <w:r w:rsidRPr="002E4C49">
              <w:rPr>
                <w:rFonts w:cstheme="minorHAnsi"/>
                <w:b/>
                <w:sz w:val="20"/>
                <w:szCs w:val="20"/>
              </w:rPr>
              <w:t xml:space="preserve">1.2.2. </w:t>
            </w:r>
            <w:proofErr w:type="spellStart"/>
            <w:r w:rsidRPr="002E4C49">
              <w:rPr>
                <w:rFonts w:cstheme="minorHAnsi"/>
                <w:b/>
                <w:sz w:val="20"/>
                <w:szCs w:val="20"/>
              </w:rPr>
              <w:t>Razvijati</w:t>
            </w:r>
            <w:proofErr w:type="spellEnd"/>
            <w:r w:rsidRPr="002E4C49">
              <w:rPr>
                <w:rFonts w:cstheme="minorHAnsi"/>
                <w:b/>
                <w:sz w:val="20"/>
                <w:szCs w:val="20"/>
              </w:rPr>
              <w:t xml:space="preserve"> </w:t>
            </w:r>
            <w:proofErr w:type="spellStart"/>
            <w:r w:rsidRPr="002E4C49">
              <w:rPr>
                <w:rFonts w:cstheme="minorHAnsi"/>
                <w:b/>
                <w:sz w:val="20"/>
                <w:szCs w:val="20"/>
              </w:rPr>
              <w:t>sisteme</w:t>
            </w:r>
            <w:proofErr w:type="spellEnd"/>
            <w:r w:rsidRPr="002E4C49">
              <w:rPr>
                <w:rFonts w:cstheme="minorHAnsi"/>
                <w:b/>
                <w:sz w:val="20"/>
                <w:szCs w:val="20"/>
              </w:rPr>
              <w:t xml:space="preserve"> </w:t>
            </w:r>
            <w:proofErr w:type="spellStart"/>
            <w:r w:rsidRPr="002E4C49">
              <w:rPr>
                <w:rFonts w:cstheme="minorHAnsi"/>
                <w:b/>
                <w:sz w:val="20"/>
                <w:szCs w:val="20"/>
              </w:rPr>
              <w:t>daljinskih</w:t>
            </w:r>
            <w:proofErr w:type="spellEnd"/>
            <w:r w:rsidRPr="002E4C49">
              <w:rPr>
                <w:rFonts w:cstheme="minorHAnsi"/>
                <w:b/>
                <w:sz w:val="20"/>
                <w:szCs w:val="20"/>
              </w:rPr>
              <w:t xml:space="preserve"> </w:t>
            </w:r>
            <w:proofErr w:type="spellStart"/>
            <w:r w:rsidRPr="002E4C49">
              <w:rPr>
                <w:rFonts w:cstheme="minorHAnsi"/>
                <w:b/>
                <w:sz w:val="20"/>
                <w:szCs w:val="20"/>
              </w:rPr>
              <w:t>grijanja</w:t>
            </w:r>
            <w:proofErr w:type="spellEnd"/>
            <w:r w:rsidRPr="002E4C49">
              <w:rPr>
                <w:rFonts w:cstheme="minorHAnsi"/>
                <w:b/>
                <w:sz w:val="20"/>
                <w:szCs w:val="20"/>
              </w:rPr>
              <w:t xml:space="preserve"> (</w:t>
            </w:r>
            <w:proofErr w:type="spellStart"/>
            <w:r w:rsidRPr="002E4C49">
              <w:rPr>
                <w:rFonts w:cstheme="minorHAnsi"/>
                <w:b/>
                <w:sz w:val="20"/>
                <w:szCs w:val="20"/>
              </w:rPr>
              <w:t>centralizacija</w:t>
            </w:r>
            <w:proofErr w:type="spellEnd"/>
            <w:r w:rsidRPr="002E4C49">
              <w:rPr>
                <w:rFonts w:cstheme="minorHAnsi"/>
                <w:b/>
                <w:sz w:val="20"/>
                <w:szCs w:val="20"/>
              </w:rPr>
              <w:t xml:space="preserve"> i </w:t>
            </w:r>
            <w:proofErr w:type="spellStart"/>
            <w:r w:rsidRPr="002E4C49">
              <w:rPr>
                <w:rFonts w:cstheme="minorHAnsi"/>
                <w:b/>
                <w:sz w:val="20"/>
                <w:szCs w:val="20"/>
              </w:rPr>
              <w:t>modernizacije</w:t>
            </w:r>
            <w:proofErr w:type="spellEnd"/>
            <w:r w:rsidRPr="002E4C49">
              <w:rPr>
                <w:rFonts w:cstheme="minorHAnsi"/>
                <w:b/>
                <w:sz w:val="20"/>
                <w:szCs w:val="20"/>
              </w:rPr>
              <w:t xml:space="preserve"> </w:t>
            </w:r>
            <w:proofErr w:type="spellStart"/>
            <w:r w:rsidRPr="002E4C49">
              <w:rPr>
                <w:rFonts w:cstheme="minorHAnsi"/>
                <w:b/>
                <w:sz w:val="20"/>
                <w:szCs w:val="20"/>
              </w:rPr>
              <w:t>sistema</w:t>
            </w:r>
            <w:proofErr w:type="spellEnd"/>
            <w:r w:rsidRPr="002E4C49">
              <w:rPr>
                <w:rFonts w:cstheme="minorHAnsi"/>
                <w:b/>
                <w:sz w:val="20"/>
                <w:szCs w:val="20"/>
              </w:rPr>
              <w:t xml:space="preserve"> </w:t>
            </w:r>
            <w:proofErr w:type="spellStart"/>
            <w:r w:rsidRPr="002E4C49">
              <w:rPr>
                <w:rFonts w:cstheme="minorHAnsi"/>
                <w:b/>
                <w:sz w:val="20"/>
                <w:szCs w:val="20"/>
              </w:rPr>
              <w:t>grijanja</w:t>
            </w:r>
            <w:proofErr w:type="spellEnd"/>
            <w:r w:rsidRPr="002E4C49">
              <w:rPr>
                <w:rFonts w:cstheme="minorHAnsi"/>
                <w:b/>
                <w:sz w:val="20"/>
                <w:szCs w:val="20"/>
              </w:rPr>
              <w:t xml:space="preserve">), </w:t>
            </w:r>
            <w:proofErr w:type="spellStart"/>
            <w:r w:rsidRPr="002E4C49">
              <w:rPr>
                <w:rFonts w:cstheme="minorHAnsi"/>
                <w:b/>
                <w:sz w:val="20"/>
                <w:szCs w:val="20"/>
              </w:rPr>
              <w:t>hlađenja</w:t>
            </w:r>
            <w:proofErr w:type="spellEnd"/>
            <w:r w:rsidRPr="002E4C49">
              <w:rPr>
                <w:rFonts w:cstheme="minorHAnsi"/>
                <w:b/>
                <w:sz w:val="20"/>
                <w:szCs w:val="20"/>
              </w:rPr>
              <w:t xml:space="preserve"> i </w:t>
            </w:r>
            <w:proofErr w:type="spellStart"/>
            <w:r w:rsidRPr="002E4C49">
              <w:rPr>
                <w:rFonts w:cstheme="minorHAnsi"/>
                <w:b/>
                <w:sz w:val="20"/>
                <w:szCs w:val="20"/>
              </w:rPr>
              <w:t>ventilacije</w:t>
            </w:r>
            <w:proofErr w:type="spellEnd"/>
            <w:r w:rsidRPr="002E4C49">
              <w:rPr>
                <w:rFonts w:cstheme="minorHAnsi"/>
                <w:b/>
                <w:sz w:val="20"/>
                <w:szCs w:val="20"/>
              </w:rPr>
              <w:t xml:space="preserve"> </w:t>
            </w:r>
            <w:proofErr w:type="spellStart"/>
            <w:r w:rsidRPr="002E4C49">
              <w:rPr>
                <w:rFonts w:cstheme="minorHAnsi"/>
                <w:b/>
                <w:sz w:val="20"/>
                <w:szCs w:val="20"/>
              </w:rPr>
              <w:t>te</w:t>
            </w:r>
            <w:proofErr w:type="spellEnd"/>
            <w:r w:rsidRPr="002E4C49">
              <w:rPr>
                <w:rFonts w:cstheme="minorHAnsi"/>
                <w:b/>
                <w:sz w:val="20"/>
                <w:szCs w:val="20"/>
              </w:rPr>
              <w:t xml:space="preserve"> </w:t>
            </w:r>
            <w:proofErr w:type="spellStart"/>
            <w:r w:rsidRPr="002E4C49">
              <w:rPr>
                <w:rFonts w:cstheme="minorHAnsi"/>
                <w:b/>
                <w:sz w:val="20"/>
                <w:szCs w:val="20"/>
              </w:rPr>
              <w:t>pripreme</w:t>
            </w:r>
            <w:proofErr w:type="spellEnd"/>
            <w:r w:rsidRPr="002E4C49">
              <w:rPr>
                <w:rFonts w:cstheme="minorHAnsi"/>
                <w:b/>
                <w:sz w:val="20"/>
                <w:szCs w:val="20"/>
              </w:rPr>
              <w:t xml:space="preserve"> PTV </w:t>
            </w:r>
            <w:proofErr w:type="spellStart"/>
            <w:r w:rsidRPr="002E4C49">
              <w:rPr>
                <w:rFonts w:cstheme="minorHAnsi"/>
                <w:b/>
                <w:sz w:val="20"/>
                <w:szCs w:val="20"/>
              </w:rPr>
              <w:t>uz</w:t>
            </w:r>
            <w:proofErr w:type="spellEnd"/>
            <w:r w:rsidRPr="002E4C49">
              <w:rPr>
                <w:rFonts w:cstheme="minorHAnsi"/>
                <w:b/>
                <w:sz w:val="20"/>
                <w:szCs w:val="20"/>
              </w:rPr>
              <w:t xml:space="preserve"> </w:t>
            </w:r>
            <w:proofErr w:type="spellStart"/>
            <w:r w:rsidRPr="002E4C49">
              <w:rPr>
                <w:rFonts w:cstheme="minorHAnsi"/>
                <w:b/>
                <w:sz w:val="20"/>
                <w:szCs w:val="20"/>
              </w:rPr>
              <w:t>primjenu</w:t>
            </w:r>
            <w:proofErr w:type="spellEnd"/>
            <w:r w:rsidRPr="002E4C49">
              <w:rPr>
                <w:rFonts w:cstheme="minorHAnsi"/>
                <w:b/>
                <w:sz w:val="20"/>
                <w:szCs w:val="20"/>
              </w:rPr>
              <w:t xml:space="preserve"> </w:t>
            </w:r>
            <w:proofErr w:type="spellStart"/>
            <w:r w:rsidRPr="002E4C49">
              <w:rPr>
                <w:rFonts w:cstheme="minorHAnsi"/>
                <w:b/>
                <w:sz w:val="20"/>
                <w:szCs w:val="20"/>
              </w:rPr>
              <w:t>obnovljivih</w:t>
            </w:r>
            <w:proofErr w:type="spellEnd"/>
            <w:r w:rsidRPr="002E4C49">
              <w:rPr>
                <w:rFonts w:cstheme="minorHAnsi"/>
                <w:b/>
                <w:sz w:val="20"/>
                <w:szCs w:val="20"/>
              </w:rPr>
              <w:t xml:space="preserve"> </w:t>
            </w:r>
            <w:proofErr w:type="spellStart"/>
            <w:r w:rsidRPr="002E4C49">
              <w:rPr>
                <w:rFonts w:cstheme="minorHAnsi"/>
                <w:b/>
                <w:sz w:val="20"/>
                <w:szCs w:val="20"/>
              </w:rPr>
              <w:t>izvora</w:t>
            </w:r>
            <w:proofErr w:type="spellEnd"/>
            <w:r w:rsidRPr="002E4C49">
              <w:rPr>
                <w:rFonts w:cstheme="minorHAnsi"/>
                <w:b/>
                <w:sz w:val="20"/>
                <w:szCs w:val="20"/>
              </w:rPr>
              <w:t xml:space="preserve"> energije </w:t>
            </w:r>
            <w:proofErr w:type="spellStart"/>
            <w:r w:rsidRPr="002E4C49">
              <w:rPr>
                <w:rFonts w:cstheme="minorHAnsi"/>
                <w:b/>
                <w:sz w:val="20"/>
                <w:szCs w:val="20"/>
              </w:rPr>
              <w:t>na</w:t>
            </w:r>
            <w:proofErr w:type="spellEnd"/>
            <w:r w:rsidRPr="002E4C49">
              <w:rPr>
                <w:rFonts w:cstheme="minorHAnsi"/>
                <w:b/>
                <w:sz w:val="20"/>
                <w:szCs w:val="20"/>
              </w:rPr>
              <w:t xml:space="preserve"> </w:t>
            </w:r>
            <w:proofErr w:type="spellStart"/>
            <w:r w:rsidRPr="002E4C49">
              <w:rPr>
                <w:rFonts w:cstheme="minorHAnsi"/>
                <w:b/>
                <w:sz w:val="20"/>
                <w:szCs w:val="20"/>
              </w:rPr>
              <w:t>području</w:t>
            </w:r>
            <w:proofErr w:type="spellEnd"/>
            <w:r w:rsidRPr="002E4C49">
              <w:rPr>
                <w:rFonts w:cstheme="minorHAnsi"/>
                <w:b/>
                <w:sz w:val="20"/>
                <w:szCs w:val="20"/>
              </w:rPr>
              <w:t xml:space="preserve"> FBiH</w:t>
            </w:r>
          </w:p>
        </w:tc>
      </w:tr>
      <w:tr w:rsidR="00A00D87" w:rsidRPr="001972F5" w14:paraId="59347A7C" w14:textId="77777777" w:rsidTr="006D442E">
        <w:trPr>
          <w:trHeight w:val="838"/>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12B6CFB"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Opis</w:t>
            </w:r>
            <w:proofErr w:type="spellEnd"/>
            <w:r w:rsidRPr="002E4C49">
              <w:rPr>
                <w:rFonts w:cstheme="minorHAnsi"/>
                <w:b/>
                <w:sz w:val="20"/>
                <w:szCs w:val="20"/>
              </w:rPr>
              <w:t xml:space="preserve"> </w:t>
            </w:r>
            <w:proofErr w:type="spellStart"/>
            <w:r w:rsidRPr="002E4C49">
              <w:rPr>
                <w:rFonts w:cstheme="minorHAnsi"/>
                <w:b/>
                <w:sz w:val="20"/>
                <w:szCs w:val="20"/>
              </w:rPr>
              <w:t>mjere</w:t>
            </w:r>
            <w:proofErr w:type="spellEnd"/>
            <w:r w:rsidRPr="002E4C49">
              <w:rPr>
                <w:rFonts w:cstheme="minorHAnsi"/>
                <w:b/>
                <w:sz w:val="20"/>
                <w:szCs w:val="20"/>
              </w:rPr>
              <w:t xml:space="preserve"> </w:t>
            </w:r>
            <w:proofErr w:type="spellStart"/>
            <w:r w:rsidRPr="002E4C49">
              <w:rPr>
                <w:rFonts w:cstheme="minorHAnsi"/>
                <w:b/>
                <w:sz w:val="20"/>
                <w:szCs w:val="20"/>
              </w:rPr>
              <w:t>sa</w:t>
            </w:r>
            <w:proofErr w:type="spellEnd"/>
            <w:r w:rsidRPr="002E4C49">
              <w:rPr>
                <w:rFonts w:cstheme="minorHAnsi"/>
                <w:b/>
                <w:sz w:val="20"/>
                <w:szCs w:val="20"/>
              </w:rPr>
              <w:t xml:space="preserve"> </w:t>
            </w:r>
            <w:proofErr w:type="spellStart"/>
            <w:r w:rsidRPr="002E4C49">
              <w:rPr>
                <w:rFonts w:cstheme="minorHAnsi"/>
                <w:b/>
                <w:sz w:val="20"/>
                <w:szCs w:val="20"/>
              </w:rPr>
              <w:t>okvirnim</w:t>
            </w:r>
            <w:proofErr w:type="spellEnd"/>
            <w:r w:rsidRPr="002E4C49">
              <w:rPr>
                <w:rFonts w:cstheme="minorHAnsi"/>
                <w:b/>
                <w:sz w:val="20"/>
                <w:szCs w:val="20"/>
              </w:rPr>
              <w:t xml:space="preserve"> </w:t>
            </w:r>
            <w:proofErr w:type="spellStart"/>
            <w:r w:rsidRPr="002E4C49">
              <w:rPr>
                <w:rFonts w:cstheme="minorHAnsi"/>
                <w:b/>
                <w:sz w:val="20"/>
                <w:szCs w:val="20"/>
              </w:rPr>
              <w:t>područjima</w:t>
            </w:r>
            <w:proofErr w:type="spellEnd"/>
            <w:r w:rsidRPr="002E4C49">
              <w:rPr>
                <w:rFonts w:cstheme="minorHAnsi"/>
                <w:b/>
                <w:sz w:val="20"/>
                <w:szCs w:val="20"/>
              </w:rPr>
              <w:t xml:space="preserve"> </w:t>
            </w:r>
            <w:proofErr w:type="spellStart"/>
            <w:r w:rsidRPr="002E4C49">
              <w:rPr>
                <w:rFonts w:cstheme="minorHAnsi"/>
                <w:b/>
                <w:sz w:val="20"/>
                <w:szCs w:val="20"/>
              </w:rPr>
              <w:t>djelovanja</w:t>
            </w:r>
            <w:proofErr w:type="spellEnd"/>
          </w:p>
        </w:tc>
        <w:tc>
          <w:tcPr>
            <w:tcW w:w="7488" w:type="dxa"/>
            <w:gridSpan w:val="3"/>
            <w:tcBorders>
              <w:top w:val="single" w:sz="4" w:space="0" w:color="000000"/>
              <w:left w:val="single" w:sz="4" w:space="0" w:color="000000"/>
              <w:bottom w:val="single" w:sz="4" w:space="0" w:color="000000"/>
              <w:right w:val="single" w:sz="4" w:space="0" w:color="000000"/>
            </w:tcBorders>
          </w:tcPr>
          <w:p w14:paraId="4A008E89" w14:textId="54B1BAE3" w:rsidR="00A00D87" w:rsidRPr="002E4C49" w:rsidRDefault="00A00D87" w:rsidP="00E6560A">
            <w:pPr>
              <w:spacing w:before="120" w:after="120" w:line="259" w:lineRule="auto"/>
              <w:jc w:val="both"/>
              <w:rPr>
                <w:rFonts w:cstheme="minorHAnsi"/>
                <w:sz w:val="20"/>
                <w:szCs w:val="20"/>
              </w:rPr>
            </w:pPr>
            <w:proofErr w:type="spellStart"/>
            <w:r w:rsidRPr="002E4C49">
              <w:rPr>
                <w:rFonts w:cstheme="minorHAnsi"/>
                <w:sz w:val="20"/>
                <w:szCs w:val="20"/>
              </w:rPr>
              <w:t>Cilj</w:t>
            </w:r>
            <w:proofErr w:type="spellEnd"/>
            <w:r w:rsidRPr="002E4C49">
              <w:rPr>
                <w:rFonts w:cstheme="minorHAnsi"/>
                <w:sz w:val="20"/>
                <w:szCs w:val="20"/>
              </w:rPr>
              <w:t xml:space="preserve"> </w:t>
            </w:r>
            <w:proofErr w:type="spellStart"/>
            <w:r w:rsidRPr="002E4C49">
              <w:rPr>
                <w:rFonts w:cstheme="minorHAnsi"/>
                <w:sz w:val="20"/>
                <w:szCs w:val="20"/>
              </w:rPr>
              <w:t>mjere</w:t>
            </w:r>
            <w:proofErr w:type="spellEnd"/>
            <w:r w:rsidRPr="002E4C49">
              <w:rPr>
                <w:rFonts w:cstheme="minorHAnsi"/>
                <w:sz w:val="20"/>
                <w:szCs w:val="20"/>
              </w:rPr>
              <w:t xml:space="preserve"> je </w:t>
            </w:r>
            <w:proofErr w:type="spellStart"/>
            <w:r w:rsidRPr="002E4C49">
              <w:rPr>
                <w:rFonts w:cstheme="minorHAnsi"/>
                <w:sz w:val="20"/>
                <w:szCs w:val="20"/>
              </w:rPr>
              <w:t>doprinos</w:t>
            </w:r>
            <w:proofErr w:type="spellEnd"/>
            <w:r w:rsidRPr="002E4C49">
              <w:rPr>
                <w:rFonts w:cstheme="minorHAnsi"/>
                <w:sz w:val="20"/>
                <w:szCs w:val="20"/>
              </w:rPr>
              <w:t xml:space="preserve"> </w:t>
            </w:r>
            <w:proofErr w:type="spellStart"/>
            <w:r w:rsidRPr="002E4C49">
              <w:rPr>
                <w:rFonts w:cstheme="minorHAnsi"/>
                <w:sz w:val="20"/>
                <w:szCs w:val="20"/>
              </w:rPr>
              <w:t>povećanju</w:t>
            </w:r>
            <w:proofErr w:type="spellEnd"/>
            <w:r w:rsidRPr="002E4C49">
              <w:rPr>
                <w:rFonts w:cstheme="minorHAnsi"/>
                <w:sz w:val="20"/>
                <w:szCs w:val="20"/>
              </w:rPr>
              <w:t xml:space="preserve"> </w:t>
            </w:r>
            <w:proofErr w:type="spellStart"/>
            <w:r w:rsidRPr="002E4C49">
              <w:rPr>
                <w:rFonts w:cstheme="minorHAnsi"/>
                <w:sz w:val="20"/>
                <w:szCs w:val="20"/>
              </w:rPr>
              <w:t>energijske</w:t>
            </w:r>
            <w:proofErr w:type="spellEnd"/>
            <w:r w:rsidRPr="002E4C49">
              <w:rPr>
                <w:rFonts w:cstheme="minorHAnsi"/>
                <w:sz w:val="20"/>
                <w:szCs w:val="20"/>
              </w:rPr>
              <w:t xml:space="preserve"> </w:t>
            </w:r>
            <w:proofErr w:type="spellStart"/>
            <w:r w:rsidRPr="002E4C49">
              <w:rPr>
                <w:rFonts w:cstheme="minorHAnsi"/>
                <w:sz w:val="20"/>
                <w:szCs w:val="20"/>
              </w:rPr>
              <w:t>efikasnosti</w:t>
            </w:r>
            <w:proofErr w:type="spellEnd"/>
            <w:r w:rsidRPr="002E4C49">
              <w:rPr>
                <w:rFonts w:cstheme="minorHAnsi"/>
                <w:sz w:val="20"/>
                <w:szCs w:val="20"/>
              </w:rPr>
              <w:t xml:space="preserve"> i </w:t>
            </w:r>
            <w:proofErr w:type="spellStart"/>
            <w:r w:rsidRPr="002E4C49">
              <w:rPr>
                <w:rFonts w:cstheme="minorHAnsi"/>
                <w:sz w:val="20"/>
                <w:szCs w:val="20"/>
              </w:rPr>
              <w:t>smanjenju</w:t>
            </w:r>
            <w:proofErr w:type="spellEnd"/>
            <w:r w:rsidRPr="002E4C49">
              <w:rPr>
                <w:rFonts w:cstheme="minorHAnsi"/>
                <w:sz w:val="20"/>
                <w:szCs w:val="20"/>
              </w:rPr>
              <w:t xml:space="preserve"> </w:t>
            </w:r>
            <w:proofErr w:type="spellStart"/>
            <w:r w:rsidRPr="002E4C49">
              <w:rPr>
                <w:rFonts w:cstheme="minorHAnsi"/>
                <w:sz w:val="20"/>
                <w:szCs w:val="20"/>
              </w:rPr>
              <w:t>emisija</w:t>
            </w:r>
            <w:proofErr w:type="spellEnd"/>
            <w:r w:rsidRPr="002E4C49">
              <w:rPr>
                <w:rFonts w:cstheme="minorHAnsi"/>
                <w:sz w:val="20"/>
                <w:szCs w:val="20"/>
              </w:rPr>
              <w:t xml:space="preserve"> </w:t>
            </w:r>
            <w:proofErr w:type="spellStart"/>
            <w:r w:rsidRPr="002E4C49">
              <w:rPr>
                <w:rFonts w:cstheme="minorHAnsi"/>
                <w:sz w:val="20"/>
                <w:szCs w:val="20"/>
              </w:rPr>
              <w:t>stakleničkih</w:t>
            </w:r>
            <w:proofErr w:type="spellEnd"/>
            <w:r w:rsidRPr="002E4C49">
              <w:rPr>
                <w:rFonts w:cstheme="minorHAnsi"/>
                <w:sz w:val="20"/>
                <w:szCs w:val="20"/>
              </w:rPr>
              <w:t xml:space="preserve"> </w:t>
            </w:r>
            <w:proofErr w:type="spellStart"/>
            <w:r w:rsidR="00F64EC0" w:rsidRPr="002E4C49">
              <w:rPr>
                <w:rFonts w:cstheme="minorHAnsi"/>
                <w:sz w:val="20"/>
                <w:szCs w:val="20"/>
              </w:rPr>
              <w:t>plinova</w:t>
            </w:r>
            <w:proofErr w:type="spellEnd"/>
            <w:r w:rsidRPr="002E4C49">
              <w:rPr>
                <w:rFonts w:cstheme="minorHAnsi"/>
                <w:sz w:val="20"/>
                <w:szCs w:val="20"/>
              </w:rPr>
              <w:t xml:space="preserve">, </w:t>
            </w:r>
            <w:proofErr w:type="spellStart"/>
            <w:r w:rsidRPr="002E4C49">
              <w:rPr>
                <w:rFonts w:cstheme="minorHAnsi"/>
                <w:sz w:val="20"/>
                <w:szCs w:val="20"/>
              </w:rPr>
              <w:t>kao</w:t>
            </w:r>
            <w:proofErr w:type="spellEnd"/>
            <w:r w:rsidRPr="002E4C49">
              <w:rPr>
                <w:rFonts w:cstheme="minorHAnsi"/>
                <w:sz w:val="20"/>
                <w:szCs w:val="20"/>
              </w:rPr>
              <w:t xml:space="preserve"> i </w:t>
            </w:r>
            <w:proofErr w:type="spellStart"/>
            <w:r w:rsidRPr="002E4C49">
              <w:rPr>
                <w:rFonts w:cstheme="minorHAnsi"/>
                <w:sz w:val="20"/>
                <w:szCs w:val="20"/>
              </w:rPr>
              <w:t>povećanju</w:t>
            </w:r>
            <w:proofErr w:type="spellEnd"/>
            <w:r w:rsidRPr="002E4C49">
              <w:rPr>
                <w:rFonts w:cstheme="minorHAnsi"/>
                <w:sz w:val="20"/>
                <w:szCs w:val="20"/>
              </w:rPr>
              <w:t xml:space="preserve"> </w:t>
            </w:r>
            <w:proofErr w:type="spellStart"/>
            <w:r w:rsidRPr="002E4C49">
              <w:rPr>
                <w:rFonts w:cstheme="minorHAnsi"/>
                <w:sz w:val="20"/>
                <w:szCs w:val="20"/>
              </w:rPr>
              <w:t>fleksibilnosti</w:t>
            </w:r>
            <w:proofErr w:type="spellEnd"/>
            <w:r w:rsidRPr="002E4C49">
              <w:rPr>
                <w:rFonts w:cstheme="minorHAnsi"/>
                <w:sz w:val="20"/>
                <w:szCs w:val="20"/>
              </w:rPr>
              <w:t xml:space="preserve"> </w:t>
            </w:r>
            <w:proofErr w:type="spellStart"/>
            <w:r w:rsidRPr="002E4C49">
              <w:rPr>
                <w:rFonts w:cstheme="minorHAnsi"/>
                <w:sz w:val="20"/>
                <w:szCs w:val="20"/>
              </w:rPr>
              <w:t>elektroenergetske</w:t>
            </w:r>
            <w:proofErr w:type="spellEnd"/>
            <w:r w:rsidRPr="002E4C49">
              <w:rPr>
                <w:rFonts w:cstheme="minorHAnsi"/>
                <w:sz w:val="20"/>
                <w:szCs w:val="20"/>
              </w:rPr>
              <w:t xml:space="preserve"> </w:t>
            </w:r>
            <w:proofErr w:type="spellStart"/>
            <w:r w:rsidRPr="002E4C49">
              <w:rPr>
                <w:rFonts w:cstheme="minorHAnsi"/>
                <w:sz w:val="20"/>
                <w:szCs w:val="20"/>
              </w:rPr>
              <w:t>mreže</w:t>
            </w:r>
            <w:proofErr w:type="spellEnd"/>
            <w:r w:rsidRPr="002E4C49">
              <w:rPr>
                <w:rFonts w:cstheme="minorHAnsi"/>
                <w:sz w:val="20"/>
                <w:szCs w:val="20"/>
              </w:rPr>
              <w:t xml:space="preserve">, a time i </w:t>
            </w:r>
            <w:proofErr w:type="spellStart"/>
            <w:r w:rsidRPr="002E4C49">
              <w:rPr>
                <w:rFonts w:cstheme="minorHAnsi"/>
                <w:sz w:val="20"/>
                <w:szCs w:val="20"/>
              </w:rPr>
              <w:t>potencijala</w:t>
            </w:r>
            <w:proofErr w:type="spellEnd"/>
            <w:r w:rsidRPr="002E4C49">
              <w:rPr>
                <w:rFonts w:cstheme="minorHAnsi"/>
                <w:sz w:val="20"/>
                <w:szCs w:val="20"/>
              </w:rPr>
              <w:t xml:space="preserve"> za </w:t>
            </w:r>
            <w:proofErr w:type="spellStart"/>
            <w:r w:rsidRPr="002E4C49">
              <w:rPr>
                <w:rFonts w:cstheme="minorHAnsi"/>
                <w:sz w:val="20"/>
                <w:szCs w:val="20"/>
              </w:rPr>
              <w:t>primjenu</w:t>
            </w:r>
            <w:proofErr w:type="spellEnd"/>
            <w:r w:rsidRPr="002E4C49">
              <w:rPr>
                <w:rFonts w:cstheme="minorHAnsi"/>
                <w:sz w:val="20"/>
                <w:szCs w:val="20"/>
              </w:rPr>
              <w:t xml:space="preserve"> </w:t>
            </w:r>
            <w:proofErr w:type="spellStart"/>
            <w:r w:rsidRPr="002E4C49">
              <w:rPr>
                <w:rFonts w:cstheme="minorHAnsi"/>
                <w:sz w:val="20"/>
                <w:szCs w:val="20"/>
              </w:rPr>
              <w:t>intermitentnih</w:t>
            </w:r>
            <w:proofErr w:type="spellEnd"/>
            <w:r w:rsidRPr="002E4C49">
              <w:rPr>
                <w:rFonts w:cstheme="minorHAnsi"/>
                <w:sz w:val="20"/>
                <w:szCs w:val="20"/>
              </w:rPr>
              <w:t xml:space="preserve"> </w:t>
            </w:r>
            <w:proofErr w:type="spellStart"/>
            <w:r w:rsidRPr="002E4C49">
              <w:rPr>
                <w:rFonts w:cstheme="minorHAnsi"/>
                <w:sz w:val="20"/>
                <w:szCs w:val="20"/>
              </w:rPr>
              <w:t>obnovljivih</w:t>
            </w:r>
            <w:proofErr w:type="spellEnd"/>
            <w:r w:rsidRPr="002E4C49">
              <w:rPr>
                <w:rFonts w:cstheme="minorHAnsi"/>
                <w:sz w:val="20"/>
                <w:szCs w:val="20"/>
              </w:rPr>
              <w:t xml:space="preserve"> </w:t>
            </w:r>
            <w:proofErr w:type="spellStart"/>
            <w:r w:rsidRPr="002E4C49">
              <w:rPr>
                <w:rFonts w:cstheme="minorHAnsi"/>
                <w:sz w:val="20"/>
                <w:szCs w:val="20"/>
              </w:rPr>
              <w:t>izvora</w:t>
            </w:r>
            <w:proofErr w:type="spellEnd"/>
            <w:r w:rsidRPr="002E4C49">
              <w:rPr>
                <w:rFonts w:cstheme="minorHAnsi"/>
                <w:sz w:val="20"/>
                <w:szCs w:val="20"/>
              </w:rPr>
              <w:t xml:space="preserve"> energije </w:t>
            </w:r>
            <w:proofErr w:type="spellStart"/>
            <w:r w:rsidRPr="002E4C49">
              <w:rPr>
                <w:rFonts w:cstheme="minorHAnsi"/>
                <w:sz w:val="20"/>
                <w:szCs w:val="20"/>
              </w:rPr>
              <w:t>poput</w:t>
            </w:r>
            <w:proofErr w:type="spellEnd"/>
            <w:r w:rsidRPr="002E4C49">
              <w:rPr>
                <w:rFonts w:cstheme="minorHAnsi"/>
                <w:sz w:val="20"/>
                <w:szCs w:val="20"/>
              </w:rPr>
              <w:t xml:space="preserve"> </w:t>
            </w:r>
            <w:proofErr w:type="spellStart"/>
            <w:r w:rsidRPr="002E4C49">
              <w:rPr>
                <w:rFonts w:cstheme="minorHAnsi"/>
                <w:sz w:val="20"/>
                <w:szCs w:val="20"/>
              </w:rPr>
              <w:t>sunca</w:t>
            </w:r>
            <w:proofErr w:type="spellEnd"/>
            <w:r w:rsidRPr="002E4C49">
              <w:rPr>
                <w:rFonts w:cstheme="minorHAnsi"/>
                <w:sz w:val="20"/>
                <w:szCs w:val="20"/>
              </w:rPr>
              <w:t xml:space="preserve"> i </w:t>
            </w:r>
            <w:proofErr w:type="spellStart"/>
            <w:r w:rsidRPr="002E4C49">
              <w:rPr>
                <w:rFonts w:cstheme="minorHAnsi"/>
                <w:sz w:val="20"/>
                <w:szCs w:val="20"/>
              </w:rPr>
              <w:t>vjetra</w:t>
            </w:r>
            <w:proofErr w:type="spellEnd"/>
            <w:r w:rsidRPr="002E4C49">
              <w:rPr>
                <w:rFonts w:cstheme="minorHAnsi"/>
                <w:sz w:val="20"/>
                <w:szCs w:val="20"/>
              </w:rPr>
              <w:t xml:space="preserve">. </w:t>
            </w:r>
          </w:p>
          <w:p w14:paraId="1268F4D7" w14:textId="6F6B49EA" w:rsidR="00A00D87" w:rsidRPr="002E4C49" w:rsidRDefault="00A00D87" w:rsidP="00E6560A">
            <w:pPr>
              <w:spacing w:before="120" w:after="120" w:line="259" w:lineRule="auto"/>
              <w:jc w:val="both"/>
              <w:rPr>
                <w:rFonts w:eastAsiaTheme="minorHAnsi" w:cstheme="minorHAnsi"/>
                <w:sz w:val="20"/>
                <w:szCs w:val="20"/>
                <w:lang w:eastAsia="en-US"/>
              </w:rPr>
            </w:pPr>
            <w:proofErr w:type="spellStart"/>
            <w:r w:rsidRPr="002E4C49">
              <w:rPr>
                <w:rFonts w:eastAsiaTheme="minorHAnsi" w:cstheme="minorHAnsi"/>
                <w:sz w:val="20"/>
                <w:szCs w:val="20"/>
                <w:lang w:eastAsia="en-US"/>
              </w:rPr>
              <w:t>Daljinska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grijanja</w:t>
            </w:r>
            <w:proofErr w:type="spellEnd"/>
            <w:r w:rsidRPr="002E4C49">
              <w:rPr>
                <w:rFonts w:eastAsiaTheme="minorHAnsi" w:cstheme="minorHAnsi"/>
                <w:sz w:val="20"/>
                <w:szCs w:val="20"/>
                <w:lang w:eastAsia="en-US"/>
              </w:rPr>
              <w:t xml:space="preserve"> u FBiH </w:t>
            </w:r>
            <w:proofErr w:type="spellStart"/>
            <w:r w:rsidRPr="002E4C49">
              <w:rPr>
                <w:rFonts w:eastAsiaTheme="minorHAnsi" w:cstheme="minorHAnsi"/>
                <w:sz w:val="20"/>
                <w:szCs w:val="20"/>
                <w:lang w:eastAsia="en-US"/>
              </w:rPr>
              <w:t>su</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uglavnom</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bazirana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na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sistemima</w:t>
            </w:r>
            <w:proofErr w:type="spellEnd"/>
            <w:r w:rsidRPr="002E4C49">
              <w:rPr>
                <w:rFonts w:eastAsiaTheme="minorHAnsi" w:cstheme="minorHAnsi"/>
                <w:sz w:val="20"/>
                <w:szCs w:val="20"/>
                <w:lang w:eastAsia="en-US"/>
              </w:rPr>
              <w:t xml:space="preserve"> koji </w:t>
            </w:r>
            <w:proofErr w:type="spellStart"/>
            <w:r w:rsidRPr="002E4C49">
              <w:rPr>
                <w:rFonts w:eastAsiaTheme="minorHAnsi" w:cstheme="minorHAnsi"/>
                <w:sz w:val="20"/>
                <w:szCs w:val="20"/>
                <w:lang w:eastAsia="en-US"/>
              </w:rPr>
              <w:t>troše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fosilna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goriva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prije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svega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ugalj</w:t>
            </w:r>
            <w:proofErr w:type="spellEnd"/>
            <w:r w:rsidRPr="002E4C49">
              <w:rPr>
                <w:rFonts w:eastAsiaTheme="minorHAnsi" w:cstheme="minorHAnsi"/>
                <w:sz w:val="20"/>
                <w:szCs w:val="20"/>
                <w:lang w:eastAsia="en-US"/>
              </w:rPr>
              <w:t xml:space="preserve"> i </w:t>
            </w:r>
            <w:proofErr w:type="spellStart"/>
            <w:r w:rsidRPr="002E4C49">
              <w:rPr>
                <w:rFonts w:eastAsiaTheme="minorHAnsi" w:cstheme="minorHAnsi"/>
                <w:sz w:val="20"/>
                <w:szCs w:val="20"/>
                <w:lang w:eastAsia="en-US"/>
              </w:rPr>
              <w:t>prirodni</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plin</w:t>
            </w:r>
            <w:proofErr w:type="spellEnd"/>
            <w:r w:rsidRPr="002E4C49">
              <w:rPr>
                <w:rFonts w:eastAsiaTheme="minorHAnsi" w:cstheme="minorHAnsi"/>
                <w:sz w:val="20"/>
                <w:szCs w:val="20"/>
                <w:lang w:eastAsia="en-US"/>
              </w:rPr>
              <w:t xml:space="preserve">. Tek </w:t>
            </w:r>
            <w:proofErr w:type="spellStart"/>
            <w:r w:rsidRPr="002E4C49">
              <w:rPr>
                <w:rFonts w:eastAsiaTheme="minorHAnsi" w:cstheme="minorHAnsi"/>
                <w:sz w:val="20"/>
                <w:szCs w:val="20"/>
                <w:lang w:eastAsia="en-US"/>
              </w:rPr>
              <w:t>nekoliko</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sistema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daljinskih</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grijanja</w:t>
            </w:r>
            <w:proofErr w:type="spellEnd"/>
            <w:r w:rsidRPr="002E4C49">
              <w:rPr>
                <w:rFonts w:eastAsiaTheme="minorHAnsi" w:cstheme="minorHAnsi"/>
                <w:sz w:val="20"/>
                <w:szCs w:val="20"/>
                <w:lang w:eastAsia="en-US"/>
              </w:rPr>
              <w:t xml:space="preserve"> u FBiH za </w:t>
            </w:r>
            <w:proofErr w:type="spellStart"/>
            <w:r w:rsidRPr="002E4C49">
              <w:rPr>
                <w:rFonts w:eastAsiaTheme="minorHAnsi" w:cstheme="minorHAnsi"/>
                <w:sz w:val="20"/>
                <w:szCs w:val="20"/>
                <w:lang w:eastAsia="en-US"/>
              </w:rPr>
              <w:t>grijanje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zgrada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koristi</w:t>
            </w:r>
            <w:proofErr w:type="spellEnd"/>
            <w:r w:rsidRPr="002E4C49">
              <w:rPr>
                <w:rFonts w:eastAsiaTheme="minorHAnsi" w:cstheme="minorHAnsi"/>
                <w:sz w:val="20"/>
                <w:szCs w:val="20"/>
                <w:lang w:eastAsia="en-US"/>
              </w:rPr>
              <w:t xml:space="preserve"> OIE i to </w:t>
            </w:r>
            <w:proofErr w:type="spellStart"/>
            <w:r w:rsidRPr="002E4C49">
              <w:rPr>
                <w:rFonts w:eastAsiaTheme="minorHAnsi" w:cstheme="minorHAnsi"/>
                <w:sz w:val="20"/>
                <w:szCs w:val="20"/>
                <w:lang w:eastAsia="en-US"/>
              </w:rPr>
              <w:t>prije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svega</w:t>
            </w:r>
            <w:proofErr w:type="spellEnd"/>
            <w:r w:rsidRPr="002E4C49">
              <w:rPr>
                <w:rFonts w:eastAsiaTheme="minorHAnsi" w:cstheme="minorHAnsi"/>
                <w:sz w:val="20"/>
                <w:szCs w:val="20"/>
                <w:lang w:eastAsia="en-US"/>
              </w:rPr>
              <w:t xml:space="preserve"> u </w:t>
            </w:r>
            <w:proofErr w:type="spellStart"/>
            <w:r w:rsidRPr="002E4C49">
              <w:rPr>
                <w:rFonts w:eastAsiaTheme="minorHAnsi" w:cstheme="minorHAnsi"/>
                <w:sz w:val="20"/>
                <w:szCs w:val="20"/>
                <w:lang w:eastAsia="en-US"/>
              </w:rPr>
              <w:t>vidu</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drvne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biomase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Također</w:t>
            </w:r>
            <w:proofErr w:type="spellEnd"/>
            <w:r w:rsidRPr="002E4C49">
              <w:rPr>
                <w:rFonts w:eastAsiaTheme="minorHAnsi" w:cstheme="minorHAnsi"/>
                <w:sz w:val="20"/>
                <w:szCs w:val="20"/>
                <w:lang w:eastAsia="en-US"/>
              </w:rPr>
              <w:t xml:space="preserve">, i </w:t>
            </w:r>
            <w:proofErr w:type="spellStart"/>
            <w:r w:rsidRPr="002E4C49">
              <w:rPr>
                <w:rFonts w:eastAsiaTheme="minorHAnsi" w:cstheme="minorHAnsi"/>
                <w:sz w:val="20"/>
                <w:szCs w:val="20"/>
                <w:lang w:eastAsia="en-US"/>
              </w:rPr>
              <w:t>značajan</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udio</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grijanja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zgrada</w:t>
            </w:r>
            <w:proofErr w:type="spellEnd"/>
            <w:r w:rsidRPr="002E4C49">
              <w:rPr>
                <w:rFonts w:eastAsiaTheme="minorHAnsi" w:cstheme="minorHAnsi"/>
                <w:sz w:val="20"/>
                <w:szCs w:val="20"/>
                <w:lang w:eastAsia="en-US"/>
              </w:rPr>
              <w:t xml:space="preserve"> u FBiH se </w:t>
            </w:r>
            <w:proofErr w:type="spellStart"/>
            <w:r w:rsidRPr="002E4C49">
              <w:rPr>
                <w:rFonts w:eastAsiaTheme="minorHAnsi" w:cstheme="minorHAnsi"/>
                <w:sz w:val="20"/>
                <w:szCs w:val="20"/>
                <w:lang w:eastAsia="en-US"/>
              </w:rPr>
              <w:t>oslanja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na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fosilna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goriva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ugalj</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prirodni</w:t>
            </w:r>
            <w:proofErr w:type="spellEnd"/>
            <w:r w:rsidRPr="002E4C49">
              <w:rPr>
                <w:rFonts w:eastAsiaTheme="minorHAnsi" w:cstheme="minorHAnsi"/>
                <w:sz w:val="20"/>
                <w:szCs w:val="20"/>
                <w:lang w:eastAsia="en-US"/>
              </w:rPr>
              <w:t xml:space="preserve"> </w:t>
            </w:r>
            <w:proofErr w:type="spellStart"/>
            <w:r w:rsidR="0014666A" w:rsidRPr="002E4C49">
              <w:rPr>
                <w:rFonts w:eastAsiaTheme="minorHAnsi" w:cstheme="minorHAnsi"/>
                <w:sz w:val="20"/>
                <w:szCs w:val="20"/>
                <w:lang w:eastAsia="en-US"/>
              </w:rPr>
              <w:t>plin</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kao</w:t>
            </w:r>
            <w:proofErr w:type="spellEnd"/>
            <w:r w:rsidRPr="002E4C49">
              <w:rPr>
                <w:rFonts w:eastAsiaTheme="minorHAnsi" w:cstheme="minorHAnsi"/>
                <w:sz w:val="20"/>
                <w:szCs w:val="20"/>
                <w:lang w:eastAsia="en-US"/>
              </w:rPr>
              <w:t xml:space="preserve"> i </w:t>
            </w:r>
            <w:proofErr w:type="spellStart"/>
            <w:r w:rsidRPr="002E4C49">
              <w:rPr>
                <w:rFonts w:eastAsiaTheme="minorHAnsi" w:cstheme="minorHAnsi"/>
                <w:sz w:val="20"/>
                <w:szCs w:val="20"/>
                <w:lang w:eastAsia="en-US"/>
              </w:rPr>
              <w:t>na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ogrijevno</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drvo</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koje</w:t>
            </w:r>
            <w:proofErr w:type="spellEnd"/>
            <w:r w:rsidRPr="002E4C49">
              <w:rPr>
                <w:rFonts w:eastAsiaTheme="minorHAnsi" w:cstheme="minorHAnsi"/>
                <w:sz w:val="20"/>
                <w:szCs w:val="20"/>
                <w:lang w:eastAsia="en-US"/>
              </w:rPr>
              <w:t xml:space="preserve"> se </w:t>
            </w:r>
            <w:proofErr w:type="spellStart"/>
            <w:r w:rsidR="00540A41" w:rsidRPr="002E4C49">
              <w:rPr>
                <w:rFonts w:eastAsiaTheme="minorHAnsi" w:cstheme="minorHAnsi"/>
                <w:sz w:val="20"/>
                <w:szCs w:val="20"/>
                <w:lang w:eastAsia="en-US"/>
              </w:rPr>
              <w:t>uvjet</w:t>
            </w:r>
            <w:r w:rsidRPr="002E4C49">
              <w:rPr>
                <w:rFonts w:eastAsiaTheme="minorHAnsi" w:cstheme="minorHAnsi"/>
                <w:sz w:val="20"/>
                <w:szCs w:val="20"/>
                <w:lang w:eastAsia="en-US"/>
              </w:rPr>
              <w:t>no</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može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smatrati</w:t>
            </w:r>
            <w:proofErr w:type="spellEnd"/>
            <w:r w:rsidRPr="002E4C49">
              <w:rPr>
                <w:rFonts w:eastAsiaTheme="minorHAnsi" w:cstheme="minorHAnsi"/>
                <w:sz w:val="20"/>
                <w:szCs w:val="20"/>
                <w:lang w:eastAsia="en-US"/>
              </w:rPr>
              <w:t xml:space="preserve"> OIE. </w:t>
            </w:r>
            <w:proofErr w:type="spellStart"/>
            <w:r w:rsidRPr="002E4C49">
              <w:rPr>
                <w:rFonts w:eastAsiaTheme="minorHAnsi" w:cstheme="minorHAnsi"/>
                <w:sz w:val="20"/>
                <w:szCs w:val="20"/>
                <w:lang w:eastAsia="en-US"/>
              </w:rPr>
              <w:t>Jedan</w:t>
            </w:r>
            <w:proofErr w:type="spellEnd"/>
            <w:r w:rsidRPr="002E4C49">
              <w:rPr>
                <w:rFonts w:eastAsiaTheme="minorHAnsi" w:cstheme="minorHAnsi"/>
                <w:sz w:val="20"/>
                <w:szCs w:val="20"/>
                <w:lang w:eastAsia="en-US"/>
              </w:rPr>
              <w:t xml:space="preserve"> od </w:t>
            </w:r>
            <w:proofErr w:type="spellStart"/>
            <w:r w:rsidRPr="002E4C49">
              <w:rPr>
                <w:rFonts w:eastAsiaTheme="minorHAnsi" w:cstheme="minorHAnsi"/>
                <w:sz w:val="20"/>
                <w:szCs w:val="20"/>
                <w:lang w:eastAsia="en-US"/>
              </w:rPr>
              <w:t>ciljeva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strategije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jeste</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dekarbonizacija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sistema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grijanja</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zgrada</w:t>
            </w:r>
            <w:proofErr w:type="spellEnd"/>
            <w:r w:rsidRPr="002E4C49">
              <w:rPr>
                <w:rFonts w:eastAsiaTheme="minorHAnsi" w:cstheme="minorHAnsi"/>
                <w:sz w:val="20"/>
                <w:szCs w:val="20"/>
                <w:lang w:eastAsia="en-US"/>
              </w:rPr>
              <w:t xml:space="preserve"> u FBiH, </w:t>
            </w:r>
            <w:proofErr w:type="spellStart"/>
            <w:r w:rsidRPr="002E4C49">
              <w:rPr>
                <w:rFonts w:eastAsiaTheme="minorHAnsi" w:cstheme="minorHAnsi"/>
                <w:sz w:val="20"/>
                <w:szCs w:val="20"/>
                <w:lang w:eastAsia="en-US"/>
              </w:rPr>
              <w:t>kako</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individualnih</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tako</w:t>
            </w:r>
            <w:proofErr w:type="spellEnd"/>
            <w:r w:rsidRPr="002E4C49">
              <w:rPr>
                <w:rFonts w:eastAsiaTheme="minorHAnsi" w:cstheme="minorHAnsi"/>
                <w:sz w:val="20"/>
                <w:szCs w:val="20"/>
                <w:lang w:eastAsia="en-US"/>
              </w:rPr>
              <w:t xml:space="preserve"> i </w:t>
            </w:r>
            <w:proofErr w:type="spellStart"/>
            <w:r w:rsidRPr="002E4C49">
              <w:rPr>
                <w:rFonts w:eastAsiaTheme="minorHAnsi" w:cstheme="minorHAnsi"/>
                <w:sz w:val="20"/>
                <w:szCs w:val="20"/>
                <w:lang w:eastAsia="en-US"/>
              </w:rPr>
              <w:t>centralizovanih</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ili</w:t>
            </w:r>
            <w:proofErr w:type="spellEnd"/>
            <w:r w:rsidRPr="002E4C49">
              <w:rPr>
                <w:rFonts w:eastAsiaTheme="minorHAnsi" w:cstheme="minorHAnsi"/>
                <w:sz w:val="20"/>
                <w:szCs w:val="20"/>
                <w:lang w:eastAsia="en-US"/>
              </w:rPr>
              <w:t xml:space="preserve"> </w:t>
            </w:r>
            <w:proofErr w:type="spellStart"/>
            <w:r w:rsidRPr="002E4C49">
              <w:rPr>
                <w:rFonts w:eastAsiaTheme="minorHAnsi" w:cstheme="minorHAnsi"/>
                <w:sz w:val="20"/>
                <w:szCs w:val="20"/>
                <w:lang w:eastAsia="en-US"/>
              </w:rPr>
              <w:t>daljinskih</w:t>
            </w:r>
            <w:proofErr w:type="spellEnd"/>
            <w:r w:rsidRPr="002E4C49">
              <w:rPr>
                <w:rFonts w:eastAsiaTheme="minorHAnsi" w:cstheme="minorHAnsi"/>
                <w:sz w:val="20"/>
                <w:szCs w:val="20"/>
                <w:lang w:eastAsia="en-US"/>
              </w:rPr>
              <w:t>.</w:t>
            </w:r>
          </w:p>
          <w:p w14:paraId="5F859221" w14:textId="7DE50555" w:rsidR="00A00D87" w:rsidRPr="002E4C49" w:rsidRDefault="00A00D87" w:rsidP="00E6560A">
            <w:pPr>
              <w:spacing w:before="120" w:after="120"/>
              <w:jc w:val="both"/>
              <w:rPr>
                <w:rFonts w:cstheme="minorHAnsi"/>
                <w:sz w:val="20"/>
                <w:szCs w:val="20"/>
              </w:rPr>
            </w:pPr>
            <w:proofErr w:type="spellStart"/>
            <w:r w:rsidRPr="002E4C49">
              <w:rPr>
                <w:rFonts w:cstheme="minorHAnsi"/>
                <w:sz w:val="20"/>
                <w:szCs w:val="20"/>
              </w:rPr>
              <w:t>Osim</w:t>
            </w:r>
            <w:proofErr w:type="spellEnd"/>
            <w:r w:rsidRPr="002E4C49">
              <w:rPr>
                <w:rFonts w:cstheme="minorHAnsi"/>
                <w:sz w:val="20"/>
                <w:szCs w:val="20"/>
              </w:rPr>
              <w:t xml:space="preserve"> toga, </w:t>
            </w:r>
            <w:proofErr w:type="spellStart"/>
            <w:r w:rsidRPr="002E4C49">
              <w:rPr>
                <w:rFonts w:cstheme="minorHAnsi"/>
                <w:sz w:val="20"/>
                <w:szCs w:val="20"/>
              </w:rPr>
              <w:t>preko</w:t>
            </w:r>
            <w:proofErr w:type="spellEnd"/>
            <w:r w:rsidRPr="002E4C49">
              <w:rPr>
                <w:rFonts w:cstheme="minorHAnsi"/>
                <w:sz w:val="20"/>
                <w:szCs w:val="20"/>
              </w:rPr>
              <w:t xml:space="preserve"> 80% </w:t>
            </w:r>
            <w:proofErr w:type="spellStart"/>
            <w:r w:rsidRPr="002E4C49">
              <w:rPr>
                <w:rFonts w:cstheme="minorHAnsi"/>
                <w:sz w:val="20"/>
                <w:szCs w:val="20"/>
              </w:rPr>
              <w:t>stambenog</w:t>
            </w:r>
            <w:proofErr w:type="spellEnd"/>
            <w:r w:rsidRPr="002E4C49">
              <w:rPr>
                <w:rFonts w:cstheme="minorHAnsi"/>
                <w:sz w:val="20"/>
                <w:szCs w:val="20"/>
              </w:rPr>
              <w:t xml:space="preserve"> </w:t>
            </w:r>
            <w:proofErr w:type="spellStart"/>
            <w:r w:rsidRPr="002E4C49">
              <w:rPr>
                <w:rFonts w:cstheme="minorHAnsi"/>
                <w:sz w:val="20"/>
                <w:szCs w:val="20"/>
              </w:rPr>
              <w:t>fonda</w:t>
            </w:r>
            <w:proofErr w:type="spellEnd"/>
            <w:r w:rsidRPr="002E4C49">
              <w:rPr>
                <w:rFonts w:cstheme="minorHAnsi"/>
                <w:sz w:val="20"/>
                <w:szCs w:val="20"/>
              </w:rPr>
              <w:t xml:space="preserve"> koji se </w:t>
            </w:r>
            <w:proofErr w:type="spellStart"/>
            <w:r w:rsidRPr="002E4C49">
              <w:rPr>
                <w:rFonts w:cstheme="minorHAnsi"/>
                <w:sz w:val="20"/>
                <w:szCs w:val="20"/>
              </w:rPr>
              <w:t>snabdijeva</w:t>
            </w:r>
            <w:proofErr w:type="spellEnd"/>
            <w:r w:rsidRPr="002E4C49">
              <w:rPr>
                <w:rFonts w:cstheme="minorHAnsi"/>
                <w:sz w:val="20"/>
                <w:szCs w:val="20"/>
              </w:rPr>
              <w:t xml:space="preserve"> </w:t>
            </w:r>
            <w:proofErr w:type="spellStart"/>
            <w:r w:rsidRPr="002E4C49">
              <w:rPr>
                <w:rFonts w:cstheme="minorHAnsi"/>
                <w:sz w:val="20"/>
                <w:szCs w:val="20"/>
              </w:rPr>
              <w:t>toplotnom</w:t>
            </w:r>
            <w:proofErr w:type="spellEnd"/>
            <w:r w:rsidRPr="002E4C49">
              <w:rPr>
                <w:rFonts w:cstheme="minorHAnsi"/>
                <w:sz w:val="20"/>
                <w:szCs w:val="20"/>
              </w:rPr>
              <w:t xml:space="preserve"> </w:t>
            </w:r>
            <w:proofErr w:type="spellStart"/>
            <w:r w:rsidRPr="002E4C49">
              <w:rPr>
                <w:rFonts w:cstheme="minorHAnsi"/>
                <w:sz w:val="20"/>
                <w:szCs w:val="20"/>
              </w:rPr>
              <w:t>energijom</w:t>
            </w:r>
            <w:proofErr w:type="spellEnd"/>
            <w:r w:rsidRPr="002E4C49">
              <w:rPr>
                <w:rFonts w:cstheme="minorHAnsi"/>
                <w:sz w:val="20"/>
                <w:szCs w:val="20"/>
              </w:rPr>
              <w:t xml:space="preserve"> </w:t>
            </w:r>
            <w:proofErr w:type="spellStart"/>
            <w:r w:rsidRPr="002E4C49">
              <w:rPr>
                <w:rFonts w:cstheme="minorHAnsi"/>
                <w:sz w:val="20"/>
                <w:szCs w:val="20"/>
              </w:rPr>
              <w:t>iz</w:t>
            </w:r>
            <w:proofErr w:type="spellEnd"/>
            <w:r w:rsidRPr="002E4C49">
              <w:rPr>
                <w:rFonts w:cstheme="minorHAnsi"/>
                <w:sz w:val="20"/>
                <w:szCs w:val="20"/>
              </w:rPr>
              <w:t xml:space="preserve"> </w:t>
            </w:r>
            <w:proofErr w:type="spellStart"/>
            <w:r w:rsidRPr="002E4C49">
              <w:rPr>
                <w:rFonts w:cstheme="minorHAnsi"/>
                <w:sz w:val="20"/>
                <w:szCs w:val="20"/>
              </w:rPr>
              <w:t>sistema</w:t>
            </w:r>
            <w:proofErr w:type="spellEnd"/>
            <w:r w:rsidRPr="002E4C49">
              <w:rPr>
                <w:rFonts w:cstheme="minorHAnsi"/>
                <w:sz w:val="20"/>
                <w:szCs w:val="20"/>
              </w:rPr>
              <w:t xml:space="preserve"> </w:t>
            </w:r>
            <w:proofErr w:type="spellStart"/>
            <w:r w:rsidRPr="002E4C49">
              <w:rPr>
                <w:rFonts w:cstheme="minorHAnsi"/>
                <w:sz w:val="20"/>
                <w:szCs w:val="20"/>
              </w:rPr>
              <w:t>daljinskog</w:t>
            </w:r>
            <w:proofErr w:type="spellEnd"/>
            <w:r w:rsidRPr="002E4C49">
              <w:rPr>
                <w:rFonts w:cstheme="minorHAnsi"/>
                <w:sz w:val="20"/>
                <w:szCs w:val="20"/>
              </w:rPr>
              <w:t xml:space="preserve"> </w:t>
            </w:r>
            <w:proofErr w:type="spellStart"/>
            <w:r w:rsidRPr="002E4C49">
              <w:rPr>
                <w:rFonts w:cstheme="minorHAnsi"/>
                <w:sz w:val="20"/>
                <w:szCs w:val="20"/>
              </w:rPr>
              <w:t>grijanja</w:t>
            </w:r>
            <w:proofErr w:type="spellEnd"/>
            <w:r w:rsidRPr="002E4C49">
              <w:rPr>
                <w:rFonts w:cstheme="minorHAnsi"/>
                <w:sz w:val="20"/>
                <w:szCs w:val="20"/>
              </w:rPr>
              <w:t xml:space="preserve"> </w:t>
            </w:r>
            <w:proofErr w:type="spellStart"/>
            <w:r w:rsidRPr="002E4C49">
              <w:rPr>
                <w:rFonts w:cstheme="minorHAnsi"/>
                <w:sz w:val="20"/>
                <w:szCs w:val="20"/>
              </w:rPr>
              <w:t>troškove</w:t>
            </w:r>
            <w:proofErr w:type="spellEnd"/>
            <w:r w:rsidRPr="002E4C49">
              <w:rPr>
                <w:rFonts w:cstheme="minorHAnsi"/>
                <w:sz w:val="20"/>
                <w:szCs w:val="20"/>
              </w:rPr>
              <w:t xml:space="preserve"> </w:t>
            </w:r>
            <w:proofErr w:type="spellStart"/>
            <w:r w:rsidRPr="002E4C49">
              <w:rPr>
                <w:rFonts w:cstheme="minorHAnsi"/>
                <w:sz w:val="20"/>
                <w:szCs w:val="20"/>
              </w:rPr>
              <w:t>plaća</w:t>
            </w:r>
            <w:proofErr w:type="spellEnd"/>
            <w:r w:rsidRPr="002E4C49">
              <w:rPr>
                <w:rFonts w:cstheme="minorHAnsi"/>
                <w:sz w:val="20"/>
                <w:szCs w:val="20"/>
              </w:rPr>
              <w:t xml:space="preserve"> </w:t>
            </w:r>
            <w:proofErr w:type="spellStart"/>
            <w:r w:rsidRPr="002E4C49">
              <w:rPr>
                <w:rFonts w:cstheme="minorHAnsi"/>
                <w:sz w:val="20"/>
                <w:szCs w:val="20"/>
              </w:rPr>
              <w:t>paušalno</w:t>
            </w:r>
            <w:proofErr w:type="spellEnd"/>
            <w:r w:rsidRPr="002E4C49">
              <w:rPr>
                <w:rFonts w:cstheme="minorHAnsi"/>
                <w:sz w:val="20"/>
                <w:szCs w:val="20"/>
              </w:rPr>
              <w:t xml:space="preserve"> po m</w:t>
            </w:r>
            <w:r w:rsidRPr="002E4C49">
              <w:rPr>
                <w:rFonts w:cstheme="minorHAnsi"/>
                <w:sz w:val="20"/>
                <w:szCs w:val="20"/>
                <w:vertAlign w:val="superscript"/>
              </w:rPr>
              <w:t>2</w:t>
            </w:r>
            <w:r w:rsidRPr="002E4C49">
              <w:rPr>
                <w:rFonts w:cstheme="minorHAnsi"/>
                <w:sz w:val="20"/>
                <w:szCs w:val="20"/>
              </w:rPr>
              <w:t xml:space="preserve"> </w:t>
            </w:r>
            <w:proofErr w:type="spellStart"/>
            <w:r w:rsidRPr="002E4C49">
              <w:rPr>
                <w:rFonts w:cstheme="minorHAnsi"/>
                <w:sz w:val="20"/>
                <w:szCs w:val="20"/>
              </w:rPr>
              <w:t>grijanog</w:t>
            </w:r>
            <w:proofErr w:type="spellEnd"/>
            <w:r w:rsidRPr="002E4C49">
              <w:rPr>
                <w:rFonts w:cstheme="minorHAnsi"/>
                <w:sz w:val="20"/>
                <w:szCs w:val="20"/>
              </w:rPr>
              <w:t xml:space="preserve"> </w:t>
            </w:r>
            <w:proofErr w:type="spellStart"/>
            <w:r w:rsidRPr="002E4C49">
              <w:rPr>
                <w:rFonts w:cstheme="minorHAnsi"/>
                <w:sz w:val="20"/>
                <w:szCs w:val="20"/>
              </w:rPr>
              <w:t>prostora</w:t>
            </w:r>
            <w:proofErr w:type="spellEnd"/>
            <w:r w:rsidRPr="002E4C49">
              <w:rPr>
                <w:rFonts w:cstheme="minorHAnsi"/>
                <w:sz w:val="20"/>
                <w:szCs w:val="20"/>
              </w:rPr>
              <w:t xml:space="preserve">. U </w:t>
            </w:r>
            <w:proofErr w:type="spellStart"/>
            <w:r w:rsidRPr="002E4C49">
              <w:rPr>
                <w:rFonts w:cstheme="minorHAnsi"/>
                <w:sz w:val="20"/>
                <w:szCs w:val="20"/>
              </w:rPr>
              <w:t>tu</w:t>
            </w:r>
            <w:proofErr w:type="spellEnd"/>
            <w:r w:rsidRPr="002E4C49">
              <w:rPr>
                <w:rFonts w:cstheme="minorHAnsi"/>
                <w:sz w:val="20"/>
                <w:szCs w:val="20"/>
              </w:rPr>
              <w:t xml:space="preserve"> </w:t>
            </w:r>
            <w:proofErr w:type="spellStart"/>
            <w:r w:rsidRPr="002E4C49">
              <w:rPr>
                <w:rFonts w:cstheme="minorHAnsi"/>
                <w:sz w:val="20"/>
                <w:szCs w:val="20"/>
              </w:rPr>
              <w:t>svrhu</w:t>
            </w:r>
            <w:proofErr w:type="spellEnd"/>
            <w:r w:rsidRPr="002E4C49">
              <w:rPr>
                <w:rFonts w:cstheme="minorHAnsi"/>
                <w:sz w:val="20"/>
                <w:szCs w:val="20"/>
              </w:rPr>
              <w:t xml:space="preserve"> </w:t>
            </w:r>
            <w:proofErr w:type="spellStart"/>
            <w:r w:rsidRPr="002E4C49">
              <w:rPr>
                <w:rFonts w:cstheme="minorHAnsi"/>
                <w:sz w:val="20"/>
                <w:szCs w:val="20"/>
              </w:rPr>
              <w:t>potrebno</w:t>
            </w:r>
            <w:proofErr w:type="spellEnd"/>
            <w:r w:rsidRPr="002E4C49">
              <w:rPr>
                <w:rFonts w:cstheme="minorHAnsi"/>
                <w:sz w:val="20"/>
                <w:szCs w:val="20"/>
              </w:rPr>
              <w:t xml:space="preserve"> je </w:t>
            </w:r>
            <w:proofErr w:type="spellStart"/>
            <w:r w:rsidRPr="002E4C49">
              <w:rPr>
                <w:rFonts w:cstheme="minorHAnsi"/>
                <w:sz w:val="20"/>
                <w:szCs w:val="20"/>
              </w:rPr>
              <w:t>uvesti</w:t>
            </w:r>
            <w:proofErr w:type="spellEnd"/>
            <w:r w:rsidRPr="002E4C49">
              <w:rPr>
                <w:rFonts w:cstheme="minorHAnsi"/>
                <w:sz w:val="20"/>
                <w:szCs w:val="20"/>
              </w:rPr>
              <w:t xml:space="preserve"> </w:t>
            </w:r>
            <w:proofErr w:type="spellStart"/>
            <w:proofErr w:type="gramStart"/>
            <w:r w:rsidRPr="002E4C49">
              <w:rPr>
                <w:rFonts w:cstheme="minorHAnsi"/>
                <w:sz w:val="20"/>
                <w:szCs w:val="20"/>
              </w:rPr>
              <w:t>sistem</w:t>
            </w:r>
            <w:proofErr w:type="spellEnd"/>
            <w:r w:rsidRPr="002E4C49">
              <w:rPr>
                <w:rFonts w:cstheme="minorHAnsi"/>
                <w:sz w:val="20"/>
                <w:szCs w:val="20"/>
              </w:rPr>
              <w:t xml:space="preserve">  </w:t>
            </w:r>
            <w:proofErr w:type="spellStart"/>
            <w:r w:rsidRPr="002E4C49">
              <w:rPr>
                <w:rFonts w:cstheme="minorHAnsi"/>
                <w:sz w:val="20"/>
                <w:szCs w:val="20"/>
              </w:rPr>
              <w:t>mjerenja</w:t>
            </w:r>
            <w:proofErr w:type="spellEnd"/>
            <w:proofErr w:type="gramEnd"/>
            <w:r w:rsidRPr="002E4C49">
              <w:rPr>
                <w:rFonts w:cstheme="minorHAnsi"/>
                <w:sz w:val="20"/>
                <w:szCs w:val="20"/>
              </w:rPr>
              <w:t xml:space="preserve"> </w:t>
            </w:r>
            <w:proofErr w:type="spellStart"/>
            <w:r w:rsidRPr="002E4C49">
              <w:rPr>
                <w:rFonts w:cstheme="minorHAnsi"/>
                <w:sz w:val="20"/>
                <w:szCs w:val="20"/>
              </w:rPr>
              <w:t>stvarne</w:t>
            </w:r>
            <w:proofErr w:type="spellEnd"/>
            <w:r w:rsidRPr="002E4C49">
              <w:rPr>
                <w:rFonts w:cstheme="minorHAnsi"/>
                <w:sz w:val="20"/>
                <w:szCs w:val="20"/>
              </w:rPr>
              <w:t xml:space="preserve"> </w:t>
            </w:r>
            <w:proofErr w:type="spellStart"/>
            <w:r w:rsidRPr="002E4C49">
              <w:rPr>
                <w:rFonts w:cstheme="minorHAnsi"/>
                <w:sz w:val="20"/>
                <w:szCs w:val="20"/>
              </w:rPr>
              <w:t>potrošnje</w:t>
            </w:r>
            <w:proofErr w:type="spellEnd"/>
            <w:r w:rsidRPr="002E4C49">
              <w:rPr>
                <w:rFonts w:cstheme="minorHAnsi"/>
                <w:sz w:val="20"/>
                <w:szCs w:val="20"/>
              </w:rPr>
              <w:t xml:space="preserve"> energije u </w:t>
            </w:r>
            <w:proofErr w:type="spellStart"/>
            <w:r w:rsidRPr="002E4C49">
              <w:rPr>
                <w:rFonts w:cstheme="minorHAnsi"/>
                <w:sz w:val="20"/>
                <w:szCs w:val="20"/>
              </w:rPr>
              <w:t>sistemima</w:t>
            </w:r>
            <w:proofErr w:type="spellEnd"/>
            <w:r w:rsidRPr="002E4C49">
              <w:rPr>
                <w:rFonts w:cstheme="minorHAnsi"/>
                <w:sz w:val="20"/>
                <w:szCs w:val="20"/>
              </w:rPr>
              <w:t xml:space="preserve"> </w:t>
            </w:r>
            <w:proofErr w:type="spellStart"/>
            <w:r w:rsidRPr="002E4C49">
              <w:rPr>
                <w:rFonts w:cstheme="minorHAnsi"/>
                <w:sz w:val="20"/>
                <w:szCs w:val="20"/>
              </w:rPr>
              <w:t>daljinskog</w:t>
            </w:r>
            <w:proofErr w:type="spellEnd"/>
            <w:r w:rsidRPr="002E4C49">
              <w:rPr>
                <w:rFonts w:cstheme="minorHAnsi"/>
                <w:sz w:val="20"/>
                <w:szCs w:val="20"/>
              </w:rPr>
              <w:t xml:space="preserve"> </w:t>
            </w:r>
            <w:proofErr w:type="spellStart"/>
            <w:r w:rsidRPr="002E4C49">
              <w:rPr>
                <w:rFonts w:cstheme="minorHAnsi"/>
                <w:sz w:val="20"/>
                <w:szCs w:val="20"/>
              </w:rPr>
              <w:t>grijanja</w:t>
            </w:r>
            <w:proofErr w:type="spellEnd"/>
            <w:r w:rsidRPr="002E4C49">
              <w:rPr>
                <w:rFonts w:cstheme="minorHAnsi"/>
                <w:sz w:val="20"/>
                <w:szCs w:val="20"/>
              </w:rPr>
              <w:t xml:space="preserve">, u </w:t>
            </w:r>
            <w:proofErr w:type="spellStart"/>
            <w:r w:rsidRPr="002E4C49">
              <w:rPr>
                <w:rFonts w:cstheme="minorHAnsi"/>
                <w:sz w:val="20"/>
                <w:szCs w:val="20"/>
              </w:rPr>
              <w:t>cilju</w:t>
            </w:r>
            <w:proofErr w:type="spellEnd"/>
            <w:r w:rsidRPr="002E4C49">
              <w:rPr>
                <w:rFonts w:cstheme="minorHAnsi"/>
                <w:sz w:val="20"/>
                <w:szCs w:val="20"/>
              </w:rPr>
              <w:t xml:space="preserve"> </w:t>
            </w:r>
            <w:proofErr w:type="spellStart"/>
            <w:r w:rsidRPr="002E4C49">
              <w:rPr>
                <w:rFonts w:cstheme="minorHAnsi"/>
                <w:sz w:val="20"/>
                <w:szCs w:val="20"/>
              </w:rPr>
              <w:t>efikasnijeg</w:t>
            </w:r>
            <w:proofErr w:type="spellEnd"/>
            <w:r w:rsidRPr="002E4C49">
              <w:rPr>
                <w:rFonts w:cstheme="minorHAnsi"/>
                <w:sz w:val="20"/>
                <w:szCs w:val="20"/>
              </w:rPr>
              <w:t xml:space="preserve"> </w:t>
            </w:r>
            <w:proofErr w:type="spellStart"/>
            <w:r w:rsidRPr="002E4C49">
              <w:rPr>
                <w:rFonts w:cstheme="minorHAnsi"/>
                <w:sz w:val="20"/>
                <w:szCs w:val="20"/>
              </w:rPr>
              <w:t>korištenja</w:t>
            </w:r>
            <w:proofErr w:type="spellEnd"/>
            <w:r w:rsidRPr="002E4C49">
              <w:rPr>
                <w:rFonts w:cstheme="minorHAnsi"/>
                <w:sz w:val="20"/>
                <w:szCs w:val="20"/>
              </w:rPr>
              <w:t xml:space="preserve"> </w:t>
            </w:r>
            <w:proofErr w:type="spellStart"/>
            <w:r w:rsidRPr="002E4C49">
              <w:rPr>
                <w:rFonts w:cstheme="minorHAnsi"/>
                <w:sz w:val="20"/>
                <w:szCs w:val="20"/>
              </w:rPr>
              <w:t>toplotne</w:t>
            </w:r>
            <w:proofErr w:type="spellEnd"/>
            <w:r w:rsidRPr="002E4C49">
              <w:rPr>
                <w:rFonts w:cstheme="minorHAnsi"/>
                <w:sz w:val="20"/>
                <w:szCs w:val="20"/>
              </w:rPr>
              <w:t xml:space="preserve"> energije </w:t>
            </w:r>
            <w:proofErr w:type="spellStart"/>
            <w:r w:rsidRPr="002E4C49">
              <w:rPr>
                <w:rFonts w:cstheme="minorHAnsi"/>
                <w:sz w:val="20"/>
                <w:szCs w:val="20"/>
              </w:rPr>
              <w:t>te</w:t>
            </w:r>
            <w:proofErr w:type="spellEnd"/>
            <w:r w:rsidRPr="002E4C49">
              <w:rPr>
                <w:rFonts w:cstheme="minorHAnsi"/>
                <w:sz w:val="20"/>
                <w:szCs w:val="20"/>
              </w:rPr>
              <w:t xml:space="preserve"> </w:t>
            </w:r>
            <w:proofErr w:type="spellStart"/>
            <w:r w:rsidRPr="002E4C49">
              <w:rPr>
                <w:rFonts w:cstheme="minorHAnsi"/>
                <w:sz w:val="20"/>
                <w:szCs w:val="20"/>
              </w:rPr>
              <w:t>smanjenja</w:t>
            </w:r>
            <w:proofErr w:type="spellEnd"/>
            <w:r w:rsidRPr="002E4C49">
              <w:rPr>
                <w:rFonts w:cstheme="minorHAnsi"/>
                <w:sz w:val="20"/>
                <w:szCs w:val="20"/>
              </w:rPr>
              <w:t xml:space="preserve"> </w:t>
            </w:r>
            <w:proofErr w:type="spellStart"/>
            <w:r w:rsidRPr="002E4C49">
              <w:rPr>
                <w:rFonts w:cstheme="minorHAnsi"/>
                <w:sz w:val="20"/>
                <w:szCs w:val="20"/>
              </w:rPr>
              <w:t>pregrijavanja</w:t>
            </w:r>
            <w:proofErr w:type="spellEnd"/>
            <w:r w:rsidRPr="002E4C49">
              <w:rPr>
                <w:rFonts w:cstheme="minorHAnsi"/>
                <w:sz w:val="20"/>
                <w:szCs w:val="20"/>
              </w:rPr>
              <w:t xml:space="preserve"> i </w:t>
            </w:r>
            <w:proofErr w:type="spellStart"/>
            <w:r w:rsidRPr="002E4C49">
              <w:rPr>
                <w:rFonts w:cstheme="minorHAnsi"/>
                <w:sz w:val="20"/>
                <w:szCs w:val="20"/>
              </w:rPr>
              <w:t>pothlađivanja</w:t>
            </w:r>
            <w:proofErr w:type="spellEnd"/>
            <w:r w:rsidRPr="002E4C49">
              <w:rPr>
                <w:rFonts w:cstheme="minorHAnsi"/>
                <w:sz w:val="20"/>
                <w:szCs w:val="20"/>
              </w:rPr>
              <w:t xml:space="preserve"> </w:t>
            </w:r>
            <w:proofErr w:type="spellStart"/>
            <w:r w:rsidRPr="002E4C49">
              <w:rPr>
                <w:rFonts w:cstheme="minorHAnsi"/>
                <w:sz w:val="20"/>
                <w:szCs w:val="20"/>
              </w:rPr>
              <w:t>prostora</w:t>
            </w:r>
            <w:proofErr w:type="spellEnd"/>
            <w:r w:rsidRPr="002E4C49">
              <w:rPr>
                <w:rFonts w:cstheme="minorHAnsi"/>
                <w:sz w:val="20"/>
                <w:szCs w:val="20"/>
              </w:rPr>
              <w:t xml:space="preserve">, </w:t>
            </w:r>
            <w:proofErr w:type="spellStart"/>
            <w:r w:rsidRPr="002E4C49">
              <w:rPr>
                <w:rFonts w:cstheme="minorHAnsi"/>
                <w:sz w:val="20"/>
                <w:szCs w:val="20"/>
              </w:rPr>
              <w:t>odnosno</w:t>
            </w:r>
            <w:proofErr w:type="spellEnd"/>
            <w:r w:rsidRPr="002E4C49">
              <w:rPr>
                <w:rFonts w:cstheme="minorHAnsi"/>
                <w:sz w:val="20"/>
                <w:szCs w:val="20"/>
              </w:rPr>
              <w:t xml:space="preserve"> </w:t>
            </w:r>
            <w:proofErr w:type="spellStart"/>
            <w:r w:rsidRPr="002E4C49">
              <w:rPr>
                <w:rFonts w:cstheme="minorHAnsi"/>
                <w:sz w:val="20"/>
                <w:szCs w:val="20"/>
              </w:rPr>
              <w:t>povećanja</w:t>
            </w:r>
            <w:proofErr w:type="spellEnd"/>
            <w:r w:rsidRPr="002E4C49">
              <w:rPr>
                <w:rFonts w:cstheme="minorHAnsi"/>
                <w:sz w:val="20"/>
                <w:szCs w:val="20"/>
              </w:rPr>
              <w:t xml:space="preserve"> </w:t>
            </w:r>
            <w:proofErr w:type="spellStart"/>
            <w:r w:rsidRPr="002E4C49">
              <w:rPr>
                <w:rFonts w:cstheme="minorHAnsi"/>
                <w:sz w:val="20"/>
                <w:szCs w:val="20"/>
              </w:rPr>
              <w:t>toplotnog</w:t>
            </w:r>
            <w:proofErr w:type="spellEnd"/>
            <w:r w:rsidRPr="002E4C49">
              <w:rPr>
                <w:rFonts w:cstheme="minorHAnsi"/>
                <w:sz w:val="20"/>
                <w:szCs w:val="20"/>
              </w:rPr>
              <w:t xml:space="preserve"> </w:t>
            </w:r>
            <w:proofErr w:type="spellStart"/>
            <w:r w:rsidRPr="002E4C49">
              <w:rPr>
                <w:rFonts w:cstheme="minorHAnsi"/>
                <w:sz w:val="20"/>
                <w:szCs w:val="20"/>
              </w:rPr>
              <w:t>komfora</w:t>
            </w:r>
            <w:proofErr w:type="spellEnd"/>
            <w:r w:rsidRPr="002E4C49">
              <w:rPr>
                <w:rFonts w:cstheme="minorHAnsi"/>
                <w:sz w:val="20"/>
                <w:szCs w:val="20"/>
              </w:rPr>
              <w:t xml:space="preserve"> </w:t>
            </w:r>
            <w:proofErr w:type="spellStart"/>
            <w:r w:rsidRPr="002E4C49">
              <w:rPr>
                <w:rFonts w:cstheme="minorHAnsi"/>
                <w:sz w:val="20"/>
                <w:szCs w:val="20"/>
              </w:rPr>
              <w:t>unutar</w:t>
            </w:r>
            <w:proofErr w:type="spellEnd"/>
            <w:r w:rsidRPr="002E4C49">
              <w:rPr>
                <w:rFonts w:cstheme="minorHAnsi"/>
                <w:sz w:val="20"/>
                <w:szCs w:val="20"/>
              </w:rPr>
              <w:t xml:space="preserve"> </w:t>
            </w:r>
            <w:proofErr w:type="spellStart"/>
            <w:r w:rsidRPr="002E4C49">
              <w:rPr>
                <w:rFonts w:cstheme="minorHAnsi"/>
                <w:sz w:val="20"/>
                <w:szCs w:val="20"/>
              </w:rPr>
              <w:t>objekata</w:t>
            </w:r>
            <w:proofErr w:type="spellEnd"/>
            <w:r w:rsidRPr="002E4C49">
              <w:rPr>
                <w:rFonts w:cstheme="minorHAnsi"/>
                <w:sz w:val="20"/>
                <w:szCs w:val="20"/>
              </w:rPr>
              <w:t xml:space="preserve">. </w:t>
            </w:r>
            <w:proofErr w:type="spellStart"/>
            <w:r w:rsidRPr="002E4C49">
              <w:rPr>
                <w:rFonts w:cstheme="minorHAnsi"/>
                <w:sz w:val="20"/>
                <w:szCs w:val="20"/>
              </w:rPr>
              <w:t>Javna</w:t>
            </w:r>
            <w:proofErr w:type="spellEnd"/>
            <w:r w:rsidRPr="002E4C49">
              <w:rPr>
                <w:rFonts w:cstheme="minorHAnsi"/>
                <w:sz w:val="20"/>
                <w:szCs w:val="20"/>
              </w:rPr>
              <w:t xml:space="preserve"> </w:t>
            </w:r>
            <w:proofErr w:type="spellStart"/>
            <w:r w:rsidRPr="002E4C49">
              <w:rPr>
                <w:rFonts w:cstheme="minorHAnsi"/>
                <w:sz w:val="20"/>
                <w:szCs w:val="20"/>
              </w:rPr>
              <w:t>preduzeća</w:t>
            </w:r>
            <w:proofErr w:type="spellEnd"/>
            <w:r w:rsidRPr="002E4C49">
              <w:rPr>
                <w:rFonts w:cstheme="minorHAnsi"/>
                <w:sz w:val="20"/>
                <w:szCs w:val="20"/>
              </w:rPr>
              <w:t xml:space="preserve"> </w:t>
            </w:r>
            <w:proofErr w:type="spellStart"/>
            <w:r w:rsidRPr="002E4C49">
              <w:rPr>
                <w:rFonts w:cstheme="minorHAnsi"/>
                <w:sz w:val="20"/>
                <w:szCs w:val="20"/>
              </w:rPr>
              <w:t>na</w:t>
            </w:r>
            <w:proofErr w:type="spellEnd"/>
            <w:r w:rsidRPr="002E4C49">
              <w:rPr>
                <w:rFonts w:cstheme="minorHAnsi"/>
                <w:sz w:val="20"/>
                <w:szCs w:val="20"/>
              </w:rPr>
              <w:t xml:space="preserve"> </w:t>
            </w:r>
            <w:proofErr w:type="spellStart"/>
            <w:r w:rsidRPr="002E4C49">
              <w:rPr>
                <w:rFonts w:cstheme="minorHAnsi"/>
                <w:sz w:val="20"/>
                <w:szCs w:val="20"/>
              </w:rPr>
              <w:t>lokalnom</w:t>
            </w:r>
            <w:proofErr w:type="spellEnd"/>
            <w:r w:rsidRPr="002E4C49">
              <w:rPr>
                <w:rFonts w:cstheme="minorHAnsi"/>
                <w:sz w:val="20"/>
                <w:szCs w:val="20"/>
              </w:rPr>
              <w:t xml:space="preserve"> </w:t>
            </w:r>
            <w:proofErr w:type="spellStart"/>
            <w:r w:rsidRPr="002E4C49">
              <w:rPr>
                <w:rFonts w:cstheme="minorHAnsi"/>
                <w:sz w:val="20"/>
                <w:szCs w:val="20"/>
              </w:rPr>
              <w:t>nivou</w:t>
            </w:r>
            <w:proofErr w:type="spellEnd"/>
            <w:r w:rsidRPr="002E4C49">
              <w:rPr>
                <w:rFonts w:cstheme="minorHAnsi"/>
                <w:sz w:val="20"/>
                <w:szCs w:val="20"/>
              </w:rPr>
              <w:t xml:space="preserve"> i </w:t>
            </w:r>
            <w:proofErr w:type="spellStart"/>
            <w:r w:rsidRPr="002E4C49">
              <w:rPr>
                <w:rFonts w:cstheme="minorHAnsi"/>
                <w:sz w:val="20"/>
                <w:szCs w:val="20"/>
              </w:rPr>
              <w:t>javna</w:t>
            </w:r>
            <w:proofErr w:type="spellEnd"/>
            <w:r w:rsidRPr="002E4C49">
              <w:rPr>
                <w:rFonts w:cstheme="minorHAnsi"/>
                <w:sz w:val="20"/>
                <w:szCs w:val="20"/>
              </w:rPr>
              <w:t xml:space="preserve"> </w:t>
            </w:r>
            <w:proofErr w:type="spellStart"/>
            <w:r w:rsidRPr="002E4C49">
              <w:rPr>
                <w:rFonts w:cstheme="minorHAnsi"/>
                <w:sz w:val="20"/>
                <w:szCs w:val="20"/>
              </w:rPr>
              <w:t>komunalna</w:t>
            </w:r>
            <w:proofErr w:type="spellEnd"/>
            <w:r w:rsidRPr="002E4C49">
              <w:rPr>
                <w:rFonts w:cstheme="minorHAnsi"/>
                <w:sz w:val="20"/>
                <w:szCs w:val="20"/>
              </w:rPr>
              <w:t xml:space="preserve"> </w:t>
            </w:r>
            <w:proofErr w:type="spellStart"/>
            <w:r w:rsidRPr="002E4C49">
              <w:rPr>
                <w:rFonts w:cstheme="minorHAnsi"/>
                <w:sz w:val="20"/>
                <w:szCs w:val="20"/>
              </w:rPr>
              <w:t>preduzeća</w:t>
            </w:r>
            <w:proofErr w:type="spellEnd"/>
            <w:r w:rsidRPr="002E4C49">
              <w:rPr>
                <w:rFonts w:cstheme="minorHAnsi"/>
                <w:sz w:val="20"/>
                <w:szCs w:val="20"/>
              </w:rPr>
              <w:t xml:space="preserve"> </w:t>
            </w:r>
            <w:proofErr w:type="spellStart"/>
            <w:r w:rsidRPr="002E4C49">
              <w:rPr>
                <w:rFonts w:cstheme="minorHAnsi"/>
                <w:sz w:val="20"/>
                <w:szCs w:val="20"/>
              </w:rPr>
              <w:t>na</w:t>
            </w:r>
            <w:proofErr w:type="spellEnd"/>
            <w:r w:rsidRPr="002E4C49">
              <w:rPr>
                <w:rFonts w:cstheme="minorHAnsi"/>
                <w:sz w:val="20"/>
                <w:szCs w:val="20"/>
              </w:rPr>
              <w:t xml:space="preserve"> </w:t>
            </w:r>
            <w:proofErr w:type="spellStart"/>
            <w:r w:rsidRPr="002E4C49">
              <w:rPr>
                <w:rFonts w:cstheme="minorHAnsi"/>
                <w:sz w:val="20"/>
                <w:szCs w:val="20"/>
              </w:rPr>
              <w:t>nivou</w:t>
            </w:r>
            <w:proofErr w:type="spellEnd"/>
            <w:r w:rsidRPr="002E4C49">
              <w:rPr>
                <w:rFonts w:cstheme="minorHAnsi"/>
                <w:sz w:val="20"/>
                <w:szCs w:val="20"/>
              </w:rPr>
              <w:t xml:space="preserve"> </w:t>
            </w:r>
            <w:proofErr w:type="spellStart"/>
            <w:r w:rsidRPr="002E4C49">
              <w:rPr>
                <w:rFonts w:cstheme="minorHAnsi"/>
                <w:sz w:val="20"/>
                <w:szCs w:val="20"/>
              </w:rPr>
              <w:t>kantona</w:t>
            </w:r>
            <w:proofErr w:type="spellEnd"/>
            <w:r w:rsidRPr="002E4C49">
              <w:rPr>
                <w:rFonts w:cstheme="minorHAnsi"/>
                <w:sz w:val="20"/>
                <w:szCs w:val="20"/>
              </w:rPr>
              <w:t xml:space="preserve">, se </w:t>
            </w:r>
            <w:proofErr w:type="spellStart"/>
            <w:r w:rsidRPr="002E4C49">
              <w:rPr>
                <w:rFonts w:cstheme="minorHAnsi"/>
                <w:sz w:val="20"/>
                <w:szCs w:val="20"/>
              </w:rPr>
              <w:t>trebaju</w:t>
            </w:r>
            <w:proofErr w:type="spellEnd"/>
            <w:r w:rsidRPr="002E4C49">
              <w:rPr>
                <w:rFonts w:cstheme="minorHAnsi"/>
                <w:sz w:val="20"/>
                <w:szCs w:val="20"/>
              </w:rPr>
              <w:t xml:space="preserve"> </w:t>
            </w:r>
            <w:proofErr w:type="spellStart"/>
            <w:r w:rsidR="00F03625" w:rsidRPr="002E4C49">
              <w:rPr>
                <w:rFonts w:cstheme="minorHAnsi"/>
                <w:sz w:val="20"/>
                <w:szCs w:val="20"/>
              </w:rPr>
              <w:t>obvez</w:t>
            </w:r>
            <w:r w:rsidRPr="002E4C49">
              <w:rPr>
                <w:rFonts w:cstheme="minorHAnsi"/>
                <w:sz w:val="20"/>
                <w:szCs w:val="20"/>
              </w:rPr>
              <w:t>ati</w:t>
            </w:r>
            <w:proofErr w:type="spellEnd"/>
            <w:r w:rsidRPr="002E4C49">
              <w:rPr>
                <w:rFonts w:cstheme="minorHAnsi"/>
                <w:sz w:val="20"/>
                <w:szCs w:val="20"/>
              </w:rPr>
              <w:t xml:space="preserve"> </w:t>
            </w:r>
            <w:proofErr w:type="spellStart"/>
            <w:r w:rsidRPr="002E4C49">
              <w:rPr>
                <w:rFonts w:cstheme="minorHAnsi"/>
                <w:sz w:val="20"/>
                <w:szCs w:val="20"/>
              </w:rPr>
              <w:t>na</w:t>
            </w:r>
            <w:proofErr w:type="spellEnd"/>
            <w:r w:rsidRPr="002E4C49">
              <w:rPr>
                <w:rFonts w:cstheme="minorHAnsi"/>
                <w:sz w:val="20"/>
                <w:szCs w:val="20"/>
              </w:rPr>
              <w:t xml:space="preserve"> </w:t>
            </w:r>
            <w:proofErr w:type="spellStart"/>
            <w:r w:rsidRPr="002E4C49">
              <w:rPr>
                <w:rFonts w:cstheme="minorHAnsi"/>
                <w:sz w:val="20"/>
                <w:szCs w:val="20"/>
              </w:rPr>
              <w:t>donošenje</w:t>
            </w:r>
            <w:proofErr w:type="spellEnd"/>
            <w:r w:rsidRPr="002E4C49">
              <w:rPr>
                <w:rFonts w:cstheme="minorHAnsi"/>
                <w:sz w:val="20"/>
                <w:szCs w:val="20"/>
              </w:rPr>
              <w:t xml:space="preserve"> </w:t>
            </w:r>
            <w:proofErr w:type="spellStart"/>
            <w:r w:rsidRPr="002E4C49">
              <w:rPr>
                <w:rFonts w:cstheme="minorHAnsi"/>
                <w:sz w:val="20"/>
                <w:szCs w:val="20"/>
              </w:rPr>
              <w:t>planova</w:t>
            </w:r>
            <w:proofErr w:type="spellEnd"/>
            <w:r w:rsidRPr="002E4C49">
              <w:rPr>
                <w:rFonts w:cstheme="minorHAnsi"/>
                <w:sz w:val="20"/>
                <w:szCs w:val="20"/>
              </w:rPr>
              <w:t xml:space="preserve"> razvoja </w:t>
            </w:r>
            <w:proofErr w:type="spellStart"/>
            <w:r w:rsidRPr="002E4C49">
              <w:rPr>
                <w:rFonts w:cstheme="minorHAnsi"/>
                <w:sz w:val="20"/>
                <w:szCs w:val="20"/>
              </w:rPr>
              <w:t>daljinskih</w:t>
            </w:r>
            <w:proofErr w:type="spellEnd"/>
            <w:r w:rsidRPr="002E4C49">
              <w:rPr>
                <w:rFonts w:cstheme="minorHAnsi"/>
                <w:sz w:val="20"/>
                <w:szCs w:val="20"/>
              </w:rPr>
              <w:t xml:space="preserve"> </w:t>
            </w:r>
            <w:proofErr w:type="spellStart"/>
            <w:proofErr w:type="gramStart"/>
            <w:r w:rsidRPr="002E4C49">
              <w:rPr>
                <w:rFonts w:cstheme="minorHAnsi"/>
                <w:sz w:val="20"/>
                <w:szCs w:val="20"/>
              </w:rPr>
              <w:t>grijanja</w:t>
            </w:r>
            <w:proofErr w:type="spellEnd"/>
            <w:r w:rsidRPr="002E4C49">
              <w:rPr>
                <w:rFonts w:cstheme="minorHAnsi"/>
                <w:sz w:val="20"/>
                <w:szCs w:val="20"/>
              </w:rPr>
              <w:t xml:space="preserve">“ </w:t>
            </w:r>
            <w:proofErr w:type="spellStart"/>
            <w:r w:rsidRPr="002E4C49">
              <w:rPr>
                <w:rFonts w:cstheme="minorHAnsi"/>
                <w:sz w:val="20"/>
                <w:szCs w:val="20"/>
              </w:rPr>
              <w:t>na</w:t>
            </w:r>
            <w:proofErr w:type="spellEnd"/>
            <w:proofErr w:type="gramEnd"/>
            <w:r w:rsidRPr="002E4C49">
              <w:rPr>
                <w:rFonts w:cstheme="minorHAnsi"/>
                <w:sz w:val="20"/>
                <w:szCs w:val="20"/>
              </w:rPr>
              <w:t xml:space="preserve"> </w:t>
            </w:r>
            <w:proofErr w:type="spellStart"/>
            <w:r w:rsidRPr="002E4C49">
              <w:rPr>
                <w:rFonts w:cstheme="minorHAnsi"/>
                <w:sz w:val="20"/>
                <w:szCs w:val="20"/>
              </w:rPr>
              <w:t>kantonalnim</w:t>
            </w:r>
            <w:proofErr w:type="spellEnd"/>
            <w:r w:rsidRPr="002E4C49">
              <w:rPr>
                <w:rFonts w:cstheme="minorHAnsi"/>
                <w:sz w:val="20"/>
                <w:szCs w:val="20"/>
              </w:rPr>
              <w:t xml:space="preserve"> </w:t>
            </w:r>
            <w:proofErr w:type="spellStart"/>
            <w:r w:rsidRPr="002E4C49">
              <w:rPr>
                <w:rFonts w:cstheme="minorHAnsi"/>
                <w:sz w:val="20"/>
                <w:szCs w:val="20"/>
              </w:rPr>
              <w:t>nivoima</w:t>
            </w:r>
            <w:proofErr w:type="spellEnd"/>
            <w:r w:rsidRPr="002E4C49">
              <w:rPr>
                <w:rFonts w:cstheme="minorHAnsi"/>
                <w:sz w:val="20"/>
                <w:szCs w:val="20"/>
              </w:rPr>
              <w:t xml:space="preserve">  </w:t>
            </w:r>
            <w:proofErr w:type="spellStart"/>
            <w:r w:rsidRPr="002E4C49">
              <w:rPr>
                <w:rFonts w:cstheme="minorHAnsi"/>
                <w:sz w:val="20"/>
                <w:szCs w:val="20"/>
              </w:rPr>
              <w:t>uvođenja</w:t>
            </w:r>
            <w:proofErr w:type="spellEnd"/>
            <w:r w:rsidRPr="002E4C49">
              <w:rPr>
                <w:rFonts w:cstheme="minorHAnsi"/>
                <w:sz w:val="20"/>
                <w:szCs w:val="20"/>
              </w:rPr>
              <w:t xml:space="preserve"> </w:t>
            </w:r>
            <w:proofErr w:type="spellStart"/>
            <w:r w:rsidRPr="002E4C49">
              <w:rPr>
                <w:rFonts w:cstheme="minorHAnsi"/>
                <w:sz w:val="20"/>
                <w:szCs w:val="20"/>
              </w:rPr>
              <w:t>tarifnih</w:t>
            </w:r>
            <w:proofErr w:type="spellEnd"/>
            <w:r w:rsidRPr="002E4C49">
              <w:rPr>
                <w:rFonts w:cstheme="minorHAnsi"/>
                <w:sz w:val="20"/>
                <w:szCs w:val="20"/>
              </w:rPr>
              <w:t xml:space="preserve"> </w:t>
            </w:r>
            <w:proofErr w:type="spellStart"/>
            <w:r w:rsidRPr="002E4C49">
              <w:rPr>
                <w:rFonts w:cstheme="minorHAnsi"/>
                <w:sz w:val="20"/>
                <w:szCs w:val="20"/>
              </w:rPr>
              <w:t>modela</w:t>
            </w:r>
            <w:proofErr w:type="spellEnd"/>
            <w:r w:rsidRPr="002E4C49">
              <w:rPr>
                <w:rFonts w:cstheme="minorHAnsi"/>
                <w:sz w:val="20"/>
                <w:szCs w:val="20"/>
              </w:rPr>
              <w:t xml:space="preserve"> o </w:t>
            </w:r>
            <w:proofErr w:type="spellStart"/>
            <w:r w:rsidRPr="002E4C49">
              <w:rPr>
                <w:rFonts w:cstheme="minorHAnsi"/>
                <w:sz w:val="20"/>
                <w:szCs w:val="20"/>
              </w:rPr>
              <w:t>mjerenju</w:t>
            </w:r>
            <w:proofErr w:type="spellEnd"/>
            <w:r w:rsidRPr="002E4C49">
              <w:rPr>
                <w:rFonts w:cstheme="minorHAnsi"/>
                <w:sz w:val="20"/>
                <w:szCs w:val="20"/>
              </w:rPr>
              <w:t xml:space="preserve"> </w:t>
            </w:r>
            <w:proofErr w:type="spellStart"/>
            <w:r w:rsidRPr="002E4C49">
              <w:rPr>
                <w:rFonts w:cstheme="minorHAnsi"/>
                <w:sz w:val="20"/>
                <w:szCs w:val="20"/>
              </w:rPr>
              <w:t>stvarne</w:t>
            </w:r>
            <w:proofErr w:type="spellEnd"/>
            <w:r w:rsidRPr="002E4C49">
              <w:rPr>
                <w:rFonts w:cstheme="minorHAnsi"/>
                <w:sz w:val="20"/>
                <w:szCs w:val="20"/>
              </w:rPr>
              <w:t xml:space="preserve"> </w:t>
            </w:r>
            <w:proofErr w:type="spellStart"/>
            <w:r w:rsidRPr="002E4C49">
              <w:rPr>
                <w:rFonts w:cstheme="minorHAnsi"/>
                <w:sz w:val="20"/>
                <w:szCs w:val="20"/>
              </w:rPr>
              <w:t>potrošnje</w:t>
            </w:r>
            <w:proofErr w:type="spellEnd"/>
            <w:r w:rsidRPr="002E4C49">
              <w:rPr>
                <w:rFonts w:cstheme="minorHAnsi"/>
                <w:sz w:val="20"/>
                <w:szCs w:val="20"/>
              </w:rPr>
              <w:t xml:space="preserve"> energije u </w:t>
            </w:r>
            <w:proofErr w:type="spellStart"/>
            <w:r w:rsidRPr="002E4C49">
              <w:rPr>
                <w:rFonts w:cstheme="minorHAnsi"/>
                <w:sz w:val="20"/>
                <w:szCs w:val="20"/>
              </w:rPr>
              <w:t>sistemima</w:t>
            </w:r>
            <w:proofErr w:type="spellEnd"/>
            <w:r w:rsidRPr="002E4C49">
              <w:rPr>
                <w:rFonts w:cstheme="minorHAnsi"/>
                <w:sz w:val="20"/>
                <w:szCs w:val="20"/>
              </w:rPr>
              <w:t xml:space="preserve"> </w:t>
            </w:r>
            <w:proofErr w:type="spellStart"/>
            <w:r w:rsidRPr="002E4C49">
              <w:rPr>
                <w:rFonts w:cstheme="minorHAnsi"/>
                <w:sz w:val="20"/>
                <w:szCs w:val="20"/>
              </w:rPr>
              <w:t>daljinskih</w:t>
            </w:r>
            <w:proofErr w:type="spellEnd"/>
            <w:r w:rsidRPr="002E4C49">
              <w:rPr>
                <w:rFonts w:cstheme="minorHAnsi"/>
                <w:sz w:val="20"/>
                <w:szCs w:val="20"/>
              </w:rPr>
              <w:t xml:space="preserve"> </w:t>
            </w:r>
            <w:proofErr w:type="spellStart"/>
            <w:r w:rsidRPr="002E4C49">
              <w:rPr>
                <w:rFonts w:cstheme="minorHAnsi"/>
                <w:sz w:val="20"/>
                <w:szCs w:val="20"/>
              </w:rPr>
              <w:t>grijanja</w:t>
            </w:r>
            <w:proofErr w:type="spellEnd"/>
            <w:r w:rsidRPr="002E4C49">
              <w:rPr>
                <w:rFonts w:cstheme="minorHAnsi"/>
                <w:sz w:val="20"/>
                <w:szCs w:val="20"/>
              </w:rPr>
              <w:t xml:space="preserve">, u </w:t>
            </w:r>
            <w:proofErr w:type="spellStart"/>
            <w:r w:rsidRPr="002E4C49">
              <w:rPr>
                <w:rFonts w:cstheme="minorHAnsi"/>
                <w:sz w:val="20"/>
                <w:szCs w:val="20"/>
              </w:rPr>
              <w:t>cilju</w:t>
            </w:r>
            <w:proofErr w:type="spellEnd"/>
            <w:r w:rsidRPr="002E4C49">
              <w:rPr>
                <w:rFonts w:cstheme="minorHAnsi"/>
                <w:sz w:val="20"/>
                <w:szCs w:val="20"/>
              </w:rPr>
              <w:t xml:space="preserve"> </w:t>
            </w:r>
            <w:proofErr w:type="spellStart"/>
            <w:r w:rsidRPr="002E4C49">
              <w:rPr>
                <w:rFonts w:cstheme="minorHAnsi"/>
                <w:sz w:val="20"/>
                <w:szCs w:val="20"/>
              </w:rPr>
              <w:t>efikasnijeg</w:t>
            </w:r>
            <w:proofErr w:type="spellEnd"/>
            <w:r w:rsidRPr="002E4C49">
              <w:rPr>
                <w:rFonts w:cstheme="minorHAnsi"/>
                <w:sz w:val="20"/>
                <w:szCs w:val="20"/>
              </w:rPr>
              <w:t xml:space="preserve"> </w:t>
            </w:r>
            <w:proofErr w:type="spellStart"/>
            <w:r w:rsidRPr="002E4C49">
              <w:rPr>
                <w:rFonts w:cstheme="minorHAnsi"/>
                <w:sz w:val="20"/>
                <w:szCs w:val="20"/>
              </w:rPr>
              <w:t>korištenja</w:t>
            </w:r>
            <w:proofErr w:type="spellEnd"/>
            <w:r w:rsidRPr="002E4C49">
              <w:rPr>
                <w:rFonts w:cstheme="minorHAnsi"/>
                <w:sz w:val="20"/>
                <w:szCs w:val="20"/>
              </w:rPr>
              <w:t xml:space="preserve"> </w:t>
            </w:r>
            <w:proofErr w:type="spellStart"/>
            <w:r w:rsidRPr="002E4C49">
              <w:rPr>
                <w:rFonts w:cstheme="minorHAnsi"/>
                <w:sz w:val="20"/>
                <w:szCs w:val="20"/>
              </w:rPr>
              <w:t>toplotne</w:t>
            </w:r>
            <w:proofErr w:type="spellEnd"/>
            <w:r w:rsidRPr="002E4C49">
              <w:rPr>
                <w:rFonts w:cstheme="minorHAnsi"/>
                <w:sz w:val="20"/>
                <w:szCs w:val="20"/>
              </w:rPr>
              <w:t xml:space="preserve"> energije </w:t>
            </w:r>
            <w:proofErr w:type="spellStart"/>
            <w:r w:rsidRPr="002E4C49">
              <w:rPr>
                <w:rFonts w:cstheme="minorHAnsi"/>
                <w:sz w:val="20"/>
                <w:szCs w:val="20"/>
              </w:rPr>
              <w:t>te</w:t>
            </w:r>
            <w:proofErr w:type="spellEnd"/>
            <w:r w:rsidRPr="002E4C49">
              <w:rPr>
                <w:rFonts w:cstheme="minorHAnsi"/>
                <w:sz w:val="20"/>
                <w:szCs w:val="20"/>
              </w:rPr>
              <w:t xml:space="preserve"> </w:t>
            </w:r>
            <w:proofErr w:type="spellStart"/>
            <w:r w:rsidRPr="002E4C49">
              <w:rPr>
                <w:rFonts w:cstheme="minorHAnsi"/>
                <w:sz w:val="20"/>
                <w:szCs w:val="20"/>
              </w:rPr>
              <w:t>smanjenja</w:t>
            </w:r>
            <w:proofErr w:type="spellEnd"/>
            <w:r w:rsidRPr="002E4C49">
              <w:rPr>
                <w:rFonts w:cstheme="minorHAnsi"/>
                <w:sz w:val="20"/>
                <w:szCs w:val="20"/>
              </w:rPr>
              <w:t xml:space="preserve"> </w:t>
            </w:r>
            <w:proofErr w:type="spellStart"/>
            <w:r w:rsidRPr="002E4C49">
              <w:rPr>
                <w:rFonts w:cstheme="minorHAnsi"/>
                <w:sz w:val="20"/>
                <w:szCs w:val="20"/>
              </w:rPr>
              <w:t>pregrijavanja</w:t>
            </w:r>
            <w:proofErr w:type="spellEnd"/>
            <w:r w:rsidRPr="002E4C49">
              <w:rPr>
                <w:rFonts w:cstheme="minorHAnsi"/>
                <w:sz w:val="20"/>
                <w:szCs w:val="20"/>
              </w:rPr>
              <w:t xml:space="preserve"> i </w:t>
            </w:r>
            <w:proofErr w:type="spellStart"/>
            <w:r w:rsidRPr="002E4C49">
              <w:rPr>
                <w:rFonts w:cstheme="minorHAnsi"/>
                <w:sz w:val="20"/>
                <w:szCs w:val="20"/>
              </w:rPr>
              <w:t>pothlađivanja</w:t>
            </w:r>
            <w:proofErr w:type="spellEnd"/>
            <w:r w:rsidRPr="002E4C49">
              <w:rPr>
                <w:rFonts w:cstheme="minorHAnsi"/>
                <w:sz w:val="20"/>
                <w:szCs w:val="20"/>
              </w:rPr>
              <w:t xml:space="preserve"> </w:t>
            </w:r>
            <w:proofErr w:type="spellStart"/>
            <w:r w:rsidRPr="002E4C49">
              <w:rPr>
                <w:rFonts w:cstheme="minorHAnsi"/>
                <w:sz w:val="20"/>
                <w:szCs w:val="20"/>
              </w:rPr>
              <w:t>prostora</w:t>
            </w:r>
            <w:proofErr w:type="spellEnd"/>
            <w:r w:rsidRPr="002E4C49">
              <w:rPr>
                <w:rFonts w:cstheme="minorHAnsi"/>
                <w:sz w:val="20"/>
                <w:szCs w:val="20"/>
              </w:rPr>
              <w:t xml:space="preserve">, </w:t>
            </w:r>
            <w:proofErr w:type="spellStart"/>
            <w:r w:rsidRPr="002E4C49">
              <w:rPr>
                <w:rFonts w:cstheme="minorHAnsi"/>
                <w:sz w:val="20"/>
                <w:szCs w:val="20"/>
              </w:rPr>
              <w:t>odnosno</w:t>
            </w:r>
            <w:proofErr w:type="spellEnd"/>
            <w:r w:rsidRPr="002E4C49">
              <w:rPr>
                <w:rFonts w:cstheme="minorHAnsi"/>
                <w:sz w:val="20"/>
                <w:szCs w:val="20"/>
              </w:rPr>
              <w:t xml:space="preserve"> </w:t>
            </w:r>
            <w:proofErr w:type="spellStart"/>
            <w:r w:rsidRPr="002E4C49">
              <w:rPr>
                <w:rFonts w:cstheme="minorHAnsi"/>
                <w:sz w:val="20"/>
                <w:szCs w:val="20"/>
              </w:rPr>
              <w:t>povećanja</w:t>
            </w:r>
            <w:proofErr w:type="spellEnd"/>
            <w:r w:rsidRPr="002E4C49">
              <w:rPr>
                <w:rFonts w:cstheme="minorHAnsi"/>
                <w:sz w:val="20"/>
                <w:szCs w:val="20"/>
              </w:rPr>
              <w:t xml:space="preserve"> </w:t>
            </w:r>
            <w:proofErr w:type="spellStart"/>
            <w:r w:rsidRPr="002E4C49">
              <w:rPr>
                <w:rFonts w:cstheme="minorHAnsi"/>
                <w:sz w:val="20"/>
                <w:szCs w:val="20"/>
              </w:rPr>
              <w:t>toplotnog</w:t>
            </w:r>
            <w:proofErr w:type="spellEnd"/>
            <w:r w:rsidRPr="002E4C49">
              <w:rPr>
                <w:rFonts w:cstheme="minorHAnsi"/>
                <w:sz w:val="20"/>
                <w:szCs w:val="20"/>
              </w:rPr>
              <w:t xml:space="preserve"> </w:t>
            </w:r>
            <w:proofErr w:type="spellStart"/>
            <w:r w:rsidRPr="002E4C49">
              <w:rPr>
                <w:rFonts w:cstheme="minorHAnsi"/>
                <w:sz w:val="20"/>
                <w:szCs w:val="20"/>
              </w:rPr>
              <w:t>komfora</w:t>
            </w:r>
            <w:proofErr w:type="spellEnd"/>
            <w:r w:rsidRPr="002E4C49">
              <w:rPr>
                <w:rFonts w:cstheme="minorHAnsi"/>
                <w:sz w:val="20"/>
                <w:szCs w:val="20"/>
              </w:rPr>
              <w:t xml:space="preserve"> </w:t>
            </w:r>
            <w:proofErr w:type="spellStart"/>
            <w:r w:rsidRPr="002E4C49">
              <w:rPr>
                <w:rFonts w:cstheme="minorHAnsi"/>
                <w:sz w:val="20"/>
                <w:szCs w:val="20"/>
              </w:rPr>
              <w:t>unutar</w:t>
            </w:r>
            <w:proofErr w:type="spellEnd"/>
            <w:r w:rsidRPr="002E4C49">
              <w:rPr>
                <w:rFonts w:cstheme="minorHAnsi"/>
                <w:sz w:val="20"/>
                <w:szCs w:val="20"/>
              </w:rPr>
              <w:t xml:space="preserve"> </w:t>
            </w:r>
            <w:proofErr w:type="spellStart"/>
            <w:r w:rsidRPr="002E4C49">
              <w:rPr>
                <w:rFonts w:cstheme="minorHAnsi"/>
                <w:sz w:val="20"/>
                <w:szCs w:val="20"/>
              </w:rPr>
              <w:t>zgrada</w:t>
            </w:r>
            <w:proofErr w:type="spellEnd"/>
            <w:r w:rsidRPr="002E4C49">
              <w:rPr>
                <w:rFonts w:cstheme="minorHAnsi"/>
                <w:sz w:val="20"/>
                <w:szCs w:val="20"/>
              </w:rPr>
              <w:t xml:space="preserve">. </w:t>
            </w:r>
          </w:p>
          <w:p w14:paraId="2243D468" w14:textId="77777777" w:rsidR="00A00D87" w:rsidRPr="001972F5" w:rsidRDefault="00A00D87" w:rsidP="00E6560A">
            <w:pPr>
              <w:spacing w:line="259" w:lineRule="auto"/>
              <w:ind w:left="1" w:right="32"/>
              <w:jc w:val="both"/>
              <w:rPr>
                <w:rFonts w:cstheme="minorHAnsi"/>
                <w:sz w:val="20"/>
                <w:szCs w:val="20"/>
                <w:lang w:val="fi-FI"/>
              </w:rPr>
            </w:pPr>
            <w:r w:rsidRPr="001972F5">
              <w:rPr>
                <w:rFonts w:cstheme="minorHAnsi"/>
                <w:sz w:val="20"/>
                <w:szCs w:val="20"/>
                <w:lang w:val="fi-FI"/>
              </w:rPr>
              <w:t>Aktivnosti planirane u sklopu ove mjere su:</w:t>
            </w:r>
          </w:p>
          <w:p w14:paraId="1F385A26" w14:textId="77777777" w:rsidR="00A00D87" w:rsidRPr="002E4C49" w:rsidRDefault="00A00D87" w:rsidP="00581C1C">
            <w:pPr>
              <w:pStyle w:val="ListParagraph"/>
              <w:numPr>
                <w:ilvl w:val="0"/>
                <w:numId w:val="52"/>
              </w:numPr>
              <w:spacing w:line="259" w:lineRule="auto"/>
              <w:jc w:val="both"/>
              <w:rPr>
                <w:rFonts w:cstheme="minorHAnsi"/>
                <w:sz w:val="20"/>
                <w:szCs w:val="20"/>
              </w:rPr>
            </w:pPr>
            <w:r w:rsidRPr="002E4C49">
              <w:rPr>
                <w:rFonts w:cstheme="minorHAnsi"/>
                <w:sz w:val="20"/>
                <w:szCs w:val="20"/>
              </w:rPr>
              <w:t>Izrada i usvajanje „Smjernica razvoja sistema daljinskih grijanja (centralizacija i modernizacije sistema grijanja), hlađenja i ventilacije te pripreme PTV uz primjenu obnovljivih izvora energije na području FBiH, za period do 2030. godine“ , te kontinuirano ažuriranje iste;</w:t>
            </w:r>
          </w:p>
          <w:p w14:paraId="4FE71867" w14:textId="77777777" w:rsidR="00A00D87" w:rsidRPr="002E4C49" w:rsidRDefault="00A00D87" w:rsidP="00581C1C">
            <w:pPr>
              <w:pStyle w:val="ListParagraph"/>
              <w:numPr>
                <w:ilvl w:val="0"/>
                <w:numId w:val="52"/>
              </w:numPr>
              <w:spacing w:line="259" w:lineRule="auto"/>
              <w:jc w:val="both"/>
              <w:rPr>
                <w:rFonts w:cstheme="minorHAnsi"/>
                <w:sz w:val="20"/>
                <w:szCs w:val="20"/>
              </w:rPr>
            </w:pPr>
            <w:r w:rsidRPr="002E4C49">
              <w:rPr>
                <w:rFonts w:cstheme="minorHAnsi"/>
                <w:sz w:val="20"/>
                <w:szCs w:val="20"/>
              </w:rPr>
              <w:t>Donošenja planova razvoja daljinskih grijanja na kantonalnim nivoima, u skladu sa Smjernicama;</w:t>
            </w:r>
          </w:p>
          <w:p w14:paraId="6FA014E3" w14:textId="77777777" w:rsidR="00A00D87" w:rsidRPr="002E4C49" w:rsidRDefault="00A00D87" w:rsidP="00581C1C">
            <w:pPr>
              <w:pStyle w:val="ListParagraph"/>
              <w:numPr>
                <w:ilvl w:val="0"/>
                <w:numId w:val="52"/>
              </w:numPr>
              <w:jc w:val="both"/>
              <w:rPr>
                <w:rFonts w:cstheme="minorHAnsi"/>
                <w:sz w:val="20"/>
                <w:szCs w:val="20"/>
              </w:rPr>
            </w:pPr>
            <w:r w:rsidRPr="002E4C49">
              <w:rPr>
                <w:rFonts w:cstheme="minorHAnsi"/>
                <w:sz w:val="20"/>
                <w:szCs w:val="20"/>
              </w:rPr>
              <w:t>Donošenje propisa odnosno tarifnog modela,  kojima omogućava korištenje usluga sistema daljinskih grijanja na način da se obračun i plaćanje vrši na osnovu mjerenja potrošnje toplotne energije;</w:t>
            </w:r>
          </w:p>
          <w:p w14:paraId="6B4E30C3" w14:textId="77777777" w:rsidR="00A00D87" w:rsidRPr="002E4C49" w:rsidRDefault="00A00D87" w:rsidP="00581C1C">
            <w:pPr>
              <w:pStyle w:val="ListParagraph"/>
              <w:numPr>
                <w:ilvl w:val="0"/>
                <w:numId w:val="52"/>
              </w:numPr>
              <w:spacing w:line="259" w:lineRule="auto"/>
              <w:jc w:val="both"/>
              <w:rPr>
                <w:rFonts w:cstheme="minorHAnsi"/>
                <w:sz w:val="20"/>
                <w:szCs w:val="20"/>
              </w:rPr>
            </w:pPr>
            <w:r w:rsidRPr="002E4C49">
              <w:rPr>
                <w:rFonts w:cstheme="minorHAnsi"/>
                <w:sz w:val="20"/>
                <w:szCs w:val="20"/>
              </w:rPr>
              <w:t>Utvrđivanje i donošenje zakonskih propisa kojima se utvrđuju i ispunjavaju kriteriji i procedure za odobrenja novih proizvodnih kapaciteta, u skladu sa odredbama člana 7. Direktive 2009/72/EU o električnoj energiji i člana 14(5) Direktive 2012/72/EU;</w:t>
            </w:r>
          </w:p>
          <w:p w14:paraId="31B1A30D" w14:textId="77777777" w:rsidR="00A00D87" w:rsidRPr="002E4C49" w:rsidRDefault="00A00D87" w:rsidP="00581C1C">
            <w:pPr>
              <w:pStyle w:val="ListParagraph"/>
              <w:numPr>
                <w:ilvl w:val="0"/>
                <w:numId w:val="52"/>
              </w:numPr>
              <w:spacing w:line="259" w:lineRule="auto"/>
              <w:jc w:val="both"/>
              <w:rPr>
                <w:rFonts w:cstheme="minorHAnsi"/>
                <w:sz w:val="20"/>
                <w:szCs w:val="20"/>
              </w:rPr>
            </w:pPr>
            <w:r w:rsidRPr="002E4C49">
              <w:rPr>
                <w:rFonts w:cstheme="minorHAnsi"/>
                <w:color w:val="000000"/>
                <w:sz w:val="20"/>
                <w:szCs w:val="20"/>
              </w:rPr>
              <w:t>Izmjena i dopuna podzakonske regulative za omogućavanje prioritetnog pristupa i donošenje pravila dispečiranja za visokoefikasnu kogeneraciju i potpuno usaglašavanje sa zahtjevima EED;</w:t>
            </w:r>
          </w:p>
          <w:p w14:paraId="06C8E718" w14:textId="77777777" w:rsidR="00A00D87" w:rsidRPr="002E4C49" w:rsidRDefault="00A00D87" w:rsidP="00581C1C">
            <w:pPr>
              <w:pStyle w:val="ListParagraph"/>
              <w:numPr>
                <w:ilvl w:val="0"/>
                <w:numId w:val="52"/>
              </w:numPr>
              <w:jc w:val="both"/>
              <w:rPr>
                <w:rFonts w:cstheme="minorHAnsi"/>
                <w:sz w:val="20"/>
                <w:szCs w:val="20"/>
              </w:rPr>
            </w:pPr>
            <w:r w:rsidRPr="002E4C49">
              <w:rPr>
                <w:rFonts w:cstheme="minorHAnsi"/>
                <w:sz w:val="20"/>
                <w:szCs w:val="20"/>
              </w:rPr>
              <w:t>Stimuliranje korištenja okolinski prihvatljivijeg goriva i jačanje inspekcijskih nadzora na svim nivoima, posebno masovnih zagađivača;</w:t>
            </w:r>
          </w:p>
          <w:p w14:paraId="64562E20" w14:textId="77777777" w:rsidR="00A00D87" w:rsidRPr="002E4C49" w:rsidRDefault="00A00D87" w:rsidP="00581C1C">
            <w:pPr>
              <w:pStyle w:val="ListParagraph"/>
              <w:numPr>
                <w:ilvl w:val="0"/>
                <w:numId w:val="52"/>
              </w:numPr>
              <w:jc w:val="both"/>
              <w:rPr>
                <w:rFonts w:cstheme="minorHAnsi"/>
                <w:sz w:val="20"/>
                <w:szCs w:val="20"/>
              </w:rPr>
            </w:pPr>
            <w:r w:rsidRPr="002E4C49">
              <w:rPr>
                <w:rFonts w:cstheme="minorHAnsi"/>
                <w:sz w:val="20"/>
                <w:szCs w:val="20"/>
              </w:rPr>
              <w:t>Uspostavljanje programa subvencioniranja najugroženijih domaćinstava za prelazak sa sistema grijanja na fosilna  goriva na okolinsko prihvatljivije energente.</w:t>
            </w:r>
          </w:p>
        </w:tc>
      </w:tr>
      <w:tr w:rsidR="00A00D87" w:rsidRPr="002E4C49" w14:paraId="4826B0DF" w14:textId="77777777" w:rsidTr="006D442E">
        <w:trPr>
          <w:trHeight w:val="217"/>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D4BC05C"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Strateški</w:t>
            </w:r>
            <w:proofErr w:type="spellEnd"/>
            <w:r w:rsidRPr="002E4C49">
              <w:rPr>
                <w:rFonts w:cstheme="minorHAnsi"/>
                <w:b/>
                <w:sz w:val="20"/>
                <w:szCs w:val="20"/>
              </w:rPr>
              <w:t xml:space="preserve"> </w:t>
            </w:r>
            <w:proofErr w:type="spellStart"/>
            <w:r w:rsidRPr="002E4C49">
              <w:rPr>
                <w:rFonts w:cstheme="minorHAnsi"/>
                <w:b/>
                <w:sz w:val="20"/>
                <w:szCs w:val="20"/>
              </w:rPr>
              <w:t>projekti</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tcPr>
          <w:p w14:paraId="6E1F770A" w14:textId="77777777" w:rsidR="00A00D87" w:rsidRPr="002E4C49" w:rsidRDefault="00A00D87" w:rsidP="00122946">
            <w:pPr>
              <w:spacing w:line="259" w:lineRule="auto"/>
              <w:ind w:left="1"/>
              <w:rPr>
                <w:rFonts w:cstheme="minorHAnsi"/>
                <w:sz w:val="20"/>
                <w:szCs w:val="20"/>
              </w:rPr>
            </w:pPr>
            <w:r w:rsidRPr="002E4C49">
              <w:rPr>
                <w:rFonts w:cstheme="minorHAnsi"/>
                <w:sz w:val="20"/>
                <w:szCs w:val="20"/>
              </w:rPr>
              <w:t xml:space="preserve"> -</w:t>
            </w:r>
          </w:p>
        </w:tc>
      </w:tr>
      <w:tr w:rsidR="00A00D87" w:rsidRPr="002E4C49" w14:paraId="5E01014D" w14:textId="77777777" w:rsidTr="006D442E">
        <w:trPr>
          <w:trHeight w:val="423"/>
        </w:trPr>
        <w:tc>
          <w:tcPr>
            <w:tcW w:w="173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0F5C26C4"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Indikatori</w:t>
            </w:r>
            <w:proofErr w:type="spellEnd"/>
            <w:r w:rsidRPr="002E4C49">
              <w:rPr>
                <w:rFonts w:cstheme="minorHAnsi"/>
                <w:b/>
                <w:sz w:val="20"/>
                <w:szCs w:val="20"/>
              </w:rPr>
              <w:t xml:space="preserve"> za </w:t>
            </w:r>
            <w:proofErr w:type="spellStart"/>
            <w:r w:rsidRPr="002E4C49">
              <w:rPr>
                <w:rFonts w:cstheme="minorHAnsi"/>
                <w:b/>
                <w:sz w:val="20"/>
                <w:szCs w:val="20"/>
              </w:rPr>
              <w:t>praćenje</w:t>
            </w:r>
            <w:proofErr w:type="spellEnd"/>
            <w:r w:rsidRPr="002E4C49">
              <w:rPr>
                <w:rFonts w:cstheme="minorHAnsi"/>
                <w:b/>
                <w:sz w:val="20"/>
                <w:szCs w:val="20"/>
              </w:rPr>
              <w:t xml:space="preserve"> </w:t>
            </w:r>
            <w:proofErr w:type="spellStart"/>
            <w:r w:rsidRPr="002E4C49">
              <w:rPr>
                <w:rFonts w:cstheme="minorHAnsi"/>
                <w:b/>
                <w:sz w:val="20"/>
                <w:szCs w:val="20"/>
              </w:rPr>
              <w:t>rezultata</w:t>
            </w:r>
            <w:proofErr w:type="spellEnd"/>
            <w:r w:rsidRPr="002E4C49">
              <w:rPr>
                <w:rFonts w:cstheme="minorHAnsi"/>
                <w:b/>
                <w:sz w:val="20"/>
                <w:szCs w:val="20"/>
              </w:rPr>
              <w:t xml:space="preserve"> </w:t>
            </w:r>
            <w:proofErr w:type="spellStart"/>
            <w:r w:rsidRPr="002E4C49">
              <w:rPr>
                <w:rFonts w:cstheme="minorHAnsi"/>
                <w:b/>
                <w:sz w:val="20"/>
                <w:szCs w:val="20"/>
              </w:rPr>
              <w:t>mjere</w:t>
            </w:r>
            <w:proofErr w:type="spellEnd"/>
            <w:r w:rsidRPr="002E4C49">
              <w:rPr>
                <w:rFonts w:cstheme="minorHAnsi"/>
                <w:b/>
                <w:sz w:val="20"/>
                <w:szCs w:val="20"/>
              </w:rPr>
              <w:t xml:space="preserve"> </w:t>
            </w:r>
          </w:p>
        </w:tc>
        <w:tc>
          <w:tcPr>
            <w:tcW w:w="2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47F92E" w14:textId="77777777" w:rsidR="00A00D87" w:rsidRPr="002E4C49" w:rsidRDefault="00A00D87" w:rsidP="00122946">
            <w:pPr>
              <w:spacing w:line="259" w:lineRule="auto"/>
              <w:ind w:right="39"/>
              <w:jc w:val="center"/>
              <w:rPr>
                <w:rFonts w:cstheme="minorHAnsi"/>
                <w:sz w:val="20"/>
                <w:szCs w:val="20"/>
              </w:rPr>
            </w:pPr>
            <w:proofErr w:type="spellStart"/>
            <w:r w:rsidRPr="002E4C49">
              <w:rPr>
                <w:rFonts w:cstheme="minorHAnsi"/>
                <w:b/>
                <w:sz w:val="20"/>
                <w:szCs w:val="20"/>
              </w:rPr>
              <w:t>Indikatori</w:t>
            </w:r>
            <w:proofErr w:type="spellEnd"/>
            <w:r w:rsidRPr="002E4C49">
              <w:rPr>
                <w:rFonts w:cstheme="minorHAnsi"/>
                <w:b/>
                <w:sz w:val="20"/>
                <w:szCs w:val="20"/>
              </w:rPr>
              <w:t xml:space="preserve"> </w:t>
            </w:r>
          </w:p>
        </w:tc>
        <w:tc>
          <w:tcPr>
            <w:tcW w:w="1981"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2D2F3A98" w14:textId="77777777" w:rsidR="00A00D87" w:rsidRPr="002E4C49" w:rsidRDefault="00A00D87" w:rsidP="00122946">
            <w:pPr>
              <w:spacing w:line="259" w:lineRule="auto"/>
              <w:jc w:val="center"/>
              <w:rPr>
                <w:rFonts w:cstheme="minorHAnsi"/>
                <w:sz w:val="20"/>
                <w:szCs w:val="20"/>
              </w:rPr>
            </w:pPr>
            <w:proofErr w:type="spellStart"/>
            <w:r w:rsidRPr="002E4C49">
              <w:rPr>
                <w:rFonts w:cstheme="minorHAnsi"/>
                <w:b/>
                <w:sz w:val="20"/>
                <w:szCs w:val="20"/>
              </w:rPr>
              <w:t>Polazne</w:t>
            </w:r>
            <w:proofErr w:type="spellEnd"/>
            <w:r w:rsidRPr="002E4C49">
              <w:rPr>
                <w:rFonts w:cstheme="minorHAnsi"/>
                <w:b/>
                <w:sz w:val="20"/>
                <w:szCs w:val="20"/>
              </w:rPr>
              <w:t xml:space="preserve"> </w:t>
            </w:r>
            <w:proofErr w:type="spellStart"/>
            <w:r w:rsidRPr="002E4C49">
              <w:rPr>
                <w:rFonts w:cstheme="minorHAnsi"/>
                <w:b/>
                <w:sz w:val="20"/>
                <w:szCs w:val="20"/>
              </w:rPr>
              <w:t>vrijednosti</w:t>
            </w:r>
            <w:proofErr w:type="spellEnd"/>
            <w:r w:rsidRPr="002E4C49">
              <w:rPr>
                <w:rFonts w:cstheme="minorHAnsi"/>
                <w:b/>
                <w:sz w:val="20"/>
                <w:szCs w:val="20"/>
              </w:rPr>
              <w:t xml:space="preserve">**  </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E7ADBE" w14:textId="77777777" w:rsidR="00A00D87" w:rsidRPr="002E4C49" w:rsidRDefault="00A00D87" w:rsidP="00122946">
            <w:pPr>
              <w:spacing w:line="259" w:lineRule="auto"/>
              <w:jc w:val="center"/>
              <w:rPr>
                <w:rFonts w:cstheme="minorHAnsi"/>
                <w:sz w:val="20"/>
                <w:szCs w:val="20"/>
              </w:rPr>
            </w:pPr>
            <w:proofErr w:type="spellStart"/>
            <w:r w:rsidRPr="002E4C49">
              <w:rPr>
                <w:rFonts w:cstheme="minorHAnsi"/>
                <w:b/>
                <w:sz w:val="20"/>
                <w:szCs w:val="20"/>
              </w:rPr>
              <w:t>Ciljne</w:t>
            </w:r>
            <w:proofErr w:type="spellEnd"/>
            <w:r w:rsidRPr="002E4C49">
              <w:rPr>
                <w:rFonts w:cstheme="minorHAnsi"/>
                <w:b/>
                <w:sz w:val="20"/>
                <w:szCs w:val="20"/>
              </w:rPr>
              <w:t xml:space="preserve"> </w:t>
            </w:r>
            <w:proofErr w:type="spellStart"/>
            <w:r w:rsidRPr="002E4C49">
              <w:rPr>
                <w:rFonts w:cstheme="minorHAnsi"/>
                <w:b/>
                <w:sz w:val="20"/>
                <w:szCs w:val="20"/>
              </w:rPr>
              <w:t>vrijednosti</w:t>
            </w:r>
            <w:proofErr w:type="spellEnd"/>
            <w:r w:rsidRPr="002E4C49">
              <w:rPr>
                <w:rFonts w:cstheme="minorHAnsi"/>
                <w:b/>
                <w:sz w:val="20"/>
                <w:szCs w:val="20"/>
              </w:rPr>
              <w:t xml:space="preserve">***  </w:t>
            </w:r>
          </w:p>
        </w:tc>
      </w:tr>
      <w:tr w:rsidR="00A00D87" w:rsidRPr="002E4C49" w14:paraId="1D5A8919" w14:textId="77777777" w:rsidTr="006D442E">
        <w:trPr>
          <w:trHeight w:val="425"/>
        </w:trPr>
        <w:tc>
          <w:tcPr>
            <w:tcW w:w="1731" w:type="dxa"/>
            <w:vMerge/>
            <w:tcBorders>
              <w:left w:val="single" w:sz="4" w:space="0" w:color="000000"/>
              <w:right w:val="single" w:sz="4" w:space="0" w:color="000000"/>
            </w:tcBorders>
            <w:shd w:val="clear" w:color="auto" w:fill="D9D9D9" w:themeFill="background1" w:themeFillShade="D9"/>
          </w:tcPr>
          <w:p w14:paraId="679BD869" w14:textId="77777777" w:rsidR="00A00D87" w:rsidRPr="002E4C49" w:rsidRDefault="00A00D87" w:rsidP="00122946">
            <w:pPr>
              <w:rPr>
                <w:rFonts w:cstheme="minorHAnsi"/>
                <w:sz w:val="20"/>
                <w:szCs w:val="20"/>
              </w:rPr>
            </w:pPr>
          </w:p>
        </w:tc>
        <w:tc>
          <w:tcPr>
            <w:tcW w:w="2662" w:type="dxa"/>
            <w:tcBorders>
              <w:top w:val="single" w:sz="4" w:space="0" w:color="BFBFBF"/>
              <w:left w:val="single" w:sz="4" w:space="0" w:color="000000"/>
              <w:bottom w:val="single" w:sz="4" w:space="0" w:color="000000"/>
              <w:right w:val="single" w:sz="4" w:space="0" w:color="000000"/>
            </w:tcBorders>
          </w:tcPr>
          <w:p w14:paraId="60CA347F" w14:textId="77777777" w:rsidR="00A00D87" w:rsidRPr="002E4C49" w:rsidRDefault="00A00D87" w:rsidP="00122946">
            <w:pPr>
              <w:ind w:left="1"/>
              <w:rPr>
                <w:rFonts w:cstheme="minorHAnsi"/>
                <w:sz w:val="20"/>
                <w:szCs w:val="20"/>
              </w:rPr>
            </w:pPr>
            <w:proofErr w:type="spellStart"/>
            <w:r w:rsidRPr="002E4C49">
              <w:rPr>
                <w:rFonts w:cstheme="minorHAnsi"/>
                <w:sz w:val="20"/>
                <w:szCs w:val="20"/>
              </w:rPr>
              <w:t>Pokrivanje</w:t>
            </w:r>
            <w:proofErr w:type="spellEnd"/>
            <w:r w:rsidRPr="002E4C49">
              <w:rPr>
                <w:rFonts w:cstheme="minorHAnsi"/>
                <w:sz w:val="20"/>
                <w:szCs w:val="20"/>
              </w:rPr>
              <w:t xml:space="preserve"> </w:t>
            </w:r>
            <w:proofErr w:type="spellStart"/>
            <w:r w:rsidRPr="002E4C49">
              <w:rPr>
                <w:rFonts w:cstheme="minorHAnsi"/>
                <w:sz w:val="20"/>
                <w:szCs w:val="20"/>
              </w:rPr>
              <w:t>ukupnih</w:t>
            </w:r>
            <w:proofErr w:type="spellEnd"/>
            <w:r w:rsidRPr="002E4C49">
              <w:rPr>
                <w:rFonts w:cstheme="minorHAnsi"/>
                <w:sz w:val="20"/>
                <w:szCs w:val="20"/>
              </w:rPr>
              <w:t xml:space="preserve"> </w:t>
            </w:r>
            <w:proofErr w:type="spellStart"/>
            <w:r w:rsidRPr="002E4C49">
              <w:rPr>
                <w:rFonts w:cstheme="minorHAnsi"/>
                <w:sz w:val="20"/>
                <w:szCs w:val="20"/>
              </w:rPr>
              <w:t>toplotnih</w:t>
            </w:r>
            <w:proofErr w:type="spellEnd"/>
            <w:r w:rsidRPr="002E4C49">
              <w:rPr>
                <w:rFonts w:cstheme="minorHAnsi"/>
                <w:sz w:val="20"/>
                <w:szCs w:val="20"/>
              </w:rPr>
              <w:t xml:space="preserve"> </w:t>
            </w:r>
            <w:proofErr w:type="spellStart"/>
            <w:r w:rsidRPr="002E4C49">
              <w:rPr>
                <w:rFonts w:cstheme="minorHAnsi"/>
                <w:sz w:val="20"/>
                <w:szCs w:val="20"/>
              </w:rPr>
              <w:t>potreba</w:t>
            </w:r>
            <w:proofErr w:type="spellEnd"/>
            <w:r w:rsidRPr="002E4C49">
              <w:rPr>
                <w:rFonts w:cstheme="minorHAnsi"/>
                <w:sz w:val="20"/>
                <w:szCs w:val="20"/>
              </w:rPr>
              <w:t xml:space="preserve"> </w:t>
            </w:r>
            <w:proofErr w:type="spellStart"/>
            <w:r w:rsidRPr="002E4C49">
              <w:rPr>
                <w:rFonts w:cstheme="minorHAnsi"/>
                <w:sz w:val="20"/>
                <w:szCs w:val="20"/>
              </w:rPr>
              <w:t>zgrada</w:t>
            </w:r>
            <w:proofErr w:type="spellEnd"/>
            <w:r w:rsidRPr="002E4C49">
              <w:rPr>
                <w:rFonts w:cstheme="minorHAnsi"/>
                <w:sz w:val="20"/>
                <w:szCs w:val="20"/>
              </w:rPr>
              <w:t xml:space="preserve"> </w:t>
            </w:r>
            <w:proofErr w:type="spellStart"/>
            <w:r w:rsidRPr="002E4C49">
              <w:rPr>
                <w:rFonts w:cstheme="minorHAnsi"/>
                <w:sz w:val="20"/>
                <w:szCs w:val="20"/>
              </w:rPr>
              <w:t>iz</w:t>
            </w:r>
            <w:proofErr w:type="spellEnd"/>
            <w:r w:rsidRPr="002E4C49">
              <w:rPr>
                <w:rFonts w:cstheme="minorHAnsi"/>
                <w:sz w:val="20"/>
                <w:szCs w:val="20"/>
              </w:rPr>
              <w:t xml:space="preserve"> SDG, %</w:t>
            </w:r>
          </w:p>
        </w:tc>
        <w:tc>
          <w:tcPr>
            <w:tcW w:w="1981" w:type="dxa"/>
            <w:tcBorders>
              <w:top w:val="single" w:sz="4" w:space="0" w:color="BFBFBF"/>
              <w:left w:val="single" w:sz="4" w:space="0" w:color="000000"/>
              <w:bottom w:val="single" w:sz="4" w:space="0" w:color="000000"/>
              <w:right w:val="single" w:sz="4" w:space="0" w:color="000000"/>
            </w:tcBorders>
          </w:tcPr>
          <w:p w14:paraId="484CCBBF" w14:textId="77777777" w:rsidR="00A00D87" w:rsidRPr="002E4C49" w:rsidRDefault="00A00D87" w:rsidP="00122946">
            <w:pPr>
              <w:jc w:val="center"/>
              <w:rPr>
                <w:rFonts w:cstheme="minorHAnsi"/>
                <w:sz w:val="20"/>
                <w:szCs w:val="20"/>
              </w:rPr>
            </w:pPr>
            <w:r w:rsidRPr="002E4C49">
              <w:rPr>
                <w:rFonts w:cstheme="minorHAnsi"/>
                <w:sz w:val="20"/>
                <w:szCs w:val="20"/>
              </w:rPr>
              <w:t>7,</w:t>
            </w:r>
            <w:proofErr w:type="gramStart"/>
            <w:r w:rsidRPr="002E4C49">
              <w:rPr>
                <w:rFonts w:cstheme="minorHAnsi"/>
                <w:sz w:val="20"/>
                <w:szCs w:val="20"/>
              </w:rPr>
              <w:t>08  (</w:t>
            </w:r>
            <w:proofErr w:type="gramEnd"/>
            <w:r w:rsidRPr="002E4C49">
              <w:rPr>
                <w:rFonts w:cstheme="minorHAnsi"/>
                <w:sz w:val="20"/>
                <w:szCs w:val="20"/>
              </w:rPr>
              <w:t>2017) (BiH)</w:t>
            </w:r>
            <w:r w:rsidRPr="002E4C49">
              <w:rPr>
                <w:rFonts w:cstheme="minorHAnsi"/>
                <w:sz w:val="20"/>
                <w:szCs w:val="20"/>
                <w:vertAlign w:val="superscript"/>
              </w:rPr>
              <w:footnoteReference w:id="132"/>
            </w:r>
          </w:p>
        </w:tc>
        <w:tc>
          <w:tcPr>
            <w:tcW w:w="2845" w:type="dxa"/>
            <w:tcBorders>
              <w:top w:val="single" w:sz="4" w:space="0" w:color="BFBFBF"/>
              <w:left w:val="single" w:sz="4" w:space="0" w:color="000000"/>
              <w:bottom w:val="single" w:sz="4" w:space="0" w:color="000000"/>
              <w:right w:val="single" w:sz="4" w:space="0" w:color="000000"/>
            </w:tcBorders>
          </w:tcPr>
          <w:p w14:paraId="45312F89" w14:textId="77777777" w:rsidR="00A00D87" w:rsidRPr="002E4C49" w:rsidRDefault="00A00D87" w:rsidP="00122946">
            <w:pPr>
              <w:spacing w:line="259" w:lineRule="auto"/>
              <w:jc w:val="center"/>
              <w:rPr>
                <w:rFonts w:cstheme="minorHAnsi"/>
                <w:sz w:val="20"/>
                <w:szCs w:val="20"/>
              </w:rPr>
            </w:pPr>
            <w:r w:rsidRPr="002E4C49">
              <w:rPr>
                <w:rFonts w:cstheme="minorHAnsi"/>
                <w:sz w:val="20"/>
                <w:szCs w:val="20"/>
              </w:rPr>
              <w:t xml:space="preserve">30 (2030) </w:t>
            </w:r>
          </w:p>
          <w:p w14:paraId="0AF969BF" w14:textId="77777777" w:rsidR="00A00D87" w:rsidRPr="002E4C49" w:rsidRDefault="00A00D87" w:rsidP="00122946">
            <w:pPr>
              <w:ind w:left="246"/>
              <w:jc w:val="center"/>
              <w:rPr>
                <w:rFonts w:cstheme="minorHAnsi"/>
                <w:sz w:val="20"/>
                <w:szCs w:val="20"/>
              </w:rPr>
            </w:pPr>
            <w:r w:rsidRPr="002E4C49">
              <w:rPr>
                <w:rFonts w:cstheme="minorHAnsi"/>
                <w:sz w:val="20"/>
                <w:szCs w:val="20"/>
              </w:rPr>
              <w:t>(BiH)</w:t>
            </w:r>
          </w:p>
        </w:tc>
      </w:tr>
      <w:tr w:rsidR="00A00D87" w:rsidRPr="002E4C49" w14:paraId="5E0EC422" w14:textId="77777777" w:rsidTr="006D442E">
        <w:trPr>
          <w:trHeight w:val="425"/>
        </w:trPr>
        <w:tc>
          <w:tcPr>
            <w:tcW w:w="1731" w:type="dxa"/>
            <w:vMerge/>
            <w:tcBorders>
              <w:left w:val="single" w:sz="4" w:space="0" w:color="000000"/>
              <w:right w:val="single" w:sz="4" w:space="0" w:color="000000"/>
            </w:tcBorders>
            <w:shd w:val="clear" w:color="auto" w:fill="D9D9D9" w:themeFill="background1" w:themeFillShade="D9"/>
          </w:tcPr>
          <w:p w14:paraId="354A4D37" w14:textId="77777777" w:rsidR="00A00D87" w:rsidRPr="002E4C49" w:rsidRDefault="00A00D87" w:rsidP="00122946">
            <w:pPr>
              <w:rPr>
                <w:rFonts w:cstheme="minorHAnsi"/>
                <w:sz w:val="20"/>
                <w:szCs w:val="20"/>
              </w:rPr>
            </w:pPr>
          </w:p>
        </w:tc>
        <w:tc>
          <w:tcPr>
            <w:tcW w:w="2662" w:type="dxa"/>
            <w:tcBorders>
              <w:top w:val="single" w:sz="4" w:space="0" w:color="BFBFBF"/>
              <w:left w:val="single" w:sz="4" w:space="0" w:color="000000"/>
              <w:bottom w:val="single" w:sz="4" w:space="0" w:color="000000"/>
              <w:right w:val="single" w:sz="4" w:space="0" w:color="000000"/>
            </w:tcBorders>
          </w:tcPr>
          <w:p w14:paraId="7E80F53E" w14:textId="77777777" w:rsidR="00A00D87" w:rsidRPr="002E4C49" w:rsidRDefault="00A00D87" w:rsidP="00122946">
            <w:pPr>
              <w:ind w:left="1"/>
              <w:rPr>
                <w:rFonts w:cstheme="minorHAnsi"/>
                <w:sz w:val="20"/>
                <w:szCs w:val="20"/>
              </w:rPr>
            </w:pPr>
            <w:proofErr w:type="spellStart"/>
            <w:r w:rsidRPr="002E4C49">
              <w:rPr>
                <w:rFonts w:cstheme="minorHAnsi"/>
                <w:sz w:val="20"/>
                <w:szCs w:val="20"/>
              </w:rPr>
              <w:t>Proizvodnja</w:t>
            </w:r>
            <w:proofErr w:type="spellEnd"/>
            <w:r w:rsidRPr="002E4C49">
              <w:rPr>
                <w:rFonts w:cstheme="minorHAnsi"/>
                <w:sz w:val="20"/>
                <w:szCs w:val="20"/>
              </w:rPr>
              <w:t xml:space="preserve"> </w:t>
            </w:r>
            <w:proofErr w:type="spellStart"/>
            <w:r w:rsidRPr="002E4C49">
              <w:rPr>
                <w:rFonts w:cstheme="minorHAnsi"/>
                <w:sz w:val="20"/>
                <w:szCs w:val="20"/>
              </w:rPr>
              <w:t>toplotne</w:t>
            </w:r>
            <w:proofErr w:type="spellEnd"/>
            <w:r w:rsidRPr="002E4C49">
              <w:rPr>
                <w:rFonts w:cstheme="minorHAnsi"/>
                <w:sz w:val="20"/>
                <w:szCs w:val="20"/>
              </w:rPr>
              <w:t xml:space="preserve"> energije </w:t>
            </w:r>
            <w:proofErr w:type="spellStart"/>
            <w:r w:rsidRPr="002E4C49">
              <w:rPr>
                <w:rFonts w:cstheme="minorHAnsi"/>
                <w:sz w:val="20"/>
                <w:szCs w:val="20"/>
              </w:rPr>
              <w:t>iz</w:t>
            </w:r>
            <w:proofErr w:type="spellEnd"/>
            <w:r w:rsidRPr="002E4C49">
              <w:rPr>
                <w:rFonts w:cstheme="minorHAnsi"/>
                <w:sz w:val="20"/>
                <w:szCs w:val="20"/>
              </w:rPr>
              <w:t xml:space="preserve"> </w:t>
            </w:r>
            <w:proofErr w:type="spellStart"/>
            <w:r w:rsidRPr="002E4C49">
              <w:rPr>
                <w:rFonts w:cstheme="minorHAnsi"/>
                <w:sz w:val="20"/>
                <w:szCs w:val="20"/>
              </w:rPr>
              <w:t>sistema</w:t>
            </w:r>
            <w:proofErr w:type="spellEnd"/>
            <w:r w:rsidRPr="002E4C49">
              <w:rPr>
                <w:rFonts w:cstheme="minorHAnsi"/>
                <w:sz w:val="20"/>
                <w:szCs w:val="20"/>
              </w:rPr>
              <w:t xml:space="preserve"> </w:t>
            </w:r>
            <w:proofErr w:type="spellStart"/>
            <w:r w:rsidRPr="002E4C49">
              <w:rPr>
                <w:rFonts w:cstheme="minorHAnsi"/>
                <w:sz w:val="20"/>
                <w:szCs w:val="20"/>
              </w:rPr>
              <w:t>daljinskih</w:t>
            </w:r>
            <w:proofErr w:type="spellEnd"/>
            <w:r w:rsidRPr="002E4C49">
              <w:rPr>
                <w:rFonts w:cstheme="minorHAnsi"/>
                <w:sz w:val="20"/>
                <w:szCs w:val="20"/>
              </w:rPr>
              <w:t xml:space="preserve"> </w:t>
            </w:r>
            <w:proofErr w:type="spellStart"/>
            <w:r w:rsidRPr="002E4C49">
              <w:rPr>
                <w:rFonts w:cstheme="minorHAnsi"/>
                <w:sz w:val="20"/>
                <w:szCs w:val="20"/>
              </w:rPr>
              <w:t>grijanja</w:t>
            </w:r>
            <w:proofErr w:type="spellEnd"/>
            <w:r w:rsidRPr="002E4C49">
              <w:rPr>
                <w:rFonts w:cstheme="minorHAnsi"/>
                <w:sz w:val="20"/>
                <w:szCs w:val="20"/>
              </w:rPr>
              <w:t>, GWh/</w:t>
            </w:r>
            <w:proofErr w:type="gramStart"/>
            <w:r w:rsidRPr="002E4C49">
              <w:rPr>
                <w:rFonts w:cstheme="minorHAnsi"/>
                <w:sz w:val="20"/>
                <w:szCs w:val="20"/>
              </w:rPr>
              <w:t>god</w:t>
            </w:r>
            <w:proofErr w:type="gramEnd"/>
            <w:r w:rsidRPr="002E4C49">
              <w:rPr>
                <w:rFonts w:cstheme="minorHAnsi"/>
                <w:sz w:val="20"/>
                <w:szCs w:val="20"/>
              </w:rPr>
              <w:t>.</w:t>
            </w:r>
          </w:p>
        </w:tc>
        <w:tc>
          <w:tcPr>
            <w:tcW w:w="1981" w:type="dxa"/>
            <w:tcBorders>
              <w:top w:val="single" w:sz="4" w:space="0" w:color="BFBFBF"/>
              <w:left w:val="single" w:sz="4" w:space="0" w:color="000000"/>
              <w:bottom w:val="single" w:sz="4" w:space="0" w:color="000000"/>
              <w:right w:val="single" w:sz="4" w:space="0" w:color="000000"/>
            </w:tcBorders>
          </w:tcPr>
          <w:p w14:paraId="344D498E" w14:textId="77777777" w:rsidR="00A00D87" w:rsidRPr="002E4C49" w:rsidRDefault="00A00D87" w:rsidP="00122946">
            <w:pPr>
              <w:jc w:val="center"/>
              <w:rPr>
                <w:rFonts w:cstheme="minorHAnsi"/>
                <w:sz w:val="20"/>
                <w:szCs w:val="20"/>
              </w:rPr>
            </w:pPr>
            <w:proofErr w:type="gramStart"/>
            <w:r w:rsidRPr="002E4C49">
              <w:rPr>
                <w:rFonts w:cstheme="minorHAnsi"/>
                <w:sz w:val="20"/>
                <w:szCs w:val="20"/>
              </w:rPr>
              <w:t>1.610  (</w:t>
            </w:r>
            <w:proofErr w:type="gramEnd"/>
            <w:r w:rsidRPr="002E4C49">
              <w:rPr>
                <w:rFonts w:cstheme="minorHAnsi"/>
                <w:sz w:val="20"/>
                <w:szCs w:val="20"/>
              </w:rPr>
              <w:t>2017) (BiH)</w:t>
            </w:r>
            <w:r w:rsidRPr="002E4C49">
              <w:rPr>
                <w:rFonts w:cstheme="minorHAnsi"/>
                <w:sz w:val="20"/>
                <w:szCs w:val="20"/>
                <w:vertAlign w:val="superscript"/>
              </w:rPr>
              <w:footnoteReference w:id="133"/>
            </w:r>
          </w:p>
        </w:tc>
        <w:tc>
          <w:tcPr>
            <w:tcW w:w="2845" w:type="dxa"/>
            <w:tcBorders>
              <w:top w:val="single" w:sz="4" w:space="0" w:color="BFBFBF"/>
              <w:left w:val="single" w:sz="4" w:space="0" w:color="000000"/>
              <w:bottom w:val="single" w:sz="4" w:space="0" w:color="000000"/>
              <w:right w:val="single" w:sz="4" w:space="0" w:color="000000"/>
            </w:tcBorders>
          </w:tcPr>
          <w:p w14:paraId="140B9425" w14:textId="77777777" w:rsidR="00A00D87" w:rsidRPr="002E4C49" w:rsidRDefault="00A00D87" w:rsidP="00122946">
            <w:pPr>
              <w:spacing w:line="259" w:lineRule="auto"/>
              <w:jc w:val="center"/>
              <w:rPr>
                <w:rFonts w:cstheme="minorHAnsi"/>
                <w:sz w:val="20"/>
                <w:szCs w:val="20"/>
              </w:rPr>
            </w:pPr>
            <w:r w:rsidRPr="002E4C49">
              <w:rPr>
                <w:rFonts w:cstheme="minorHAnsi"/>
                <w:sz w:val="20"/>
                <w:szCs w:val="20"/>
              </w:rPr>
              <w:t xml:space="preserve">5.456 (2030) </w:t>
            </w:r>
          </w:p>
          <w:p w14:paraId="1B3F14D4" w14:textId="77777777" w:rsidR="00A00D87" w:rsidRPr="002E4C49" w:rsidRDefault="00A00D87" w:rsidP="00122946">
            <w:pPr>
              <w:ind w:left="246"/>
              <w:jc w:val="center"/>
              <w:rPr>
                <w:rFonts w:cstheme="minorHAnsi"/>
                <w:sz w:val="20"/>
                <w:szCs w:val="20"/>
              </w:rPr>
            </w:pPr>
            <w:r w:rsidRPr="002E4C49">
              <w:rPr>
                <w:rFonts w:cstheme="minorHAnsi"/>
                <w:sz w:val="20"/>
                <w:szCs w:val="20"/>
              </w:rPr>
              <w:t>(BiH)</w:t>
            </w:r>
          </w:p>
        </w:tc>
      </w:tr>
      <w:tr w:rsidR="00A00D87" w:rsidRPr="002E4C49" w14:paraId="3770B082" w14:textId="77777777" w:rsidTr="006D442E">
        <w:trPr>
          <w:trHeight w:val="425"/>
        </w:trPr>
        <w:tc>
          <w:tcPr>
            <w:tcW w:w="1731" w:type="dxa"/>
            <w:vMerge/>
            <w:tcBorders>
              <w:left w:val="single" w:sz="4" w:space="0" w:color="000000"/>
              <w:right w:val="single" w:sz="4" w:space="0" w:color="000000"/>
            </w:tcBorders>
            <w:shd w:val="clear" w:color="auto" w:fill="D9D9D9" w:themeFill="background1" w:themeFillShade="D9"/>
          </w:tcPr>
          <w:p w14:paraId="77873240" w14:textId="77777777" w:rsidR="00A00D87" w:rsidRPr="002E4C49" w:rsidRDefault="00A00D87" w:rsidP="00122946">
            <w:pPr>
              <w:rPr>
                <w:rFonts w:cstheme="minorHAnsi"/>
                <w:sz w:val="20"/>
                <w:szCs w:val="20"/>
              </w:rPr>
            </w:pPr>
          </w:p>
        </w:tc>
        <w:tc>
          <w:tcPr>
            <w:tcW w:w="2662" w:type="dxa"/>
            <w:tcBorders>
              <w:top w:val="single" w:sz="4" w:space="0" w:color="BFBFBF"/>
              <w:left w:val="single" w:sz="4" w:space="0" w:color="000000"/>
              <w:bottom w:val="single" w:sz="4" w:space="0" w:color="000000"/>
              <w:right w:val="single" w:sz="4" w:space="0" w:color="000000"/>
            </w:tcBorders>
          </w:tcPr>
          <w:p w14:paraId="189FC2A7" w14:textId="01FF8A3A" w:rsidR="00A00D87" w:rsidRPr="002E4C49" w:rsidRDefault="00A00D87" w:rsidP="00122946">
            <w:pPr>
              <w:ind w:left="1"/>
              <w:rPr>
                <w:rFonts w:cstheme="minorHAnsi"/>
                <w:sz w:val="20"/>
                <w:szCs w:val="20"/>
              </w:rPr>
            </w:pPr>
            <w:proofErr w:type="spellStart"/>
            <w:r w:rsidRPr="002E4C49">
              <w:rPr>
                <w:rFonts w:cstheme="minorHAnsi"/>
                <w:sz w:val="20"/>
                <w:szCs w:val="20"/>
              </w:rPr>
              <w:t>Smanjenje</w:t>
            </w:r>
            <w:proofErr w:type="spellEnd"/>
            <w:r w:rsidRPr="002E4C49">
              <w:rPr>
                <w:rFonts w:cstheme="minorHAnsi"/>
                <w:sz w:val="20"/>
                <w:szCs w:val="20"/>
              </w:rPr>
              <w:t xml:space="preserve"> </w:t>
            </w:r>
            <w:proofErr w:type="spellStart"/>
            <w:r w:rsidRPr="002E4C49">
              <w:rPr>
                <w:rFonts w:cstheme="minorHAnsi"/>
                <w:sz w:val="20"/>
                <w:szCs w:val="20"/>
              </w:rPr>
              <w:t>emisije</w:t>
            </w:r>
            <w:proofErr w:type="spellEnd"/>
            <w:r w:rsidRPr="002E4C49">
              <w:rPr>
                <w:rFonts w:cstheme="minorHAnsi"/>
                <w:sz w:val="20"/>
                <w:szCs w:val="20"/>
              </w:rPr>
              <w:t xml:space="preserve"> CO2 u </w:t>
            </w:r>
            <w:proofErr w:type="spellStart"/>
            <w:r w:rsidRPr="002E4C49">
              <w:rPr>
                <w:rFonts w:cstheme="minorHAnsi"/>
                <w:sz w:val="20"/>
                <w:szCs w:val="20"/>
              </w:rPr>
              <w:t>sektoru</w:t>
            </w:r>
            <w:proofErr w:type="spellEnd"/>
            <w:r w:rsidRPr="002E4C49">
              <w:rPr>
                <w:rFonts w:cstheme="minorHAnsi"/>
                <w:sz w:val="20"/>
                <w:szCs w:val="20"/>
              </w:rPr>
              <w:t xml:space="preserve"> </w:t>
            </w:r>
            <w:proofErr w:type="spellStart"/>
            <w:r w:rsidRPr="002E4C49">
              <w:rPr>
                <w:rFonts w:cstheme="minorHAnsi"/>
                <w:sz w:val="20"/>
                <w:szCs w:val="20"/>
              </w:rPr>
              <w:t>zgradarstva</w:t>
            </w:r>
            <w:proofErr w:type="spellEnd"/>
            <w:r w:rsidRPr="002E4C49">
              <w:rPr>
                <w:rFonts w:cstheme="minorHAnsi"/>
                <w:sz w:val="20"/>
                <w:szCs w:val="20"/>
              </w:rPr>
              <w:t xml:space="preserve"> (</w:t>
            </w:r>
            <w:proofErr w:type="spellStart"/>
            <w:r w:rsidRPr="002E4C49">
              <w:rPr>
                <w:rFonts w:cstheme="minorHAnsi"/>
                <w:sz w:val="20"/>
                <w:szCs w:val="20"/>
              </w:rPr>
              <w:t>stambeni</w:t>
            </w:r>
            <w:proofErr w:type="spellEnd"/>
            <w:r w:rsidRPr="002E4C49">
              <w:rPr>
                <w:rFonts w:cstheme="minorHAnsi"/>
                <w:sz w:val="20"/>
                <w:szCs w:val="20"/>
              </w:rPr>
              <w:t xml:space="preserve"> </w:t>
            </w:r>
            <w:proofErr w:type="spellStart"/>
            <w:r w:rsidRPr="002E4C49">
              <w:rPr>
                <w:rFonts w:cstheme="minorHAnsi"/>
                <w:sz w:val="20"/>
                <w:szCs w:val="20"/>
              </w:rPr>
              <w:t>sektor</w:t>
            </w:r>
            <w:proofErr w:type="spellEnd"/>
            <w:r w:rsidRPr="002E4C49">
              <w:rPr>
                <w:rFonts w:cstheme="minorHAnsi"/>
                <w:sz w:val="20"/>
                <w:szCs w:val="20"/>
              </w:rPr>
              <w:t xml:space="preserve"> i </w:t>
            </w:r>
            <w:proofErr w:type="spellStart"/>
            <w:r w:rsidRPr="002E4C49">
              <w:rPr>
                <w:rFonts w:cstheme="minorHAnsi"/>
                <w:sz w:val="20"/>
                <w:szCs w:val="20"/>
              </w:rPr>
              <w:t>javne</w:t>
            </w:r>
            <w:proofErr w:type="spellEnd"/>
            <w:r w:rsidRPr="002E4C49">
              <w:rPr>
                <w:rFonts w:cstheme="minorHAnsi"/>
                <w:sz w:val="20"/>
                <w:szCs w:val="20"/>
              </w:rPr>
              <w:t xml:space="preserve"> </w:t>
            </w:r>
            <w:proofErr w:type="spellStart"/>
            <w:r w:rsidRPr="002E4C49">
              <w:rPr>
                <w:rFonts w:cstheme="minorHAnsi"/>
                <w:sz w:val="20"/>
                <w:szCs w:val="20"/>
              </w:rPr>
              <w:t>zgrade</w:t>
            </w:r>
            <w:proofErr w:type="spellEnd"/>
            <w:r w:rsidRPr="002E4C49">
              <w:rPr>
                <w:rFonts w:cstheme="minorHAnsi"/>
                <w:sz w:val="20"/>
                <w:szCs w:val="20"/>
              </w:rPr>
              <w:t>) 103t</w:t>
            </w:r>
          </w:p>
        </w:tc>
        <w:tc>
          <w:tcPr>
            <w:tcW w:w="1981" w:type="dxa"/>
            <w:tcBorders>
              <w:top w:val="single" w:sz="4" w:space="0" w:color="BFBFBF"/>
              <w:left w:val="single" w:sz="4" w:space="0" w:color="000000"/>
              <w:bottom w:val="single" w:sz="4" w:space="0" w:color="000000"/>
              <w:right w:val="single" w:sz="4" w:space="0" w:color="000000"/>
            </w:tcBorders>
          </w:tcPr>
          <w:p w14:paraId="43FB4ED1" w14:textId="77777777" w:rsidR="00A00D87" w:rsidRPr="002E4C49" w:rsidRDefault="00A00D87" w:rsidP="00122946">
            <w:pPr>
              <w:jc w:val="center"/>
              <w:rPr>
                <w:rFonts w:cstheme="minorHAnsi"/>
                <w:sz w:val="20"/>
                <w:szCs w:val="20"/>
              </w:rPr>
            </w:pPr>
            <w:r w:rsidRPr="002E4C49">
              <w:rPr>
                <w:rFonts w:cstheme="minorHAnsi"/>
                <w:sz w:val="20"/>
                <w:szCs w:val="20"/>
              </w:rPr>
              <w:t>0</w:t>
            </w:r>
          </w:p>
        </w:tc>
        <w:tc>
          <w:tcPr>
            <w:tcW w:w="2845" w:type="dxa"/>
            <w:tcBorders>
              <w:top w:val="single" w:sz="4" w:space="0" w:color="BFBFBF"/>
              <w:left w:val="single" w:sz="4" w:space="0" w:color="000000"/>
              <w:bottom w:val="single" w:sz="4" w:space="0" w:color="000000"/>
              <w:right w:val="single" w:sz="4" w:space="0" w:color="000000"/>
            </w:tcBorders>
          </w:tcPr>
          <w:p w14:paraId="1B0B9313" w14:textId="77777777" w:rsidR="00A00D87" w:rsidRPr="002E4C49" w:rsidRDefault="00A00D87" w:rsidP="00122946">
            <w:pPr>
              <w:spacing w:line="259" w:lineRule="auto"/>
              <w:jc w:val="center"/>
              <w:rPr>
                <w:rFonts w:cstheme="minorHAnsi"/>
                <w:sz w:val="20"/>
                <w:szCs w:val="20"/>
              </w:rPr>
            </w:pPr>
            <w:r w:rsidRPr="002E4C49">
              <w:rPr>
                <w:rFonts w:cstheme="minorHAnsi"/>
                <w:sz w:val="20"/>
                <w:szCs w:val="20"/>
              </w:rPr>
              <w:t>1.321 (2030)</w:t>
            </w:r>
          </w:p>
          <w:p w14:paraId="26161001" w14:textId="77777777" w:rsidR="00A00D87" w:rsidRPr="002E4C49" w:rsidRDefault="00A00D87" w:rsidP="00122946">
            <w:pPr>
              <w:jc w:val="center"/>
              <w:rPr>
                <w:rFonts w:cstheme="minorHAnsi"/>
                <w:sz w:val="20"/>
                <w:szCs w:val="20"/>
              </w:rPr>
            </w:pPr>
            <w:r w:rsidRPr="002E4C49">
              <w:rPr>
                <w:rFonts w:cstheme="minorHAnsi"/>
                <w:sz w:val="20"/>
                <w:szCs w:val="20"/>
              </w:rPr>
              <w:t>1.913 (2050)</w:t>
            </w:r>
          </w:p>
        </w:tc>
      </w:tr>
      <w:tr w:rsidR="00A00D87" w:rsidRPr="002E4C49" w14:paraId="25CD66FF" w14:textId="77777777" w:rsidTr="006D442E">
        <w:trPr>
          <w:trHeight w:val="838"/>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304344"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Razvojni</w:t>
            </w:r>
            <w:proofErr w:type="spellEnd"/>
            <w:r w:rsidRPr="002E4C49">
              <w:rPr>
                <w:rFonts w:cstheme="minorHAnsi"/>
                <w:b/>
                <w:sz w:val="20"/>
                <w:szCs w:val="20"/>
              </w:rPr>
              <w:t xml:space="preserve"> </w:t>
            </w:r>
            <w:proofErr w:type="spellStart"/>
            <w:r w:rsidRPr="002E4C49">
              <w:rPr>
                <w:rFonts w:cstheme="minorHAnsi"/>
                <w:b/>
                <w:sz w:val="20"/>
                <w:szCs w:val="20"/>
              </w:rPr>
              <w:t>efekat</w:t>
            </w:r>
            <w:proofErr w:type="spellEnd"/>
            <w:r w:rsidRPr="002E4C49">
              <w:rPr>
                <w:rFonts w:cstheme="minorHAnsi"/>
                <w:b/>
                <w:sz w:val="20"/>
                <w:szCs w:val="20"/>
              </w:rPr>
              <w:t xml:space="preserve"> i </w:t>
            </w:r>
            <w:proofErr w:type="spellStart"/>
            <w:r w:rsidRPr="002E4C49">
              <w:rPr>
                <w:rFonts w:cstheme="minorHAnsi"/>
                <w:b/>
                <w:sz w:val="20"/>
                <w:szCs w:val="20"/>
              </w:rPr>
              <w:t>doprinos</w:t>
            </w:r>
            <w:proofErr w:type="spellEnd"/>
            <w:r w:rsidRPr="002E4C49">
              <w:rPr>
                <w:rFonts w:cstheme="minorHAnsi"/>
                <w:b/>
                <w:sz w:val="20"/>
                <w:szCs w:val="20"/>
              </w:rPr>
              <w:t xml:space="preserve"> </w:t>
            </w:r>
            <w:proofErr w:type="spellStart"/>
            <w:r w:rsidRPr="002E4C49">
              <w:rPr>
                <w:rFonts w:cstheme="minorHAnsi"/>
                <w:b/>
                <w:sz w:val="20"/>
                <w:szCs w:val="20"/>
              </w:rPr>
              <w:t>mjere</w:t>
            </w:r>
            <w:proofErr w:type="spellEnd"/>
            <w:r w:rsidRPr="002E4C49">
              <w:rPr>
                <w:rFonts w:cstheme="minorHAnsi"/>
                <w:b/>
                <w:sz w:val="20"/>
                <w:szCs w:val="20"/>
              </w:rPr>
              <w:t xml:space="preserve"> </w:t>
            </w:r>
            <w:proofErr w:type="spellStart"/>
            <w:r w:rsidRPr="002E4C49">
              <w:rPr>
                <w:rFonts w:cstheme="minorHAnsi"/>
                <w:b/>
                <w:sz w:val="20"/>
                <w:szCs w:val="20"/>
              </w:rPr>
              <w:t>ostvarenju</w:t>
            </w:r>
            <w:proofErr w:type="spellEnd"/>
            <w:r w:rsidRPr="002E4C49">
              <w:rPr>
                <w:rFonts w:cstheme="minorHAnsi"/>
                <w:b/>
                <w:sz w:val="20"/>
                <w:szCs w:val="20"/>
              </w:rPr>
              <w:t xml:space="preserve"> </w:t>
            </w:r>
            <w:proofErr w:type="spellStart"/>
            <w:r w:rsidRPr="002E4C49">
              <w:rPr>
                <w:rFonts w:cstheme="minorHAnsi"/>
                <w:b/>
                <w:sz w:val="20"/>
                <w:szCs w:val="20"/>
              </w:rPr>
              <w:t>prioriteta</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vAlign w:val="center"/>
          </w:tcPr>
          <w:p w14:paraId="4B9171F3" w14:textId="10C61D9D" w:rsidR="00A00D87" w:rsidRPr="002E4C49" w:rsidRDefault="00A00D87" w:rsidP="00E6560A">
            <w:pPr>
              <w:spacing w:line="259" w:lineRule="auto"/>
              <w:ind w:left="1"/>
              <w:jc w:val="both"/>
              <w:rPr>
                <w:rFonts w:cstheme="minorHAnsi"/>
                <w:sz w:val="20"/>
                <w:szCs w:val="20"/>
              </w:rPr>
            </w:pPr>
            <w:proofErr w:type="spellStart"/>
            <w:r w:rsidRPr="002E4C49">
              <w:rPr>
                <w:rFonts w:cstheme="minorHAnsi"/>
                <w:sz w:val="20"/>
                <w:szCs w:val="20"/>
              </w:rPr>
              <w:t>Smanjenje</w:t>
            </w:r>
            <w:proofErr w:type="spellEnd"/>
            <w:r w:rsidRPr="002E4C49">
              <w:rPr>
                <w:rFonts w:cstheme="minorHAnsi"/>
                <w:sz w:val="20"/>
                <w:szCs w:val="20"/>
              </w:rPr>
              <w:t xml:space="preserve"> </w:t>
            </w:r>
            <w:proofErr w:type="spellStart"/>
            <w:r w:rsidRPr="002E4C49">
              <w:rPr>
                <w:rFonts w:cstheme="minorHAnsi"/>
                <w:sz w:val="20"/>
                <w:szCs w:val="20"/>
              </w:rPr>
              <w:t>emisija</w:t>
            </w:r>
            <w:proofErr w:type="spellEnd"/>
            <w:r w:rsidRPr="002E4C49">
              <w:rPr>
                <w:rFonts w:cstheme="minorHAnsi"/>
                <w:sz w:val="20"/>
                <w:szCs w:val="20"/>
              </w:rPr>
              <w:t xml:space="preserve"> </w:t>
            </w:r>
            <w:proofErr w:type="spellStart"/>
            <w:r w:rsidRPr="002E4C49">
              <w:rPr>
                <w:rFonts w:cstheme="minorHAnsi"/>
                <w:sz w:val="20"/>
                <w:szCs w:val="20"/>
              </w:rPr>
              <w:t>zagađujućih</w:t>
            </w:r>
            <w:proofErr w:type="spellEnd"/>
            <w:r w:rsidRPr="002E4C49">
              <w:rPr>
                <w:rFonts w:cstheme="minorHAnsi"/>
                <w:sz w:val="20"/>
                <w:szCs w:val="20"/>
              </w:rPr>
              <w:t xml:space="preserve"> </w:t>
            </w:r>
            <w:proofErr w:type="spellStart"/>
            <w:r w:rsidRPr="002E4C49">
              <w:rPr>
                <w:rFonts w:cstheme="minorHAnsi"/>
                <w:sz w:val="20"/>
                <w:szCs w:val="20"/>
              </w:rPr>
              <w:t>materija</w:t>
            </w:r>
            <w:proofErr w:type="spellEnd"/>
            <w:r w:rsidRPr="002E4C49" w:rsidDel="00B12659">
              <w:rPr>
                <w:rFonts w:cstheme="minorHAnsi"/>
                <w:sz w:val="20"/>
                <w:szCs w:val="20"/>
              </w:rPr>
              <w:t xml:space="preserve"> </w:t>
            </w:r>
            <w:proofErr w:type="spellStart"/>
            <w:r w:rsidRPr="002E4C49">
              <w:rPr>
                <w:rFonts w:cstheme="minorHAnsi"/>
                <w:sz w:val="20"/>
                <w:szCs w:val="20"/>
              </w:rPr>
              <w:t>štetnih</w:t>
            </w:r>
            <w:proofErr w:type="spellEnd"/>
            <w:r w:rsidRPr="002E4C49">
              <w:rPr>
                <w:rFonts w:cstheme="minorHAnsi"/>
                <w:sz w:val="20"/>
                <w:szCs w:val="20"/>
              </w:rPr>
              <w:t xml:space="preserve"> po </w:t>
            </w:r>
            <w:proofErr w:type="spellStart"/>
            <w:r w:rsidRPr="002E4C49">
              <w:rPr>
                <w:rFonts w:cstheme="minorHAnsi"/>
                <w:sz w:val="20"/>
                <w:szCs w:val="20"/>
              </w:rPr>
              <w:t>zdravlje</w:t>
            </w:r>
            <w:proofErr w:type="spellEnd"/>
            <w:r w:rsidRPr="002E4C49">
              <w:rPr>
                <w:rFonts w:cstheme="minorHAnsi"/>
                <w:sz w:val="20"/>
                <w:szCs w:val="20"/>
              </w:rPr>
              <w:t xml:space="preserve"> </w:t>
            </w:r>
            <w:proofErr w:type="spellStart"/>
            <w:r w:rsidRPr="002E4C49">
              <w:rPr>
                <w:rFonts w:cstheme="minorHAnsi"/>
                <w:sz w:val="20"/>
                <w:szCs w:val="20"/>
              </w:rPr>
              <w:t>ljudi</w:t>
            </w:r>
            <w:proofErr w:type="spellEnd"/>
            <w:r w:rsidRPr="002E4C49">
              <w:rPr>
                <w:rFonts w:cstheme="minorHAnsi"/>
                <w:sz w:val="20"/>
                <w:szCs w:val="20"/>
              </w:rPr>
              <w:t xml:space="preserve"> i </w:t>
            </w:r>
            <w:proofErr w:type="spellStart"/>
            <w:r w:rsidRPr="002E4C49">
              <w:rPr>
                <w:rFonts w:cstheme="minorHAnsi"/>
                <w:sz w:val="20"/>
                <w:szCs w:val="20"/>
              </w:rPr>
              <w:t>okoliš</w:t>
            </w:r>
            <w:proofErr w:type="spellEnd"/>
            <w:r w:rsidR="00C95660" w:rsidRPr="002E4C49">
              <w:rPr>
                <w:rFonts w:cstheme="minorHAnsi"/>
                <w:sz w:val="20"/>
                <w:szCs w:val="20"/>
              </w:rPr>
              <w:t>,</w:t>
            </w:r>
            <w:r w:rsidRPr="002E4C49">
              <w:rPr>
                <w:rFonts w:cstheme="minorHAnsi"/>
                <w:sz w:val="20"/>
                <w:szCs w:val="20"/>
              </w:rPr>
              <w:t xml:space="preserve"> i CO</w:t>
            </w:r>
            <w:r w:rsidRPr="002E4C49">
              <w:rPr>
                <w:rFonts w:cstheme="minorHAnsi"/>
                <w:sz w:val="20"/>
                <w:szCs w:val="20"/>
                <w:vertAlign w:val="subscript"/>
              </w:rPr>
              <w:t>2</w:t>
            </w:r>
            <w:r w:rsidRPr="002E4C49">
              <w:rPr>
                <w:rFonts w:cstheme="minorHAnsi"/>
                <w:sz w:val="20"/>
                <w:szCs w:val="20"/>
              </w:rPr>
              <w:t xml:space="preserve"> </w:t>
            </w:r>
            <w:proofErr w:type="spellStart"/>
            <w:r w:rsidRPr="002E4C49">
              <w:rPr>
                <w:rFonts w:cstheme="minorHAnsi"/>
                <w:sz w:val="20"/>
                <w:szCs w:val="20"/>
              </w:rPr>
              <w:t>iz</w:t>
            </w:r>
            <w:proofErr w:type="spellEnd"/>
            <w:r w:rsidRPr="002E4C49">
              <w:rPr>
                <w:rFonts w:cstheme="minorHAnsi"/>
                <w:sz w:val="20"/>
                <w:szCs w:val="20"/>
              </w:rPr>
              <w:t xml:space="preserve"> </w:t>
            </w:r>
            <w:proofErr w:type="spellStart"/>
            <w:r w:rsidRPr="002E4C49">
              <w:rPr>
                <w:rFonts w:cstheme="minorHAnsi"/>
                <w:sz w:val="20"/>
                <w:szCs w:val="20"/>
              </w:rPr>
              <w:t>sistema</w:t>
            </w:r>
            <w:proofErr w:type="spellEnd"/>
            <w:r w:rsidRPr="002E4C49">
              <w:rPr>
                <w:rFonts w:cstheme="minorHAnsi"/>
                <w:sz w:val="20"/>
                <w:szCs w:val="20"/>
              </w:rPr>
              <w:t xml:space="preserve"> </w:t>
            </w:r>
            <w:proofErr w:type="spellStart"/>
            <w:r w:rsidRPr="002E4C49">
              <w:rPr>
                <w:rFonts w:cstheme="minorHAnsi"/>
                <w:sz w:val="20"/>
                <w:szCs w:val="20"/>
              </w:rPr>
              <w:t>daljinskih</w:t>
            </w:r>
            <w:proofErr w:type="spellEnd"/>
            <w:r w:rsidRPr="002E4C49">
              <w:rPr>
                <w:rFonts w:cstheme="minorHAnsi"/>
                <w:sz w:val="20"/>
                <w:szCs w:val="20"/>
              </w:rPr>
              <w:t xml:space="preserve"> </w:t>
            </w:r>
            <w:proofErr w:type="spellStart"/>
            <w:r w:rsidRPr="002E4C49">
              <w:rPr>
                <w:rFonts w:cstheme="minorHAnsi"/>
                <w:sz w:val="20"/>
                <w:szCs w:val="20"/>
              </w:rPr>
              <w:t>grijanja</w:t>
            </w:r>
            <w:proofErr w:type="spellEnd"/>
            <w:r w:rsidRPr="002E4C49">
              <w:rPr>
                <w:rFonts w:cstheme="minorHAnsi"/>
                <w:sz w:val="20"/>
                <w:szCs w:val="20"/>
              </w:rPr>
              <w:t xml:space="preserve">. </w:t>
            </w:r>
          </w:p>
        </w:tc>
      </w:tr>
      <w:tr w:rsidR="00A00D87" w:rsidRPr="002E4C49" w14:paraId="2ACC41F0" w14:textId="77777777" w:rsidTr="006D442E">
        <w:trPr>
          <w:trHeight w:val="1044"/>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F517CE" w14:textId="78C68229"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Indikativna</w:t>
            </w:r>
            <w:proofErr w:type="spellEnd"/>
            <w:r w:rsidRPr="002E4C49">
              <w:rPr>
                <w:rFonts w:cstheme="minorHAnsi"/>
                <w:b/>
                <w:sz w:val="20"/>
                <w:szCs w:val="20"/>
              </w:rPr>
              <w:t xml:space="preserve"> </w:t>
            </w:r>
            <w:proofErr w:type="spellStart"/>
            <w:r w:rsidR="007B690C" w:rsidRPr="002E4C49">
              <w:rPr>
                <w:rFonts w:cstheme="minorHAnsi"/>
                <w:b/>
                <w:sz w:val="20"/>
                <w:szCs w:val="20"/>
              </w:rPr>
              <w:t>financ</w:t>
            </w:r>
            <w:r w:rsidRPr="002E4C49">
              <w:rPr>
                <w:rFonts w:cstheme="minorHAnsi"/>
                <w:b/>
                <w:sz w:val="20"/>
                <w:szCs w:val="20"/>
              </w:rPr>
              <w:t>ijska</w:t>
            </w:r>
            <w:proofErr w:type="spellEnd"/>
            <w:r w:rsidRPr="002E4C49">
              <w:rPr>
                <w:rFonts w:cstheme="minorHAnsi"/>
                <w:b/>
                <w:sz w:val="20"/>
                <w:szCs w:val="20"/>
              </w:rPr>
              <w:t xml:space="preserve"> </w:t>
            </w:r>
            <w:proofErr w:type="spellStart"/>
            <w:r w:rsidRPr="002E4C49">
              <w:rPr>
                <w:rFonts w:cstheme="minorHAnsi"/>
                <w:b/>
                <w:sz w:val="20"/>
                <w:szCs w:val="20"/>
              </w:rPr>
              <w:t>konstrukcija</w:t>
            </w:r>
            <w:proofErr w:type="spellEnd"/>
            <w:r w:rsidRPr="002E4C49">
              <w:rPr>
                <w:rFonts w:cstheme="minorHAnsi"/>
                <w:b/>
                <w:sz w:val="20"/>
                <w:szCs w:val="20"/>
              </w:rPr>
              <w:t xml:space="preserve"> </w:t>
            </w:r>
            <w:proofErr w:type="spellStart"/>
            <w:r w:rsidRPr="002E4C49">
              <w:rPr>
                <w:rFonts w:cstheme="minorHAnsi"/>
                <w:b/>
                <w:sz w:val="20"/>
                <w:szCs w:val="20"/>
              </w:rPr>
              <w:t>sa</w:t>
            </w:r>
            <w:proofErr w:type="spellEnd"/>
            <w:r w:rsidRPr="002E4C49">
              <w:rPr>
                <w:rFonts w:cstheme="minorHAnsi"/>
                <w:b/>
                <w:sz w:val="20"/>
                <w:szCs w:val="20"/>
              </w:rPr>
              <w:t xml:space="preserve"> </w:t>
            </w:r>
            <w:proofErr w:type="spellStart"/>
            <w:r w:rsidRPr="002E4C49">
              <w:rPr>
                <w:rFonts w:cstheme="minorHAnsi"/>
                <w:b/>
                <w:sz w:val="20"/>
                <w:szCs w:val="20"/>
              </w:rPr>
              <w:t>izvorima</w:t>
            </w:r>
            <w:proofErr w:type="spellEnd"/>
            <w:r w:rsidRPr="002E4C49">
              <w:rPr>
                <w:rFonts w:cstheme="minorHAnsi"/>
                <w:b/>
                <w:sz w:val="20"/>
                <w:szCs w:val="20"/>
              </w:rPr>
              <w:t xml:space="preserve"> </w:t>
            </w:r>
            <w:proofErr w:type="spellStart"/>
            <w:r w:rsidR="007B690C" w:rsidRPr="002E4C49">
              <w:rPr>
                <w:rFonts w:cstheme="minorHAnsi"/>
                <w:b/>
                <w:sz w:val="20"/>
                <w:szCs w:val="20"/>
              </w:rPr>
              <w:t>financ</w:t>
            </w:r>
            <w:r w:rsidRPr="002E4C49">
              <w:rPr>
                <w:rFonts w:cstheme="minorHAnsi"/>
                <w:b/>
                <w:sz w:val="20"/>
                <w:szCs w:val="20"/>
              </w:rPr>
              <w:t>iranja</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vAlign w:val="center"/>
          </w:tcPr>
          <w:p w14:paraId="7C9F2B80" w14:textId="77777777" w:rsidR="00A00D87" w:rsidRPr="002E4C49" w:rsidRDefault="00A00D87" w:rsidP="00122946">
            <w:pPr>
              <w:spacing w:line="259" w:lineRule="auto"/>
              <w:ind w:left="1"/>
              <w:rPr>
                <w:rFonts w:cstheme="minorHAnsi"/>
                <w:sz w:val="20"/>
                <w:szCs w:val="20"/>
              </w:rPr>
            </w:pPr>
            <w:proofErr w:type="spellStart"/>
            <w:r w:rsidRPr="002E4C49">
              <w:rPr>
                <w:rFonts w:cstheme="minorHAnsi"/>
                <w:sz w:val="20"/>
                <w:szCs w:val="20"/>
              </w:rPr>
              <w:t>Iznos</w:t>
            </w:r>
            <w:proofErr w:type="spellEnd"/>
            <w:r w:rsidRPr="002E4C49">
              <w:rPr>
                <w:rFonts w:cstheme="minorHAnsi"/>
                <w:sz w:val="20"/>
                <w:szCs w:val="20"/>
              </w:rPr>
              <w:t>: 4.421,50 mil. KM</w:t>
            </w:r>
          </w:p>
          <w:p w14:paraId="0154BC66" w14:textId="77777777" w:rsidR="00A00D87" w:rsidRPr="002E4C49" w:rsidRDefault="00A00D87" w:rsidP="00122946">
            <w:pPr>
              <w:spacing w:line="259" w:lineRule="auto"/>
              <w:ind w:left="1"/>
              <w:rPr>
                <w:rFonts w:cstheme="minorHAnsi"/>
                <w:sz w:val="20"/>
                <w:szCs w:val="20"/>
              </w:rPr>
            </w:pPr>
            <w:proofErr w:type="spellStart"/>
            <w:r w:rsidRPr="002E4C49">
              <w:rPr>
                <w:rFonts w:cstheme="minorHAnsi"/>
                <w:sz w:val="20"/>
                <w:szCs w:val="20"/>
              </w:rPr>
              <w:t>Izvor</w:t>
            </w:r>
            <w:proofErr w:type="spellEnd"/>
            <w:r w:rsidRPr="002E4C49">
              <w:rPr>
                <w:rFonts w:cstheme="minorHAnsi"/>
                <w:sz w:val="20"/>
                <w:szCs w:val="20"/>
              </w:rPr>
              <w:t xml:space="preserve">: </w:t>
            </w:r>
            <w:proofErr w:type="spellStart"/>
            <w:r w:rsidRPr="002E4C49">
              <w:rPr>
                <w:rFonts w:cstheme="minorHAnsi"/>
                <w:sz w:val="20"/>
                <w:szCs w:val="20"/>
              </w:rPr>
              <w:t>Budžet</w:t>
            </w:r>
            <w:proofErr w:type="spellEnd"/>
            <w:r w:rsidRPr="002E4C49">
              <w:rPr>
                <w:rFonts w:cstheme="minorHAnsi"/>
                <w:sz w:val="20"/>
                <w:szCs w:val="20"/>
              </w:rPr>
              <w:t xml:space="preserve"> </w:t>
            </w:r>
            <w:proofErr w:type="spellStart"/>
            <w:r w:rsidRPr="002E4C49">
              <w:rPr>
                <w:rFonts w:cstheme="minorHAnsi"/>
                <w:sz w:val="20"/>
                <w:szCs w:val="20"/>
              </w:rPr>
              <w:t>institucija</w:t>
            </w:r>
            <w:proofErr w:type="spellEnd"/>
            <w:r w:rsidRPr="002E4C49">
              <w:rPr>
                <w:rFonts w:cstheme="minorHAnsi"/>
                <w:sz w:val="20"/>
                <w:szCs w:val="20"/>
              </w:rPr>
              <w:t xml:space="preserve">, </w:t>
            </w:r>
            <w:proofErr w:type="spellStart"/>
            <w:r w:rsidRPr="002E4C49">
              <w:rPr>
                <w:rFonts w:cstheme="minorHAnsi"/>
                <w:sz w:val="20"/>
                <w:szCs w:val="20"/>
              </w:rPr>
              <w:t>ostali</w:t>
            </w:r>
            <w:proofErr w:type="spellEnd"/>
            <w:r w:rsidRPr="002E4C49">
              <w:rPr>
                <w:rFonts w:cstheme="minorHAnsi"/>
                <w:sz w:val="20"/>
                <w:szCs w:val="20"/>
              </w:rPr>
              <w:t xml:space="preserve"> </w:t>
            </w:r>
            <w:proofErr w:type="spellStart"/>
            <w:r w:rsidRPr="002E4C49">
              <w:rPr>
                <w:rFonts w:cstheme="minorHAnsi"/>
                <w:sz w:val="20"/>
                <w:szCs w:val="20"/>
              </w:rPr>
              <w:t>izvori</w:t>
            </w:r>
            <w:proofErr w:type="spellEnd"/>
          </w:p>
        </w:tc>
      </w:tr>
      <w:tr w:rsidR="00A00D87" w:rsidRPr="002E4C49" w14:paraId="52B3B11B" w14:textId="77777777" w:rsidTr="006D442E">
        <w:trPr>
          <w:trHeight w:val="632"/>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90A6675" w14:textId="77777777" w:rsidR="00A00D87" w:rsidRPr="002E4C49" w:rsidRDefault="00A00D87" w:rsidP="00122946">
            <w:pPr>
              <w:spacing w:line="259" w:lineRule="auto"/>
              <w:rPr>
                <w:rFonts w:cstheme="minorHAnsi"/>
                <w:sz w:val="20"/>
                <w:szCs w:val="20"/>
              </w:rPr>
            </w:pPr>
            <w:r w:rsidRPr="002E4C49">
              <w:rPr>
                <w:rFonts w:cstheme="minorHAnsi"/>
                <w:b/>
                <w:sz w:val="20"/>
                <w:szCs w:val="20"/>
              </w:rPr>
              <w:t xml:space="preserve">Period </w:t>
            </w:r>
            <w:proofErr w:type="spellStart"/>
            <w:r w:rsidRPr="002E4C49">
              <w:rPr>
                <w:rFonts w:cstheme="minorHAnsi"/>
                <w:b/>
                <w:sz w:val="20"/>
                <w:szCs w:val="20"/>
              </w:rPr>
              <w:t>implementacije</w:t>
            </w:r>
            <w:proofErr w:type="spellEnd"/>
            <w:r w:rsidRPr="002E4C49">
              <w:rPr>
                <w:rFonts w:cstheme="minorHAnsi"/>
                <w:b/>
                <w:sz w:val="20"/>
                <w:szCs w:val="20"/>
              </w:rPr>
              <w:t xml:space="preserve"> </w:t>
            </w:r>
            <w:proofErr w:type="spellStart"/>
            <w:r w:rsidRPr="002E4C49">
              <w:rPr>
                <w:rFonts w:cstheme="minorHAnsi"/>
                <w:b/>
                <w:sz w:val="20"/>
                <w:szCs w:val="20"/>
              </w:rPr>
              <w:t>mjere</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vAlign w:val="center"/>
          </w:tcPr>
          <w:p w14:paraId="1F098CC8" w14:textId="77777777" w:rsidR="00A00D87" w:rsidRPr="002E4C49" w:rsidRDefault="00A00D87" w:rsidP="00E6560A">
            <w:pPr>
              <w:ind w:left="1"/>
              <w:jc w:val="both"/>
              <w:rPr>
                <w:rFonts w:cstheme="minorHAnsi"/>
                <w:sz w:val="20"/>
                <w:szCs w:val="20"/>
              </w:rPr>
            </w:pPr>
            <w:r w:rsidRPr="002E4C49">
              <w:rPr>
                <w:rFonts w:cstheme="minorHAnsi"/>
                <w:sz w:val="20"/>
                <w:szCs w:val="20"/>
              </w:rPr>
              <w:t>2022-2024. (</w:t>
            </w:r>
            <w:proofErr w:type="spellStart"/>
            <w:r w:rsidRPr="002E4C49">
              <w:rPr>
                <w:rFonts w:cstheme="minorHAnsi"/>
                <w:sz w:val="20"/>
                <w:szCs w:val="20"/>
              </w:rPr>
              <w:t>donošenje</w:t>
            </w:r>
            <w:proofErr w:type="spellEnd"/>
            <w:r w:rsidRPr="002E4C49">
              <w:rPr>
                <w:rFonts w:cstheme="minorHAnsi"/>
                <w:sz w:val="20"/>
                <w:szCs w:val="20"/>
              </w:rPr>
              <w:t xml:space="preserve"> </w:t>
            </w:r>
            <w:proofErr w:type="spellStart"/>
            <w:r w:rsidRPr="002E4C49">
              <w:rPr>
                <w:rFonts w:cstheme="minorHAnsi"/>
                <w:sz w:val="20"/>
                <w:szCs w:val="20"/>
              </w:rPr>
              <w:t>smjernica</w:t>
            </w:r>
            <w:proofErr w:type="spellEnd"/>
            <w:r w:rsidRPr="002E4C49">
              <w:rPr>
                <w:rFonts w:cstheme="minorHAnsi"/>
                <w:sz w:val="20"/>
                <w:szCs w:val="20"/>
              </w:rPr>
              <w:t xml:space="preserve"> i </w:t>
            </w:r>
            <w:proofErr w:type="spellStart"/>
            <w:r w:rsidRPr="002E4C49">
              <w:rPr>
                <w:rFonts w:cstheme="minorHAnsi"/>
                <w:sz w:val="20"/>
                <w:szCs w:val="20"/>
              </w:rPr>
              <w:t>planova</w:t>
            </w:r>
            <w:proofErr w:type="spellEnd"/>
            <w:r w:rsidRPr="002E4C49">
              <w:rPr>
                <w:rFonts w:cstheme="minorHAnsi"/>
                <w:sz w:val="20"/>
                <w:szCs w:val="20"/>
              </w:rPr>
              <w:t xml:space="preserve"> razvoja)</w:t>
            </w:r>
          </w:p>
          <w:p w14:paraId="4C6A90AC" w14:textId="77777777" w:rsidR="00A00D87" w:rsidRPr="002E4C49" w:rsidRDefault="00A00D87" w:rsidP="00E6560A">
            <w:pPr>
              <w:ind w:left="1"/>
              <w:jc w:val="both"/>
              <w:rPr>
                <w:rFonts w:cstheme="minorHAnsi"/>
                <w:sz w:val="20"/>
                <w:szCs w:val="20"/>
              </w:rPr>
            </w:pPr>
            <w:r w:rsidRPr="002E4C49">
              <w:rPr>
                <w:rFonts w:cstheme="minorHAnsi"/>
                <w:sz w:val="20"/>
                <w:szCs w:val="20"/>
              </w:rPr>
              <w:t>2024-2050. (</w:t>
            </w:r>
            <w:proofErr w:type="spellStart"/>
            <w:proofErr w:type="gramStart"/>
            <w:r w:rsidRPr="002E4C49">
              <w:rPr>
                <w:rFonts w:cstheme="minorHAnsi"/>
                <w:sz w:val="20"/>
                <w:szCs w:val="20"/>
              </w:rPr>
              <w:t>implementacija</w:t>
            </w:r>
            <w:proofErr w:type="spellEnd"/>
            <w:proofErr w:type="gramEnd"/>
            <w:r w:rsidRPr="002E4C49">
              <w:rPr>
                <w:rFonts w:cstheme="minorHAnsi"/>
                <w:sz w:val="20"/>
                <w:szCs w:val="20"/>
              </w:rPr>
              <w:t xml:space="preserve"> </w:t>
            </w:r>
            <w:proofErr w:type="spellStart"/>
            <w:r w:rsidRPr="002E4C49">
              <w:rPr>
                <w:rFonts w:cstheme="minorHAnsi"/>
                <w:sz w:val="20"/>
                <w:szCs w:val="20"/>
              </w:rPr>
              <w:t>mjere</w:t>
            </w:r>
            <w:proofErr w:type="spellEnd"/>
            <w:r w:rsidRPr="002E4C49">
              <w:rPr>
                <w:rFonts w:cstheme="minorHAnsi"/>
                <w:sz w:val="20"/>
                <w:szCs w:val="20"/>
              </w:rPr>
              <w:t>)</w:t>
            </w:r>
          </w:p>
          <w:p w14:paraId="2F3D0348" w14:textId="77777777" w:rsidR="00A00D87" w:rsidRPr="002E4C49" w:rsidRDefault="00A00D87" w:rsidP="00E6560A">
            <w:pPr>
              <w:ind w:left="1"/>
              <w:jc w:val="both"/>
              <w:rPr>
                <w:rFonts w:cstheme="minorHAnsi"/>
                <w:sz w:val="20"/>
                <w:szCs w:val="20"/>
              </w:rPr>
            </w:pPr>
            <w:proofErr w:type="spellStart"/>
            <w:r w:rsidRPr="002E4C49">
              <w:rPr>
                <w:rFonts w:cstheme="minorHAnsi"/>
                <w:sz w:val="20"/>
                <w:szCs w:val="20"/>
              </w:rPr>
              <w:t>Smjernice</w:t>
            </w:r>
            <w:proofErr w:type="spellEnd"/>
            <w:r w:rsidRPr="002E4C49">
              <w:rPr>
                <w:rFonts w:cstheme="minorHAnsi"/>
                <w:sz w:val="20"/>
                <w:szCs w:val="20"/>
              </w:rPr>
              <w:t xml:space="preserve"> razvoja </w:t>
            </w:r>
            <w:proofErr w:type="spellStart"/>
            <w:r w:rsidRPr="002E4C49">
              <w:rPr>
                <w:rFonts w:cstheme="minorHAnsi"/>
                <w:sz w:val="20"/>
                <w:szCs w:val="20"/>
              </w:rPr>
              <w:t>će</w:t>
            </w:r>
            <w:proofErr w:type="spellEnd"/>
            <w:r w:rsidRPr="002E4C49">
              <w:rPr>
                <w:rFonts w:cstheme="minorHAnsi"/>
                <w:sz w:val="20"/>
                <w:szCs w:val="20"/>
              </w:rPr>
              <w:t xml:space="preserve"> se </w:t>
            </w:r>
            <w:proofErr w:type="spellStart"/>
            <w:r w:rsidRPr="002E4C49">
              <w:rPr>
                <w:rFonts w:cstheme="minorHAnsi"/>
                <w:sz w:val="20"/>
                <w:szCs w:val="20"/>
              </w:rPr>
              <w:t>ažurirati</w:t>
            </w:r>
            <w:proofErr w:type="spellEnd"/>
            <w:r w:rsidRPr="002E4C49">
              <w:rPr>
                <w:rFonts w:cstheme="minorHAnsi"/>
                <w:sz w:val="20"/>
                <w:szCs w:val="20"/>
              </w:rPr>
              <w:t xml:space="preserve"> do 2050. </w:t>
            </w:r>
            <w:proofErr w:type="spellStart"/>
            <w:r w:rsidRPr="002E4C49">
              <w:rPr>
                <w:rFonts w:cstheme="minorHAnsi"/>
                <w:sz w:val="20"/>
                <w:szCs w:val="20"/>
              </w:rPr>
              <w:t>godine</w:t>
            </w:r>
            <w:proofErr w:type="spellEnd"/>
            <w:r w:rsidRPr="002E4C49">
              <w:rPr>
                <w:rFonts w:cstheme="minorHAnsi"/>
                <w:sz w:val="20"/>
                <w:szCs w:val="20"/>
              </w:rPr>
              <w:t xml:space="preserve">, </w:t>
            </w:r>
            <w:proofErr w:type="spellStart"/>
            <w:r w:rsidRPr="002E4C49">
              <w:rPr>
                <w:rFonts w:cstheme="minorHAnsi"/>
                <w:sz w:val="20"/>
                <w:szCs w:val="20"/>
              </w:rPr>
              <w:t>uz</w:t>
            </w:r>
            <w:proofErr w:type="spellEnd"/>
            <w:r w:rsidRPr="002E4C49">
              <w:rPr>
                <w:rFonts w:cstheme="minorHAnsi"/>
                <w:sz w:val="20"/>
                <w:szCs w:val="20"/>
              </w:rPr>
              <w:t xml:space="preserve"> </w:t>
            </w:r>
            <w:proofErr w:type="spellStart"/>
            <w:r w:rsidRPr="002E4C49">
              <w:rPr>
                <w:rFonts w:cstheme="minorHAnsi"/>
                <w:sz w:val="20"/>
                <w:szCs w:val="20"/>
              </w:rPr>
              <w:t>moguće</w:t>
            </w:r>
            <w:proofErr w:type="spellEnd"/>
            <w:r w:rsidRPr="002E4C49">
              <w:rPr>
                <w:rFonts w:cstheme="minorHAnsi"/>
                <w:sz w:val="20"/>
                <w:szCs w:val="20"/>
              </w:rPr>
              <w:t xml:space="preserve"> </w:t>
            </w:r>
            <w:proofErr w:type="spellStart"/>
            <w:r w:rsidRPr="002E4C49">
              <w:rPr>
                <w:rFonts w:cstheme="minorHAnsi"/>
                <w:sz w:val="20"/>
                <w:szCs w:val="20"/>
              </w:rPr>
              <w:t>izmjene</w:t>
            </w:r>
            <w:proofErr w:type="spellEnd"/>
            <w:r w:rsidRPr="002E4C49">
              <w:rPr>
                <w:rFonts w:cstheme="minorHAnsi"/>
                <w:sz w:val="20"/>
                <w:szCs w:val="20"/>
              </w:rPr>
              <w:t xml:space="preserve"> </w:t>
            </w:r>
            <w:proofErr w:type="spellStart"/>
            <w:r w:rsidRPr="002E4C49">
              <w:rPr>
                <w:rFonts w:cstheme="minorHAnsi"/>
                <w:sz w:val="20"/>
                <w:szCs w:val="20"/>
              </w:rPr>
              <w:t>temeljene</w:t>
            </w:r>
            <w:proofErr w:type="spellEnd"/>
            <w:r w:rsidRPr="002E4C49">
              <w:rPr>
                <w:rFonts w:cstheme="minorHAnsi"/>
                <w:sz w:val="20"/>
                <w:szCs w:val="20"/>
              </w:rPr>
              <w:t xml:space="preserve"> </w:t>
            </w:r>
            <w:proofErr w:type="spellStart"/>
            <w:r w:rsidRPr="002E4C49">
              <w:rPr>
                <w:rFonts w:cstheme="minorHAnsi"/>
                <w:sz w:val="20"/>
                <w:szCs w:val="20"/>
              </w:rPr>
              <w:t>na</w:t>
            </w:r>
            <w:proofErr w:type="spellEnd"/>
            <w:r w:rsidRPr="002E4C49">
              <w:rPr>
                <w:rFonts w:cstheme="minorHAnsi"/>
                <w:sz w:val="20"/>
                <w:szCs w:val="20"/>
              </w:rPr>
              <w:t xml:space="preserve"> </w:t>
            </w:r>
            <w:proofErr w:type="spellStart"/>
            <w:r w:rsidRPr="002E4C49">
              <w:rPr>
                <w:rFonts w:cstheme="minorHAnsi"/>
                <w:sz w:val="20"/>
                <w:szCs w:val="20"/>
              </w:rPr>
              <w:t>prikupljenim</w:t>
            </w:r>
            <w:proofErr w:type="spellEnd"/>
            <w:r w:rsidRPr="002E4C49">
              <w:rPr>
                <w:rFonts w:cstheme="minorHAnsi"/>
                <w:sz w:val="20"/>
                <w:szCs w:val="20"/>
              </w:rPr>
              <w:t xml:space="preserve"> </w:t>
            </w:r>
            <w:proofErr w:type="spellStart"/>
            <w:r w:rsidRPr="002E4C49">
              <w:rPr>
                <w:rFonts w:cstheme="minorHAnsi"/>
                <w:sz w:val="20"/>
                <w:szCs w:val="20"/>
              </w:rPr>
              <w:t>iskustvima</w:t>
            </w:r>
            <w:proofErr w:type="spellEnd"/>
          </w:p>
        </w:tc>
      </w:tr>
      <w:tr w:rsidR="00A00D87" w:rsidRPr="002E4C49" w14:paraId="51BD852C" w14:textId="77777777" w:rsidTr="006D442E">
        <w:trPr>
          <w:trHeight w:val="1046"/>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29E2B61"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Institucija</w:t>
            </w:r>
            <w:proofErr w:type="spellEnd"/>
            <w:r w:rsidRPr="002E4C49">
              <w:rPr>
                <w:rFonts w:cstheme="minorHAnsi"/>
                <w:b/>
                <w:sz w:val="20"/>
                <w:szCs w:val="20"/>
              </w:rPr>
              <w:t xml:space="preserve"> </w:t>
            </w:r>
          </w:p>
          <w:p w14:paraId="18F30886"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odgovorna</w:t>
            </w:r>
            <w:proofErr w:type="spellEnd"/>
            <w:r w:rsidRPr="002E4C49">
              <w:rPr>
                <w:rFonts w:cstheme="minorHAnsi"/>
                <w:b/>
                <w:sz w:val="20"/>
                <w:szCs w:val="20"/>
              </w:rPr>
              <w:t xml:space="preserve"> za </w:t>
            </w:r>
            <w:proofErr w:type="spellStart"/>
            <w:r w:rsidRPr="002E4C49">
              <w:rPr>
                <w:rFonts w:cstheme="minorHAnsi"/>
                <w:b/>
                <w:sz w:val="20"/>
                <w:szCs w:val="20"/>
              </w:rPr>
              <w:t>koordinaciju</w:t>
            </w:r>
            <w:proofErr w:type="spellEnd"/>
            <w:r w:rsidRPr="002E4C49">
              <w:rPr>
                <w:rFonts w:cstheme="minorHAnsi"/>
                <w:b/>
                <w:sz w:val="20"/>
                <w:szCs w:val="20"/>
              </w:rPr>
              <w:t xml:space="preserve"> </w:t>
            </w:r>
            <w:proofErr w:type="spellStart"/>
            <w:r w:rsidRPr="002E4C49">
              <w:rPr>
                <w:rFonts w:cstheme="minorHAnsi"/>
                <w:b/>
                <w:sz w:val="20"/>
                <w:szCs w:val="20"/>
              </w:rPr>
              <w:t>implementacije</w:t>
            </w:r>
            <w:proofErr w:type="spellEnd"/>
            <w:r w:rsidRPr="002E4C49">
              <w:rPr>
                <w:rFonts w:cstheme="minorHAnsi"/>
                <w:b/>
                <w:sz w:val="20"/>
                <w:szCs w:val="20"/>
              </w:rPr>
              <w:t xml:space="preserve"> </w:t>
            </w:r>
            <w:proofErr w:type="spellStart"/>
            <w:r w:rsidRPr="002E4C49">
              <w:rPr>
                <w:rFonts w:cstheme="minorHAnsi"/>
                <w:b/>
                <w:sz w:val="20"/>
                <w:szCs w:val="20"/>
              </w:rPr>
              <w:t>mjere</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vAlign w:val="center"/>
          </w:tcPr>
          <w:p w14:paraId="3E9ABFD1" w14:textId="77777777" w:rsidR="00A00D87" w:rsidRPr="002E4C49" w:rsidRDefault="00A00D87" w:rsidP="00E6560A">
            <w:pPr>
              <w:spacing w:line="259" w:lineRule="auto"/>
              <w:ind w:left="1"/>
              <w:jc w:val="both"/>
              <w:rPr>
                <w:rFonts w:cstheme="minorHAnsi"/>
                <w:strike/>
                <w:sz w:val="20"/>
                <w:szCs w:val="20"/>
              </w:rPr>
            </w:pPr>
            <w:r w:rsidRPr="002E4C49">
              <w:rPr>
                <w:rFonts w:cstheme="minorHAnsi"/>
                <w:sz w:val="20"/>
                <w:szCs w:val="20"/>
              </w:rPr>
              <w:t>Federalno ministarstvo energije, rudarstva i industrije</w:t>
            </w:r>
          </w:p>
        </w:tc>
      </w:tr>
      <w:tr w:rsidR="00A00D87" w:rsidRPr="002E4C49" w14:paraId="3BCE0B8D" w14:textId="77777777" w:rsidTr="006D442E">
        <w:trPr>
          <w:trHeight w:val="422"/>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EAAD76D"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Nosioci</w:t>
            </w:r>
            <w:proofErr w:type="spellEnd"/>
            <w:r w:rsidRPr="002E4C49">
              <w:rPr>
                <w:rFonts w:cstheme="minorHAnsi"/>
                <w:b/>
                <w:sz w:val="20"/>
                <w:szCs w:val="20"/>
              </w:rPr>
              <w:t xml:space="preserve"> </w:t>
            </w:r>
            <w:proofErr w:type="spellStart"/>
            <w:r w:rsidRPr="002E4C49">
              <w:rPr>
                <w:rFonts w:cstheme="minorHAnsi"/>
                <w:b/>
                <w:sz w:val="20"/>
                <w:szCs w:val="20"/>
              </w:rPr>
              <w:t>mjere</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tcPr>
          <w:p w14:paraId="2B1766C3" w14:textId="266AAA13" w:rsidR="00A00D87" w:rsidRPr="002E4C49" w:rsidRDefault="00A00D87" w:rsidP="00E6560A">
            <w:pPr>
              <w:spacing w:line="259" w:lineRule="auto"/>
              <w:ind w:left="1" w:right="3"/>
              <w:jc w:val="both"/>
              <w:rPr>
                <w:rFonts w:cstheme="minorHAnsi"/>
                <w:sz w:val="20"/>
                <w:szCs w:val="20"/>
              </w:rPr>
            </w:pPr>
            <w:r w:rsidRPr="002E4C49">
              <w:rPr>
                <w:rFonts w:cstheme="minorHAnsi"/>
                <w:sz w:val="20"/>
                <w:szCs w:val="20"/>
              </w:rPr>
              <w:t xml:space="preserve">Federalno ministarstvo energije, rudarstva i industrije, Federalno ministarstvo okoliša i turizma, Federalni fond za zaštitu okoliša, Federalno ministarstvo </w:t>
            </w:r>
            <w:proofErr w:type="spellStart"/>
            <w:r w:rsidR="007B690C" w:rsidRPr="002E4C49">
              <w:rPr>
                <w:rFonts w:cstheme="minorHAnsi"/>
                <w:sz w:val="20"/>
                <w:szCs w:val="20"/>
              </w:rPr>
              <w:t>financ</w:t>
            </w:r>
            <w:r w:rsidRPr="002E4C49">
              <w:rPr>
                <w:rFonts w:cstheme="minorHAnsi"/>
                <w:sz w:val="20"/>
                <w:szCs w:val="20"/>
              </w:rPr>
              <w:t>ija</w:t>
            </w:r>
            <w:proofErr w:type="spellEnd"/>
            <w:r w:rsidRPr="002E4C49">
              <w:rPr>
                <w:rFonts w:cstheme="minorHAnsi"/>
                <w:sz w:val="20"/>
                <w:szCs w:val="20"/>
              </w:rPr>
              <w:t xml:space="preserve">, </w:t>
            </w:r>
            <w:proofErr w:type="spellStart"/>
            <w:r w:rsidRPr="002E4C49">
              <w:rPr>
                <w:rFonts w:cstheme="minorHAnsi"/>
                <w:sz w:val="20"/>
                <w:szCs w:val="20"/>
              </w:rPr>
              <w:t>kantonalna</w:t>
            </w:r>
            <w:proofErr w:type="spellEnd"/>
            <w:r w:rsidRPr="002E4C49">
              <w:rPr>
                <w:rFonts w:cstheme="minorHAnsi"/>
                <w:sz w:val="20"/>
                <w:szCs w:val="20"/>
              </w:rPr>
              <w:t xml:space="preserve"> </w:t>
            </w:r>
            <w:proofErr w:type="spellStart"/>
            <w:r w:rsidRPr="002E4C49">
              <w:rPr>
                <w:rFonts w:cstheme="minorHAnsi"/>
                <w:sz w:val="20"/>
                <w:szCs w:val="20"/>
              </w:rPr>
              <w:t>ministarstva</w:t>
            </w:r>
            <w:proofErr w:type="spellEnd"/>
            <w:r w:rsidRPr="002E4C49">
              <w:rPr>
                <w:rFonts w:cstheme="minorHAnsi"/>
                <w:sz w:val="20"/>
                <w:szCs w:val="20"/>
              </w:rPr>
              <w:t xml:space="preserve"> </w:t>
            </w:r>
            <w:proofErr w:type="spellStart"/>
            <w:r w:rsidRPr="002E4C49">
              <w:rPr>
                <w:rFonts w:cstheme="minorHAnsi"/>
                <w:sz w:val="20"/>
                <w:szCs w:val="20"/>
              </w:rPr>
              <w:t>nadležna</w:t>
            </w:r>
            <w:proofErr w:type="spellEnd"/>
            <w:r w:rsidRPr="002E4C49">
              <w:rPr>
                <w:rFonts w:cstheme="minorHAnsi"/>
                <w:sz w:val="20"/>
                <w:szCs w:val="20"/>
              </w:rPr>
              <w:t xml:space="preserve"> za </w:t>
            </w:r>
            <w:proofErr w:type="spellStart"/>
            <w:r w:rsidRPr="002E4C49">
              <w:rPr>
                <w:rFonts w:cstheme="minorHAnsi"/>
                <w:sz w:val="20"/>
                <w:szCs w:val="20"/>
              </w:rPr>
              <w:t>okoliš</w:t>
            </w:r>
            <w:proofErr w:type="spellEnd"/>
            <w:r w:rsidRPr="002E4C49">
              <w:rPr>
                <w:rFonts w:cstheme="minorHAnsi"/>
                <w:sz w:val="20"/>
                <w:szCs w:val="20"/>
              </w:rPr>
              <w:t xml:space="preserve">, </w:t>
            </w:r>
            <w:proofErr w:type="spellStart"/>
            <w:r w:rsidRPr="002E4C49">
              <w:rPr>
                <w:rFonts w:cstheme="minorHAnsi"/>
                <w:sz w:val="20"/>
                <w:szCs w:val="20"/>
              </w:rPr>
              <w:t>jedinice</w:t>
            </w:r>
            <w:proofErr w:type="spellEnd"/>
            <w:r w:rsidRPr="002E4C49">
              <w:rPr>
                <w:rFonts w:cstheme="minorHAnsi"/>
                <w:sz w:val="20"/>
                <w:szCs w:val="20"/>
              </w:rPr>
              <w:t xml:space="preserve"> </w:t>
            </w:r>
            <w:proofErr w:type="spellStart"/>
            <w:r w:rsidRPr="002E4C49">
              <w:rPr>
                <w:rFonts w:cstheme="minorHAnsi"/>
                <w:sz w:val="20"/>
                <w:szCs w:val="20"/>
              </w:rPr>
              <w:t>lokalne</w:t>
            </w:r>
            <w:proofErr w:type="spellEnd"/>
            <w:r w:rsidRPr="002E4C49">
              <w:rPr>
                <w:rFonts w:cstheme="minorHAnsi"/>
                <w:sz w:val="20"/>
                <w:szCs w:val="20"/>
              </w:rPr>
              <w:t xml:space="preserve"> </w:t>
            </w:r>
            <w:proofErr w:type="spellStart"/>
            <w:proofErr w:type="gramStart"/>
            <w:r w:rsidRPr="002E4C49">
              <w:rPr>
                <w:rFonts w:cstheme="minorHAnsi"/>
                <w:sz w:val="20"/>
                <w:szCs w:val="20"/>
              </w:rPr>
              <w:t>samouprave</w:t>
            </w:r>
            <w:proofErr w:type="spellEnd"/>
            <w:r w:rsidRPr="002E4C49">
              <w:rPr>
                <w:rFonts w:cstheme="minorHAnsi"/>
                <w:sz w:val="20"/>
                <w:szCs w:val="20"/>
              </w:rPr>
              <w:t>,  Federalni</w:t>
            </w:r>
            <w:proofErr w:type="gramEnd"/>
            <w:r w:rsidRPr="002E4C49">
              <w:rPr>
                <w:rFonts w:cstheme="minorHAnsi"/>
                <w:sz w:val="20"/>
                <w:szCs w:val="20"/>
              </w:rPr>
              <w:t xml:space="preserve"> </w:t>
            </w:r>
            <w:proofErr w:type="spellStart"/>
            <w:r w:rsidRPr="002E4C49">
              <w:rPr>
                <w:rFonts w:cstheme="minorHAnsi"/>
                <w:sz w:val="20"/>
                <w:szCs w:val="20"/>
              </w:rPr>
              <w:t>hidrometeorološki</w:t>
            </w:r>
            <w:proofErr w:type="spellEnd"/>
            <w:r w:rsidRPr="002E4C49">
              <w:rPr>
                <w:rFonts w:cstheme="minorHAnsi"/>
                <w:sz w:val="20"/>
                <w:szCs w:val="20"/>
              </w:rPr>
              <w:t xml:space="preserve"> zavod, Federalni zavod za </w:t>
            </w:r>
            <w:proofErr w:type="spellStart"/>
            <w:r w:rsidRPr="002E4C49">
              <w:rPr>
                <w:rFonts w:cstheme="minorHAnsi"/>
                <w:sz w:val="20"/>
                <w:szCs w:val="20"/>
              </w:rPr>
              <w:t>statistiku</w:t>
            </w:r>
            <w:proofErr w:type="spellEnd"/>
          </w:p>
        </w:tc>
      </w:tr>
      <w:tr w:rsidR="00A00D87" w:rsidRPr="002E4C49" w14:paraId="001575D3" w14:textId="77777777" w:rsidTr="006D442E">
        <w:trPr>
          <w:trHeight w:val="217"/>
        </w:trPr>
        <w:tc>
          <w:tcPr>
            <w:tcW w:w="17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9DE95A" w14:textId="77777777" w:rsidR="00A00D87" w:rsidRPr="002E4C49" w:rsidRDefault="00A00D87" w:rsidP="00122946">
            <w:pPr>
              <w:spacing w:line="259" w:lineRule="auto"/>
              <w:rPr>
                <w:rFonts w:cstheme="minorHAnsi"/>
                <w:sz w:val="20"/>
                <w:szCs w:val="20"/>
              </w:rPr>
            </w:pPr>
            <w:proofErr w:type="spellStart"/>
            <w:r w:rsidRPr="002E4C49">
              <w:rPr>
                <w:rFonts w:cstheme="minorHAnsi"/>
                <w:b/>
                <w:sz w:val="20"/>
                <w:szCs w:val="20"/>
              </w:rPr>
              <w:t>Ciljne</w:t>
            </w:r>
            <w:proofErr w:type="spellEnd"/>
            <w:r w:rsidRPr="002E4C49">
              <w:rPr>
                <w:rFonts w:cstheme="minorHAnsi"/>
                <w:b/>
                <w:sz w:val="20"/>
                <w:szCs w:val="20"/>
              </w:rPr>
              <w:t xml:space="preserve"> </w:t>
            </w:r>
            <w:proofErr w:type="spellStart"/>
            <w:r w:rsidRPr="002E4C49">
              <w:rPr>
                <w:rFonts w:cstheme="minorHAnsi"/>
                <w:b/>
                <w:sz w:val="20"/>
                <w:szCs w:val="20"/>
              </w:rPr>
              <w:t>grupe</w:t>
            </w:r>
            <w:proofErr w:type="spellEnd"/>
            <w:r w:rsidRPr="002E4C49">
              <w:rPr>
                <w:rFonts w:cstheme="minorHAnsi"/>
                <w:b/>
                <w:sz w:val="20"/>
                <w:szCs w:val="20"/>
              </w:rPr>
              <w:t xml:space="preserve"> </w:t>
            </w:r>
          </w:p>
        </w:tc>
        <w:tc>
          <w:tcPr>
            <w:tcW w:w="7488" w:type="dxa"/>
            <w:gridSpan w:val="3"/>
            <w:tcBorders>
              <w:top w:val="single" w:sz="4" w:space="0" w:color="000000"/>
              <w:left w:val="single" w:sz="4" w:space="0" w:color="000000"/>
              <w:bottom w:val="single" w:sz="4" w:space="0" w:color="000000"/>
              <w:right w:val="single" w:sz="4" w:space="0" w:color="000000"/>
            </w:tcBorders>
          </w:tcPr>
          <w:p w14:paraId="470E0653" w14:textId="43667C0E" w:rsidR="00A00D87" w:rsidRPr="002E4C49" w:rsidRDefault="00A00D87" w:rsidP="00E6560A">
            <w:pPr>
              <w:spacing w:line="259" w:lineRule="auto"/>
              <w:ind w:left="1"/>
              <w:jc w:val="both"/>
              <w:rPr>
                <w:rFonts w:cstheme="minorHAnsi"/>
                <w:sz w:val="20"/>
                <w:szCs w:val="20"/>
              </w:rPr>
            </w:pPr>
            <w:proofErr w:type="spellStart"/>
            <w:r w:rsidRPr="002E4C49">
              <w:rPr>
                <w:rFonts w:cstheme="minorHAnsi"/>
                <w:sz w:val="20"/>
                <w:szCs w:val="20"/>
              </w:rPr>
              <w:t>Vlasnici</w:t>
            </w:r>
            <w:proofErr w:type="spellEnd"/>
            <w:r w:rsidRPr="002E4C49">
              <w:rPr>
                <w:rFonts w:cstheme="minorHAnsi"/>
                <w:sz w:val="20"/>
                <w:szCs w:val="20"/>
              </w:rPr>
              <w:t xml:space="preserve"> i </w:t>
            </w:r>
            <w:proofErr w:type="spellStart"/>
            <w:r w:rsidRPr="002E4C49">
              <w:rPr>
                <w:rFonts w:cstheme="minorHAnsi"/>
                <w:sz w:val="20"/>
                <w:szCs w:val="20"/>
              </w:rPr>
              <w:t>korisnici</w:t>
            </w:r>
            <w:proofErr w:type="spellEnd"/>
            <w:r w:rsidRPr="002E4C49">
              <w:rPr>
                <w:rFonts w:cstheme="minorHAnsi"/>
                <w:sz w:val="20"/>
                <w:szCs w:val="20"/>
              </w:rPr>
              <w:t xml:space="preserve"> </w:t>
            </w:r>
            <w:proofErr w:type="spellStart"/>
            <w:r w:rsidRPr="002E4C49">
              <w:rPr>
                <w:rFonts w:cstheme="minorHAnsi"/>
                <w:sz w:val="20"/>
                <w:szCs w:val="20"/>
              </w:rPr>
              <w:t>stambenih</w:t>
            </w:r>
            <w:proofErr w:type="spellEnd"/>
            <w:r w:rsidRPr="002E4C49">
              <w:rPr>
                <w:rFonts w:cstheme="minorHAnsi"/>
                <w:sz w:val="20"/>
                <w:szCs w:val="20"/>
              </w:rPr>
              <w:t xml:space="preserve"> i </w:t>
            </w:r>
            <w:proofErr w:type="spellStart"/>
            <w:r w:rsidRPr="002E4C49">
              <w:rPr>
                <w:rFonts w:cstheme="minorHAnsi"/>
                <w:sz w:val="20"/>
                <w:szCs w:val="20"/>
              </w:rPr>
              <w:t>nestambenih</w:t>
            </w:r>
            <w:proofErr w:type="spellEnd"/>
            <w:r w:rsidRPr="002E4C49">
              <w:rPr>
                <w:rFonts w:cstheme="minorHAnsi"/>
                <w:sz w:val="20"/>
                <w:szCs w:val="20"/>
              </w:rPr>
              <w:t xml:space="preserve"> </w:t>
            </w:r>
            <w:proofErr w:type="spellStart"/>
            <w:r w:rsidRPr="002E4C49">
              <w:rPr>
                <w:rFonts w:cstheme="minorHAnsi"/>
                <w:sz w:val="20"/>
                <w:szCs w:val="20"/>
              </w:rPr>
              <w:t>zgrada</w:t>
            </w:r>
            <w:proofErr w:type="spellEnd"/>
            <w:r w:rsidR="00C95660" w:rsidRPr="002E4C49">
              <w:rPr>
                <w:rFonts w:cstheme="minorHAnsi"/>
                <w:sz w:val="20"/>
                <w:szCs w:val="20"/>
              </w:rPr>
              <w:t xml:space="preserve"> </w:t>
            </w:r>
            <w:proofErr w:type="spellStart"/>
            <w:r w:rsidR="00C95660" w:rsidRPr="002E4C49">
              <w:rPr>
                <w:rFonts w:cstheme="minorHAnsi"/>
                <w:sz w:val="20"/>
                <w:szCs w:val="20"/>
              </w:rPr>
              <w:t>te</w:t>
            </w:r>
            <w:proofErr w:type="spellEnd"/>
            <w:r w:rsidRPr="002E4C49">
              <w:rPr>
                <w:rFonts w:cstheme="minorHAnsi"/>
                <w:sz w:val="20"/>
                <w:szCs w:val="20"/>
              </w:rPr>
              <w:t xml:space="preserve"> </w:t>
            </w:r>
            <w:proofErr w:type="spellStart"/>
            <w:r w:rsidRPr="002E4C49">
              <w:rPr>
                <w:rFonts w:cstheme="minorHAnsi"/>
                <w:sz w:val="20"/>
                <w:szCs w:val="20"/>
              </w:rPr>
              <w:t>privrednici</w:t>
            </w:r>
            <w:proofErr w:type="spellEnd"/>
          </w:p>
        </w:tc>
      </w:tr>
    </w:tbl>
    <w:p w14:paraId="5255C0B2" w14:textId="77777777" w:rsidR="00A00D87" w:rsidRDefault="00A00D87" w:rsidP="00A00D87"/>
    <w:p w14:paraId="3ECE4A7A" w14:textId="77777777" w:rsidR="00A00D87" w:rsidRDefault="00A00D87" w:rsidP="00A00D87"/>
    <w:p w14:paraId="2F0EE0CC" w14:textId="77777777" w:rsidR="006D442E" w:rsidRDefault="006D442E" w:rsidP="00A00D87"/>
    <w:p w14:paraId="046CBC39" w14:textId="77777777" w:rsidR="006D442E" w:rsidRDefault="006D442E" w:rsidP="00A00D87"/>
    <w:p w14:paraId="28AD7CD9" w14:textId="77777777" w:rsidR="006D442E" w:rsidRDefault="006D442E" w:rsidP="00A00D87"/>
    <w:p w14:paraId="50EDA98E" w14:textId="77777777" w:rsidR="006D442E" w:rsidRDefault="006D442E" w:rsidP="00A00D87"/>
    <w:p w14:paraId="57518B6E" w14:textId="77777777" w:rsidR="000C0FB8" w:rsidRDefault="000C0FB8" w:rsidP="00A00D87"/>
    <w:p w14:paraId="49A310CA" w14:textId="77777777" w:rsidR="000C0FB8" w:rsidRDefault="000C0FB8" w:rsidP="00A00D87"/>
    <w:p w14:paraId="01EC8982" w14:textId="77777777" w:rsidR="000C0FB8" w:rsidRDefault="000C0FB8" w:rsidP="00A00D87"/>
    <w:p w14:paraId="15BD26C3" w14:textId="77777777" w:rsidR="000C0FB8" w:rsidRDefault="000C0FB8" w:rsidP="00A00D87"/>
    <w:p w14:paraId="41A1F5F8" w14:textId="77777777" w:rsidR="000C0FB8" w:rsidRDefault="000C0FB8" w:rsidP="00A00D87"/>
    <w:tbl>
      <w:tblPr>
        <w:tblStyle w:val="TableGrid0"/>
        <w:tblW w:w="9219" w:type="dxa"/>
        <w:tblInd w:w="-5" w:type="dxa"/>
        <w:tblCellMar>
          <w:top w:w="5" w:type="dxa"/>
          <w:left w:w="107" w:type="dxa"/>
          <w:right w:w="69" w:type="dxa"/>
        </w:tblCellMar>
        <w:tblLook w:val="04A0" w:firstRow="1" w:lastRow="0" w:firstColumn="1" w:lastColumn="0" w:noHBand="0" w:noVBand="1"/>
      </w:tblPr>
      <w:tblGrid>
        <w:gridCol w:w="1721"/>
        <w:gridCol w:w="2618"/>
        <w:gridCol w:w="1944"/>
        <w:gridCol w:w="2936"/>
      </w:tblGrid>
      <w:tr w:rsidR="00A00D87" w:rsidRPr="000C0FB8" w14:paraId="747846F7" w14:textId="77777777" w:rsidTr="006D442E">
        <w:trPr>
          <w:trHeight w:val="424"/>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B0BFB52"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lastRenderedPageBreak/>
              <w:t>Veza</w:t>
            </w:r>
            <w:proofErr w:type="spellEnd"/>
            <w:r w:rsidRPr="000C0FB8">
              <w:rPr>
                <w:rFonts w:cstheme="minorHAnsi"/>
                <w:b/>
                <w:sz w:val="20"/>
                <w:szCs w:val="20"/>
              </w:rPr>
              <w:t xml:space="preserve"> </w:t>
            </w:r>
            <w:proofErr w:type="spellStart"/>
            <w:r w:rsidRPr="000C0FB8">
              <w:rPr>
                <w:rFonts w:cstheme="minorHAnsi"/>
                <w:b/>
                <w:sz w:val="20"/>
                <w:szCs w:val="20"/>
              </w:rPr>
              <w:t>sa</w:t>
            </w:r>
            <w:proofErr w:type="spellEnd"/>
            <w:r w:rsidRPr="000C0FB8">
              <w:rPr>
                <w:rFonts w:cstheme="minorHAnsi"/>
                <w:b/>
                <w:sz w:val="20"/>
                <w:szCs w:val="20"/>
              </w:rPr>
              <w:t xml:space="preserve"> </w:t>
            </w:r>
            <w:proofErr w:type="spellStart"/>
            <w:r w:rsidRPr="000C0FB8">
              <w:rPr>
                <w:rFonts w:cstheme="minorHAnsi"/>
                <w:b/>
                <w:sz w:val="20"/>
                <w:szCs w:val="20"/>
              </w:rPr>
              <w:t>strateškim</w:t>
            </w:r>
            <w:proofErr w:type="spellEnd"/>
            <w:r w:rsidRPr="000C0FB8">
              <w:rPr>
                <w:rFonts w:cstheme="minorHAnsi"/>
                <w:b/>
                <w:sz w:val="20"/>
                <w:szCs w:val="20"/>
              </w:rPr>
              <w:t xml:space="preserve"> </w:t>
            </w:r>
            <w:proofErr w:type="spellStart"/>
            <w:r w:rsidRPr="000C0FB8">
              <w:rPr>
                <w:rFonts w:cstheme="minorHAnsi"/>
                <w:b/>
                <w:sz w:val="20"/>
                <w:szCs w:val="20"/>
              </w:rPr>
              <w:t>ciljem</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vAlign w:val="center"/>
          </w:tcPr>
          <w:p w14:paraId="65B539D3" w14:textId="77777777" w:rsidR="00A00D87" w:rsidRPr="000C0FB8" w:rsidRDefault="00A00D87" w:rsidP="00122946">
            <w:pPr>
              <w:spacing w:line="259" w:lineRule="auto"/>
              <w:ind w:left="1"/>
              <w:rPr>
                <w:rFonts w:cstheme="minorHAnsi"/>
                <w:sz w:val="20"/>
                <w:szCs w:val="20"/>
              </w:rPr>
            </w:pPr>
            <w:r w:rsidRPr="000C0FB8">
              <w:rPr>
                <w:rFonts w:cstheme="minorHAnsi"/>
                <w:b/>
                <w:sz w:val="20"/>
                <w:szCs w:val="20"/>
              </w:rPr>
              <w:t xml:space="preserve">1. </w:t>
            </w:r>
            <w:proofErr w:type="spellStart"/>
            <w:r w:rsidRPr="000C0FB8">
              <w:rPr>
                <w:rFonts w:cstheme="minorHAnsi"/>
                <w:b/>
                <w:sz w:val="20"/>
                <w:szCs w:val="20"/>
              </w:rPr>
              <w:t>Postojeći</w:t>
            </w:r>
            <w:proofErr w:type="spellEnd"/>
            <w:r w:rsidRPr="000C0FB8">
              <w:rPr>
                <w:rFonts w:cstheme="minorHAnsi"/>
                <w:b/>
                <w:sz w:val="20"/>
                <w:szCs w:val="20"/>
              </w:rPr>
              <w:t xml:space="preserve"> fond </w:t>
            </w:r>
            <w:proofErr w:type="spellStart"/>
            <w:r w:rsidRPr="000C0FB8">
              <w:rPr>
                <w:rFonts w:cstheme="minorHAnsi"/>
                <w:b/>
                <w:sz w:val="20"/>
                <w:szCs w:val="20"/>
              </w:rPr>
              <w:t>zgrada</w:t>
            </w:r>
            <w:proofErr w:type="spellEnd"/>
            <w:r w:rsidRPr="000C0FB8">
              <w:rPr>
                <w:rFonts w:cstheme="minorHAnsi"/>
                <w:b/>
                <w:sz w:val="20"/>
                <w:szCs w:val="20"/>
              </w:rPr>
              <w:t xml:space="preserve"> u FBiH je </w:t>
            </w:r>
            <w:proofErr w:type="spellStart"/>
            <w:r w:rsidRPr="000C0FB8">
              <w:rPr>
                <w:rFonts w:cstheme="minorHAnsi"/>
                <w:b/>
                <w:sz w:val="20"/>
                <w:szCs w:val="20"/>
              </w:rPr>
              <w:t>transformiran</w:t>
            </w:r>
            <w:proofErr w:type="spellEnd"/>
            <w:r w:rsidRPr="000C0FB8">
              <w:rPr>
                <w:rFonts w:cstheme="minorHAnsi"/>
                <w:b/>
                <w:sz w:val="20"/>
                <w:szCs w:val="20"/>
              </w:rPr>
              <w:t xml:space="preserve"> u </w:t>
            </w:r>
            <w:proofErr w:type="spellStart"/>
            <w:r w:rsidRPr="000C0FB8">
              <w:rPr>
                <w:rFonts w:cstheme="minorHAnsi"/>
                <w:b/>
                <w:sz w:val="20"/>
                <w:szCs w:val="20"/>
              </w:rPr>
              <w:t>energijski</w:t>
            </w:r>
            <w:proofErr w:type="spellEnd"/>
            <w:r w:rsidRPr="000C0FB8">
              <w:rPr>
                <w:rFonts w:cstheme="minorHAnsi"/>
                <w:b/>
                <w:sz w:val="20"/>
                <w:szCs w:val="20"/>
              </w:rPr>
              <w:t xml:space="preserve"> </w:t>
            </w:r>
            <w:proofErr w:type="spellStart"/>
            <w:r w:rsidRPr="000C0FB8">
              <w:rPr>
                <w:rFonts w:cstheme="minorHAnsi"/>
                <w:b/>
                <w:sz w:val="20"/>
                <w:szCs w:val="20"/>
              </w:rPr>
              <w:t>visokoefikasan</w:t>
            </w:r>
            <w:proofErr w:type="spellEnd"/>
            <w:r w:rsidRPr="000C0FB8">
              <w:rPr>
                <w:rFonts w:cstheme="minorHAnsi"/>
                <w:b/>
                <w:sz w:val="20"/>
                <w:szCs w:val="20"/>
              </w:rPr>
              <w:t xml:space="preserve"> i </w:t>
            </w:r>
            <w:proofErr w:type="spellStart"/>
            <w:r w:rsidRPr="000C0FB8">
              <w:rPr>
                <w:rFonts w:cstheme="minorHAnsi"/>
                <w:b/>
                <w:sz w:val="20"/>
                <w:szCs w:val="20"/>
              </w:rPr>
              <w:t>dekarboniziran</w:t>
            </w:r>
            <w:proofErr w:type="spellEnd"/>
            <w:r w:rsidRPr="000C0FB8">
              <w:rPr>
                <w:rFonts w:cstheme="minorHAnsi"/>
                <w:b/>
                <w:sz w:val="20"/>
                <w:szCs w:val="20"/>
              </w:rPr>
              <w:t xml:space="preserve"> fond </w:t>
            </w:r>
            <w:proofErr w:type="spellStart"/>
            <w:r w:rsidRPr="000C0FB8">
              <w:rPr>
                <w:rFonts w:cstheme="minorHAnsi"/>
                <w:b/>
                <w:sz w:val="20"/>
                <w:szCs w:val="20"/>
              </w:rPr>
              <w:t>zgrada</w:t>
            </w:r>
            <w:proofErr w:type="spellEnd"/>
            <w:r w:rsidRPr="000C0FB8">
              <w:rPr>
                <w:rFonts w:cstheme="minorHAnsi"/>
                <w:b/>
                <w:sz w:val="20"/>
                <w:szCs w:val="20"/>
              </w:rPr>
              <w:t xml:space="preserve"> do 2050. </w:t>
            </w:r>
            <w:proofErr w:type="spellStart"/>
            <w:r w:rsidRPr="000C0FB8">
              <w:rPr>
                <w:rFonts w:cstheme="minorHAnsi"/>
                <w:b/>
                <w:sz w:val="20"/>
                <w:szCs w:val="20"/>
              </w:rPr>
              <w:t>godine</w:t>
            </w:r>
            <w:proofErr w:type="spellEnd"/>
          </w:p>
        </w:tc>
      </w:tr>
      <w:tr w:rsidR="00A00D87" w:rsidRPr="000C0FB8" w14:paraId="484AD3BE" w14:textId="77777777" w:rsidTr="006D442E">
        <w:trPr>
          <w:trHeight w:val="216"/>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5476079"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Prioritet</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tcPr>
          <w:p w14:paraId="5E4CEDC7" w14:textId="77777777" w:rsidR="00A00D87" w:rsidRPr="000C0FB8" w:rsidRDefault="00A00D87" w:rsidP="00122946">
            <w:pPr>
              <w:spacing w:line="259" w:lineRule="auto"/>
              <w:ind w:left="32"/>
              <w:rPr>
                <w:rFonts w:cstheme="minorHAnsi"/>
                <w:sz w:val="20"/>
                <w:szCs w:val="20"/>
              </w:rPr>
            </w:pPr>
            <w:r w:rsidRPr="000C0FB8">
              <w:rPr>
                <w:rFonts w:cstheme="minorHAnsi"/>
                <w:b/>
                <w:sz w:val="20"/>
                <w:szCs w:val="20"/>
              </w:rPr>
              <w:t xml:space="preserve">1.2. </w:t>
            </w:r>
            <w:proofErr w:type="spellStart"/>
            <w:r w:rsidRPr="000C0FB8">
              <w:rPr>
                <w:rFonts w:cstheme="minorHAnsi"/>
                <w:b/>
                <w:sz w:val="20"/>
                <w:szCs w:val="20"/>
              </w:rPr>
              <w:t>Dekarbonizirati</w:t>
            </w:r>
            <w:proofErr w:type="spellEnd"/>
            <w:r w:rsidRPr="000C0FB8">
              <w:rPr>
                <w:rFonts w:cstheme="minorHAnsi"/>
                <w:b/>
                <w:sz w:val="20"/>
                <w:szCs w:val="20"/>
              </w:rPr>
              <w:t xml:space="preserve"> </w:t>
            </w:r>
            <w:proofErr w:type="spellStart"/>
            <w:r w:rsidRPr="000C0FB8">
              <w:rPr>
                <w:rFonts w:cstheme="minorHAnsi"/>
                <w:b/>
                <w:sz w:val="20"/>
                <w:szCs w:val="20"/>
              </w:rPr>
              <w:t>postojeći</w:t>
            </w:r>
            <w:proofErr w:type="spellEnd"/>
            <w:r w:rsidRPr="000C0FB8">
              <w:rPr>
                <w:rFonts w:cstheme="minorHAnsi"/>
                <w:b/>
                <w:sz w:val="20"/>
                <w:szCs w:val="20"/>
              </w:rPr>
              <w:t xml:space="preserve"> fond </w:t>
            </w:r>
            <w:proofErr w:type="spellStart"/>
            <w:r w:rsidRPr="000C0FB8">
              <w:rPr>
                <w:rFonts w:cstheme="minorHAnsi"/>
                <w:b/>
                <w:sz w:val="20"/>
                <w:szCs w:val="20"/>
              </w:rPr>
              <w:t>zgrada</w:t>
            </w:r>
            <w:proofErr w:type="spellEnd"/>
            <w:r w:rsidRPr="000C0FB8">
              <w:rPr>
                <w:rFonts w:cstheme="minorHAnsi"/>
                <w:b/>
                <w:sz w:val="20"/>
                <w:szCs w:val="20"/>
              </w:rPr>
              <w:t xml:space="preserve"> FBiH</w:t>
            </w:r>
          </w:p>
        </w:tc>
      </w:tr>
      <w:tr w:rsidR="00A00D87" w:rsidRPr="000C0FB8" w14:paraId="3FCCBCCE" w14:textId="77777777" w:rsidTr="003C0473">
        <w:trPr>
          <w:trHeight w:val="425"/>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9AA01CD"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Naziv</w:t>
            </w:r>
            <w:proofErr w:type="spellEnd"/>
            <w:r w:rsidRPr="000C0FB8">
              <w:rPr>
                <w:rFonts w:cstheme="minorHAnsi"/>
                <w:b/>
                <w:sz w:val="20"/>
                <w:szCs w:val="20"/>
              </w:rPr>
              <w:t xml:space="preserve"> </w:t>
            </w:r>
            <w:proofErr w:type="spellStart"/>
            <w:r w:rsidRPr="000C0FB8">
              <w:rPr>
                <w:rFonts w:cstheme="minorHAnsi"/>
                <w:b/>
                <w:sz w:val="20"/>
                <w:szCs w:val="20"/>
              </w:rPr>
              <w:t>mjere</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vAlign w:val="center"/>
          </w:tcPr>
          <w:p w14:paraId="0A141741" w14:textId="429BBB1B" w:rsidR="00A00D87" w:rsidRPr="000C0FB8" w:rsidRDefault="00A00D87" w:rsidP="00122946">
            <w:pPr>
              <w:spacing w:line="259" w:lineRule="auto"/>
              <w:ind w:left="635" w:hanging="574"/>
              <w:rPr>
                <w:rFonts w:cstheme="minorHAnsi"/>
                <w:sz w:val="20"/>
                <w:szCs w:val="20"/>
              </w:rPr>
            </w:pPr>
            <w:r w:rsidRPr="000C0FB8">
              <w:rPr>
                <w:rFonts w:cstheme="minorHAnsi"/>
                <w:b/>
                <w:sz w:val="20"/>
                <w:szCs w:val="20"/>
              </w:rPr>
              <w:t xml:space="preserve">1.2.3. </w:t>
            </w:r>
            <w:proofErr w:type="spellStart"/>
            <w:r w:rsidRPr="000C0FB8">
              <w:rPr>
                <w:rFonts w:cstheme="minorHAnsi"/>
                <w:b/>
                <w:sz w:val="20"/>
                <w:szCs w:val="20"/>
              </w:rPr>
              <w:t>Unapre</w:t>
            </w:r>
            <w:r w:rsidR="00C95660" w:rsidRPr="000C0FB8">
              <w:rPr>
                <w:rFonts w:cstheme="minorHAnsi"/>
                <w:b/>
                <w:sz w:val="20"/>
                <w:szCs w:val="20"/>
              </w:rPr>
              <w:t>diti</w:t>
            </w:r>
            <w:proofErr w:type="spellEnd"/>
            <w:r w:rsidRPr="000C0FB8">
              <w:rPr>
                <w:rFonts w:cstheme="minorHAnsi"/>
                <w:b/>
                <w:sz w:val="20"/>
                <w:szCs w:val="20"/>
              </w:rPr>
              <w:t xml:space="preserve"> </w:t>
            </w:r>
            <w:proofErr w:type="spellStart"/>
            <w:r w:rsidRPr="000C0FB8">
              <w:rPr>
                <w:rFonts w:cstheme="minorHAnsi"/>
                <w:b/>
                <w:sz w:val="20"/>
                <w:szCs w:val="20"/>
              </w:rPr>
              <w:t>održivost</w:t>
            </w:r>
            <w:proofErr w:type="spellEnd"/>
            <w:r w:rsidRPr="000C0FB8">
              <w:rPr>
                <w:rFonts w:cstheme="minorHAnsi"/>
                <w:b/>
                <w:sz w:val="20"/>
                <w:szCs w:val="20"/>
              </w:rPr>
              <w:t xml:space="preserve"> </w:t>
            </w:r>
            <w:proofErr w:type="spellStart"/>
            <w:r w:rsidRPr="000C0FB8">
              <w:rPr>
                <w:rFonts w:cstheme="minorHAnsi"/>
                <w:b/>
                <w:sz w:val="20"/>
                <w:szCs w:val="20"/>
              </w:rPr>
              <w:t>urbanih</w:t>
            </w:r>
            <w:proofErr w:type="spellEnd"/>
            <w:r w:rsidRPr="000C0FB8">
              <w:rPr>
                <w:rFonts w:cstheme="minorHAnsi"/>
                <w:b/>
                <w:sz w:val="20"/>
                <w:szCs w:val="20"/>
              </w:rPr>
              <w:t xml:space="preserve"> </w:t>
            </w:r>
            <w:proofErr w:type="spellStart"/>
            <w:r w:rsidRPr="000C0FB8">
              <w:rPr>
                <w:rFonts w:cstheme="minorHAnsi"/>
                <w:b/>
                <w:sz w:val="20"/>
                <w:szCs w:val="20"/>
              </w:rPr>
              <w:t>područja</w:t>
            </w:r>
            <w:proofErr w:type="spellEnd"/>
          </w:p>
        </w:tc>
      </w:tr>
      <w:tr w:rsidR="00A00D87" w:rsidRPr="001972F5" w14:paraId="0034B5A8" w14:textId="77777777" w:rsidTr="006D442E">
        <w:trPr>
          <w:trHeight w:val="838"/>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C73FA69"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Opis</w:t>
            </w:r>
            <w:proofErr w:type="spellEnd"/>
            <w:r w:rsidRPr="000C0FB8">
              <w:rPr>
                <w:rFonts w:cstheme="minorHAnsi"/>
                <w:b/>
                <w:sz w:val="20"/>
                <w:szCs w:val="20"/>
              </w:rPr>
              <w:t xml:space="preserve"> </w:t>
            </w:r>
            <w:proofErr w:type="spellStart"/>
            <w:r w:rsidRPr="000C0FB8">
              <w:rPr>
                <w:rFonts w:cstheme="minorHAnsi"/>
                <w:b/>
                <w:sz w:val="20"/>
                <w:szCs w:val="20"/>
              </w:rPr>
              <w:t>mjere</w:t>
            </w:r>
            <w:proofErr w:type="spellEnd"/>
            <w:r w:rsidRPr="000C0FB8">
              <w:rPr>
                <w:rFonts w:cstheme="minorHAnsi"/>
                <w:b/>
                <w:sz w:val="20"/>
                <w:szCs w:val="20"/>
              </w:rPr>
              <w:t xml:space="preserve"> </w:t>
            </w:r>
            <w:proofErr w:type="spellStart"/>
            <w:r w:rsidRPr="000C0FB8">
              <w:rPr>
                <w:rFonts w:cstheme="minorHAnsi"/>
                <w:b/>
                <w:sz w:val="20"/>
                <w:szCs w:val="20"/>
              </w:rPr>
              <w:t>sa</w:t>
            </w:r>
            <w:proofErr w:type="spellEnd"/>
            <w:r w:rsidRPr="000C0FB8">
              <w:rPr>
                <w:rFonts w:cstheme="minorHAnsi"/>
                <w:b/>
                <w:sz w:val="20"/>
                <w:szCs w:val="20"/>
              </w:rPr>
              <w:t xml:space="preserve"> </w:t>
            </w:r>
            <w:proofErr w:type="spellStart"/>
            <w:r w:rsidRPr="000C0FB8">
              <w:rPr>
                <w:rFonts w:cstheme="minorHAnsi"/>
                <w:b/>
                <w:sz w:val="20"/>
                <w:szCs w:val="20"/>
              </w:rPr>
              <w:t>okvirnim</w:t>
            </w:r>
            <w:proofErr w:type="spellEnd"/>
            <w:r w:rsidRPr="000C0FB8">
              <w:rPr>
                <w:rFonts w:cstheme="minorHAnsi"/>
                <w:b/>
                <w:sz w:val="20"/>
                <w:szCs w:val="20"/>
              </w:rPr>
              <w:t xml:space="preserve"> </w:t>
            </w:r>
            <w:proofErr w:type="spellStart"/>
            <w:r w:rsidRPr="000C0FB8">
              <w:rPr>
                <w:rFonts w:cstheme="minorHAnsi"/>
                <w:b/>
                <w:sz w:val="20"/>
                <w:szCs w:val="20"/>
              </w:rPr>
              <w:t>područjima</w:t>
            </w:r>
            <w:proofErr w:type="spellEnd"/>
            <w:r w:rsidRPr="000C0FB8">
              <w:rPr>
                <w:rFonts w:cstheme="minorHAnsi"/>
                <w:b/>
                <w:sz w:val="20"/>
                <w:szCs w:val="20"/>
              </w:rPr>
              <w:t xml:space="preserve"> </w:t>
            </w:r>
            <w:proofErr w:type="spellStart"/>
            <w:r w:rsidRPr="000C0FB8">
              <w:rPr>
                <w:rFonts w:cstheme="minorHAnsi"/>
                <w:b/>
                <w:sz w:val="20"/>
                <w:szCs w:val="20"/>
              </w:rPr>
              <w:t>djelovanja</w:t>
            </w:r>
            <w:proofErr w:type="spellEnd"/>
          </w:p>
        </w:tc>
        <w:tc>
          <w:tcPr>
            <w:tcW w:w="7498" w:type="dxa"/>
            <w:gridSpan w:val="3"/>
            <w:tcBorders>
              <w:top w:val="single" w:sz="4" w:space="0" w:color="000000"/>
              <w:left w:val="single" w:sz="4" w:space="0" w:color="000000"/>
              <w:bottom w:val="single" w:sz="4" w:space="0" w:color="000000"/>
              <w:right w:val="single" w:sz="4" w:space="0" w:color="000000"/>
            </w:tcBorders>
          </w:tcPr>
          <w:p w14:paraId="785A643C" w14:textId="77777777" w:rsidR="00A00D87" w:rsidRPr="000C0FB8" w:rsidRDefault="00A00D87" w:rsidP="00E6560A">
            <w:pPr>
              <w:ind w:left="1" w:right="32"/>
              <w:jc w:val="both"/>
              <w:rPr>
                <w:rFonts w:cstheme="minorHAnsi"/>
                <w:sz w:val="20"/>
                <w:szCs w:val="20"/>
              </w:rPr>
            </w:pPr>
            <w:proofErr w:type="spellStart"/>
            <w:r w:rsidRPr="000C0FB8">
              <w:rPr>
                <w:rFonts w:cstheme="minorHAnsi"/>
                <w:sz w:val="20"/>
                <w:szCs w:val="20"/>
              </w:rPr>
              <w:t>Cilj</w:t>
            </w:r>
            <w:proofErr w:type="spellEnd"/>
            <w:r w:rsidRPr="000C0FB8">
              <w:rPr>
                <w:rFonts w:cstheme="minorHAnsi"/>
                <w:sz w:val="20"/>
                <w:szCs w:val="20"/>
              </w:rPr>
              <w:t xml:space="preserve"> </w:t>
            </w:r>
            <w:proofErr w:type="spellStart"/>
            <w:r w:rsidRPr="000C0FB8">
              <w:rPr>
                <w:rFonts w:cstheme="minorHAnsi"/>
                <w:sz w:val="20"/>
                <w:szCs w:val="20"/>
              </w:rPr>
              <w:t>mjere</w:t>
            </w:r>
            <w:proofErr w:type="spellEnd"/>
            <w:r w:rsidRPr="000C0FB8">
              <w:rPr>
                <w:rFonts w:cstheme="minorHAnsi"/>
                <w:sz w:val="20"/>
                <w:szCs w:val="20"/>
              </w:rPr>
              <w:t xml:space="preserve"> je </w:t>
            </w:r>
            <w:proofErr w:type="spellStart"/>
            <w:r w:rsidRPr="000C0FB8">
              <w:rPr>
                <w:rFonts w:cstheme="minorHAnsi"/>
                <w:sz w:val="20"/>
                <w:szCs w:val="20"/>
              </w:rPr>
              <w:t>potaknuti</w:t>
            </w:r>
            <w:proofErr w:type="spellEnd"/>
            <w:r w:rsidRPr="000C0FB8">
              <w:rPr>
                <w:rFonts w:cstheme="minorHAnsi"/>
                <w:sz w:val="20"/>
                <w:szCs w:val="20"/>
              </w:rPr>
              <w:t xml:space="preserve"> </w:t>
            </w:r>
            <w:proofErr w:type="spellStart"/>
            <w:r w:rsidRPr="000C0FB8">
              <w:rPr>
                <w:rFonts w:cstheme="minorHAnsi"/>
                <w:sz w:val="20"/>
                <w:szCs w:val="20"/>
              </w:rPr>
              <w:t>gradove</w:t>
            </w:r>
            <w:proofErr w:type="spellEnd"/>
            <w:r w:rsidRPr="000C0FB8">
              <w:rPr>
                <w:rFonts w:cstheme="minorHAnsi"/>
                <w:sz w:val="20"/>
                <w:szCs w:val="20"/>
              </w:rPr>
              <w:t xml:space="preserve"> i </w:t>
            </w:r>
            <w:proofErr w:type="spellStart"/>
            <w:r w:rsidRPr="000C0FB8">
              <w:rPr>
                <w:rFonts w:cstheme="minorHAnsi"/>
                <w:sz w:val="20"/>
                <w:szCs w:val="20"/>
              </w:rPr>
              <w:t>općine</w:t>
            </w:r>
            <w:proofErr w:type="spellEnd"/>
            <w:r w:rsidRPr="000C0FB8">
              <w:rPr>
                <w:rFonts w:cstheme="minorHAnsi"/>
                <w:sz w:val="20"/>
                <w:szCs w:val="20"/>
              </w:rPr>
              <w:t xml:space="preserve"> da </w:t>
            </w:r>
            <w:proofErr w:type="spellStart"/>
            <w:r w:rsidRPr="000C0FB8">
              <w:rPr>
                <w:rFonts w:cstheme="minorHAnsi"/>
                <w:sz w:val="20"/>
                <w:szCs w:val="20"/>
              </w:rPr>
              <w:t>projekte</w:t>
            </w:r>
            <w:proofErr w:type="spellEnd"/>
            <w:r w:rsidRPr="000C0FB8">
              <w:rPr>
                <w:rFonts w:cstheme="minorHAnsi"/>
                <w:sz w:val="20"/>
                <w:szCs w:val="20"/>
              </w:rPr>
              <w:t xml:space="preserve"> </w:t>
            </w:r>
            <w:proofErr w:type="spellStart"/>
            <w:r w:rsidRPr="000C0FB8">
              <w:rPr>
                <w:rFonts w:cstheme="minorHAnsi"/>
                <w:sz w:val="20"/>
                <w:szCs w:val="20"/>
              </w:rPr>
              <w:t>revitalizacije</w:t>
            </w:r>
            <w:proofErr w:type="spellEnd"/>
            <w:r w:rsidRPr="000C0FB8">
              <w:rPr>
                <w:rFonts w:cstheme="minorHAnsi"/>
                <w:sz w:val="20"/>
                <w:szCs w:val="20"/>
              </w:rPr>
              <w:t xml:space="preserve"> i razvoja </w:t>
            </w:r>
            <w:proofErr w:type="spellStart"/>
            <w:r w:rsidRPr="000C0FB8">
              <w:rPr>
                <w:rFonts w:cstheme="minorHAnsi"/>
                <w:sz w:val="20"/>
                <w:szCs w:val="20"/>
              </w:rPr>
              <w:t>novih</w:t>
            </w:r>
            <w:proofErr w:type="spellEnd"/>
            <w:r w:rsidRPr="000C0FB8">
              <w:rPr>
                <w:rFonts w:cstheme="minorHAnsi"/>
                <w:sz w:val="20"/>
                <w:szCs w:val="20"/>
              </w:rPr>
              <w:t xml:space="preserve"> </w:t>
            </w:r>
            <w:proofErr w:type="spellStart"/>
            <w:r w:rsidRPr="000C0FB8">
              <w:rPr>
                <w:rFonts w:cstheme="minorHAnsi"/>
                <w:sz w:val="20"/>
                <w:szCs w:val="20"/>
              </w:rPr>
              <w:t>urbanih</w:t>
            </w:r>
            <w:proofErr w:type="spellEnd"/>
            <w:r w:rsidRPr="000C0FB8">
              <w:rPr>
                <w:rFonts w:cstheme="minorHAnsi"/>
                <w:sz w:val="20"/>
                <w:szCs w:val="20"/>
              </w:rPr>
              <w:t xml:space="preserve"> </w:t>
            </w:r>
            <w:proofErr w:type="spellStart"/>
            <w:r w:rsidRPr="000C0FB8">
              <w:rPr>
                <w:rFonts w:cstheme="minorHAnsi"/>
                <w:sz w:val="20"/>
                <w:szCs w:val="20"/>
              </w:rPr>
              <w:t>sredina</w:t>
            </w:r>
            <w:proofErr w:type="spellEnd"/>
            <w:r w:rsidRPr="000C0FB8">
              <w:rPr>
                <w:rFonts w:cstheme="minorHAnsi"/>
                <w:sz w:val="20"/>
                <w:szCs w:val="20"/>
              </w:rPr>
              <w:t xml:space="preserve"> </w:t>
            </w:r>
            <w:proofErr w:type="spellStart"/>
            <w:r w:rsidRPr="000C0FB8">
              <w:rPr>
                <w:rFonts w:cstheme="minorHAnsi"/>
                <w:sz w:val="20"/>
                <w:szCs w:val="20"/>
              </w:rPr>
              <w:t>temelje</w:t>
            </w:r>
            <w:proofErr w:type="spellEnd"/>
            <w:r w:rsidRPr="000C0FB8">
              <w:rPr>
                <w:rFonts w:cstheme="minorHAnsi"/>
                <w:sz w:val="20"/>
                <w:szCs w:val="20"/>
              </w:rPr>
              <w:t xml:space="preserve"> </w:t>
            </w:r>
            <w:proofErr w:type="spellStart"/>
            <w:r w:rsidRPr="000C0FB8">
              <w:rPr>
                <w:rFonts w:cstheme="minorHAnsi"/>
                <w:sz w:val="20"/>
                <w:szCs w:val="20"/>
              </w:rPr>
              <w:t>na</w:t>
            </w:r>
            <w:proofErr w:type="spellEnd"/>
            <w:r w:rsidRPr="000C0FB8">
              <w:rPr>
                <w:rFonts w:cstheme="minorHAnsi"/>
                <w:sz w:val="20"/>
                <w:szCs w:val="20"/>
              </w:rPr>
              <w:t xml:space="preserve"> </w:t>
            </w:r>
            <w:proofErr w:type="spellStart"/>
            <w:r w:rsidRPr="000C0FB8">
              <w:rPr>
                <w:rFonts w:cstheme="minorHAnsi"/>
                <w:sz w:val="20"/>
                <w:szCs w:val="20"/>
              </w:rPr>
              <w:t>principima</w:t>
            </w:r>
            <w:proofErr w:type="spellEnd"/>
            <w:r w:rsidRPr="000C0FB8">
              <w:rPr>
                <w:rFonts w:cstheme="minorHAnsi"/>
                <w:sz w:val="20"/>
                <w:szCs w:val="20"/>
              </w:rPr>
              <w:t xml:space="preserve"> </w:t>
            </w:r>
            <w:proofErr w:type="spellStart"/>
            <w:r w:rsidRPr="000C0FB8">
              <w:rPr>
                <w:rFonts w:cstheme="minorHAnsi"/>
                <w:sz w:val="20"/>
                <w:szCs w:val="20"/>
              </w:rPr>
              <w:t>zelene</w:t>
            </w:r>
            <w:proofErr w:type="spellEnd"/>
            <w:r w:rsidRPr="000C0FB8">
              <w:rPr>
                <w:rFonts w:cstheme="minorHAnsi"/>
                <w:sz w:val="20"/>
                <w:szCs w:val="20"/>
              </w:rPr>
              <w:t xml:space="preserve"> </w:t>
            </w:r>
            <w:proofErr w:type="spellStart"/>
            <w:r w:rsidRPr="000C0FB8">
              <w:rPr>
                <w:rFonts w:cstheme="minorHAnsi"/>
                <w:sz w:val="20"/>
                <w:szCs w:val="20"/>
              </w:rPr>
              <w:t>gradnje</w:t>
            </w:r>
            <w:proofErr w:type="spellEnd"/>
            <w:r w:rsidRPr="000C0FB8">
              <w:rPr>
                <w:rFonts w:cstheme="minorHAnsi"/>
                <w:sz w:val="20"/>
                <w:szCs w:val="20"/>
              </w:rPr>
              <w:t xml:space="preserve"> i </w:t>
            </w:r>
            <w:proofErr w:type="spellStart"/>
            <w:r w:rsidRPr="000C0FB8">
              <w:rPr>
                <w:rFonts w:cstheme="minorHAnsi"/>
                <w:sz w:val="20"/>
                <w:szCs w:val="20"/>
              </w:rPr>
              <w:t>održivosti</w:t>
            </w:r>
            <w:proofErr w:type="spellEnd"/>
            <w:r w:rsidRPr="000C0FB8">
              <w:rPr>
                <w:rFonts w:cstheme="minorHAnsi"/>
                <w:sz w:val="20"/>
                <w:szCs w:val="20"/>
              </w:rPr>
              <w:t xml:space="preserve">. U </w:t>
            </w:r>
            <w:proofErr w:type="spellStart"/>
            <w:r w:rsidRPr="000C0FB8">
              <w:rPr>
                <w:rFonts w:cstheme="minorHAnsi"/>
                <w:sz w:val="20"/>
                <w:szCs w:val="20"/>
              </w:rPr>
              <w:t>pogledu</w:t>
            </w:r>
            <w:proofErr w:type="spellEnd"/>
            <w:r w:rsidRPr="000C0FB8">
              <w:rPr>
                <w:rFonts w:cstheme="minorHAnsi"/>
                <w:sz w:val="20"/>
                <w:szCs w:val="20"/>
              </w:rPr>
              <w:t xml:space="preserve"> </w:t>
            </w:r>
            <w:proofErr w:type="spellStart"/>
            <w:r w:rsidRPr="000C0FB8">
              <w:rPr>
                <w:rFonts w:cstheme="minorHAnsi"/>
                <w:sz w:val="20"/>
                <w:szCs w:val="20"/>
              </w:rPr>
              <w:t>prostornih</w:t>
            </w:r>
            <w:proofErr w:type="spellEnd"/>
            <w:r w:rsidRPr="000C0FB8">
              <w:rPr>
                <w:rFonts w:cstheme="minorHAnsi"/>
                <w:sz w:val="20"/>
                <w:szCs w:val="20"/>
              </w:rPr>
              <w:t xml:space="preserve"> </w:t>
            </w:r>
            <w:proofErr w:type="spellStart"/>
            <w:r w:rsidRPr="000C0FB8">
              <w:rPr>
                <w:rFonts w:cstheme="minorHAnsi"/>
                <w:sz w:val="20"/>
                <w:szCs w:val="20"/>
              </w:rPr>
              <w:t>potencijala</w:t>
            </w:r>
            <w:proofErr w:type="spellEnd"/>
            <w:r w:rsidRPr="000C0FB8">
              <w:rPr>
                <w:rFonts w:cstheme="minorHAnsi"/>
                <w:sz w:val="20"/>
                <w:szCs w:val="20"/>
              </w:rPr>
              <w:t xml:space="preserve">, </w:t>
            </w:r>
            <w:proofErr w:type="spellStart"/>
            <w:proofErr w:type="gramStart"/>
            <w:r w:rsidRPr="000C0FB8">
              <w:rPr>
                <w:rFonts w:cstheme="minorHAnsi"/>
                <w:sz w:val="20"/>
                <w:szCs w:val="20"/>
              </w:rPr>
              <w:t>razvoj</w:t>
            </w:r>
            <w:proofErr w:type="spellEnd"/>
            <w:r w:rsidRPr="000C0FB8">
              <w:rPr>
                <w:rFonts w:cstheme="minorHAnsi"/>
                <w:sz w:val="20"/>
                <w:szCs w:val="20"/>
              </w:rPr>
              <w:t xml:space="preserve">  FBiH</w:t>
            </w:r>
            <w:proofErr w:type="gramEnd"/>
            <w:r w:rsidRPr="000C0FB8">
              <w:rPr>
                <w:rFonts w:cstheme="minorHAnsi"/>
                <w:sz w:val="20"/>
                <w:szCs w:val="20"/>
              </w:rPr>
              <w:t xml:space="preserve"> </w:t>
            </w:r>
            <w:proofErr w:type="spellStart"/>
            <w:r w:rsidRPr="000C0FB8">
              <w:rPr>
                <w:rFonts w:cstheme="minorHAnsi"/>
                <w:sz w:val="20"/>
                <w:szCs w:val="20"/>
              </w:rPr>
              <w:t>treba</w:t>
            </w:r>
            <w:proofErr w:type="spellEnd"/>
            <w:r w:rsidRPr="000C0FB8">
              <w:rPr>
                <w:rFonts w:cstheme="minorHAnsi"/>
                <w:sz w:val="20"/>
                <w:szCs w:val="20"/>
              </w:rPr>
              <w:t xml:space="preserve"> </w:t>
            </w:r>
            <w:proofErr w:type="spellStart"/>
            <w:r w:rsidRPr="000C0FB8">
              <w:rPr>
                <w:rFonts w:cstheme="minorHAnsi"/>
                <w:sz w:val="20"/>
                <w:szCs w:val="20"/>
              </w:rPr>
              <w:t>usmjeriti</w:t>
            </w:r>
            <w:proofErr w:type="spellEnd"/>
            <w:r w:rsidRPr="000C0FB8">
              <w:rPr>
                <w:rFonts w:cstheme="minorHAnsi"/>
                <w:sz w:val="20"/>
                <w:szCs w:val="20"/>
              </w:rPr>
              <w:t xml:space="preserve"> ka </w:t>
            </w:r>
            <w:proofErr w:type="spellStart"/>
            <w:r w:rsidRPr="000C0FB8">
              <w:rPr>
                <w:rFonts w:cstheme="minorHAnsi"/>
                <w:sz w:val="20"/>
                <w:szCs w:val="20"/>
              </w:rPr>
              <w:t>iskorištavanju</w:t>
            </w:r>
            <w:proofErr w:type="spellEnd"/>
            <w:r w:rsidRPr="000C0FB8">
              <w:rPr>
                <w:rFonts w:cstheme="minorHAnsi"/>
                <w:sz w:val="20"/>
                <w:szCs w:val="20"/>
              </w:rPr>
              <w:t xml:space="preserve"> </w:t>
            </w:r>
            <w:proofErr w:type="spellStart"/>
            <w:r w:rsidRPr="000C0FB8">
              <w:rPr>
                <w:rFonts w:cstheme="minorHAnsi"/>
                <w:sz w:val="20"/>
                <w:szCs w:val="20"/>
              </w:rPr>
              <w:t>prostora</w:t>
            </w:r>
            <w:proofErr w:type="spellEnd"/>
            <w:r w:rsidRPr="000C0FB8">
              <w:rPr>
                <w:rFonts w:cstheme="minorHAnsi"/>
                <w:sz w:val="20"/>
                <w:szCs w:val="20"/>
              </w:rPr>
              <w:t xml:space="preserve"> koji </w:t>
            </w:r>
            <w:proofErr w:type="spellStart"/>
            <w:r w:rsidRPr="000C0FB8">
              <w:rPr>
                <w:rFonts w:cstheme="minorHAnsi"/>
                <w:sz w:val="20"/>
                <w:szCs w:val="20"/>
              </w:rPr>
              <w:t>su</w:t>
            </w:r>
            <w:proofErr w:type="spellEnd"/>
            <w:r w:rsidRPr="000C0FB8">
              <w:rPr>
                <w:rFonts w:cstheme="minorHAnsi"/>
                <w:sz w:val="20"/>
                <w:szCs w:val="20"/>
              </w:rPr>
              <w:t xml:space="preserve"> </w:t>
            </w:r>
            <w:proofErr w:type="spellStart"/>
            <w:r w:rsidRPr="000C0FB8">
              <w:rPr>
                <w:rFonts w:cstheme="minorHAnsi"/>
                <w:sz w:val="20"/>
                <w:szCs w:val="20"/>
              </w:rPr>
              <w:t>već</w:t>
            </w:r>
            <w:proofErr w:type="spellEnd"/>
            <w:r w:rsidRPr="000C0FB8">
              <w:rPr>
                <w:rFonts w:cstheme="minorHAnsi"/>
                <w:sz w:val="20"/>
                <w:szCs w:val="20"/>
              </w:rPr>
              <w:t xml:space="preserve"> u </w:t>
            </w:r>
            <w:proofErr w:type="spellStart"/>
            <w:r w:rsidRPr="000C0FB8">
              <w:rPr>
                <w:rFonts w:cstheme="minorHAnsi"/>
                <w:sz w:val="20"/>
                <w:szCs w:val="20"/>
              </w:rPr>
              <w:t>upotrebi</w:t>
            </w:r>
            <w:proofErr w:type="spellEnd"/>
            <w:r w:rsidRPr="000C0FB8">
              <w:rPr>
                <w:rFonts w:cstheme="minorHAnsi"/>
                <w:sz w:val="20"/>
                <w:szCs w:val="20"/>
              </w:rPr>
              <w:t xml:space="preserve">. Ovo se </w:t>
            </w:r>
            <w:proofErr w:type="spellStart"/>
            <w:r w:rsidRPr="000C0FB8">
              <w:rPr>
                <w:rFonts w:cstheme="minorHAnsi"/>
                <w:sz w:val="20"/>
                <w:szCs w:val="20"/>
              </w:rPr>
              <w:t>odnosi</w:t>
            </w:r>
            <w:proofErr w:type="spellEnd"/>
            <w:r w:rsidRPr="000C0FB8">
              <w:rPr>
                <w:rFonts w:cstheme="minorHAnsi"/>
                <w:sz w:val="20"/>
                <w:szCs w:val="20"/>
              </w:rPr>
              <w:t xml:space="preserve"> </w:t>
            </w:r>
            <w:proofErr w:type="spellStart"/>
            <w:r w:rsidRPr="000C0FB8">
              <w:rPr>
                <w:rFonts w:cstheme="minorHAnsi"/>
                <w:sz w:val="20"/>
                <w:szCs w:val="20"/>
              </w:rPr>
              <w:t>uglavnom</w:t>
            </w:r>
            <w:proofErr w:type="spellEnd"/>
            <w:r w:rsidRPr="000C0FB8">
              <w:rPr>
                <w:rFonts w:cstheme="minorHAnsi"/>
                <w:sz w:val="20"/>
                <w:szCs w:val="20"/>
              </w:rPr>
              <w:t xml:space="preserve"> </w:t>
            </w:r>
            <w:proofErr w:type="spellStart"/>
            <w:proofErr w:type="gramStart"/>
            <w:r w:rsidRPr="000C0FB8">
              <w:rPr>
                <w:rFonts w:cstheme="minorHAnsi"/>
                <w:sz w:val="20"/>
                <w:szCs w:val="20"/>
              </w:rPr>
              <w:t>na</w:t>
            </w:r>
            <w:proofErr w:type="spellEnd"/>
            <w:r w:rsidRPr="000C0FB8">
              <w:rPr>
                <w:rFonts w:cstheme="minorHAnsi"/>
                <w:sz w:val="20"/>
                <w:szCs w:val="20"/>
              </w:rPr>
              <w:t xml:space="preserve">  </w:t>
            </w:r>
            <w:proofErr w:type="spellStart"/>
            <w:r w:rsidRPr="000C0FB8">
              <w:rPr>
                <w:rFonts w:cstheme="minorHAnsi"/>
                <w:sz w:val="20"/>
                <w:szCs w:val="20"/>
              </w:rPr>
              <w:t>obnovu</w:t>
            </w:r>
            <w:proofErr w:type="spellEnd"/>
            <w:proofErr w:type="gramEnd"/>
            <w:r w:rsidRPr="000C0FB8">
              <w:rPr>
                <w:rFonts w:cstheme="minorHAnsi"/>
                <w:sz w:val="20"/>
                <w:szCs w:val="20"/>
              </w:rPr>
              <w:t xml:space="preserve"> </w:t>
            </w:r>
            <w:proofErr w:type="spellStart"/>
            <w:r w:rsidRPr="000C0FB8">
              <w:rPr>
                <w:rFonts w:cstheme="minorHAnsi"/>
                <w:sz w:val="20"/>
                <w:szCs w:val="20"/>
              </w:rPr>
              <w:t>dijelova</w:t>
            </w:r>
            <w:proofErr w:type="spellEnd"/>
            <w:r w:rsidRPr="000C0FB8">
              <w:rPr>
                <w:rFonts w:cstheme="minorHAnsi"/>
                <w:sz w:val="20"/>
                <w:szCs w:val="20"/>
              </w:rPr>
              <w:t xml:space="preserve"> </w:t>
            </w:r>
            <w:proofErr w:type="spellStart"/>
            <w:r w:rsidRPr="000C0FB8">
              <w:rPr>
                <w:rFonts w:cstheme="minorHAnsi"/>
                <w:sz w:val="20"/>
                <w:szCs w:val="20"/>
              </w:rPr>
              <w:t>urbanih</w:t>
            </w:r>
            <w:proofErr w:type="spellEnd"/>
            <w:r w:rsidRPr="000C0FB8">
              <w:rPr>
                <w:rFonts w:cstheme="minorHAnsi"/>
                <w:sz w:val="20"/>
                <w:szCs w:val="20"/>
              </w:rPr>
              <w:t xml:space="preserve"> </w:t>
            </w:r>
            <w:proofErr w:type="spellStart"/>
            <w:r w:rsidRPr="000C0FB8">
              <w:rPr>
                <w:rFonts w:cstheme="minorHAnsi"/>
                <w:sz w:val="20"/>
                <w:szCs w:val="20"/>
              </w:rPr>
              <w:t>područja</w:t>
            </w:r>
            <w:proofErr w:type="spellEnd"/>
            <w:r w:rsidRPr="000C0FB8">
              <w:rPr>
                <w:rFonts w:cstheme="minorHAnsi"/>
                <w:sz w:val="20"/>
                <w:szCs w:val="20"/>
              </w:rPr>
              <w:t xml:space="preserve"> </w:t>
            </w:r>
            <w:proofErr w:type="spellStart"/>
            <w:r w:rsidRPr="000C0FB8">
              <w:rPr>
                <w:rFonts w:cstheme="minorHAnsi"/>
                <w:sz w:val="20"/>
                <w:szCs w:val="20"/>
              </w:rPr>
              <w:t>sa</w:t>
            </w:r>
            <w:proofErr w:type="spellEnd"/>
            <w:r w:rsidRPr="000C0FB8">
              <w:rPr>
                <w:rFonts w:cstheme="minorHAnsi"/>
                <w:sz w:val="20"/>
                <w:szCs w:val="20"/>
              </w:rPr>
              <w:t xml:space="preserve"> </w:t>
            </w:r>
            <w:proofErr w:type="spellStart"/>
            <w:r w:rsidRPr="000C0FB8">
              <w:rPr>
                <w:rFonts w:cstheme="minorHAnsi"/>
                <w:sz w:val="20"/>
                <w:szCs w:val="20"/>
              </w:rPr>
              <w:t>specifičnim</w:t>
            </w:r>
            <w:proofErr w:type="spellEnd"/>
            <w:r w:rsidRPr="000C0FB8">
              <w:rPr>
                <w:rFonts w:cstheme="minorHAnsi"/>
                <w:sz w:val="20"/>
                <w:szCs w:val="20"/>
              </w:rPr>
              <w:t xml:space="preserve"> </w:t>
            </w:r>
            <w:proofErr w:type="spellStart"/>
            <w:r w:rsidRPr="000C0FB8">
              <w:rPr>
                <w:rFonts w:cstheme="minorHAnsi"/>
                <w:sz w:val="20"/>
                <w:szCs w:val="20"/>
              </w:rPr>
              <w:t>problemima</w:t>
            </w:r>
            <w:proofErr w:type="spellEnd"/>
            <w:r w:rsidRPr="000C0FB8">
              <w:rPr>
                <w:rFonts w:cstheme="minorHAnsi"/>
                <w:sz w:val="20"/>
                <w:szCs w:val="20"/>
              </w:rPr>
              <w:t xml:space="preserve"> i </w:t>
            </w:r>
            <w:proofErr w:type="spellStart"/>
            <w:r w:rsidRPr="000C0FB8">
              <w:rPr>
                <w:rFonts w:cstheme="minorHAnsi"/>
                <w:sz w:val="20"/>
                <w:szCs w:val="20"/>
              </w:rPr>
              <w:t>potrebama</w:t>
            </w:r>
            <w:proofErr w:type="spellEnd"/>
            <w:r w:rsidRPr="000C0FB8">
              <w:rPr>
                <w:rFonts w:cstheme="minorHAnsi"/>
                <w:sz w:val="20"/>
                <w:szCs w:val="20"/>
              </w:rPr>
              <w:t xml:space="preserve">, </w:t>
            </w:r>
            <w:proofErr w:type="spellStart"/>
            <w:r w:rsidRPr="000C0FB8">
              <w:rPr>
                <w:rFonts w:cstheme="minorHAnsi"/>
                <w:sz w:val="20"/>
                <w:szCs w:val="20"/>
              </w:rPr>
              <w:t>te</w:t>
            </w:r>
            <w:proofErr w:type="spellEnd"/>
            <w:r w:rsidRPr="000C0FB8">
              <w:rPr>
                <w:rFonts w:cstheme="minorHAnsi"/>
                <w:sz w:val="20"/>
                <w:szCs w:val="20"/>
              </w:rPr>
              <w:t xml:space="preserve"> </w:t>
            </w:r>
            <w:proofErr w:type="spellStart"/>
            <w:r w:rsidRPr="000C0FB8">
              <w:rPr>
                <w:rFonts w:cstheme="minorHAnsi"/>
                <w:sz w:val="20"/>
                <w:szCs w:val="20"/>
              </w:rPr>
              <w:t>aktiviranje</w:t>
            </w:r>
            <w:proofErr w:type="spellEnd"/>
            <w:r w:rsidRPr="000C0FB8">
              <w:rPr>
                <w:rFonts w:cstheme="minorHAnsi"/>
                <w:sz w:val="20"/>
                <w:szCs w:val="20"/>
              </w:rPr>
              <w:t xml:space="preserve"> </w:t>
            </w:r>
            <w:proofErr w:type="spellStart"/>
            <w:r w:rsidRPr="000C0FB8">
              <w:rPr>
                <w:rFonts w:cstheme="minorHAnsi"/>
                <w:sz w:val="20"/>
                <w:szCs w:val="20"/>
              </w:rPr>
              <w:t>napuštenih</w:t>
            </w:r>
            <w:proofErr w:type="spellEnd"/>
            <w:r w:rsidRPr="000C0FB8">
              <w:rPr>
                <w:rFonts w:cstheme="minorHAnsi"/>
                <w:sz w:val="20"/>
                <w:szCs w:val="20"/>
              </w:rPr>
              <w:t xml:space="preserve"> i </w:t>
            </w:r>
            <w:proofErr w:type="spellStart"/>
            <w:r w:rsidRPr="000C0FB8">
              <w:rPr>
                <w:rFonts w:cstheme="minorHAnsi"/>
                <w:sz w:val="20"/>
                <w:szCs w:val="20"/>
              </w:rPr>
              <w:t>neiskorištenih</w:t>
            </w:r>
            <w:proofErr w:type="spellEnd"/>
            <w:r w:rsidRPr="000C0FB8">
              <w:rPr>
                <w:rFonts w:cstheme="minorHAnsi"/>
                <w:sz w:val="20"/>
                <w:szCs w:val="20"/>
              </w:rPr>
              <w:t xml:space="preserve"> </w:t>
            </w:r>
            <w:proofErr w:type="spellStart"/>
            <w:r w:rsidRPr="000C0FB8">
              <w:rPr>
                <w:rFonts w:cstheme="minorHAnsi"/>
                <w:sz w:val="20"/>
                <w:szCs w:val="20"/>
              </w:rPr>
              <w:t>nekretnina</w:t>
            </w:r>
            <w:proofErr w:type="spellEnd"/>
            <w:r w:rsidRPr="000C0FB8">
              <w:rPr>
                <w:rFonts w:cstheme="minorHAnsi"/>
                <w:sz w:val="20"/>
                <w:szCs w:val="20"/>
              </w:rPr>
              <w:t xml:space="preserve"> i </w:t>
            </w:r>
            <w:proofErr w:type="spellStart"/>
            <w:r w:rsidRPr="000C0FB8">
              <w:rPr>
                <w:rFonts w:cstheme="minorHAnsi"/>
                <w:sz w:val="20"/>
                <w:szCs w:val="20"/>
              </w:rPr>
              <w:t>prostornih</w:t>
            </w:r>
            <w:proofErr w:type="spellEnd"/>
            <w:r w:rsidRPr="000C0FB8">
              <w:rPr>
                <w:rFonts w:cstheme="minorHAnsi"/>
                <w:sz w:val="20"/>
                <w:szCs w:val="20"/>
              </w:rPr>
              <w:t xml:space="preserve"> </w:t>
            </w:r>
            <w:proofErr w:type="spellStart"/>
            <w:r w:rsidRPr="000C0FB8">
              <w:rPr>
                <w:rFonts w:cstheme="minorHAnsi"/>
                <w:sz w:val="20"/>
                <w:szCs w:val="20"/>
              </w:rPr>
              <w:t>cjelina</w:t>
            </w:r>
            <w:proofErr w:type="spellEnd"/>
            <w:r w:rsidRPr="000C0FB8">
              <w:rPr>
                <w:rFonts w:cstheme="minorHAnsi"/>
                <w:sz w:val="20"/>
                <w:szCs w:val="20"/>
              </w:rPr>
              <w:t xml:space="preserve"> u </w:t>
            </w:r>
            <w:proofErr w:type="spellStart"/>
            <w:r w:rsidRPr="000C0FB8">
              <w:rPr>
                <w:rFonts w:cstheme="minorHAnsi"/>
                <w:sz w:val="20"/>
                <w:szCs w:val="20"/>
              </w:rPr>
              <w:t>javnom</w:t>
            </w:r>
            <w:proofErr w:type="spellEnd"/>
            <w:r w:rsidRPr="000C0FB8">
              <w:rPr>
                <w:rFonts w:cstheme="minorHAnsi"/>
                <w:sz w:val="20"/>
                <w:szCs w:val="20"/>
              </w:rPr>
              <w:t xml:space="preserve"> </w:t>
            </w:r>
            <w:proofErr w:type="spellStart"/>
            <w:r w:rsidRPr="000C0FB8">
              <w:rPr>
                <w:rFonts w:cstheme="minorHAnsi"/>
                <w:sz w:val="20"/>
                <w:szCs w:val="20"/>
              </w:rPr>
              <w:t>vlasništvu</w:t>
            </w:r>
            <w:proofErr w:type="spellEnd"/>
            <w:r w:rsidRPr="000C0FB8">
              <w:rPr>
                <w:rFonts w:cstheme="minorHAnsi"/>
                <w:sz w:val="20"/>
                <w:szCs w:val="20"/>
              </w:rPr>
              <w:t xml:space="preserve">. </w:t>
            </w:r>
            <w:proofErr w:type="spellStart"/>
            <w:r w:rsidRPr="000C0FB8">
              <w:rPr>
                <w:rFonts w:cstheme="minorHAnsi"/>
                <w:sz w:val="20"/>
                <w:szCs w:val="20"/>
              </w:rPr>
              <w:t>Unapređenje</w:t>
            </w:r>
            <w:proofErr w:type="spellEnd"/>
            <w:r w:rsidRPr="000C0FB8">
              <w:rPr>
                <w:rFonts w:cstheme="minorHAnsi"/>
                <w:sz w:val="20"/>
                <w:szCs w:val="20"/>
              </w:rPr>
              <w:t xml:space="preserve"> </w:t>
            </w:r>
            <w:proofErr w:type="spellStart"/>
            <w:r w:rsidRPr="000C0FB8">
              <w:rPr>
                <w:rFonts w:cstheme="minorHAnsi"/>
                <w:sz w:val="20"/>
                <w:szCs w:val="20"/>
              </w:rPr>
              <w:t>održivosti</w:t>
            </w:r>
            <w:proofErr w:type="spellEnd"/>
            <w:r w:rsidRPr="000C0FB8">
              <w:rPr>
                <w:rFonts w:cstheme="minorHAnsi"/>
                <w:sz w:val="20"/>
                <w:szCs w:val="20"/>
              </w:rPr>
              <w:t xml:space="preserve"> </w:t>
            </w:r>
            <w:proofErr w:type="spellStart"/>
            <w:r w:rsidRPr="000C0FB8">
              <w:rPr>
                <w:rFonts w:cstheme="minorHAnsi"/>
                <w:sz w:val="20"/>
                <w:szCs w:val="20"/>
              </w:rPr>
              <w:t>urbanih</w:t>
            </w:r>
            <w:proofErr w:type="spellEnd"/>
            <w:r w:rsidRPr="000C0FB8">
              <w:rPr>
                <w:rFonts w:cstheme="minorHAnsi"/>
                <w:sz w:val="20"/>
                <w:szCs w:val="20"/>
              </w:rPr>
              <w:t xml:space="preserve"> </w:t>
            </w:r>
            <w:proofErr w:type="spellStart"/>
            <w:r w:rsidRPr="000C0FB8">
              <w:rPr>
                <w:rFonts w:cstheme="minorHAnsi"/>
                <w:sz w:val="20"/>
                <w:szCs w:val="20"/>
              </w:rPr>
              <w:t>područja</w:t>
            </w:r>
            <w:proofErr w:type="spellEnd"/>
            <w:r w:rsidRPr="000C0FB8">
              <w:rPr>
                <w:rFonts w:cstheme="minorHAnsi"/>
                <w:sz w:val="20"/>
                <w:szCs w:val="20"/>
              </w:rPr>
              <w:t xml:space="preserve"> </w:t>
            </w:r>
            <w:proofErr w:type="spellStart"/>
            <w:r w:rsidRPr="000C0FB8">
              <w:rPr>
                <w:rFonts w:cstheme="minorHAnsi"/>
                <w:sz w:val="20"/>
                <w:szCs w:val="20"/>
              </w:rPr>
              <w:t>podrazumijeva</w:t>
            </w:r>
            <w:proofErr w:type="spellEnd"/>
            <w:r w:rsidRPr="000C0FB8">
              <w:rPr>
                <w:rFonts w:cstheme="minorHAnsi"/>
                <w:sz w:val="20"/>
                <w:szCs w:val="20"/>
              </w:rPr>
              <w:t xml:space="preserve"> </w:t>
            </w:r>
            <w:proofErr w:type="spellStart"/>
            <w:r w:rsidRPr="000C0FB8">
              <w:rPr>
                <w:rFonts w:cstheme="minorHAnsi"/>
                <w:sz w:val="20"/>
                <w:szCs w:val="20"/>
              </w:rPr>
              <w:t>mapiranje</w:t>
            </w:r>
            <w:proofErr w:type="spellEnd"/>
            <w:r w:rsidRPr="000C0FB8">
              <w:rPr>
                <w:rFonts w:cstheme="minorHAnsi"/>
                <w:sz w:val="20"/>
                <w:szCs w:val="20"/>
              </w:rPr>
              <w:t xml:space="preserve">, </w:t>
            </w:r>
            <w:proofErr w:type="spellStart"/>
            <w:r w:rsidRPr="000C0FB8">
              <w:rPr>
                <w:rFonts w:cstheme="minorHAnsi"/>
                <w:sz w:val="20"/>
                <w:szCs w:val="20"/>
              </w:rPr>
              <w:t>kategorizaciju</w:t>
            </w:r>
            <w:proofErr w:type="spellEnd"/>
            <w:r w:rsidRPr="000C0FB8">
              <w:rPr>
                <w:rFonts w:cstheme="minorHAnsi"/>
                <w:sz w:val="20"/>
                <w:szCs w:val="20"/>
              </w:rPr>
              <w:t xml:space="preserve"> </w:t>
            </w:r>
            <w:proofErr w:type="spellStart"/>
            <w:r w:rsidRPr="000C0FB8">
              <w:rPr>
                <w:rFonts w:cstheme="minorHAnsi"/>
                <w:sz w:val="20"/>
                <w:szCs w:val="20"/>
              </w:rPr>
              <w:t>te</w:t>
            </w:r>
            <w:proofErr w:type="spellEnd"/>
            <w:r w:rsidRPr="000C0FB8">
              <w:rPr>
                <w:rFonts w:cstheme="minorHAnsi"/>
                <w:sz w:val="20"/>
                <w:szCs w:val="20"/>
              </w:rPr>
              <w:t xml:space="preserve"> </w:t>
            </w:r>
            <w:proofErr w:type="spellStart"/>
            <w:r w:rsidRPr="000C0FB8">
              <w:rPr>
                <w:rFonts w:cstheme="minorHAnsi"/>
                <w:sz w:val="20"/>
                <w:szCs w:val="20"/>
              </w:rPr>
              <w:t>planiranje</w:t>
            </w:r>
            <w:proofErr w:type="spellEnd"/>
            <w:r w:rsidRPr="000C0FB8">
              <w:rPr>
                <w:rFonts w:cstheme="minorHAnsi"/>
                <w:sz w:val="20"/>
                <w:szCs w:val="20"/>
              </w:rPr>
              <w:t xml:space="preserve"> </w:t>
            </w:r>
            <w:proofErr w:type="spellStart"/>
            <w:r w:rsidRPr="000C0FB8">
              <w:rPr>
                <w:rFonts w:cstheme="minorHAnsi"/>
                <w:sz w:val="20"/>
                <w:szCs w:val="20"/>
              </w:rPr>
              <w:t>novih</w:t>
            </w:r>
            <w:proofErr w:type="spellEnd"/>
            <w:r w:rsidRPr="000C0FB8">
              <w:rPr>
                <w:rFonts w:cstheme="minorHAnsi"/>
                <w:sz w:val="20"/>
                <w:szCs w:val="20"/>
              </w:rPr>
              <w:t xml:space="preserve"> i </w:t>
            </w:r>
            <w:proofErr w:type="spellStart"/>
            <w:r w:rsidRPr="000C0FB8">
              <w:rPr>
                <w:rFonts w:cstheme="minorHAnsi"/>
                <w:sz w:val="20"/>
                <w:szCs w:val="20"/>
              </w:rPr>
              <w:t>održivih</w:t>
            </w:r>
            <w:proofErr w:type="spellEnd"/>
            <w:r w:rsidRPr="000C0FB8">
              <w:rPr>
                <w:rFonts w:cstheme="minorHAnsi"/>
                <w:sz w:val="20"/>
                <w:szCs w:val="20"/>
              </w:rPr>
              <w:t xml:space="preserve"> </w:t>
            </w:r>
            <w:proofErr w:type="spellStart"/>
            <w:r w:rsidRPr="000C0FB8">
              <w:rPr>
                <w:rFonts w:cstheme="minorHAnsi"/>
                <w:sz w:val="20"/>
                <w:szCs w:val="20"/>
              </w:rPr>
              <w:t>formi</w:t>
            </w:r>
            <w:proofErr w:type="spellEnd"/>
            <w:r w:rsidRPr="000C0FB8">
              <w:rPr>
                <w:rFonts w:cstheme="minorHAnsi"/>
                <w:sz w:val="20"/>
                <w:szCs w:val="20"/>
              </w:rPr>
              <w:t xml:space="preserve"> </w:t>
            </w:r>
            <w:proofErr w:type="spellStart"/>
            <w:r w:rsidRPr="000C0FB8">
              <w:rPr>
                <w:rFonts w:cstheme="minorHAnsi"/>
                <w:sz w:val="20"/>
                <w:szCs w:val="20"/>
              </w:rPr>
              <w:t>korištenja</w:t>
            </w:r>
            <w:proofErr w:type="spellEnd"/>
            <w:r w:rsidRPr="000C0FB8">
              <w:rPr>
                <w:rFonts w:cstheme="minorHAnsi"/>
                <w:sz w:val="20"/>
                <w:szCs w:val="20"/>
              </w:rPr>
              <w:t xml:space="preserve"> </w:t>
            </w:r>
            <w:proofErr w:type="spellStart"/>
            <w:r w:rsidRPr="000C0FB8">
              <w:rPr>
                <w:rFonts w:cstheme="minorHAnsi"/>
                <w:sz w:val="20"/>
                <w:szCs w:val="20"/>
              </w:rPr>
              <w:t>koje</w:t>
            </w:r>
            <w:proofErr w:type="spellEnd"/>
            <w:r w:rsidRPr="000C0FB8">
              <w:rPr>
                <w:rFonts w:cstheme="minorHAnsi"/>
                <w:sz w:val="20"/>
                <w:szCs w:val="20"/>
              </w:rPr>
              <w:t xml:space="preserve"> </w:t>
            </w:r>
            <w:proofErr w:type="spellStart"/>
            <w:r w:rsidRPr="000C0FB8">
              <w:rPr>
                <w:rFonts w:cstheme="minorHAnsi"/>
                <w:sz w:val="20"/>
                <w:szCs w:val="20"/>
              </w:rPr>
              <w:t>će</w:t>
            </w:r>
            <w:proofErr w:type="spellEnd"/>
            <w:r w:rsidRPr="000C0FB8">
              <w:rPr>
                <w:rFonts w:cstheme="minorHAnsi"/>
                <w:sz w:val="20"/>
                <w:szCs w:val="20"/>
              </w:rPr>
              <w:t xml:space="preserve"> </w:t>
            </w:r>
            <w:proofErr w:type="spellStart"/>
            <w:r w:rsidRPr="000C0FB8">
              <w:rPr>
                <w:rFonts w:cstheme="minorHAnsi"/>
                <w:sz w:val="20"/>
                <w:szCs w:val="20"/>
              </w:rPr>
              <w:t>unaprjediti</w:t>
            </w:r>
            <w:proofErr w:type="spellEnd"/>
            <w:r w:rsidRPr="000C0FB8">
              <w:rPr>
                <w:rFonts w:cstheme="minorHAnsi"/>
                <w:sz w:val="20"/>
                <w:szCs w:val="20"/>
              </w:rPr>
              <w:t xml:space="preserve"> </w:t>
            </w:r>
            <w:proofErr w:type="spellStart"/>
            <w:r w:rsidRPr="000C0FB8">
              <w:rPr>
                <w:rFonts w:cstheme="minorHAnsi"/>
                <w:sz w:val="20"/>
                <w:szCs w:val="20"/>
              </w:rPr>
              <w:t>kvalitetu</w:t>
            </w:r>
            <w:proofErr w:type="spellEnd"/>
            <w:r w:rsidRPr="000C0FB8">
              <w:rPr>
                <w:rFonts w:cstheme="minorHAnsi"/>
                <w:sz w:val="20"/>
                <w:szCs w:val="20"/>
              </w:rPr>
              <w:t xml:space="preserve"> </w:t>
            </w:r>
            <w:proofErr w:type="spellStart"/>
            <w:r w:rsidRPr="000C0FB8">
              <w:rPr>
                <w:rFonts w:cstheme="minorHAnsi"/>
                <w:sz w:val="20"/>
                <w:szCs w:val="20"/>
              </w:rPr>
              <w:t>urbanih</w:t>
            </w:r>
            <w:proofErr w:type="spellEnd"/>
            <w:r w:rsidRPr="000C0FB8">
              <w:rPr>
                <w:rFonts w:cstheme="minorHAnsi"/>
                <w:sz w:val="20"/>
                <w:szCs w:val="20"/>
              </w:rPr>
              <w:t xml:space="preserve"> </w:t>
            </w:r>
            <w:proofErr w:type="spellStart"/>
            <w:r w:rsidRPr="000C0FB8">
              <w:rPr>
                <w:rFonts w:cstheme="minorHAnsi"/>
                <w:sz w:val="20"/>
                <w:szCs w:val="20"/>
              </w:rPr>
              <w:t>prostora</w:t>
            </w:r>
            <w:proofErr w:type="spellEnd"/>
            <w:r w:rsidRPr="000C0FB8">
              <w:rPr>
                <w:rFonts w:cstheme="minorHAnsi"/>
                <w:sz w:val="20"/>
                <w:szCs w:val="20"/>
              </w:rPr>
              <w:t xml:space="preserve">. </w:t>
            </w:r>
          </w:p>
          <w:p w14:paraId="3EC446AF" w14:textId="77777777" w:rsidR="00A00D87" w:rsidRPr="000C0FB8" w:rsidRDefault="00A00D87" w:rsidP="00E6560A">
            <w:pPr>
              <w:ind w:left="1" w:right="32"/>
              <w:jc w:val="both"/>
              <w:rPr>
                <w:rFonts w:cstheme="minorHAnsi"/>
                <w:sz w:val="20"/>
                <w:szCs w:val="20"/>
              </w:rPr>
            </w:pPr>
            <w:r w:rsidRPr="000C0FB8">
              <w:rPr>
                <w:rFonts w:cstheme="minorHAnsi"/>
                <w:sz w:val="20"/>
                <w:szCs w:val="20"/>
              </w:rPr>
              <w:t xml:space="preserve">Federalno ministarstvo prostornog uređenja u </w:t>
            </w:r>
            <w:proofErr w:type="spellStart"/>
            <w:r w:rsidRPr="000C0FB8">
              <w:rPr>
                <w:rFonts w:cstheme="minorHAnsi"/>
                <w:sz w:val="20"/>
                <w:szCs w:val="20"/>
              </w:rPr>
              <w:t>čijoj</w:t>
            </w:r>
            <w:proofErr w:type="spellEnd"/>
            <w:r w:rsidRPr="000C0FB8">
              <w:rPr>
                <w:rFonts w:cstheme="minorHAnsi"/>
                <w:sz w:val="20"/>
                <w:szCs w:val="20"/>
              </w:rPr>
              <w:t xml:space="preserve"> </w:t>
            </w:r>
            <w:proofErr w:type="spellStart"/>
            <w:r w:rsidRPr="000C0FB8">
              <w:rPr>
                <w:rFonts w:cstheme="minorHAnsi"/>
                <w:sz w:val="20"/>
                <w:szCs w:val="20"/>
              </w:rPr>
              <w:t>nadležnosti</w:t>
            </w:r>
            <w:proofErr w:type="spellEnd"/>
            <w:r w:rsidRPr="000C0FB8">
              <w:rPr>
                <w:rFonts w:cstheme="minorHAnsi"/>
                <w:sz w:val="20"/>
                <w:szCs w:val="20"/>
              </w:rPr>
              <w:t xml:space="preserve"> je </w:t>
            </w:r>
            <w:proofErr w:type="spellStart"/>
            <w:r w:rsidRPr="000C0FB8">
              <w:rPr>
                <w:rFonts w:cstheme="minorHAnsi"/>
                <w:sz w:val="20"/>
                <w:szCs w:val="20"/>
              </w:rPr>
              <w:t>prostorno</w:t>
            </w:r>
            <w:proofErr w:type="spellEnd"/>
            <w:r w:rsidRPr="000C0FB8">
              <w:rPr>
                <w:rFonts w:cstheme="minorHAnsi"/>
                <w:sz w:val="20"/>
                <w:szCs w:val="20"/>
              </w:rPr>
              <w:t xml:space="preserve"> </w:t>
            </w:r>
            <w:proofErr w:type="spellStart"/>
            <w:r w:rsidRPr="000C0FB8">
              <w:rPr>
                <w:rFonts w:cstheme="minorHAnsi"/>
                <w:sz w:val="20"/>
                <w:szCs w:val="20"/>
              </w:rPr>
              <w:t>planiranje</w:t>
            </w:r>
            <w:proofErr w:type="spellEnd"/>
            <w:r w:rsidRPr="000C0FB8">
              <w:rPr>
                <w:rFonts w:cstheme="minorHAnsi"/>
                <w:sz w:val="20"/>
                <w:szCs w:val="20"/>
              </w:rPr>
              <w:t xml:space="preserve">, </w:t>
            </w:r>
            <w:proofErr w:type="spellStart"/>
            <w:r w:rsidRPr="000C0FB8">
              <w:rPr>
                <w:rFonts w:cstheme="minorHAnsi"/>
                <w:sz w:val="20"/>
                <w:szCs w:val="20"/>
              </w:rPr>
              <w:t>će</w:t>
            </w:r>
            <w:proofErr w:type="spellEnd"/>
            <w:r w:rsidRPr="000C0FB8">
              <w:rPr>
                <w:rFonts w:cstheme="minorHAnsi"/>
                <w:sz w:val="20"/>
                <w:szCs w:val="20"/>
              </w:rPr>
              <w:t xml:space="preserve"> u </w:t>
            </w:r>
            <w:proofErr w:type="spellStart"/>
            <w:r w:rsidRPr="000C0FB8">
              <w:rPr>
                <w:rFonts w:cstheme="minorHAnsi"/>
                <w:sz w:val="20"/>
                <w:szCs w:val="20"/>
              </w:rPr>
              <w:t>saradnji</w:t>
            </w:r>
            <w:proofErr w:type="spellEnd"/>
            <w:r w:rsidRPr="000C0FB8">
              <w:rPr>
                <w:rFonts w:cstheme="minorHAnsi"/>
                <w:sz w:val="20"/>
                <w:szCs w:val="20"/>
              </w:rPr>
              <w:t xml:space="preserve"> </w:t>
            </w:r>
            <w:proofErr w:type="spellStart"/>
            <w:r w:rsidRPr="000C0FB8">
              <w:rPr>
                <w:rFonts w:cstheme="minorHAnsi"/>
                <w:sz w:val="20"/>
                <w:szCs w:val="20"/>
              </w:rPr>
              <w:t>sa</w:t>
            </w:r>
            <w:proofErr w:type="spellEnd"/>
            <w:r w:rsidRPr="000C0FB8">
              <w:rPr>
                <w:rFonts w:cstheme="minorHAnsi"/>
                <w:sz w:val="20"/>
                <w:szCs w:val="20"/>
              </w:rPr>
              <w:t xml:space="preserve"> </w:t>
            </w:r>
            <w:proofErr w:type="spellStart"/>
            <w:r w:rsidRPr="000C0FB8">
              <w:rPr>
                <w:rFonts w:cstheme="minorHAnsi"/>
                <w:sz w:val="20"/>
                <w:szCs w:val="20"/>
              </w:rPr>
              <w:t>relevantnim</w:t>
            </w:r>
            <w:proofErr w:type="spellEnd"/>
            <w:r w:rsidRPr="000C0FB8">
              <w:rPr>
                <w:rFonts w:cstheme="minorHAnsi"/>
                <w:sz w:val="20"/>
                <w:szCs w:val="20"/>
              </w:rPr>
              <w:t xml:space="preserve"> </w:t>
            </w:r>
            <w:proofErr w:type="spellStart"/>
            <w:r w:rsidRPr="000C0FB8">
              <w:rPr>
                <w:rFonts w:cstheme="minorHAnsi"/>
                <w:sz w:val="20"/>
                <w:szCs w:val="20"/>
              </w:rPr>
              <w:t>ministarstvima</w:t>
            </w:r>
            <w:proofErr w:type="spellEnd"/>
            <w:r w:rsidRPr="000C0FB8">
              <w:rPr>
                <w:rFonts w:cstheme="minorHAnsi"/>
                <w:sz w:val="20"/>
                <w:szCs w:val="20"/>
              </w:rPr>
              <w:t xml:space="preserve">, </w:t>
            </w:r>
            <w:proofErr w:type="spellStart"/>
            <w:r w:rsidRPr="000C0FB8">
              <w:rPr>
                <w:rFonts w:cstheme="minorHAnsi"/>
                <w:sz w:val="20"/>
                <w:szCs w:val="20"/>
              </w:rPr>
              <w:t>stručnom</w:t>
            </w:r>
            <w:proofErr w:type="spellEnd"/>
            <w:r w:rsidRPr="000C0FB8">
              <w:rPr>
                <w:rFonts w:cstheme="minorHAnsi"/>
                <w:sz w:val="20"/>
                <w:szCs w:val="20"/>
              </w:rPr>
              <w:t xml:space="preserve"> </w:t>
            </w:r>
            <w:proofErr w:type="spellStart"/>
            <w:r w:rsidRPr="000C0FB8">
              <w:rPr>
                <w:rFonts w:cstheme="minorHAnsi"/>
                <w:sz w:val="20"/>
                <w:szCs w:val="20"/>
              </w:rPr>
              <w:t>javnosti</w:t>
            </w:r>
            <w:proofErr w:type="spellEnd"/>
            <w:r w:rsidRPr="000C0FB8">
              <w:rPr>
                <w:rFonts w:cstheme="minorHAnsi"/>
                <w:sz w:val="20"/>
                <w:szCs w:val="20"/>
              </w:rPr>
              <w:t xml:space="preserve"> i </w:t>
            </w:r>
            <w:proofErr w:type="spellStart"/>
            <w:r w:rsidRPr="000C0FB8">
              <w:rPr>
                <w:rFonts w:cstheme="minorHAnsi"/>
                <w:sz w:val="20"/>
                <w:szCs w:val="20"/>
              </w:rPr>
              <w:t>akademskom</w:t>
            </w:r>
            <w:proofErr w:type="spellEnd"/>
            <w:r w:rsidRPr="000C0FB8">
              <w:rPr>
                <w:rFonts w:cstheme="minorHAnsi"/>
                <w:sz w:val="20"/>
                <w:szCs w:val="20"/>
              </w:rPr>
              <w:t xml:space="preserve"> </w:t>
            </w:r>
            <w:proofErr w:type="spellStart"/>
            <w:r w:rsidRPr="000C0FB8">
              <w:rPr>
                <w:rFonts w:cstheme="minorHAnsi"/>
                <w:sz w:val="20"/>
                <w:szCs w:val="20"/>
              </w:rPr>
              <w:t>zajednicom</w:t>
            </w:r>
            <w:proofErr w:type="spellEnd"/>
            <w:r w:rsidRPr="000C0FB8">
              <w:rPr>
                <w:rFonts w:cstheme="minorHAnsi"/>
                <w:sz w:val="20"/>
                <w:szCs w:val="20"/>
              </w:rPr>
              <w:t xml:space="preserve"> </w:t>
            </w:r>
            <w:proofErr w:type="spellStart"/>
            <w:r w:rsidRPr="000C0FB8">
              <w:rPr>
                <w:rFonts w:cstheme="minorHAnsi"/>
                <w:sz w:val="20"/>
                <w:szCs w:val="20"/>
              </w:rPr>
              <w:t>definirati</w:t>
            </w:r>
            <w:proofErr w:type="spellEnd"/>
            <w:r w:rsidRPr="000C0FB8">
              <w:rPr>
                <w:rFonts w:cstheme="minorHAnsi"/>
                <w:sz w:val="20"/>
                <w:szCs w:val="20"/>
              </w:rPr>
              <w:t xml:space="preserve"> </w:t>
            </w:r>
            <w:proofErr w:type="spellStart"/>
            <w:r w:rsidRPr="000C0FB8">
              <w:rPr>
                <w:rFonts w:cstheme="minorHAnsi"/>
                <w:sz w:val="20"/>
                <w:szCs w:val="20"/>
              </w:rPr>
              <w:t>ključne</w:t>
            </w:r>
            <w:proofErr w:type="spellEnd"/>
            <w:r w:rsidRPr="000C0FB8">
              <w:rPr>
                <w:rFonts w:cstheme="minorHAnsi"/>
                <w:sz w:val="20"/>
                <w:szCs w:val="20"/>
              </w:rPr>
              <w:t xml:space="preserve"> </w:t>
            </w:r>
            <w:proofErr w:type="spellStart"/>
            <w:r w:rsidRPr="000C0FB8">
              <w:rPr>
                <w:rFonts w:cstheme="minorHAnsi"/>
                <w:sz w:val="20"/>
                <w:szCs w:val="20"/>
              </w:rPr>
              <w:t>pokazatelje</w:t>
            </w:r>
            <w:proofErr w:type="spellEnd"/>
            <w:r w:rsidRPr="000C0FB8">
              <w:rPr>
                <w:rFonts w:cstheme="minorHAnsi"/>
                <w:sz w:val="20"/>
                <w:szCs w:val="20"/>
              </w:rPr>
              <w:t xml:space="preserve"> </w:t>
            </w:r>
            <w:proofErr w:type="spellStart"/>
            <w:r w:rsidRPr="000C0FB8">
              <w:rPr>
                <w:rFonts w:cstheme="minorHAnsi"/>
                <w:sz w:val="20"/>
                <w:szCs w:val="20"/>
              </w:rPr>
              <w:t>održivosti</w:t>
            </w:r>
            <w:proofErr w:type="spellEnd"/>
            <w:r w:rsidRPr="000C0FB8">
              <w:rPr>
                <w:rFonts w:cstheme="minorHAnsi"/>
                <w:sz w:val="20"/>
                <w:szCs w:val="20"/>
              </w:rPr>
              <w:t xml:space="preserve">, koji </w:t>
            </w:r>
            <w:proofErr w:type="spellStart"/>
            <w:r w:rsidRPr="000C0FB8">
              <w:rPr>
                <w:rFonts w:cstheme="minorHAnsi"/>
                <w:sz w:val="20"/>
                <w:szCs w:val="20"/>
              </w:rPr>
              <w:t>će</w:t>
            </w:r>
            <w:proofErr w:type="spellEnd"/>
            <w:r w:rsidRPr="000C0FB8">
              <w:rPr>
                <w:rFonts w:cstheme="minorHAnsi"/>
                <w:sz w:val="20"/>
                <w:szCs w:val="20"/>
              </w:rPr>
              <w:t xml:space="preserve"> </w:t>
            </w:r>
            <w:proofErr w:type="spellStart"/>
            <w:r w:rsidRPr="000C0FB8">
              <w:rPr>
                <w:rFonts w:cstheme="minorHAnsi"/>
                <w:sz w:val="20"/>
                <w:szCs w:val="20"/>
              </w:rPr>
              <w:t>uključivati</w:t>
            </w:r>
            <w:proofErr w:type="spellEnd"/>
            <w:r w:rsidRPr="000C0FB8">
              <w:rPr>
                <w:rFonts w:cstheme="minorHAnsi"/>
                <w:sz w:val="20"/>
                <w:szCs w:val="20"/>
              </w:rPr>
              <w:t xml:space="preserve"> </w:t>
            </w:r>
            <w:proofErr w:type="spellStart"/>
            <w:r w:rsidRPr="000C0FB8">
              <w:rPr>
                <w:rFonts w:cstheme="minorHAnsi"/>
                <w:sz w:val="20"/>
                <w:szCs w:val="20"/>
              </w:rPr>
              <w:t>pokazatelje</w:t>
            </w:r>
            <w:proofErr w:type="spellEnd"/>
            <w:r w:rsidRPr="000C0FB8">
              <w:rPr>
                <w:rFonts w:cstheme="minorHAnsi"/>
                <w:sz w:val="20"/>
                <w:szCs w:val="20"/>
              </w:rPr>
              <w:t xml:space="preserve"> </w:t>
            </w:r>
            <w:proofErr w:type="spellStart"/>
            <w:r w:rsidRPr="000C0FB8">
              <w:rPr>
                <w:rFonts w:cstheme="minorHAnsi"/>
                <w:sz w:val="20"/>
                <w:szCs w:val="20"/>
              </w:rPr>
              <w:t>iz</w:t>
            </w:r>
            <w:proofErr w:type="spellEnd"/>
            <w:r w:rsidRPr="000C0FB8">
              <w:rPr>
                <w:rFonts w:cstheme="minorHAnsi"/>
                <w:sz w:val="20"/>
                <w:szCs w:val="20"/>
              </w:rPr>
              <w:t xml:space="preserve"> </w:t>
            </w:r>
            <w:proofErr w:type="spellStart"/>
            <w:r w:rsidRPr="000C0FB8">
              <w:rPr>
                <w:rFonts w:cstheme="minorHAnsi"/>
                <w:sz w:val="20"/>
                <w:szCs w:val="20"/>
              </w:rPr>
              <w:t>područja</w:t>
            </w:r>
            <w:proofErr w:type="spellEnd"/>
            <w:r w:rsidRPr="000C0FB8">
              <w:rPr>
                <w:rFonts w:cstheme="minorHAnsi"/>
                <w:sz w:val="20"/>
                <w:szCs w:val="20"/>
              </w:rPr>
              <w:t xml:space="preserve"> </w:t>
            </w:r>
            <w:proofErr w:type="spellStart"/>
            <w:r w:rsidRPr="000C0FB8">
              <w:rPr>
                <w:rFonts w:cstheme="minorHAnsi"/>
                <w:sz w:val="20"/>
                <w:szCs w:val="20"/>
              </w:rPr>
              <w:t>izgrađenog</w:t>
            </w:r>
            <w:proofErr w:type="spellEnd"/>
            <w:r w:rsidRPr="000C0FB8">
              <w:rPr>
                <w:rFonts w:cstheme="minorHAnsi"/>
                <w:sz w:val="20"/>
                <w:szCs w:val="20"/>
              </w:rPr>
              <w:t xml:space="preserve"> </w:t>
            </w:r>
            <w:proofErr w:type="spellStart"/>
            <w:r w:rsidRPr="000C0FB8">
              <w:rPr>
                <w:rFonts w:cstheme="minorHAnsi"/>
                <w:sz w:val="20"/>
                <w:szCs w:val="20"/>
              </w:rPr>
              <w:t>prostora</w:t>
            </w:r>
            <w:proofErr w:type="spellEnd"/>
            <w:r w:rsidRPr="000C0FB8">
              <w:rPr>
                <w:rFonts w:cstheme="minorHAnsi"/>
                <w:sz w:val="20"/>
                <w:szCs w:val="20"/>
              </w:rPr>
              <w:t xml:space="preserve">, </w:t>
            </w:r>
            <w:proofErr w:type="spellStart"/>
            <w:r w:rsidRPr="000C0FB8">
              <w:rPr>
                <w:rFonts w:cstheme="minorHAnsi"/>
                <w:sz w:val="20"/>
                <w:szCs w:val="20"/>
              </w:rPr>
              <w:t>ekonomije</w:t>
            </w:r>
            <w:proofErr w:type="spellEnd"/>
            <w:r w:rsidRPr="000C0FB8">
              <w:rPr>
                <w:rFonts w:cstheme="minorHAnsi"/>
                <w:sz w:val="20"/>
                <w:szCs w:val="20"/>
              </w:rPr>
              <w:t xml:space="preserve">, </w:t>
            </w:r>
            <w:proofErr w:type="spellStart"/>
            <w:r w:rsidRPr="000C0FB8">
              <w:rPr>
                <w:rFonts w:cstheme="minorHAnsi"/>
                <w:sz w:val="20"/>
                <w:szCs w:val="20"/>
              </w:rPr>
              <w:t>energetike</w:t>
            </w:r>
            <w:proofErr w:type="spellEnd"/>
            <w:r w:rsidRPr="000C0FB8">
              <w:rPr>
                <w:rFonts w:cstheme="minorHAnsi"/>
                <w:sz w:val="20"/>
                <w:szCs w:val="20"/>
              </w:rPr>
              <w:t xml:space="preserve">, </w:t>
            </w:r>
            <w:proofErr w:type="spellStart"/>
            <w:r w:rsidRPr="000C0FB8">
              <w:rPr>
                <w:rFonts w:cstheme="minorHAnsi"/>
                <w:sz w:val="20"/>
                <w:szCs w:val="20"/>
              </w:rPr>
              <w:t>emisija</w:t>
            </w:r>
            <w:proofErr w:type="spellEnd"/>
            <w:r w:rsidRPr="000C0FB8">
              <w:rPr>
                <w:rFonts w:cstheme="minorHAnsi"/>
                <w:sz w:val="20"/>
                <w:szCs w:val="20"/>
              </w:rPr>
              <w:t xml:space="preserve"> u </w:t>
            </w:r>
            <w:proofErr w:type="spellStart"/>
            <w:r w:rsidRPr="000C0FB8">
              <w:rPr>
                <w:rFonts w:cstheme="minorHAnsi"/>
                <w:sz w:val="20"/>
                <w:szCs w:val="20"/>
              </w:rPr>
              <w:t>atmosferu</w:t>
            </w:r>
            <w:proofErr w:type="spellEnd"/>
            <w:r w:rsidRPr="000C0FB8">
              <w:rPr>
                <w:rFonts w:cstheme="minorHAnsi"/>
                <w:sz w:val="20"/>
                <w:szCs w:val="20"/>
              </w:rPr>
              <w:t xml:space="preserve">, </w:t>
            </w:r>
            <w:proofErr w:type="spellStart"/>
            <w:r w:rsidRPr="000C0FB8">
              <w:rPr>
                <w:rFonts w:cstheme="minorHAnsi"/>
                <w:sz w:val="20"/>
                <w:szCs w:val="20"/>
              </w:rPr>
              <w:t>korištenja</w:t>
            </w:r>
            <w:proofErr w:type="spellEnd"/>
            <w:r w:rsidRPr="000C0FB8">
              <w:rPr>
                <w:rFonts w:cstheme="minorHAnsi"/>
                <w:sz w:val="20"/>
                <w:szCs w:val="20"/>
              </w:rPr>
              <w:t xml:space="preserve"> </w:t>
            </w:r>
            <w:proofErr w:type="spellStart"/>
            <w:r w:rsidRPr="000C0FB8">
              <w:rPr>
                <w:rFonts w:cstheme="minorHAnsi"/>
                <w:sz w:val="20"/>
                <w:szCs w:val="20"/>
              </w:rPr>
              <w:t>prirodnih</w:t>
            </w:r>
            <w:proofErr w:type="spellEnd"/>
            <w:r w:rsidRPr="000C0FB8">
              <w:rPr>
                <w:rFonts w:cstheme="minorHAnsi"/>
                <w:sz w:val="20"/>
                <w:szCs w:val="20"/>
              </w:rPr>
              <w:t xml:space="preserve"> </w:t>
            </w:r>
            <w:proofErr w:type="spellStart"/>
            <w:r w:rsidRPr="000C0FB8">
              <w:rPr>
                <w:rFonts w:cstheme="minorHAnsi"/>
                <w:sz w:val="20"/>
                <w:szCs w:val="20"/>
              </w:rPr>
              <w:t>resursa</w:t>
            </w:r>
            <w:proofErr w:type="spellEnd"/>
            <w:r w:rsidRPr="000C0FB8">
              <w:rPr>
                <w:rFonts w:cstheme="minorHAnsi"/>
                <w:sz w:val="20"/>
                <w:szCs w:val="20"/>
              </w:rPr>
              <w:t xml:space="preserve">, okoliša i </w:t>
            </w:r>
            <w:proofErr w:type="spellStart"/>
            <w:r w:rsidRPr="000C0FB8">
              <w:rPr>
                <w:rFonts w:cstheme="minorHAnsi"/>
                <w:sz w:val="20"/>
                <w:szCs w:val="20"/>
              </w:rPr>
              <w:t>društvenih</w:t>
            </w:r>
            <w:proofErr w:type="spellEnd"/>
            <w:r w:rsidRPr="000C0FB8">
              <w:rPr>
                <w:rFonts w:cstheme="minorHAnsi"/>
                <w:sz w:val="20"/>
                <w:szCs w:val="20"/>
              </w:rPr>
              <w:t xml:space="preserve"> </w:t>
            </w:r>
            <w:proofErr w:type="spellStart"/>
            <w:r w:rsidRPr="000C0FB8">
              <w:rPr>
                <w:rFonts w:cstheme="minorHAnsi"/>
                <w:sz w:val="20"/>
                <w:szCs w:val="20"/>
              </w:rPr>
              <w:t>aspekata</w:t>
            </w:r>
            <w:proofErr w:type="spellEnd"/>
            <w:r w:rsidRPr="000C0FB8">
              <w:rPr>
                <w:rFonts w:cstheme="minorHAnsi"/>
                <w:sz w:val="20"/>
                <w:szCs w:val="20"/>
              </w:rPr>
              <w:t xml:space="preserve">, a koji </w:t>
            </w:r>
            <w:proofErr w:type="spellStart"/>
            <w:r w:rsidRPr="000C0FB8">
              <w:rPr>
                <w:rFonts w:cstheme="minorHAnsi"/>
                <w:sz w:val="20"/>
                <w:szCs w:val="20"/>
              </w:rPr>
              <w:t>će</w:t>
            </w:r>
            <w:proofErr w:type="spellEnd"/>
            <w:r w:rsidRPr="000C0FB8">
              <w:rPr>
                <w:rFonts w:cstheme="minorHAnsi"/>
                <w:sz w:val="20"/>
                <w:szCs w:val="20"/>
              </w:rPr>
              <w:t xml:space="preserve"> se </w:t>
            </w:r>
            <w:proofErr w:type="spellStart"/>
            <w:r w:rsidRPr="000C0FB8">
              <w:rPr>
                <w:rFonts w:cstheme="minorHAnsi"/>
                <w:sz w:val="20"/>
                <w:szCs w:val="20"/>
              </w:rPr>
              <w:t>pratiti</w:t>
            </w:r>
            <w:proofErr w:type="spellEnd"/>
            <w:r w:rsidRPr="000C0FB8">
              <w:rPr>
                <w:rFonts w:cstheme="minorHAnsi"/>
                <w:sz w:val="20"/>
                <w:szCs w:val="20"/>
              </w:rPr>
              <w:t xml:space="preserve"> </w:t>
            </w:r>
            <w:proofErr w:type="spellStart"/>
            <w:r w:rsidRPr="000C0FB8">
              <w:rPr>
                <w:rFonts w:cstheme="minorHAnsi"/>
                <w:sz w:val="20"/>
                <w:szCs w:val="20"/>
              </w:rPr>
              <w:t>na</w:t>
            </w:r>
            <w:proofErr w:type="spellEnd"/>
            <w:r w:rsidRPr="000C0FB8">
              <w:rPr>
                <w:rFonts w:cstheme="minorHAnsi"/>
                <w:sz w:val="20"/>
                <w:szCs w:val="20"/>
              </w:rPr>
              <w:t xml:space="preserve"> </w:t>
            </w:r>
            <w:proofErr w:type="spellStart"/>
            <w:r w:rsidRPr="000C0FB8">
              <w:rPr>
                <w:rFonts w:cstheme="minorHAnsi"/>
                <w:sz w:val="20"/>
                <w:szCs w:val="20"/>
              </w:rPr>
              <w:t>nivou</w:t>
            </w:r>
            <w:proofErr w:type="spellEnd"/>
            <w:r w:rsidRPr="000C0FB8">
              <w:rPr>
                <w:rFonts w:cstheme="minorHAnsi"/>
                <w:sz w:val="20"/>
                <w:szCs w:val="20"/>
              </w:rPr>
              <w:t xml:space="preserve"> FBiH i </w:t>
            </w:r>
            <w:proofErr w:type="spellStart"/>
            <w:r w:rsidRPr="000C0FB8">
              <w:rPr>
                <w:rFonts w:cstheme="minorHAnsi"/>
                <w:sz w:val="20"/>
                <w:szCs w:val="20"/>
              </w:rPr>
              <w:t>na</w:t>
            </w:r>
            <w:proofErr w:type="spellEnd"/>
            <w:r w:rsidRPr="000C0FB8">
              <w:rPr>
                <w:rFonts w:cstheme="minorHAnsi"/>
                <w:sz w:val="20"/>
                <w:szCs w:val="20"/>
              </w:rPr>
              <w:t xml:space="preserve"> </w:t>
            </w:r>
            <w:proofErr w:type="spellStart"/>
            <w:r w:rsidRPr="000C0FB8">
              <w:rPr>
                <w:rFonts w:cstheme="minorHAnsi"/>
                <w:sz w:val="20"/>
                <w:szCs w:val="20"/>
              </w:rPr>
              <w:t>kantonalnim</w:t>
            </w:r>
            <w:proofErr w:type="spellEnd"/>
            <w:r w:rsidRPr="000C0FB8">
              <w:rPr>
                <w:rFonts w:cstheme="minorHAnsi"/>
                <w:sz w:val="20"/>
                <w:szCs w:val="20"/>
              </w:rPr>
              <w:t xml:space="preserve"> </w:t>
            </w:r>
            <w:proofErr w:type="spellStart"/>
            <w:r w:rsidRPr="000C0FB8">
              <w:rPr>
                <w:rFonts w:cstheme="minorHAnsi"/>
                <w:sz w:val="20"/>
                <w:szCs w:val="20"/>
              </w:rPr>
              <w:t>nivoima</w:t>
            </w:r>
            <w:proofErr w:type="spellEnd"/>
            <w:r w:rsidRPr="000C0FB8">
              <w:rPr>
                <w:rFonts w:cstheme="minorHAnsi"/>
                <w:sz w:val="20"/>
                <w:szCs w:val="20"/>
              </w:rPr>
              <w:t xml:space="preserve">. Ovo </w:t>
            </w:r>
            <w:proofErr w:type="spellStart"/>
            <w:r w:rsidRPr="000C0FB8">
              <w:rPr>
                <w:rFonts w:cstheme="minorHAnsi"/>
                <w:sz w:val="20"/>
                <w:szCs w:val="20"/>
              </w:rPr>
              <w:t>će</w:t>
            </w:r>
            <w:proofErr w:type="spellEnd"/>
            <w:r w:rsidRPr="000C0FB8">
              <w:rPr>
                <w:rFonts w:cstheme="minorHAnsi"/>
                <w:sz w:val="20"/>
                <w:szCs w:val="20"/>
              </w:rPr>
              <w:t xml:space="preserve"> </w:t>
            </w:r>
            <w:proofErr w:type="spellStart"/>
            <w:r w:rsidRPr="000C0FB8">
              <w:rPr>
                <w:rFonts w:cstheme="minorHAnsi"/>
                <w:sz w:val="20"/>
                <w:szCs w:val="20"/>
              </w:rPr>
              <w:t>rezultirati</w:t>
            </w:r>
            <w:proofErr w:type="spellEnd"/>
            <w:r w:rsidRPr="000C0FB8">
              <w:rPr>
                <w:rFonts w:cstheme="minorHAnsi"/>
                <w:sz w:val="20"/>
                <w:szCs w:val="20"/>
              </w:rPr>
              <w:t xml:space="preserve"> </w:t>
            </w:r>
            <w:proofErr w:type="spellStart"/>
            <w:r w:rsidRPr="000C0FB8">
              <w:rPr>
                <w:rFonts w:cstheme="minorHAnsi"/>
                <w:sz w:val="20"/>
                <w:szCs w:val="20"/>
              </w:rPr>
              <w:t>razvojnim</w:t>
            </w:r>
            <w:proofErr w:type="spellEnd"/>
            <w:r w:rsidRPr="000C0FB8">
              <w:rPr>
                <w:rFonts w:cstheme="minorHAnsi"/>
                <w:sz w:val="20"/>
                <w:szCs w:val="20"/>
              </w:rPr>
              <w:t xml:space="preserve"> </w:t>
            </w:r>
            <w:proofErr w:type="spellStart"/>
            <w:r w:rsidRPr="000C0FB8">
              <w:rPr>
                <w:rFonts w:cstheme="minorHAnsi"/>
                <w:sz w:val="20"/>
                <w:szCs w:val="20"/>
              </w:rPr>
              <w:t>planovima</w:t>
            </w:r>
            <w:proofErr w:type="spellEnd"/>
            <w:r w:rsidRPr="000C0FB8">
              <w:rPr>
                <w:rFonts w:cstheme="minorHAnsi"/>
                <w:sz w:val="20"/>
                <w:szCs w:val="20"/>
              </w:rPr>
              <w:t xml:space="preserve"> </w:t>
            </w:r>
            <w:proofErr w:type="spellStart"/>
            <w:r w:rsidRPr="000C0FB8">
              <w:rPr>
                <w:rFonts w:cstheme="minorHAnsi"/>
                <w:sz w:val="20"/>
                <w:szCs w:val="20"/>
              </w:rPr>
              <w:t>urbanih</w:t>
            </w:r>
            <w:proofErr w:type="spellEnd"/>
            <w:r w:rsidRPr="000C0FB8">
              <w:rPr>
                <w:rFonts w:cstheme="minorHAnsi"/>
                <w:sz w:val="20"/>
                <w:szCs w:val="20"/>
              </w:rPr>
              <w:t xml:space="preserve"> </w:t>
            </w:r>
            <w:proofErr w:type="spellStart"/>
            <w:r w:rsidRPr="000C0FB8">
              <w:rPr>
                <w:rFonts w:cstheme="minorHAnsi"/>
                <w:sz w:val="20"/>
                <w:szCs w:val="20"/>
              </w:rPr>
              <w:t>sredina</w:t>
            </w:r>
            <w:proofErr w:type="spellEnd"/>
            <w:r w:rsidRPr="000C0FB8">
              <w:rPr>
                <w:rFonts w:cstheme="minorHAnsi"/>
                <w:sz w:val="20"/>
                <w:szCs w:val="20"/>
              </w:rPr>
              <w:t xml:space="preserve"> u </w:t>
            </w:r>
            <w:proofErr w:type="spellStart"/>
            <w:r w:rsidRPr="000C0FB8">
              <w:rPr>
                <w:rFonts w:cstheme="minorHAnsi"/>
                <w:sz w:val="20"/>
                <w:szCs w:val="20"/>
              </w:rPr>
              <w:t>kojima</w:t>
            </w:r>
            <w:proofErr w:type="spellEnd"/>
            <w:r w:rsidRPr="000C0FB8">
              <w:rPr>
                <w:rFonts w:cstheme="minorHAnsi"/>
                <w:sz w:val="20"/>
                <w:szCs w:val="20"/>
              </w:rPr>
              <w:t xml:space="preserve"> </w:t>
            </w:r>
            <w:proofErr w:type="spellStart"/>
            <w:r w:rsidRPr="000C0FB8">
              <w:rPr>
                <w:rFonts w:cstheme="minorHAnsi"/>
                <w:sz w:val="20"/>
                <w:szCs w:val="20"/>
              </w:rPr>
              <w:t>će</w:t>
            </w:r>
            <w:proofErr w:type="spellEnd"/>
            <w:r w:rsidRPr="000C0FB8">
              <w:rPr>
                <w:rFonts w:cstheme="minorHAnsi"/>
                <w:sz w:val="20"/>
                <w:szCs w:val="20"/>
              </w:rPr>
              <w:t xml:space="preserve"> se </w:t>
            </w:r>
            <w:proofErr w:type="spellStart"/>
            <w:r w:rsidRPr="000C0FB8">
              <w:rPr>
                <w:rFonts w:cstheme="minorHAnsi"/>
                <w:sz w:val="20"/>
                <w:szCs w:val="20"/>
              </w:rPr>
              <w:t>na</w:t>
            </w:r>
            <w:proofErr w:type="spellEnd"/>
            <w:r w:rsidRPr="000C0FB8">
              <w:rPr>
                <w:rFonts w:cstheme="minorHAnsi"/>
                <w:sz w:val="20"/>
                <w:szCs w:val="20"/>
              </w:rPr>
              <w:t xml:space="preserve"> </w:t>
            </w:r>
            <w:proofErr w:type="spellStart"/>
            <w:r w:rsidRPr="000C0FB8">
              <w:rPr>
                <w:rFonts w:cstheme="minorHAnsi"/>
                <w:sz w:val="20"/>
                <w:szCs w:val="20"/>
              </w:rPr>
              <w:t>temelju</w:t>
            </w:r>
            <w:proofErr w:type="spellEnd"/>
            <w:r w:rsidRPr="000C0FB8">
              <w:rPr>
                <w:rFonts w:cstheme="minorHAnsi"/>
                <w:sz w:val="20"/>
                <w:szCs w:val="20"/>
              </w:rPr>
              <w:t xml:space="preserve"> </w:t>
            </w:r>
            <w:proofErr w:type="spellStart"/>
            <w:r w:rsidRPr="000C0FB8">
              <w:rPr>
                <w:rFonts w:cstheme="minorHAnsi"/>
                <w:sz w:val="20"/>
                <w:szCs w:val="20"/>
              </w:rPr>
              <w:t>ocjene</w:t>
            </w:r>
            <w:proofErr w:type="spellEnd"/>
            <w:r w:rsidRPr="000C0FB8">
              <w:rPr>
                <w:rFonts w:cstheme="minorHAnsi"/>
                <w:sz w:val="20"/>
                <w:szCs w:val="20"/>
              </w:rPr>
              <w:t xml:space="preserve"> </w:t>
            </w:r>
            <w:proofErr w:type="spellStart"/>
            <w:r w:rsidRPr="000C0FB8">
              <w:rPr>
                <w:rFonts w:cstheme="minorHAnsi"/>
                <w:sz w:val="20"/>
                <w:szCs w:val="20"/>
              </w:rPr>
              <w:t>pokazatelja</w:t>
            </w:r>
            <w:proofErr w:type="spellEnd"/>
            <w:r w:rsidRPr="000C0FB8">
              <w:rPr>
                <w:rFonts w:cstheme="minorHAnsi"/>
                <w:sz w:val="20"/>
                <w:szCs w:val="20"/>
              </w:rPr>
              <w:t xml:space="preserve"> </w:t>
            </w:r>
            <w:proofErr w:type="spellStart"/>
            <w:r w:rsidRPr="000C0FB8">
              <w:rPr>
                <w:rFonts w:cstheme="minorHAnsi"/>
                <w:sz w:val="20"/>
                <w:szCs w:val="20"/>
              </w:rPr>
              <w:t>održivosti</w:t>
            </w:r>
            <w:proofErr w:type="spellEnd"/>
            <w:r w:rsidRPr="000C0FB8">
              <w:rPr>
                <w:rFonts w:cstheme="minorHAnsi"/>
                <w:sz w:val="20"/>
                <w:szCs w:val="20"/>
              </w:rPr>
              <w:t xml:space="preserve">, </w:t>
            </w:r>
            <w:proofErr w:type="spellStart"/>
            <w:r w:rsidRPr="000C0FB8">
              <w:rPr>
                <w:rFonts w:cstheme="minorHAnsi"/>
                <w:sz w:val="20"/>
                <w:szCs w:val="20"/>
              </w:rPr>
              <w:t>definirati</w:t>
            </w:r>
            <w:proofErr w:type="spellEnd"/>
            <w:r w:rsidRPr="000C0FB8">
              <w:rPr>
                <w:rFonts w:cstheme="minorHAnsi"/>
                <w:sz w:val="20"/>
                <w:szCs w:val="20"/>
              </w:rPr>
              <w:t xml:space="preserve"> </w:t>
            </w:r>
            <w:proofErr w:type="spellStart"/>
            <w:r w:rsidRPr="000C0FB8">
              <w:rPr>
                <w:rFonts w:cstheme="minorHAnsi"/>
                <w:sz w:val="20"/>
                <w:szCs w:val="20"/>
              </w:rPr>
              <w:t>razvojni</w:t>
            </w:r>
            <w:proofErr w:type="spellEnd"/>
            <w:r w:rsidRPr="000C0FB8">
              <w:rPr>
                <w:rFonts w:cstheme="minorHAnsi"/>
                <w:sz w:val="20"/>
                <w:szCs w:val="20"/>
              </w:rPr>
              <w:t xml:space="preserve"> </w:t>
            </w:r>
            <w:proofErr w:type="spellStart"/>
            <w:r w:rsidRPr="000C0FB8">
              <w:rPr>
                <w:rFonts w:cstheme="minorHAnsi"/>
                <w:sz w:val="20"/>
                <w:szCs w:val="20"/>
              </w:rPr>
              <w:t>projekti</w:t>
            </w:r>
            <w:proofErr w:type="spellEnd"/>
            <w:r w:rsidRPr="000C0FB8">
              <w:rPr>
                <w:rFonts w:cstheme="minorHAnsi"/>
                <w:sz w:val="20"/>
                <w:szCs w:val="20"/>
              </w:rPr>
              <w:t xml:space="preserve"> </w:t>
            </w:r>
            <w:proofErr w:type="spellStart"/>
            <w:r w:rsidRPr="000C0FB8">
              <w:rPr>
                <w:rFonts w:cstheme="minorHAnsi"/>
                <w:sz w:val="20"/>
                <w:szCs w:val="20"/>
              </w:rPr>
              <w:t>kojima</w:t>
            </w:r>
            <w:proofErr w:type="spellEnd"/>
            <w:r w:rsidRPr="000C0FB8">
              <w:rPr>
                <w:rFonts w:cstheme="minorHAnsi"/>
                <w:sz w:val="20"/>
                <w:szCs w:val="20"/>
              </w:rPr>
              <w:t xml:space="preserve"> </w:t>
            </w:r>
            <w:proofErr w:type="spellStart"/>
            <w:r w:rsidRPr="000C0FB8">
              <w:rPr>
                <w:rFonts w:cstheme="minorHAnsi"/>
                <w:sz w:val="20"/>
                <w:szCs w:val="20"/>
              </w:rPr>
              <w:t>će</w:t>
            </w:r>
            <w:proofErr w:type="spellEnd"/>
            <w:r w:rsidRPr="000C0FB8">
              <w:rPr>
                <w:rFonts w:cstheme="minorHAnsi"/>
                <w:sz w:val="20"/>
                <w:szCs w:val="20"/>
              </w:rPr>
              <w:t xml:space="preserve"> se </w:t>
            </w:r>
            <w:proofErr w:type="spellStart"/>
            <w:r w:rsidRPr="000C0FB8">
              <w:rPr>
                <w:rFonts w:cstheme="minorHAnsi"/>
                <w:sz w:val="20"/>
                <w:szCs w:val="20"/>
              </w:rPr>
              <w:t>navedeni</w:t>
            </w:r>
            <w:proofErr w:type="spellEnd"/>
            <w:r w:rsidRPr="000C0FB8">
              <w:rPr>
                <w:rFonts w:cstheme="minorHAnsi"/>
                <w:sz w:val="20"/>
                <w:szCs w:val="20"/>
              </w:rPr>
              <w:t xml:space="preserve"> </w:t>
            </w:r>
            <w:proofErr w:type="spellStart"/>
            <w:r w:rsidRPr="000C0FB8">
              <w:rPr>
                <w:rFonts w:cstheme="minorHAnsi"/>
                <w:sz w:val="20"/>
                <w:szCs w:val="20"/>
              </w:rPr>
              <w:t>pokazatelji</w:t>
            </w:r>
            <w:proofErr w:type="spellEnd"/>
            <w:r w:rsidRPr="000C0FB8">
              <w:rPr>
                <w:rFonts w:cstheme="minorHAnsi"/>
                <w:sz w:val="20"/>
                <w:szCs w:val="20"/>
              </w:rPr>
              <w:t xml:space="preserve"> </w:t>
            </w:r>
            <w:proofErr w:type="spellStart"/>
            <w:r w:rsidRPr="000C0FB8">
              <w:rPr>
                <w:rFonts w:cstheme="minorHAnsi"/>
                <w:sz w:val="20"/>
                <w:szCs w:val="20"/>
              </w:rPr>
              <w:t>unaprijediti</w:t>
            </w:r>
            <w:proofErr w:type="spellEnd"/>
            <w:r w:rsidRPr="000C0FB8">
              <w:rPr>
                <w:rFonts w:cstheme="minorHAnsi"/>
                <w:sz w:val="20"/>
                <w:szCs w:val="20"/>
              </w:rPr>
              <w:t>.</w:t>
            </w:r>
          </w:p>
          <w:p w14:paraId="0AD88F34" w14:textId="77777777" w:rsidR="00A00D87" w:rsidRPr="000C0FB8" w:rsidRDefault="00A00D87" w:rsidP="00E6560A">
            <w:pPr>
              <w:ind w:left="1" w:right="32"/>
              <w:jc w:val="both"/>
              <w:rPr>
                <w:rFonts w:cstheme="minorHAnsi"/>
                <w:sz w:val="20"/>
                <w:szCs w:val="20"/>
              </w:rPr>
            </w:pPr>
            <w:r w:rsidRPr="000C0FB8">
              <w:rPr>
                <w:rFonts w:cstheme="minorHAnsi"/>
                <w:sz w:val="20"/>
                <w:szCs w:val="20"/>
              </w:rPr>
              <w:t xml:space="preserve">U </w:t>
            </w:r>
            <w:proofErr w:type="spellStart"/>
            <w:r w:rsidRPr="000C0FB8">
              <w:rPr>
                <w:rFonts w:cstheme="minorHAnsi"/>
                <w:sz w:val="20"/>
                <w:szCs w:val="20"/>
              </w:rPr>
              <w:t>konačnici</w:t>
            </w:r>
            <w:proofErr w:type="spellEnd"/>
            <w:r w:rsidRPr="000C0FB8">
              <w:rPr>
                <w:rFonts w:cstheme="minorHAnsi"/>
                <w:sz w:val="20"/>
                <w:szCs w:val="20"/>
              </w:rPr>
              <w:t xml:space="preserve">, </w:t>
            </w:r>
            <w:proofErr w:type="spellStart"/>
            <w:r w:rsidRPr="000C0FB8">
              <w:rPr>
                <w:rFonts w:cstheme="minorHAnsi"/>
                <w:sz w:val="20"/>
                <w:szCs w:val="20"/>
              </w:rPr>
              <w:t>potrebno</w:t>
            </w:r>
            <w:proofErr w:type="spellEnd"/>
            <w:r w:rsidRPr="000C0FB8">
              <w:rPr>
                <w:rFonts w:cstheme="minorHAnsi"/>
                <w:sz w:val="20"/>
                <w:szCs w:val="20"/>
              </w:rPr>
              <w:t xml:space="preserve"> je </w:t>
            </w:r>
            <w:proofErr w:type="spellStart"/>
            <w:r w:rsidRPr="000C0FB8">
              <w:rPr>
                <w:rFonts w:cstheme="minorHAnsi"/>
                <w:sz w:val="20"/>
                <w:szCs w:val="20"/>
              </w:rPr>
              <w:t>omogućiti</w:t>
            </w:r>
            <w:proofErr w:type="spellEnd"/>
            <w:r w:rsidRPr="000C0FB8">
              <w:rPr>
                <w:rFonts w:cstheme="minorHAnsi"/>
                <w:sz w:val="20"/>
                <w:szCs w:val="20"/>
              </w:rPr>
              <w:t xml:space="preserve"> </w:t>
            </w:r>
            <w:proofErr w:type="spellStart"/>
            <w:r w:rsidRPr="000C0FB8">
              <w:rPr>
                <w:rFonts w:cstheme="minorHAnsi"/>
                <w:sz w:val="20"/>
                <w:szCs w:val="20"/>
              </w:rPr>
              <w:t>unapređenje</w:t>
            </w:r>
            <w:proofErr w:type="spellEnd"/>
            <w:r w:rsidRPr="000C0FB8">
              <w:rPr>
                <w:rFonts w:cstheme="minorHAnsi"/>
                <w:sz w:val="20"/>
                <w:szCs w:val="20"/>
              </w:rPr>
              <w:t xml:space="preserve"> </w:t>
            </w:r>
            <w:proofErr w:type="spellStart"/>
            <w:r w:rsidRPr="000C0FB8">
              <w:rPr>
                <w:rFonts w:cstheme="minorHAnsi"/>
                <w:sz w:val="20"/>
                <w:szCs w:val="20"/>
              </w:rPr>
              <w:t>održivog</w:t>
            </w:r>
            <w:proofErr w:type="spellEnd"/>
            <w:r w:rsidRPr="000C0FB8">
              <w:rPr>
                <w:rFonts w:cstheme="minorHAnsi"/>
                <w:sz w:val="20"/>
                <w:szCs w:val="20"/>
              </w:rPr>
              <w:t xml:space="preserve"> razvoja </w:t>
            </w:r>
            <w:proofErr w:type="spellStart"/>
            <w:r w:rsidRPr="000C0FB8">
              <w:rPr>
                <w:rFonts w:cstheme="minorHAnsi"/>
                <w:sz w:val="20"/>
                <w:szCs w:val="20"/>
              </w:rPr>
              <w:t>direktnijim</w:t>
            </w:r>
            <w:proofErr w:type="spellEnd"/>
            <w:r w:rsidRPr="000C0FB8">
              <w:rPr>
                <w:rFonts w:cstheme="minorHAnsi"/>
                <w:sz w:val="20"/>
                <w:szCs w:val="20"/>
              </w:rPr>
              <w:t xml:space="preserve"> </w:t>
            </w:r>
            <w:proofErr w:type="spellStart"/>
            <w:r w:rsidRPr="000C0FB8">
              <w:rPr>
                <w:rFonts w:cstheme="minorHAnsi"/>
                <w:sz w:val="20"/>
                <w:szCs w:val="20"/>
              </w:rPr>
              <w:t>povezivanjem</w:t>
            </w:r>
            <w:proofErr w:type="spellEnd"/>
            <w:r w:rsidRPr="000C0FB8">
              <w:rPr>
                <w:rFonts w:cstheme="minorHAnsi"/>
                <w:sz w:val="20"/>
                <w:szCs w:val="20"/>
              </w:rPr>
              <w:t xml:space="preserve"> </w:t>
            </w:r>
            <w:proofErr w:type="spellStart"/>
            <w:r w:rsidRPr="000C0FB8">
              <w:rPr>
                <w:rFonts w:cstheme="minorHAnsi"/>
                <w:sz w:val="20"/>
                <w:szCs w:val="20"/>
              </w:rPr>
              <w:t>strateških</w:t>
            </w:r>
            <w:proofErr w:type="spellEnd"/>
            <w:r w:rsidRPr="000C0FB8">
              <w:rPr>
                <w:rFonts w:cstheme="minorHAnsi"/>
                <w:sz w:val="20"/>
                <w:szCs w:val="20"/>
              </w:rPr>
              <w:t xml:space="preserve"> i </w:t>
            </w:r>
            <w:proofErr w:type="spellStart"/>
            <w:r w:rsidRPr="000C0FB8">
              <w:rPr>
                <w:rFonts w:cstheme="minorHAnsi"/>
                <w:sz w:val="20"/>
                <w:szCs w:val="20"/>
              </w:rPr>
              <w:t>prostorno-planskih</w:t>
            </w:r>
            <w:proofErr w:type="spellEnd"/>
            <w:r w:rsidRPr="000C0FB8">
              <w:rPr>
                <w:rFonts w:cstheme="minorHAnsi"/>
                <w:sz w:val="20"/>
                <w:szCs w:val="20"/>
              </w:rPr>
              <w:t xml:space="preserve"> </w:t>
            </w:r>
            <w:proofErr w:type="spellStart"/>
            <w:r w:rsidRPr="000C0FB8">
              <w:rPr>
                <w:rFonts w:cstheme="minorHAnsi"/>
                <w:sz w:val="20"/>
                <w:szCs w:val="20"/>
              </w:rPr>
              <w:t>dokumenata</w:t>
            </w:r>
            <w:proofErr w:type="spellEnd"/>
            <w:r w:rsidRPr="000C0FB8">
              <w:rPr>
                <w:rFonts w:cstheme="minorHAnsi"/>
                <w:sz w:val="20"/>
                <w:szCs w:val="20"/>
              </w:rPr>
              <w:t xml:space="preserve"> i </w:t>
            </w:r>
            <w:proofErr w:type="spellStart"/>
            <w:r w:rsidRPr="000C0FB8">
              <w:rPr>
                <w:rFonts w:cstheme="minorHAnsi"/>
                <w:sz w:val="20"/>
                <w:szCs w:val="20"/>
              </w:rPr>
              <w:t>uvođenjem</w:t>
            </w:r>
            <w:proofErr w:type="spellEnd"/>
            <w:r w:rsidRPr="000C0FB8">
              <w:rPr>
                <w:rFonts w:cstheme="minorHAnsi"/>
                <w:sz w:val="20"/>
                <w:szCs w:val="20"/>
              </w:rPr>
              <w:t xml:space="preserve"> </w:t>
            </w:r>
            <w:proofErr w:type="spellStart"/>
            <w:r w:rsidRPr="000C0FB8">
              <w:rPr>
                <w:rFonts w:cstheme="minorHAnsi"/>
                <w:sz w:val="20"/>
                <w:szCs w:val="20"/>
              </w:rPr>
              <w:t>mjerenja</w:t>
            </w:r>
            <w:proofErr w:type="spellEnd"/>
            <w:r w:rsidRPr="000C0FB8">
              <w:rPr>
                <w:rFonts w:cstheme="minorHAnsi"/>
                <w:sz w:val="20"/>
                <w:szCs w:val="20"/>
              </w:rPr>
              <w:t xml:space="preserve"> </w:t>
            </w:r>
            <w:proofErr w:type="spellStart"/>
            <w:r w:rsidRPr="000C0FB8">
              <w:rPr>
                <w:rFonts w:cstheme="minorHAnsi"/>
                <w:sz w:val="20"/>
                <w:szCs w:val="20"/>
              </w:rPr>
              <w:t>uspješnosti</w:t>
            </w:r>
            <w:proofErr w:type="spellEnd"/>
            <w:r w:rsidRPr="000C0FB8">
              <w:rPr>
                <w:rFonts w:cstheme="minorHAnsi"/>
                <w:sz w:val="20"/>
                <w:szCs w:val="20"/>
              </w:rPr>
              <w:t xml:space="preserve"> </w:t>
            </w:r>
            <w:proofErr w:type="spellStart"/>
            <w:r w:rsidRPr="000C0FB8">
              <w:rPr>
                <w:rFonts w:cstheme="minorHAnsi"/>
                <w:sz w:val="20"/>
                <w:szCs w:val="20"/>
              </w:rPr>
              <w:t>planiranih</w:t>
            </w:r>
            <w:proofErr w:type="spellEnd"/>
            <w:r w:rsidRPr="000C0FB8">
              <w:rPr>
                <w:rFonts w:cstheme="minorHAnsi"/>
                <w:sz w:val="20"/>
                <w:szCs w:val="20"/>
              </w:rPr>
              <w:t xml:space="preserve"> </w:t>
            </w:r>
            <w:proofErr w:type="spellStart"/>
            <w:r w:rsidRPr="000C0FB8">
              <w:rPr>
                <w:rFonts w:cstheme="minorHAnsi"/>
                <w:sz w:val="20"/>
                <w:szCs w:val="20"/>
              </w:rPr>
              <w:t>te</w:t>
            </w:r>
            <w:proofErr w:type="spellEnd"/>
            <w:r w:rsidRPr="000C0FB8">
              <w:rPr>
                <w:rFonts w:cstheme="minorHAnsi"/>
                <w:sz w:val="20"/>
                <w:szCs w:val="20"/>
              </w:rPr>
              <w:t xml:space="preserve"> </w:t>
            </w:r>
            <w:proofErr w:type="spellStart"/>
            <w:r w:rsidRPr="000C0FB8">
              <w:rPr>
                <w:rFonts w:cstheme="minorHAnsi"/>
                <w:sz w:val="20"/>
                <w:szCs w:val="20"/>
              </w:rPr>
              <w:t>provedenih</w:t>
            </w:r>
            <w:proofErr w:type="spellEnd"/>
            <w:r w:rsidRPr="000C0FB8">
              <w:rPr>
                <w:rFonts w:cstheme="minorHAnsi"/>
                <w:sz w:val="20"/>
                <w:szCs w:val="20"/>
              </w:rPr>
              <w:t xml:space="preserve"> </w:t>
            </w:r>
            <w:proofErr w:type="spellStart"/>
            <w:r w:rsidRPr="000C0FB8">
              <w:rPr>
                <w:rFonts w:cstheme="minorHAnsi"/>
                <w:sz w:val="20"/>
                <w:szCs w:val="20"/>
              </w:rPr>
              <w:t>projekata</w:t>
            </w:r>
            <w:proofErr w:type="spellEnd"/>
            <w:r w:rsidRPr="000C0FB8">
              <w:rPr>
                <w:rFonts w:cstheme="minorHAnsi"/>
                <w:sz w:val="20"/>
                <w:szCs w:val="20"/>
              </w:rPr>
              <w:t>.</w:t>
            </w:r>
          </w:p>
          <w:p w14:paraId="30FA7963" w14:textId="77777777" w:rsidR="00A00D87" w:rsidRPr="001972F5" w:rsidRDefault="00A00D87" w:rsidP="00E6560A">
            <w:pPr>
              <w:ind w:left="1" w:right="32"/>
              <w:jc w:val="both"/>
              <w:rPr>
                <w:rFonts w:cstheme="minorHAnsi"/>
                <w:sz w:val="20"/>
                <w:szCs w:val="20"/>
                <w:lang w:val="fi-FI"/>
              </w:rPr>
            </w:pPr>
            <w:r w:rsidRPr="001972F5">
              <w:rPr>
                <w:rFonts w:cstheme="minorHAnsi"/>
                <w:sz w:val="20"/>
                <w:szCs w:val="20"/>
                <w:lang w:val="fi-FI"/>
              </w:rPr>
              <w:t>Aktivnosti planirane u sklopu ove mjere su:</w:t>
            </w:r>
          </w:p>
          <w:p w14:paraId="140F86FC" w14:textId="77777777" w:rsidR="00A00D87" w:rsidRPr="000C0FB8" w:rsidRDefault="00A00D87" w:rsidP="007F1ECE">
            <w:pPr>
              <w:pStyle w:val="ListParagraph"/>
              <w:numPr>
                <w:ilvl w:val="0"/>
                <w:numId w:val="101"/>
              </w:numPr>
              <w:ind w:right="32"/>
              <w:jc w:val="both"/>
              <w:rPr>
                <w:rFonts w:cstheme="minorHAnsi"/>
                <w:sz w:val="20"/>
                <w:szCs w:val="20"/>
              </w:rPr>
            </w:pPr>
            <w:r w:rsidRPr="000C0FB8">
              <w:rPr>
                <w:rFonts w:cstheme="minorHAnsi"/>
                <w:sz w:val="20"/>
                <w:szCs w:val="20"/>
              </w:rPr>
              <w:t>Donošenje i provedba programa razvoja zelene infrastrukture u urbanim područjima, što podrazumijeva:</w:t>
            </w:r>
          </w:p>
          <w:p w14:paraId="32BA37FB"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Konsultacije sa akademskom zajednicom i stručnom javnosti u okviru otvorenih dijaloga;</w:t>
            </w:r>
          </w:p>
          <w:p w14:paraId="2D026822"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Izradu i usvajanje „Programa razvoja zelene infrastrukture u urbanim područjima za period do 2030. godine“ na teritoriji FBiH, uz kontinuirano ažuriranje istog;</w:t>
            </w:r>
          </w:p>
          <w:p w14:paraId="5061B2EC"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Provedbu programa razvoja zelene infrastrukture u urbanim područjima;</w:t>
            </w:r>
          </w:p>
          <w:p w14:paraId="4F19E804"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Uvođenje kvalitetnog planiranje i upravljanja razvojem zelene infrastrukture;</w:t>
            </w:r>
          </w:p>
          <w:p w14:paraId="2FE6CAF4"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 xml:space="preserve">Uspostavljanje bolje povezanosti i dostupnosti zelene infrastrukture u urbanim područjima; </w:t>
            </w:r>
          </w:p>
          <w:p w14:paraId="4404C2E4"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 xml:space="preserve">Evidentiranje zelene infrastrukture na području gradova i općina u FBiH, te osiguranje preduvjeta za razvoj zelene infrastrukture; </w:t>
            </w:r>
          </w:p>
          <w:p w14:paraId="05B56CEA"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Izradu i provedbu strateških dokumenata razvoja zelene infrastrukture na nivou svih kantona;</w:t>
            </w:r>
          </w:p>
          <w:p w14:paraId="1C1FF672"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 xml:space="preserve">Razvoj i izradu digitalne baze projekata zelene infrastrukture; </w:t>
            </w:r>
          </w:p>
          <w:p w14:paraId="113E380D" w14:textId="018505FA"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 xml:space="preserve">Unapređenje međunarodne saradnje koja će doprinijeti razvoju i povoljnijem </w:t>
            </w:r>
            <w:r w:rsidR="007B690C" w:rsidRPr="000C0FB8">
              <w:rPr>
                <w:rFonts w:cstheme="minorHAnsi"/>
                <w:sz w:val="20"/>
                <w:szCs w:val="20"/>
              </w:rPr>
              <w:t>financ</w:t>
            </w:r>
            <w:r w:rsidRPr="000C0FB8">
              <w:rPr>
                <w:rFonts w:cstheme="minorHAnsi"/>
                <w:sz w:val="20"/>
                <w:szCs w:val="20"/>
              </w:rPr>
              <w:t xml:space="preserve">iranju projekata zelene infrastrukture; </w:t>
            </w:r>
          </w:p>
          <w:p w14:paraId="1AF90CE3"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 xml:space="preserve">Poticanje izgradnje zelene infrastrukture kojom se jača otpornost urbanih područja na posljedice klimatskih promjena, kroz provedbu pilot projekta; </w:t>
            </w:r>
          </w:p>
          <w:p w14:paraId="5F7022DA" w14:textId="77777777"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t>Edukacija i informiranje javnosti o zelenoj infrastrukturi, te povećanje društvene svijesti o održivom razvoju urbanih područja kroz razvoj zelene infrastrukture</w:t>
            </w:r>
          </w:p>
          <w:p w14:paraId="6BF5DC7C" w14:textId="77777777" w:rsidR="00A00D87" w:rsidRPr="000C0FB8" w:rsidRDefault="00A00D87" w:rsidP="007F1ECE">
            <w:pPr>
              <w:pStyle w:val="ListParagraph"/>
              <w:numPr>
                <w:ilvl w:val="0"/>
                <w:numId w:val="101"/>
              </w:numPr>
              <w:jc w:val="both"/>
              <w:rPr>
                <w:rFonts w:cstheme="minorHAnsi"/>
                <w:sz w:val="20"/>
                <w:szCs w:val="20"/>
              </w:rPr>
            </w:pPr>
            <w:r w:rsidRPr="000C0FB8">
              <w:rPr>
                <w:rFonts w:cstheme="minorHAnsi"/>
                <w:sz w:val="20"/>
                <w:szCs w:val="20"/>
              </w:rPr>
              <w:t>Donošenje i provedba programa razvoja cirkularnog upravljanja prostorom i zgradama prema načelima cirkularne ekonomije, što podrazumijeva:</w:t>
            </w:r>
          </w:p>
          <w:p w14:paraId="52187256"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Konsultacije sa akademskom zajednicom i stručnom javnosti u okviru otvorenih dijaloga;</w:t>
            </w:r>
          </w:p>
          <w:p w14:paraId="0EE73FA9"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Izradu i usvajanje „Programa razvoja cirkularnog upravljanja prostorom i zgradama prema načelima cirkularne ekonomije, za period do 2030. godine“ na tritoriji FBiH, uz kontinuirano ažuriranje istog;</w:t>
            </w:r>
          </w:p>
          <w:p w14:paraId="5881F7E1"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 xml:space="preserve">Cirkularnu obnova nekorištenih prostora i zgrada odnosno provedba programa razvoja cirkularnog upravljanja prostorom i zgradama; </w:t>
            </w:r>
          </w:p>
          <w:p w14:paraId="0D0F6981"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Razvoj sistema cirkularnog upravljanja prostorom i zgradama;</w:t>
            </w:r>
          </w:p>
          <w:p w14:paraId="234F2985" w14:textId="77777777"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lastRenderedPageBreak/>
              <w:t xml:space="preserve">Evidentiranje podataka cirkularnog upravljanja prostorom i zgradama; </w:t>
            </w:r>
          </w:p>
          <w:p w14:paraId="2EF89AE0" w14:textId="77777777"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t xml:space="preserve">Osiguranje preduvjeta za razvoj cirkularnog upravljanja prostorom i zgradama; </w:t>
            </w:r>
          </w:p>
          <w:p w14:paraId="125A48C3" w14:textId="77777777"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t>Izradu i provedbu strateških dokumenata razvoja cirkularnog upravljanja prostorom i zgradama na nivou svih kantona;</w:t>
            </w:r>
          </w:p>
          <w:p w14:paraId="2CA61BF6" w14:textId="77777777"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t xml:space="preserve">Razvoj i izrada digitalne baze projekata cirkularnog upravljanja prostorom i zgradama; </w:t>
            </w:r>
          </w:p>
          <w:p w14:paraId="7B8B6BE7" w14:textId="118C8ED1"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t xml:space="preserve">Unapređenje međusektorske i međunarodne saradnje koja će doprinijeti razvoju i povoljnijem </w:t>
            </w:r>
            <w:r w:rsidR="007B690C" w:rsidRPr="000C0FB8">
              <w:rPr>
                <w:rFonts w:cstheme="minorHAnsi"/>
                <w:sz w:val="20"/>
                <w:szCs w:val="20"/>
              </w:rPr>
              <w:t>financ</w:t>
            </w:r>
            <w:r w:rsidRPr="000C0FB8">
              <w:rPr>
                <w:rFonts w:cstheme="minorHAnsi"/>
                <w:sz w:val="20"/>
                <w:szCs w:val="20"/>
              </w:rPr>
              <w:t xml:space="preserve">iranju projekata cirkularne ekonomije;  </w:t>
            </w:r>
          </w:p>
          <w:p w14:paraId="2EB77E52" w14:textId="77777777"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t>Poticanje cirkularne obnove prostora i zgrada kroz provedbu pilot projekata;</w:t>
            </w:r>
          </w:p>
          <w:p w14:paraId="5075DDF0" w14:textId="77777777" w:rsidR="00A00D87" w:rsidRPr="000C0FB8" w:rsidRDefault="00A00D87" w:rsidP="00E6560A">
            <w:pPr>
              <w:pStyle w:val="ListParagraph"/>
              <w:numPr>
                <w:ilvl w:val="0"/>
                <w:numId w:val="50"/>
              </w:numPr>
              <w:jc w:val="both"/>
              <w:rPr>
                <w:rFonts w:cstheme="minorHAnsi"/>
                <w:sz w:val="20"/>
                <w:szCs w:val="20"/>
              </w:rPr>
            </w:pPr>
            <w:r w:rsidRPr="000C0FB8">
              <w:rPr>
                <w:rFonts w:cstheme="minorHAnsi"/>
                <w:sz w:val="20"/>
                <w:szCs w:val="20"/>
              </w:rPr>
              <w:t xml:space="preserve">Poticanje inovacija i razvoja u primjeni cirkularnog upravljanja prostorom i zgradama; </w:t>
            </w:r>
          </w:p>
          <w:p w14:paraId="54D02B56"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Uspostavljanje sistema kompanija certificiranih za građevinsku obnovu zgrada;</w:t>
            </w:r>
          </w:p>
          <w:p w14:paraId="511B5257"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Uspostavljanje adekvatnih planove reciklaže nakon obnove zgrada, uzimajući u obzir analizu životnog ciklusa zgrade, odnosno proizvoda ili usluge, od eksploatacije resursa, preko proizvodnje, korištenja i recikliranja do zbrinjavanja preostalog otpada, te emisije ugljika ili uštede emisija nastale ponovnim korištenjem ili recikliranjem materijala;</w:t>
            </w:r>
          </w:p>
          <w:p w14:paraId="2032B41E"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Edukacija i informiranje javnosti o cirkularnom upravljanju prostorom i zgradama, te povećanje društvene svijesti o održivom razvoju urbanih područja kroz cirkularnu ekonomiju od strane FZO FBiH;</w:t>
            </w:r>
          </w:p>
          <w:p w14:paraId="54349493" w14:textId="77777777" w:rsidR="00A00D87" w:rsidRPr="000C0FB8" w:rsidRDefault="00A00D87" w:rsidP="00E6560A">
            <w:pPr>
              <w:pStyle w:val="ListParagraph"/>
              <w:numPr>
                <w:ilvl w:val="0"/>
                <w:numId w:val="50"/>
              </w:numPr>
              <w:ind w:right="32"/>
              <w:jc w:val="both"/>
              <w:rPr>
                <w:rFonts w:cstheme="minorHAnsi"/>
                <w:sz w:val="20"/>
                <w:szCs w:val="20"/>
              </w:rPr>
            </w:pPr>
            <w:r w:rsidRPr="000C0FB8">
              <w:rPr>
                <w:rFonts w:cstheme="minorHAnsi"/>
                <w:sz w:val="20"/>
                <w:szCs w:val="20"/>
              </w:rPr>
              <w:t>Razvoj platformi za razmjenu iskustava, znanja i informacija.</w:t>
            </w:r>
          </w:p>
        </w:tc>
      </w:tr>
      <w:tr w:rsidR="00A00D87" w:rsidRPr="000C0FB8" w14:paraId="64AF9097" w14:textId="77777777" w:rsidTr="006D442E">
        <w:trPr>
          <w:trHeight w:val="217"/>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12990E1"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lastRenderedPageBreak/>
              <w:t>Strateški</w:t>
            </w:r>
            <w:proofErr w:type="spellEnd"/>
            <w:r w:rsidRPr="000C0FB8">
              <w:rPr>
                <w:rFonts w:cstheme="minorHAnsi"/>
                <w:b/>
                <w:sz w:val="20"/>
                <w:szCs w:val="20"/>
              </w:rPr>
              <w:t xml:space="preserve"> </w:t>
            </w:r>
            <w:proofErr w:type="spellStart"/>
            <w:r w:rsidRPr="000C0FB8">
              <w:rPr>
                <w:rFonts w:cstheme="minorHAnsi"/>
                <w:b/>
                <w:sz w:val="20"/>
                <w:szCs w:val="20"/>
              </w:rPr>
              <w:t>projekti</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tcPr>
          <w:p w14:paraId="32A7A69D" w14:textId="19FF6E94" w:rsidR="00A00D87" w:rsidRPr="000C0FB8" w:rsidRDefault="00A00D87" w:rsidP="00122946">
            <w:pPr>
              <w:spacing w:line="259" w:lineRule="auto"/>
              <w:ind w:left="1"/>
              <w:rPr>
                <w:rFonts w:cstheme="minorHAnsi"/>
                <w:sz w:val="20"/>
                <w:szCs w:val="20"/>
              </w:rPr>
            </w:pPr>
            <w:r w:rsidRPr="000C0FB8">
              <w:rPr>
                <w:rFonts w:cstheme="minorHAnsi"/>
                <w:sz w:val="20"/>
                <w:szCs w:val="20"/>
              </w:rPr>
              <w:t xml:space="preserve"> </w:t>
            </w:r>
            <w:r w:rsidR="000C0FB8">
              <w:rPr>
                <w:rFonts w:cstheme="minorHAnsi"/>
                <w:sz w:val="20"/>
                <w:szCs w:val="20"/>
              </w:rPr>
              <w:t>-</w:t>
            </w:r>
          </w:p>
        </w:tc>
      </w:tr>
      <w:tr w:rsidR="00A00D87" w:rsidRPr="000C0FB8" w14:paraId="5EBFAD50" w14:textId="77777777" w:rsidTr="006D442E">
        <w:trPr>
          <w:trHeight w:val="423"/>
        </w:trPr>
        <w:tc>
          <w:tcPr>
            <w:tcW w:w="1721" w:type="dxa"/>
            <w:vMerge w:val="restart"/>
            <w:tcBorders>
              <w:top w:val="single" w:sz="4" w:space="0" w:color="000000"/>
              <w:left w:val="single" w:sz="4" w:space="0" w:color="000000"/>
              <w:right w:val="single" w:sz="4" w:space="0" w:color="000000"/>
            </w:tcBorders>
            <w:shd w:val="clear" w:color="auto" w:fill="D9D9D9" w:themeFill="background1" w:themeFillShade="D9"/>
            <w:vAlign w:val="center"/>
          </w:tcPr>
          <w:p w14:paraId="3E4ACED1"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Indikatori</w:t>
            </w:r>
            <w:proofErr w:type="spellEnd"/>
            <w:r w:rsidRPr="000C0FB8">
              <w:rPr>
                <w:rFonts w:cstheme="minorHAnsi"/>
                <w:b/>
                <w:sz w:val="20"/>
                <w:szCs w:val="20"/>
              </w:rPr>
              <w:t xml:space="preserve"> za </w:t>
            </w:r>
            <w:proofErr w:type="spellStart"/>
            <w:r w:rsidRPr="000C0FB8">
              <w:rPr>
                <w:rFonts w:cstheme="minorHAnsi"/>
                <w:b/>
                <w:sz w:val="20"/>
                <w:szCs w:val="20"/>
              </w:rPr>
              <w:t>praćenje</w:t>
            </w:r>
            <w:proofErr w:type="spellEnd"/>
            <w:r w:rsidRPr="000C0FB8">
              <w:rPr>
                <w:rFonts w:cstheme="minorHAnsi"/>
                <w:b/>
                <w:sz w:val="20"/>
                <w:szCs w:val="20"/>
              </w:rPr>
              <w:t xml:space="preserve"> </w:t>
            </w:r>
            <w:proofErr w:type="spellStart"/>
            <w:r w:rsidRPr="000C0FB8">
              <w:rPr>
                <w:rFonts w:cstheme="minorHAnsi"/>
                <w:b/>
                <w:sz w:val="20"/>
                <w:szCs w:val="20"/>
              </w:rPr>
              <w:t>rezultata</w:t>
            </w:r>
            <w:proofErr w:type="spellEnd"/>
            <w:r w:rsidRPr="000C0FB8">
              <w:rPr>
                <w:rFonts w:cstheme="minorHAnsi"/>
                <w:b/>
                <w:sz w:val="20"/>
                <w:szCs w:val="20"/>
              </w:rPr>
              <w:t xml:space="preserve"> </w:t>
            </w:r>
            <w:proofErr w:type="spellStart"/>
            <w:r w:rsidRPr="000C0FB8">
              <w:rPr>
                <w:rFonts w:cstheme="minorHAnsi"/>
                <w:b/>
                <w:sz w:val="20"/>
                <w:szCs w:val="20"/>
              </w:rPr>
              <w:t>mjere</w:t>
            </w:r>
            <w:proofErr w:type="spellEnd"/>
            <w:r w:rsidRPr="000C0FB8">
              <w:rPr>
                <w:rFonts w:cstheme="minorHAnsi"/>
                <w:b/>
                <w:sz w:val="20"/>
                <w:szCs w:val="20"/>
              </w:rPr>
              <w:t xml:space="preserve"> </w:t>
            </w:r>
          </w:p>
        </w:tc>
        <w:tc>
          <w:tcPr>
            <w:tcW w:w="261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ECF939" w14:textId="77777777" w:rsidR="00A00D87" w:rsidRPr="000C0FB8" w:rsidRDefault="00A00D87" w:rsidP="00122946">
            <w:pPr>
              <w:spacing w:line="259" w:lineRule="auto"/>
              <w:ind w:right="39"/>
              <w:jc w:val="center"/>
              <w:rPr>
                <w:rFonts w:cstheme="minorHAnsi"/>
                <w:sz w:val="20"/>
                <w:szCs w:val="20"/>
              </w:rPr>
            </w:pPr>
            <w:proofErr w:type="spellStart"/>
            <w:r w:rsidRPr="000C0FB8">
              <w:rPr>
                <w:rFonts w:cstheme="minorHAnsi"/>
                <w:b/>
                <w:sz w:val="20"/>
                <w:szCs w:val="20"/>
              </w:rPr>
              <w:t>Indikatori</w:t>
            </w:r>
            <w:proofErr w:type="spellEnd"/>
            <w:r w:rsidRPr="000C0FB8">
              <w:rPr>
                <w:rFonts w:cstheme="minorHAnsi"/>
                <w:b/>
                <w:sz w:val="20"/>
                <w:szCs w:val="20"/>
              </w:rPr>
              <w:t xml:space="preserve"> </w:t>
            </w:r>
          </w:p>
        </w:tc>
        <w:tc>
          <w:tcPr>
            <w:tcW w:w="1944"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5C21DC9E" w14:textId="77777777" w:rsidR="00A00D87" w:rsidRPr="000C0FB8" w:rsidRDefault="00A00D87" w:rsidP="00122946">
            <w:pPr>
              <w:spacing w:line="259" w:lineRule="auto"/>
              <w:jc w:val="center"/>
              <w:rPr>
                <w:rFonts w:cstheme="minorHAnsi"/>
                <w:sz w:val="20"/>
                <w:szCs w:val="20"/>
              </w:rPr>
            </w:pPr>
            <w:proofErr w:type="spellStart"/>
            <w:r w:rsidRPr="000C0FB8">
              <w:rPr>
                <w:rFonts w:cstheme="minorHAnsi"/>
                <w:b/>
                <w:sz w:val="20"/>
                <w:szCs w:val="20"/>
              </w:rPr>
              <w:t>Polazne</w:t>
            </w:r>
            <w:proofErr w:type="spellEnd"/>
            <w:r w:rsidRPr="000C0FB8">
              <w:rPr>
                <w:rFonts w:cstheme="minorHAnsi"/>
                <w:b/>
                <w:sz w:val="20"/>
                <w:szCs w:val="20"/>
              </w:rPr>
              <w:t xml:space="preserve"> </w:t>
            </w:r>
            <w:proofErr w:type="spellStart"/>
            <w:r w:rsidRPr="000C0FB8">
              <w:rPr>
                <w:rFonts w:cstheme="minorHAnsi"/>
                <w:b/>
                <w:sz w:val="20"/>
                <w:szCs w:val="20"/>
              </w:rPr>
              <w:t>vrijednosti</w:t>
            </w:r>
            <w:proofErr w:type="spellEnd"/>
            <w:r w:rsidRPr="000C0FB8">
              <w:rPr>
                <w:rFonts w:cstheme="minorHAnsi"/>
                <w:b/>
                <w:sz w:val="20"/>
                <w:szCs w:val="20"/>
              </w:rPr>
              <w:t xml:space="preserve">**  </w:t>
            </w:r>
          </w:p>
        </w:tc>
        <w:tc>
          <w:tcPr>
            <w:tcW w:w="29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A197C3B" w14:textId="77777777" w:rsidR="00A00D87" w:rsidRPr="000C0FB8" w:rsidRDefault="00A00D87" w:rsidP="00122946">
            <w:pPr>
              <w:spacing w:line="259" w:lineRule="auto"/>
              <w:jc w:val="center"/>
              <w:rPr>
                <w:rFonts w:cstheme="minorHAnsi"/>
                <w:sz w:val="20"/>
                <w:szCs w:val="20"/>
              </w:rPr>
            </w:pPr>
            <w:proofErr w:type="spellStart"/>
            <w:r w:rsidRPr="000C0FB8">
              <w:rPr>
                <w:rFonts w:cstheme="minorHAnsi"/>
                <w:b/>
                <w:sz w:val="20"/>
                <w:szCs w:val="20"/>
              </w:rPr>
              <w:t>Ciljne</w:t>
            </w:r>
            <w:proofErr w:type="spellEnd"/>
            <w:r w:rsidRPr="000C0FB8">
              <w:rPr>
                <w:rFonts w:cstheme="minorHAnsi"/>
                <w:b/>
                <w:sz w:val="20"/>
                <w:szCs w:val="20"/>
              </w:rPr>
              <w:t xml:space="preserve"> </w:t>
            </w:r>
            <w:proofErr w:type="spellStart"/>
            <w:r w:rsidRPr="000C0FB8">
              <w:rPr>
                <w:rFonts w:cstheme="minorHAnsi"/>
                <w:b/>
                <w:sz w:val="20"/>
                <w:szCs w:val="20"/>
              </w:rPr>
              <w:t>vrijednosti</w:t>
            </w:r>
            <w:proofErr w:type="spellEnd"/>
            <w:r w:rsidRPr="000C0FB8">
              <w:rPr>
                <w:rFonts w:cstheme="minorHAnsi"/>
                <w:b/>
                <w:sz w:val="20"/>
                <w:szCs w:val="20"/>
              </w:rPr>
              <w:t xml:space="preserve">***  </w:t>
            </w:r>
          </w:p>
        </w:tc>
      </w:tr>
      <w:tr w:rsidR="00A00D87" w:rsidRPr="000C0FB8" w14:paraId="125BEBBE" w14:textId="77777777" w:rsidTr="006D442E">
        <w:trPr>
          <w:trHeight w:val="217"/>
        </w:trPr>
        <w:tc>
          <w:tcPr>
            <w:tcW w:w="1721" w:type="dxa"/>
            <w:vMerge/>
            <w:tcBorders>
              <w:left w:val="single" w:sz="4" w:space="0" w:color="000000"/>
              <w:right w:val="single" w:sz="4" w:space="0" w:color="000000"/>
            </w:tcBorders>
            <w:shd w:val="clear" w:color="auto" w:fill="D9D9D9" w:themeFill="background1" w:themeFillShade="D9"/>
          </w:tcPr>
          <w:p w14:paraId="7A68B3A5" w14:textId="77777777" w:rsidR="00A00D87" w:rsidRPr="000C0FB8" w:rsidRDefault="00A00D87" w:rsidP="00122946">
            <w:pPr>
              <w:spacing w:after="160" w:line="259" w:lineRule="auto"/>
              <w:rPr>
                <w:rFonts w:cstheme="minorHAnsi"/>
                <w:sz w:val="20"/>
                <w:szCs w:val="20"/>
              </w:rPr>
            </w:pPr>
          </w:p>
        </w:tc>
        <w:tc>
          <w:tcPr>
            <w:tcW w:w="2618" w:type="dxa"/>
            <w:tcBorders>
              <w:top w:val="single" w:sz="4" w:space="0" w:color="000000"/>
              <w:left w:val="single" w:sz="4" w:space="0" w:color="000000"/>
              <w:bottom w:val="single" w:sz="4" w:space="0" w:color="000000"/>
              <w:right w:val="single" w:sz="4" w:space="0" w:color="auto"/>
            </w:tcBorders>
          </w:tcPr>
          <w:p w14:paraId="1DC0BC20" w14:textId="77777777" w:rsidR="00A00D87" w:rsidRPr="000C0FB8" w:rsidRDefault="00A00D87" w:rsidP="00122946">
            <w:pPr>
              <w:spacing w:line="259" w:lineRule="auto"/>
              <w:ind w:left="1"/>
              <w:rPr>
                <w:rFonts w:cstheme="minorHAnsi"/>
                <w:sz w:val="20"/>
                <w:szCs w:val="20"/>
              </w:rPr>
            </w:pPr>
            <w:proofErr w:type="spellStart"/>
            <w:r w:rsidRPr="000C0FB8">
              <w:rPr>
                <w:rFonts w:cstheme="minorHAnsi"/>
                <w:sz w:val="20"/>
                <w:szCs w:val="20"/>
              </w:rPr>
              <w:t>Uspostavljena</w:t>
            </w:r>
            <w:proofErr w:type="spellEnd"/>
            <w:r w:rsidRPr="000C0FB8">
              <w:rPr>
                <w:rFonts w:cstheme="minorHAnsi"/>
                <w:sz w:val="20"/>
                <w:szCs w:val="20"/>
              </w:rPr>
              <w:t xml:space="preserve"> </w:t>
            </w:r>
            <w:proofErr w:type="spellStart"/>
            <w:r w:rsidRPr="000C0FB8">
              <w:rPr>
                <w:rFonts w:cstheme="minorHAnsi"/>
                <w:sz w:val="20"/>
                <w:szCs w:val="20"/>
              </w:rPr>
              <w:t>baza</w:t>
            </w:r>
            <w:proofErr w:type="spellEnd"/>
            <w:r w:rsidRPr="000C0FB8">
              <w:rPr>
                <w:rFonts w:cstheme="minorHAnsi"/>
                <w:sz w:val="20"/>
                <w:szCs w:val="20"/>
              </w:rPr>
              <w:t xml:space="preserve"> </w:t>
            </w:r>
            <w:proofErr w:type="spellStart"/>
            <w:r w:rsidRPr="000C0FB8">
              <w:rPr>
                <w:rFonts w:cstheme="minorHAnsi"/>
                <w:sz w:val="20"/>
                <w:szCs w:val="20"/>
              </w:rPr>
              <w:t>prostornih</w:t>
            </w:r>
            <w:proofErr w:type="spellEnd"/>
            <w:r w:rsidRPr="000C0FB8">
              <w:rPr>
                <w:rFonts w:cstheme="minorHAnsi"/>
                <w:sz w:val="20"/>
                <w:szCs w:val="20"/>
              </w:rPr>
              <w:t xml:space="preserve"> </w:t>
            </w:r>
            <w:proofErr w:type="spellStart"/>
            <w:r w:rsidRPr="000C0FB8">
              <w:rPr>
                <w:rFonts w:cstheme="minorHAnsi"/>
                <w:sz w:val="20"/>
                <w:szCs w:val="20"/>
              </w:rPr>
              <w:t>podataka</w:t>
            </w:r>
            <w:proofErr w:type="spellEnd"/>
            <w:r w:rsidRPr="000C0FB8">
              <w:rPr>
                <w:rFonts w:cstheme="minorHAnsi"/>
                <w:sz w:val="20"/>
                <w:szCs w:val="20"/>
              </w:rPr>
              <w:t xml:space="preserve"> </w:t>
            </w:r>
            <w:proofErr w:type="spellStart"/>
            <w:r w:rsidRPr="000C0FB8">
              <w:rPr>
                <w:rFonts w:cstheme="minorHAnsi"/>
                <w:sz w:val="20"/>
                <w:szCs w:val="20"/>
              </w:rPr>
              <w:t>zelene</w:t>
            </w:r>
            <w:proofErr w:type="spellEnd"/>
            <w:r w:rsidRPr="000C0FB8">
              <w:rPr>
                <w:rFonts w:cstheme="minorHAnsi"/>
                <w:sz w:val="20"/>
                <w:szCs w:val="20"/>
              </w:rPr>
              <w:t xml:space="preserve"> </w:t>
            </w:r>
            <w:proofErr w:type="spellStart"/>
            <w:r w:rsidRPr="000C0FB8">
              <w:rPr>
                <w:rFonts w:cstheme="minorHAnsi"/>
                <w:sz w:val="20"/>
                <w:szCs w:val="20"/>
              </w:rPr>
              <w:t>infrastrukture</w:t>
            </w:r>
            <w:proofErr w:type="spellEnd"/>
            <w:r w:rsidRPr="000C0FB8">
              <w:rPr>
                <w:rFonts w:cstheme="minorHAnsi"/>
                <w:sz w:val="20"/>
                <w:szCs w:val="20"/>
              </w:rPr>
              <w:t xml:space="preserve"> u </w:t>
            </w:r>
            <w:proofErr w:type="spellStart"/>
            <w:r w:rsidRPr="000C0FB8">
              <w:rPr>
                <w:rFonts w:cstheme="minorHAnsi"/>
                <w:sz w:val="20"/>
                <w:szCs w:val="20"/>
              </w:rPr>
              <w:t>urbanim</w:t>
            </w:r>
            <w:proofErr w:type="spellEnd"/>
            <w:r w:rsidRPr="000C0FB8">
              <w:rPr>
                <w:rFonts w:cstheme="minorHAnsi"/>
                <w:sz w:val="20"/>
                <w:szCs w:val="20"/>
              </w:rPr>
              <w:t xml:space="preserve"> </w:t>
            </w:r>
            <w:proofErr w:type="spellStart"/>
            <w:r w:rsidRPr="000C0FB8">
              <w:rPr>
                <w:rFonts w:cstheme="minorHAnsi"/>
                <w:sz w:val="20"/>
                <w:szCs w:val="20"/>
              </w:rPr>
              <w:t>područjima</w:t>
            </w:r>
            <w:proofErr w:type="spellEnd"/>
          </w:p>
        </w:tc>
        <w:tc>
          <w:tcPr>
            <w:tcW w:w="1944" w:type="dxa"/>
            <w:tcBorders>
              <w:top w:val="single" w:sz="4" w:space="0" w:color="auto"/>
              <w:left w:val="single" w:sz="4" w:space="0" w:color="auto"/>
              <w:bottom w:val="single" w:sz="4" w:space="0" w:color="auto"/>
              <w:right w:val="single" w:sz="4" w:space="0" w:color="auto"/>
            </w:tcBorders>
            <w:vAlign w:val="center"/>
          </w:tcPr>
          <w:p w14:paraId="05FDE2C8" w14:textId="77777777" w:rsidR="00A00D87" w:rsidRPr="000C0FB8" w:rsidRDefault="00A00D87" w:rsidP="00122946">
            <w:pPr>
              <w:widowControl w:val="0"/>
              <w:pBdr>
                <w:top w:val="nil"/>
                <w:left w:val="nil"/>
                <w:bottom w:val="nil"/>
                <w:right w:val="nil"/>
                <w:between w:val="nil"/>
              </w:pBdr>
              <w:ind w:right="447"/>
              <w:jc w:val="center"/>
              <w:rPr>
                <w:rFonts w:cstheme="minorHAnsi"/>
                <w:sz w:val="20"/>
                <w:szCs w:val="20"/>
              </w:rPr>
            </w:pPr>
            <w:proofErr w:type="spellStart"/>
            <w:r w:rsidRPr="000C0FB8">
              <w:rPr>
                <w:rFonts w:cstheme="minorHAnsi"/>
                <w:sz w:val="20"/>
                <w:szCs w:val="20"/>
              </w:rPr>
              <w:t>Nije</w:t>
            </w:r>
            <w:proofErr w:type="spellEnd"/>
            <w:r w:rsidRPr="000C0FB8">
              <w:rPr>
                <w:rFonts w:cstheme="minorHAnsi"/>
                <w:sz w:val="20"/>
                <w:szCs w:val="20"/>
              </w:rPr>
              <w:t xml:space="preserve"> </w:t>
            </w:r>
            <w:proofErr w:type="spellStart"/>
            <w:r w:rsidRPr="000C0FB8">
              <w:rPr>
                <w:rFonts w:cstheme="minorHAnsi"/>
                <w:sz w:val="20"/>
                <w:szCs w:val="20"/>
              </w:rPr>
              <w:t>uspostavljena</w:t>
            </w:r>
            <w:proofErr w:type="spellEnd"/>
          </w:p>
        </w:tc>
        <w:tc>
          <w:tcPr>
            <w:tcW w:w="2936" w:type="dxa"/>
            <w:tcBorders>
              <w:top w:val="single" w:sz="4" w:space="0" w:color="000000"/>
              <w:left w:val="single" w:sz="4" w:space="0" w:color="auto"/>
              <w:bottom w:val="single" w:sz="4" w:space="0" w:color="000000"/>
              <w:right w:val="single" w:sz="4" w:space="0" w:color="000000"/>
            </w:tcBorders>
            <w:vAlign w:val="center"/>
          </w:tcPr>
          <w:p w14:paraId="77F1CD3F" w14:textId="77777777" w:rsidR="00A00D87" w:rsidRPr="000C0FB8" w:rsidRDefault="00A00D87" w:rsidP="00122946">
            <w:pPr>
              <w:spacing w:line="259" w:lineRule="auto"/>
              <w:jc w:val="center"/>
              <w:rPr>
                <w:rFonts w:cstheme="minorHAnsi"/>
                <w:sz w:val="20"/>
                <w:szCs w:val="20"/>
              </w:rPr>
            </w:pPr>
            <w:proofErr w:type="spellStart"/>
            <w:r w:rsidRPr="000C0FB8">
              <w:rPr>
                <w:rFonts w:cstheme="minorHAnsi"/>
                <w:sz w:val="20"/>
                <w:szCs w:val="20"/>
              </w:rPr>
              <w:t>Uspostavljena</w:t>
            </w:r>
            <w:proofErr w:type="spellEnd"/>
          </w:p>
        </w:tc>
      </w:tr>
      <w:tr w:rsidR="00A00D87" w:rsidRPr="000C0FB8" w14:paraId="0E69279D" w14:textId="77777777" w:rsidTr="006D442E">
        <w:trPr>
          <w:trHeight w:val="425"/>
        </w:trPr>
        <w:tc>
          <w:tcPr>
            <w:tcW w:w="1721" w:type="dxa"/>
            <w:vMerge/>
            <w:tcBorders>
              <w:left w:val="single" w:sz="4" w:space="0" w:color="000000"/>
              <w:right w:val="single" w:sz="4" w:space="0" w:color="000000"/>
            </w:tcBorders>
            <w:shd w:val="clear" w:color="auto" w:fill="D9D9D9" w:themeFill="background1" w:themeFillShade="D9"/>
          </w:tcPr>
          <w:p w14:paraId="6B6F8341" w14:textId="77777777" w:rsidR="00A00D87" w:rsidRPr="000C0FB8" w:rsidRDefault="00A00D87" w:rsidP="00122946">
            <w:pPr>
              <w:spacing w:after="160" w:line="259" w:lineRule="auto"/>
              <w:rPr>
                <w:rFonts w:cstheme="minorHAnsi"/>
                <w:sz w:val="20"/>
                <w:szCs w:val="20"/>
              </w:rPr>
            </w:pPr>
          </w:p>
        </w:tc>
        <w:tc>
          <w:tcPr>
            <w:tcW w:w="2618" w:type="dxa"/>
            <w:tcBorders>
              <w:top w:val="single" w:sz="4" w:space="0" w:color="BFBFBF"/>
              <w:left w:val="single" w:sz="4" w:space="0" w:color="000000"/>
              <w:bottom w:val="single" w:sz="4" w:space="0" w:color="000000"/>
              <w:right w:val="single" w:sz="4" w:space="0" w:color="000000"/>
            </w:tcBorders>
          </w:tcPr>
          <w:p w14:paraId="300B4D66" w14:textId="77777777" w:rsidR="00A00D87" w:rsidRPr="000C0FB8" w:rsidRDefault="00A00D87" w:rsidP="00122946">
            <w:pPr>
              <w:spacing w:line="259" w:lineRule="auto"/>
              <w:ind w:left="1"/>
              <w:rPr>
                <w:rFonts w:cstheme="minorHAnsi"/>
                <w:sz w:val="20"/>
                <w:szCs w:val="20"/>
              </w:rPr>
            </w:pPr>
            <w:proofErr w:type="spellStart"/>
            <w:r w:rsidRPr="000C0FB8">
              <w:rPr>
                <w:rFonts w:cstheme="minorHAnsi"/>
                <w:sz w:val="20"/>
                <w:szCs w:val="20"/>
              </w:rPr>
              <w:t>Uspostavljena</w:t>
            </w:r>
            <w:proofErr w:type="spellEnd"/>
            <w:r w:rsidRPr="000C0FB8">
              <w:rPr>
                <w:rFonts w:cstheme="minorHAnsi"/>
                <w:sz w:val="20"/>
                <w:szCs w:val="20"/>
              </w:rPr>
              <w:t xml:space="preserve"> </w:t>
            </w:r>
            <w:proofErr w:type="spellStart"/>
            <w:r w:rsidRPr="000C0FB8">
              <w:rPr>
                <w:rFonts w:cstheme="minorHAnsi"/>
                <w:sz w:val="20"/>
                <w:szCs w:val="20"/>
              </w:rPr>
              <w:t>baza</w:t>
            </w:r>
            <w:proofErr w:type="spellEnd"/>
            <w:r w:rsidRPr="000C0FB8">
              <w:rPr>
                <w:rFonts w:cstheme="minorHAnsi"/>
                <w:sz w:val="20"/>
                <w:szCs w:val="20"/>
              </w:rPr>
              <w:t xml:space="preserve"> </w:t>
            </w:r>
            <w:proofErr w:type="spellStart"/>
            <w:r w:rsidRPr="000C0FB8">
              <w:rPr>
                <w:rFonts w:cstheme="minorHAnsi"/>
                <w:sz w:val="20"/>
                <w:szCs w:val="20"/>
              </w:rPr>
              <w:t>podataka</w:t>
            </w:r>
            <w:proofErr w:type="spellEnd"/>
            <w:r w:rsidRPr="000C0FB8">
              <w:rPr>
                <w:rFonts w:cstheme="minorHAnsi"/>
                <w:sz w:val="20"/>
                <w:szCs w:val="20"/>
              </w:rPr>
              <w:t xml:space="preserve"> </w:t>
            </w:r>
            <w:proofErr w:type="spellStart"/>
            <w:r w:rsidRPr="000C0FB8">
              <w:rPr>
                <w:rFonts w:cstheme="minorHAnsi"/>
                <w:sz w:val="20"/>
                <w:szCs w:val="20"/>
              </w:rPr>
              <w:t>cirkularnog</w:t>
            </w:r>
            <w:proofErr w:type="spellEnd"/>
            <w:r w:rsidRPr="000C0FB8">
              <w:rPr>
                <w:rFonts w:cstheme="minorHAnsi"/>
                <w:sz w:val="20"/>
                <w:szCs w:val="20"/>
              </w:rPr>
              <w:t xml:space="preserve"> </w:t>
            </w:r>
            <w:proofErr w:type="spellStart"/>
            <w:r w:rsidRPr="000C0FB8">
              <w:rPr>
                <w:rFonts w:cstheme="minorHAnsi"/>
                <w:sz w:val="20"/>
                <w:szCs w:val="20"/>
              </w:rPr>
              <w:t>upravljanja</w:t>
            </w:r>
            <w:proofErr w:type="spellEnd"/>
            <w:r w:rsidRPr="000C0FB8">
              <w:rPr>
                <w:rFonts w:cstheme="minorHAnsi"/>
                <w:sz w:val="20"/>
                <w:szCs w:val="20"/>
              </w:rPr>
              <w:t xml:space="preserve"> </w:t>
            </w:r>
            <w:proofErr w:type="spellStart"/>
            <w:r w:rsidRPr="000C0FB8">
              <w:rPr>
                <w:rFonts w:cstheme="minorHAnsi"/>
                <w:sz w:val="20"/>
                <w:szCs w:val="20"/>
              </w:rPr>
              <w:t>prostorom</w:t>
            </w:r>
            <w:proofErr w:type="spellEnd"/>
            <w:r w:rsidRPr="000C0FB8">
              <w:rPr>
                <w:rFonts w:cstheme="minorHAnsi"/>
                <w:sz w:val="20"/>
                <w:szCs w:val="20"/>
              </w:rPr>
              <w:t xml:space="preserve"> i </w:t>
            </w:r>
            <w:proofErr w:type="spellStart"/>
            <w:r w:rsidRPr="000C0FB8">
              <w:rPr>
                <w:rFonts w:cstheme="minorHAnsi"/>
                <w:sz w:val="20"/>
                <w:szCs w:val="20"/>
              </w:rPr>
              <w:t>zgradama</w:t>
            </w:r>
            <w:proofErr w:type="spellEnd"/>
          </w:p>
        </w:tc>
        <w:tc>
          <w:tcPr>
            <w:tcW w:w="1944" w:type="dxa"/>
            <w:tcBorders>
              <w:top w:val="single" w:sz="4" w:space="0" w:color="BFBFBF"/>
              <w:left w:val="single" w:sz="4" w:space="0" w:color="000000"/>
              <w:bottom w:val="single" w:sz="4" w:space="0" w:color="000000"/>
              <w:right w:val="single" w:sz="4" w:space="0" w:color="000000"/>
            </w:tcBorders>
            <w:vAlign w:val="center"/>
          </w:tcPr>
          <w:p w14:paraId="3CA51467" w14:textId="77777777" w:rsidR="00A00D87" w:rsidRPr="000C0FB8" w:rsidRDefault="00A00D87" w:rsidP="00122946">
            <w:pPr>
              <w:spacing w:line="259" w:lineRule="auto"/>
              <w:jc w:val="center"/>
              <w:rPr>
                <w:rFonts w:cstheme="minorHAnsi"/>
                <w:sz w:val="20"/>
                <w:szCs w:val="20"/>
              </w:rPr>
            </w:pPr>
            <w:proofErr w:type="spellStart"/>
            <w:r w:rsidRPr="000C0FB8">
              <w:rPr>
                <w:rFonts w:cstheme="minorHAnsi"/>
                <w:sz w:val="20"/>
                <w:szCs w:val="20"/>
              </w:rPr>
              <w:t>Nije</w:t>
            </w:r>
            <w:proofErr w:type="spellEnd"/>
            <w:r w:rsidRPr="000C0FB8">
              <w:rPr>
                <w:rFonts w:cstheme="minorHAnsi"/>
                <w:sz w:val="20"/>
                <w:szCs w:val="20"/>
              </w:rPr>
              <w:t xml:space="preserve"> </w:t>
            </w:r>
            <w:proofErr w:type="spellStart"/>
            <w:r w:rsidRPr="000C0FB8">
              <w:rPr>
                <w:rFonts w:cstheme="minorHAnsi"/>
                <w:sz w:val="20"/>
                <w:szCs w:val="20"/>
              </w:rPr>
              <w:t>uspostavljena</w:t>
            </w:r>
            <w:proofErr w:type="spellEnd"/>
          </w:p>
        </w:tc>
        <w:tc>
          <w:tcPr>
            <w:tcW w:w="2936" w:type="dxa"/>
            <w:tcBorders>
              <w:top w:val="single" w:sz="4" w:space="0" w:color="BFBFBF"/>
              <w:left w:val="single" w:sz="4" w:space="0" w:color="000000"/>
              <w:bottom w:val="single" w:sz="4" w:space="0" w:color="000000"/>
              <w:right w:val="single" w:sz="4" w:space="0" w:color="000000"/>
            </w:tcBorders>
            <w:vAlign w:val="center"/>
          </w:tcPr>
          <w:p w14:paraId="240C7ECC" w14:textId="77777777" w:rsidR="00A00D87" w:rsidRPr="000C0FB8" w:rsidRDefault="00A00D87" w:rsidP="00122946">
            <w:pPr>
              <w:spacing w:line="259" w:lineRule="auto"/>
              <w:ind w:left="246"/>
              <w:jc w:val="center"/>
              <w:rPr>
                <w:rFonts w:cstheme="minorHAnsi"/>
                <w:sz w:val="20"/>
                <w:szCs w:val="20"/>
              </w:rPr>
            </w:pPr>
            <w:proofErr w:type="spellStart"/>
            <w:r w:rsidRPr="000C0FB8">
              <w:rPr>
                <w:rFonts w:cstheme="minorHAnsi"/>
                <w:sz w:val="20"/>
                <w:szCs w:val="20"/>
              </w:rPr>
              <w:t>Uspostavljena</w:t>
            </w:r>
            <w:proofErr w:type="spellEnd"/>
          </w:p>
        </w:tc>
      </w:tr>
      <w:tr w:rsidR="00A00D87" w:rsidRPr="000C0FB8" w14:paraId="1566D171" w14:textId="77777777" w:rsidTr="006D442E">
        <w:trPr>
          <w:trHeight w:val="838"/>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215ACB"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Razvojni</w:t>
            </w:r>
            <w:proofErr w:type="spellEnd"/>
            <w:r w:rsidRPr="000C0FB8">
              <w:rPr>
                <w:rFonts w:cstheme="minorHAnsi"/>
                <w:b/>
                <w:sz w:val="20"/>
                <w:szCs w:val="20"/>
              </w:rPr>
              <w:t xml:space="preserve"> </w:t>
            </w:r>
            <w:proofErr w:type="spellStart"/>
            <w:r w:rsidRPr="000C0FB8">
              <w:rPr>
                <w:rFonts w:cstheme="minorHAnsi"/>
                <w:b/>
                <w:sz w:val="20"/>
                <w:szCs w:val="20"/>
              </w:rPr>
              <w:t>efekat</w:t>
            </w:r>
            <w:proofErr w:type="spellEnd"/>
            <w:r w:rsidRPr="000C0FB8">
              <w:rPr>
                <w:rFonts w:cstheme="minorHAnsi"/>
                <w:b/>
                <w:sz w:val="20"/>
                <w:szCs w:val="20"/>
              </w:rPr>
              <w:t xml:space="preserve"> i </w:t>
            </w:r>
            <w:proofErr w:type="spellStart"/>
            <w:r w:rsidRPr="000C0FB8">
              <w:rPr>
                <w:rFonts w:cstheme="minorHAnsi"/>
                <w:b/>
                <w:sz w:val="20"/>
                <w:szCs w:val="20"/>
              </w:rPr>
              <w:t>doprinos</w:t>
            </w:r>
            <w:proofErr w:type="spellEnd"/>
            <w:r w:rsidRPr="000C0FB8">
              <w:rPr>
                <w:rFonts w:cstheme="minorHAnsi"/>
                <w:b/>
                <w:sz w:val="20"/>
                <w:szCs w:val="20"/>
              </w:rPr>
              <w:t xml:space="preserve"> </w:t>
            </w:r>
            <w:proofErr w:type="spellStart"/>
            <w:r w:rsidRPr="000C0FB8">
              <w:rPr>
                <w:rFonts w:cstheme="minorHAnsi"/>
                <w:b/>
                <w:sz w:val="20"/>
                <w:szCs w:val="20"/>
              </w:rPr>
              <w:t>mjere</w:t>
            </w:r>
            <w:proofErr w:type="spellEnd"/>
            <w:r w:rsidRPr="000C0FB8">
              <w:rPr>
                <w:rFonts w:cstheme="minorHAnsi"/>
                <w:b/>
                <w:sz w:val="20"/>
                <w:szCs w:val="20"/>
              </w:rPr>
              <w:t xml:space="preserve"> </w:t>
            </w:r>
            <w:proofErr w:type="spellStart"/>
            <w:r w:rsidRPr="000C0FB8">
              <w:rPr>
                <w:rFonts w:cstheme="minorHAnsi"/>
                <w:b/>
                <w:sz w:val="20"/>
                <w:szCs w:val="20"/>
              </w:rPr>
              <w:t>ostvarenju</w:t>
            </w:r>
            <w:proofErr w:type="spellEnd"/>
            <w:r w:rsidRPr="000C0FB8">
              <w:rPr>
                <w:rFonts w:cstheme="minorHAnsi"/>
                <w:b/>
                <w:sz w:val="20"/>
                <w:szCs w:val="20"/>
              </w:rPr>
              <w:t xml:space="preserve"> </w:t>
            </w:r>
            <w:proofErr w:type="spellStart"/>
            <w:r w:rsidRPr="000C0FB8">
              <w:rPr>
                <w:rFonts w:cstheme="minorHAnsi"/>
                <w:b/>
                <w:sz w:val="20"/>
                <w:szCs w:val="20"/>
              </w:rPr>
              <w:t>prioriteta</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vAlign w:val="center"/>
          </w:tcPr>
          <w:p w14:paraId="61A516C1" w14:textId="77777777" w:rsidR="00A00D87" w:rsidRPr="000C0FB8" w:rsidRDefault="00A00D87" w:rsidP="00E6560A">
            <w:pPr>
              <w:spacing w:line="259" w:lineRule="auto"/>
              <w:ind w:left="1"/>
              <w:jc w:val="both"/>
              <w:rPr>
                <w:rFonts w:cstheme="minorHAnsi"/>
                <w:sz w:val="20"/>
                <w:szCs w:val="20"/>
              </w:rPr>
            </w:pPr>
            <w:proofErr w:type="spellStart"/>
            <w:r w:rsidRPr="000C0FB8">
              <w:rPr>
                <w:rFonts w:cstheme="minorHAnsi"/>
                <w:sz w:val="20"/>
                <w:szCs w:val="20"/>
              </w:rPr>
              <w:t>Stvaranje</w:t>
            </w:r>
            <w:proofErr w:type="spellEnd"/>
            <w:r w:rsidRPr="000C0FB8">
              <w:rPr>
                <w:rFonts w:cstheme="minorHAnsi"/>
                <w:sz w:val="20"/>
                <w:szCs w:val="20"/>
              </w:rPr>
              <w:t xml:space="preserve"> </w:t>
            </w:r>
            <w:proofErr w:type="spellStart"/>
            <w:r w:rsidRPr="000C0FB8">
              <w:rPr>
                <w:rFonts w:cstheme="minorHAnsi"/>
                <w:sz w:val="20"/>
                <w:szCs w:val="20"/>
              </w:rPr>
              <w:t>preduvjeta</w:t>
            </w:r>
            <w:proofErr w:type="spellEnd"/>
            <w:r w:rsidRPr="000C0FB8">
              <w:rPr>
                <w:rFonts w:cstheme="minorHAnsi"/>
                <w:sz w:val="20"/>
                <w:szCs w:val="20"/>
              </w:rPr>
              <w:t xml:space="preserve"> za </w:t>
            </w:r>
            <w:proofErr w:type="spellStart"/>
            <w:r w:rsidRPr="000C0FB8">
              <w:rPr>
                <w:rFonts w:cstheme="minorHAnsi"/>
                <w:sz w:val="20"/>
                <w:szCs w:val="20"/>
              </w:rPr>
              <w:t>bolju</w:t>
            </w:r>
            <w:proofErr w:type="spellEnd"/>
            <w:r w:rsidRPr="000C0FB8">
              <w:rPr>
                <w:rFonts w:cstheme="minorHAnsi"/>
                <w:sz w:val="20"/>
                <w:szCs w:val="20"/>
              </w:rPr>
              <w:t xml:space="preserve"> </w:t>
            </w:r>
            <w:proofErr w:type="spellStart"/>
            <w:r w:rsidRPr="000C0FB8">
              <w:rPr>
                <w:rFonts w:cstheme="minorHAnsi"/>
                <w:sz w:val="20"/>
                <w:szCs w:val="20"/>
              </w:rPr>
              <w:t>kvalitetu</w:t>
            </w:r>
            <w:proofErr w:type="spellEnd"/>
            <w:r w:rsidRPr="000C0FB8">
              <w:rPr>
                <w:rFonts w:cstheme="minorHAnsi"/>
                <w:sz w:val="20"/>
                <w:szCs w:val="20"/>
              </w:rPr>
              <w:t xml:space="preserve"> </w:t>
            </w:r>
            <w:proofErr w:type="spellStart"/>
            <w:r w:rsidRPr="000C0FB8">
              <w:rPr>
                <w:rFonts w:cstheme="minorHAnsi"/>
                <w:sz w:val="20"/>
                <w:szCs w:val="20"/>
              </w:rPr>
              <w:t>života</w:t>
            </w:r>
            <w:proofErr w:type="spellEnd"/>
            <w:r w:rsidRPr="000C0FB8">
              <w:rPr>
                <w:rFonts w:cstheme="minorHAnsi"/>
                <w:sz w:val="20"/>
                <w:szCs w:val="20"/>
              </w:rPr>
              <w:t xml:space="preserve"> i </w:t>
            </w:r>
            <w:proofErr w:type="spellStart"/>
            <w:r w:rsidRPr="000C0FB8">
              <w:rPr>
                <w:rFonts w:cstheme="minorHAnsi"/>
                <w:sz w:val="20"/>
                <w:szCs w:val="20"/>
              </w:rPr>
              <w:t>zdravlja</w:t>
            </w:r>
            <w:proofErr w:type="spellEnd"/>
            <w:r w:rsidRPr="000C0FB8">
              <w:rPr>
                <w:rFonts w:cstheme="minorHAnsi"/>
                <w:sz w:val="20"/>
                <w:szCs w:val="20"/>
              </w:rPr>
              <w:t xml:space="preserve"> </w:t>
            </w:r>
            <w:proofErr w:type="spellStart"/>
            <w:r w:rsidRPr="000C0FB8">
              <w:rPr>
                <w:rFonts w:cstheme="minorHAnsi"/>
                <w:sz w:val="20"/>
                <w:szCs w:val="20"/>
              </w:rPr>
              <w:t>ljudi</w:t>
            </w:r>
            <w:proofErr w:type="spellEnd"/>
            <w:r w:rsidRPr="000C0FB8">
              <w:rPr>
                <w:rFonts w:cstheme="minorHAnsi"/>
                <w:sz w:val="20"/>
                <w:szCs w:val="20"/>
              </w:rPr>
              <w:t xml:space="preserve"> </w:t>
            </w:r>
            <w:proofErr w:type="spellStart"/>
            <w:r w:rsidRPr="000C0FB8">
              <w:rPr>
                <w:rFonts w:cstheme="minorHAnsi"/>
                <w:sz w:val="20"/>
                <w:szCs w:val="20"/>
              </w:rPr>
              <w:t>uz</w:t>
            </w:r>
            <w:proofErr w:type="spellEnd"/>
            <w:r w:rsidRPr="000C0FB8">
              <w:rPr>
                <w:rFonts w:cstheme="minorHAnsi"/>
                <w:sz w:val="20"/>
                <w:szCs w:val="20"/>
              </w:rPr>
              <w:t xml:space="preserve"> </w:t>
            </w:r>
            <w:proofErr w:type="spellStart"/>
            <w:r w:rsidRPr="000C0FB8">
              <w:rPr>
                <w:rFonts w:cstheme="minorHAnsi"/>
                <w:sz w:val="20"/>
                <w:szCs w:val="20"/>
              </w:rPr>
              <w:t>doprinos</w:t>
            </w:r>
            <w:proofErr w:type="spellEnd"/>
            <w:r w:rsidRPr="000C0FB8">
              <w:rPr>
                <w:rFonts w:cstheme="minorHAnsi"/>
                <w:sz w:val="20"/>
                <w:szCs w:val="20"/>
              </w:rPr>
              <w:t xml:space="preserve"> </w:t>
            </w:r>
            <w:proofErr w:type="spellStart"/>
            <w:r w:rsidRPr="000C0FB8">
              <w:rPr>
                <w:rFonts w:cstheme="minorHAnsi"/>
                <w:sz w:val="20"/>
                <w:szCs w:val="20"/>
              </w:rPr>
              <w:t>održivom</w:t>
            </w:r>
            <w:proofErr w:type="spellEnd"/>
            <w:r w:rsidRPr="000C0FB8">
              <w:rPr>
                <w:rFonts w:cstheme="minorHAnsi"/>
                <w:sz w:val="20"/>
                <w:szCs w:val="20"/>
              </w:rPr>
              <w:t xml:space="preserve"> </w:t>
            </w:r>
            <w:proofErr w:type="spellStart"/>
            <w:r w:rsidRPr="000C0FB8">
              <w:rPr>
                <w:rFonts w:cstheme="minorHAnsi"/>
                <w:sz w:val="20"/>
                <w:szCs w:val="20"/>
              </w:rPr>
              <w:t>društvenom</w:t>
            </w:r>
            <w:proofErr w:type="spellEnd"/>
            <w:r w:rsidRPr="000C0FB8">
              <w:rPr>
                <w:rFonts w:cstheme="minorHAnsi"/>
                <w:sz w:val="20"/>
                <w:szCs w:val="20"/>
              </w:rPr>
              <w:t xml:space="preserve">, </w:t>
            </w:r>
            <w:proofErr w:type="spellStart"/>
            <w:r w:rsidRPr="000C0FB8">
              <w:rPr>
                <w:rFonts w:cstheme="minorHAnsi"/>
                <w:sz w:val="20"/>
                <w:szCs w:val="20"/>
              </w:rPr>
              <w:t>privrednom</w:t>
            </w:r>
            <w:proofErr w:type="spellEnd"/>
            <w:r w:rsidRPr="000C0FB8">
              <w:rPr>
                <w:rFonts w:cstheme="minorHAnsi"/>
                <w:sz w:val="20"/>
                <w:szCs w:val="20"/>
              </w:rPr>
              <w:t xml:space="preserve"> i </w:t>
            </w:r>
            <w:proofErr w:type="spellStart"/>
            <w:r w:rsidRPr="000C0FB8">
              <w:rPr>
                <w:rFonts w:cstheme="minorHAnsi"/>
                <w:sz w:val="20"/>
                <w:szCs w:val="20"/>
              </w:rPr>
              <w:t>prostornom</w:t>
            </w:r>
            <w:proofErr w:type="spellEnd"/>
            <w:r w:rsidRPr="000C0FB8">
              <w:rPr>
                <w:rFonts w:cstheme="minorHAnsi"/>
                <w:sz w:val="20"/>
                <w:szCs w:val="20"/>
              </w:rPr>
              <w:t xml:space="preserve"> </w:t>
            </w:r>
            <w:proofErr w:type="spellStart"/>
            <w:r w:rsidRPr="000C0FB8">
              <w:rPr>
                <w:rFonts w:cstheme="minorHAnsi"/>
                <w:sz w:val="20"/>
                <w:szCs w:val="20"/>
              </w:rPr>
              <w:t>razvoju</w:t>
            </w:r>
            <w:proofErr w:type="spellEnd"/>
            <w:r w:rsidRPr="000C0FB8">
              <w:rPr>
                <w:rFonts w:cstheme="minorHAnsi"/>
                <w:sz w:val="20"/>
                <w:szCs w:val="20"/>
              </w:rPr>
              <w:t xml:space="preserve"> FBiH. </w:t>
            </w:r>
          </w:p>
        </w:tc>
      </w:tr>
      <w:tr w:rsidR="00A00D87" w:rsidRPr="000C0FB8" w14:paraId="73A8E352" w14:textId="77777777" w:rsidTr="006D442E">
        <w:trPr>
          <w:trHeight w:val="1044"/>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7DA209" w14:textId="2B7DBBDC"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Indikativna</w:t>
            </w:r>
            <w:proofErr w:type="spellEnd"/>
            <w:r w:rsidRPr="000C0FB8">
              <w:rPr>
                <w:rFonts w:cstheme="minorHAnsi"/>
                <w:b/>
                <w:sz w:val="20"/>
                <w:szCs w:val="20"/>
              </w:rPr>
              <w:t xml:space="preserve"> </w:t>
            </w:r>
            <w:proofErr w:type="spellStart"/>
            <w:r w:rsidR="007B690C" w:rsidRPr="000C0FB8">
              <w:rPr>
                <w:rFonts w:cstheme="minorHAnsi"/>
                <w:b/>
                <w:sz w:val="20"/>
                <w:szCs w:val="20"/>
              </w:rPr>
              <w:t>financ</w:t>
            </w:r>
            <w:r w:rsidRPr="000C0FB8">
              <w:rPr>
                <w:rFonts w:cstheme="minorHAnsi"/>
                <w:b/>
                <w:sz w:val="20"/>
                <w:szCs w:val="20"/>
              </w:rPr>
              <w:t>ijska</w:t>
            </w:r>
            <w:proofErr w:type="spellEnd"/>
            <w:r w:rsidRPr="000C0FB8">
              <w:rPr>
                <w:rFonts w:cstheme="minorHAnsi"/>
                <w:b/>
                <w:sz w:val="20"/>
                <w:szCs w:val="20"/>
              </w:rPr>
              <w:t xml:space="preserve"> </w:t>
            </w:r>
            <w:proofErr w:type="spellStart"/>
            <w:r w:rsidRPr="000C0FB8">
              <w:rPr>
                <w:rFonts w:cstheme="minorHAnsi"/>
                <w:b/>
                <w:sz w:val="20"/>
                <w:szCs w:val="20"/>
              </w:rPr>
              <w:t>konstrukcija</w:t>
            </w:r>
            <w:proofErr w:type="spellEnd"/>
            <w:r w:rsidRPr="000C0FB8">
              <w:rPr>
                <w:rFonts w:cstheme="minorHAnsi"/>
                <w:b/>
                <w:sz w:val="20"/>
                <w:szCs w:val="20"/>
              </w:rPr>
              <w:t xml:space="preserve"> </w:t>
            </w:r>
            <w:proofErr w:type="spellStart"/>
            <w:r w:rsidRPr="000C0FB8">
              <w:rPr>
                <w:rFonts w:cstheme="minorHAnsi"/>
                <w:b/>
                <w:sz w:val="20"/>
                <w:szCs w:val="20"/>
              </w:rPr>
              <w:t>sa</w:t>
            </w:r>
            <w:proofErr w:type="spellEnd"/>
            <w:r w:rsidRPr="000C0FB8">
              <w:rPr>
                <w:rFonts w:cstheme="minorHAnsi"/>
                <w:b/>
                <w:sz w:val="20"/>
                <w:szCs w:val="20"/>
              </w:rPr>
              <w:t xml:space="preserve"> </w:t>
            </w:r>
            <w:proofErr w:type="spellStart"/>
            <w:r w:rsidRPr="000C0FB8">
              <w:rPr>
                <w:rFonts w:cstheme="minorHAnsi"/>
                <w:b/>
                <w:sz w:val="20"/>
                <w:szCs w:val="20"/>
              </w:rPr>
              <w:t>izvorima</w:t>
            </w:r>
            <w:proofErr w:type="spellEnd"/>
            <w:r w:rsidRPr="000C0FB8">
              <w:rPr>
                <w:rFonts w:cstheme="minorHAnsi"/>
                <w:b/>
                <w:sz w:val="20"/>
                <w:szCs w:val="20"/>
              </w:rPr>
              <w:t xml:space="preserve"> </w:t>
            </w:r>
            <w:proofErr w:type="spellStart"/>
            <w:r w:rsidR="007B690C" w:rsidRPr="000C0FB8">
              <w:rPr>
                <w:rFonts w:cstheme="minorHAnsi"/>
                <w:b/>
                <w:sz w:val="20"/>
                <w:szCs w:val="20"/>
              </w:rPr>
              <w:t>financ</w:t>
            </w:r>
            <w:r w:rsidRPr="000C0FB8">
              <w:rPr>
                <w:rFonts w:cstheme="minorHAnsi"/>
                <w:b/>
                <w:sz w:val="20"/>
                <w:szCs w:val="20"/>
              </w:rPr>
              <w:t>iranja</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vAlign w:val="center"/>
          </w:tcPr>
          <w:p w14:paraId="02BDFFC6" w14:textId="77777777" w:rsidR="00A00D87" w:rsidRPr="000C0FB8" w:rsidRDefault="00A00D87" w:rsidP="00E6560A">
            <w:pPr>
              <w:spacing w:line="259" w:lineRule="auto"/>
              <w:ind w:left="1"/>
              <w:jc w:val="both"/>
              <w:rPr>
                <w:rFonts w:cstheme="minorHAnsi"/>
                <w:sz w:val="20"/>
                <w:szCs w:val="20"/>
              </w:rPr>
            </w:pPr>
            <w:proofErr w:type="spellStart"/>
            <w:r w:rsidRPr="000C0FB8">
              <w:rPr>
                <w:rFonts w:cstheme="minorHAnsi"/>
                <w:sz w:val="20"/>
                <w:szCs w:val="20"/>
              </w:rPr>
              <w:t>Iznos</w:t>
            </w:r>
            <w:proofErr w:type="spellEnd"/>
            <w:r w:rsidRPr="000C0FB8">
              <w:rPr>
                <w:rFonts w:cstheme="minorHAnsi"/>
                <w:sz w:val="20"/>
                <w:szCs w:val="20"/>
              </w:rPr>
              <w:t>: 130,0 mil. KM</w:t>
            </w:r>
          </w:p>
          <w:p w14:paraId="4E0A13DD" w14:textId="77777777" w:rsidR="00A00D87" w:rsidRPr="000C0FB8" w:rsidRDefault="00A00D87" w:rsidP="00E6560A">
            <w:pPr>
              <w:spacing w:line="259" w:lineRule="auto"/>
              <w:ind w:left="1"/>
              <w:jc w:val="both"/>
              <w:rPr>
                <w:rFonts w:cstheme="minorHAnsi"/>
                <w:sz w:val="20"/>
                <w:szCs w:val="20"/>
              </w:rPr>
            </w:pPr>
            <w:proofErr w:type="spellStart"/>
            <w:r w:rsidRPr="000C0FB8">
              <w:rPr>
                <w:rFonts w:cstheme="minorHAnsi"/>
                <w:sz w:val="20"/>
                <w:szCs w:val="20"/>
              </w:rPr>
              <w:t>Izvor</w:t>
            </w:r>
            <w:proofErr w:type="spellEnd"/>
            <w:r w:rsidRPr="000C0FB8">
              <w:rPr>
                <w:rFonts w:cstheme="minorHAnsi"/>
                <w:sz w:val="20"/>
                <w:szCs w:val="20"/>
              </w:rPr>
              <w:t xml:space="preserve">: </w:t>
            </w:r>
            <w:proofErr w:type="spellStart"/>
            <w:r w:rsidRPr="000C0FB8">
              <w:rPr>
                <w:rFonts w:cstheme="minorHAnsi"/>
                <w:sz w:val="20"/>
                <w:szCs w:val="20"/>
              </w:rPr>
              <w:t>Budžet</w:t>
            </w:r>
            <w:proofErr w:type="spellEnd"/>
            <w:r w:rsidRPr="000C0FB8">
              <w:rPr>
                <w:rFonts w:cstheme="minorHAnsi"/>
                <w:sz w:val="20"/>
                <w:szCs w:val="20"/>
              </w:rPr>
              <w:t xml:space="preserve"> </w:t>
            </w:r>
            <w:proofErr w:type="spellStart"/>
            <w:r w:rsidRPr="000C0FB8">
              <w:rPr>
                <w:rFonts w:cstheme="minorHAnsi"/>
                <w:sz w:val="20"/>
                <w:szCs w:val="20"/>
              </w:rPr>
              <w:t>institucija</w:t>
            </w:r>
            <w:proofErr w:type="spellEnd"/>
            <w:r w:rsidRPr="000C0FB8">
              <w:rPr>
                <w:rFonts w:cstheme="minorHAnsi"/>
                <w:sz w:val="20"/>
                <w:szCs w:val="20"/>
              </w:rPr>
              <w:t xml:space="preserve"> i </w:t>
            </w:r>
            <w:proofErr w:type="spellStart"/>
            <w:r w:rsidRPr="000C0FB8">
              <w:rPr>
                <w:rFonts w:cstheme="minorHAnsi"/>
                <w:sz w:val="20"/>
                <w:szCs w:val="20"/>
              </w:rPr>
              <w:t>ostali</w:t>
            </w:r>
            <w:proofErr w:type="spellEnd"/>
            <w:r w:rsidRPr="000C0FB8">
              <w:rPr>
                <w:rFonts w:cstheme="minorHAnsi"/>
                <w:sz w:val="20"/>
                <w:szCs w:val="20"/>
              </w:rPr>
              <w:t xml:space="preserve"> </w:t>
            </w:r>
            <w:proofErr w:type="spellStart"/>
            <w:r w:rsidRPr="000C0FB8">
              <w:rPr>
                <w:rFonts w:cstheme="minorHAnsi"/>
                <w:sz w:val="20"/>
                <w:szCs w:val="20"/>
              </w:rPr>
              <w:t>izvori</w:t>
            </w:r>
            <w:proofErr w:type="spellEnd"/>
          </w:p>
        </w:tc>
      </w:tr>
      <w:tr w:rsidR="00A00D87" w:rsidRPr="000C0FB8" w14:paraId="48F20CA0" w14:textId="77777777" w:rsidTr="006D442E">
        <w:trPr>
          <w:trHeight w:val="632"/>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125B00F" w14:textId="77777777" w:rsidR="00A00D87" w:rsidRPr="000C0FB8" w:rsidRDefault="00A00D87" w:rsidP="00122946">
            <w:pPr>
              <w:spacing w:line="259" w:lineRule="auto"/>
              <w:rPr>
                <w:rFonts w:cstheme="minorHAnsi"/>
                <w:sz w:val="20"/>
                <w:szCs w:val="20"/>
              </w:rPr>
            </w:pPr>
          </w:p>
        </w:tc>
        <w:tc>
          <w:tcPr>
            <w:tcW w:w="7498" w:type="dxa"/>
            <w:gridSpan w:val="3"/>
            <w:tcBorders>
              <w:top w:val="single" w:sz="4" w:space="0" w:color="000000"/>
              <w:left w:val="single" w:sz="4" w:space="0" w:color="000000"/>
              <w:bottom w:val="single" w:sz="4" w:space="0" w:color="000000"/>
              <w:right w:val="single" w:sz="4" w:space="0" w:color="000000"/>
            </w:tcBorders>
            <w:vAlign w:val="center"/>
          </w:tcPr>
          <w:p w14:paraId="0DDFFF40" w14:textId="77777777" w:rsidR="00A00D87" w:rsidRPr="000C0FB8" w:rsidRDefault="00A00D87" w:rsidP="00E6560A">
            <w:pPr>
              <w:ind w:left="1"/>
              <w:jc w:val="both"/>
              <w:rPr>
                <w:rFonts w:cstheme="minorHAnsi"/>
                <w:sz w:val="20"/>
                <w:szCs w:val="20"/>
              </w:rPr>
            </w:pPr>
            <w:r w:rsidRPr="000C0FB8">
              <w:rPr>
                <w:rFonts w:cstheme="minorHAnsi"/>
                <w:sz w:val="20"/>
                <w:szCs w:val="20"/>
              </w:rPr>
              <w:t>2022-2030. (</w:t>
            </w:r>
            <w:proofErr w:type="spellStart"/>
            <w:r w:rsidRPr="000C0FB8">
              <w:rPr>
                <w:rFonts w:cstheme="minorHAnsi"/>
                <w:sz w:val="20"/>
                <w:szCs w:val="20"/>
              </w:rPr>
              <w:t>donošenje</w:t>
            </w:r>
            <w:proofErr w:type="spellEnd"/>
            <w:r w:rsidRPr="000C0FB8">
              <w:rPr>
                <w:rFonts w:cstheme="minorHAnsi"/>
                <w:sz w:val="20"/>
                <w:szCs w:val="20"/>
              </w:rPr>
              <w:t xml:space="preserve"> </w:t>
            </w:r>
            <w:proofErr w:type="spellStart"/>
            <w:r w:rsidRPr="000C0FB8">
              <w:rPr>
                <w:rFonts w:cstheme="minorHAnsi"/>
                <w:sz w:val="20"/>
                <w:szCs w:val="20"/>
              </w:rPr>
              <w:t>programa</w:t>
            </w:r>
            <w:proofErr w:type="spellEnd"/>
            <w:r w:rsidRPr="000C0FB8">
              <w:rPr>
                <w:rFonts w:cstheme="minorHAnsi"/>
                <w:sz w:val="20"/>
                <w:szCs w:val="20"/>
              </w:rPr>
              <w:t>)</w:t>
            </w:r>
          </w:p>
          <w:p w14:paraId="654FFEE2" w14:textId="77777777" w:rsidR="00A00D87" w:rsidRPr="000C0FB8" w:rsidRDefault="00A00D87" w:rsidP="00E6560A">
            <w:pPr>
              <w:jc w:val="both"/>
              <w:rPr>
                <w:rFonts w:cstheme="minorHAnsi"/>
                <w:sz w:val="20"/>
                <w:szCs w:val="20"/>
              </w:rPr>
            </w:pPr>
            <w:proofErr w:type="spellStart"/>
            <w:r w:rsidRPr="000C0FB8">
              <w:rPr>
                <w:rFonts w:cstheme="minorHAnsi"/>
                <w:sz w:val="20"/>
                <w:szCs w:val="20"/>
              </w:rPr>
              <w:t>Mjera</w:t>
            </w:r>
            <w:proofErr w:type="spellEnd"/>
            <w:r w:rsidRPr="000C0FB8">
              <w:rPr>
                <w:rFonts w:cstheme="minorHAnsi"/>
                <w:sz w:val="20"/>
                <w:szCs w:val="20"/>
              </w:rPr>
              <w:t xml:space="preserve"> </w:t>
            </w:r>
            <w:proofErr w:type="spellStart"/>
            <w:r w:rsidRPr="000C0FB8">
              <w:rPr>
                <w:rFonts w:cstheme="minorHAnsi"/>
                <w:sz w:val="20"/>
                <w:szCs w:val="20"/>
              </w:rPr>
              <w:t>će</w:t>
            </w:r>
            <w:proofErr w:type="spellEnd"/>
            <w:r w:rsidRPr="000C0FB8">
              <w:rPr>
                <w:rFonts w:cstheme="minorHAnsi"/>
                <w:sz w:val="20"/>
                <w:szCs w:val="20"/>
              </w:rPr>
              <w:t xml:space="preserve"> se </w:t>
            </w:r>
            <w:proofErr w:type="spellStart"/>
            <w:r w:rsidRPr="000C0FB8">
              <w:rPr>
                <w:rFonts w:cstheme="minorHAnsi"/>
                <w:sz w:val="20"/>
                <w:szCs w:val="20"/>
              </w:rPr>
              <w:t>nastaviti</w:t>
            </w:r>
            <w:proofErr w:type="spellEnd"/>
            <w:r w:rsidRPr="000C0FB8">
              <w:rPr>
                <w:rFonts w:cstheme="minorHAnsi"/>
                <w:sz w:val="20"/>
                <w:szCs w:val="20"/>
              </w:rPr>
              <w:t xml:space="preserve"> </w:t>
            </w:r>
            <w:proofErr w:type="spellStart"/>
            <w:r w:rsidRPr="000C0FB8">
              <w:rPr>
                <w:rFonts w:cstheme="minorHAnsi"/>
                <w:sz w:val="20"/>
                <w:szCs w:val="20"/>
              </w:rPr>
              <w:t>provoditi</w:t>
            </w:r>
            <w:proofErr w:type="spellEnd"/>
            <w:r w:rsidRPr="000C0FB8">
              <w:rPr>
                <w:rFonts w:cstheme="minorHAnsi"/>
                <w:sz w:val="20"/>
                <w:szCs w:val="20"/>
              </w:rPr>
              <w:t xml:space="preserve"> i do 2050. </w:t>
            </w:r>
            <w:proofErr w:type="spellStart"/>
            <w:r w:rsidRPr="000C0FB8">
              <w:rPr>
                <w:rFonts w:cstheme="minorHAnsi"/>
                <w:sz w:val="20"/>
                <w:szCs w:val="20"/>
              </w:rPr>
              <w:t>godine</w:t>
            </w:r>
            <w:proofErr w:type="spellEnd"/>
            <w:r w:rsidRPr="000C0FB8">
              <w:rPr>
                <w:rFonts w:cstheme="minorHAnsi"/>
                <w:sz w:val="20"/>
                <w:szCs w:val="20"/>
              </w:rPr>
              <w:t xml:space="preserve"> </w:t>
            </w:r>
            <w:proofErr w:type="spellStart"/>
            <w:r w:rsidRPr="000C0FB8">
              <w:rPr>
                <w:rFonts w:cstheme="minorHAnsi"/>
                <w:sz w:val="20"/>
                <w:szCs w:val="20"/>
              </w:rPr>
              <w:t>uz</w:t>
            </w:r>
            <w:proofErr w:type="spellEnd"/>
            <w:r w:rsidRPr="000C0FB8">
              <w:rPr>
                <w:rFonts w:cstheme="minorHAnsi"/>
                <w:sz w:val="20"/>
                <w:szCs w:val="20"/>
              </w:rPr>
              <w:t xml:space="preserve"> </w:t>
            </w:r>
            <w:proofErr w:type="spellStart"/>
            <w:r w:rsidRPr="000C0FB8">
              <w:rPr>
                <w:rFonts w:cstheme="minorHAnsi"/>
                <w:sz w:val="20"/>
                <w:szCs w:val="20"/>
              </w:rPr>
              <w:t>moguće</w:t>
            </w:r>
            <w:proofErr w:type="spellEnd"/>
            <w:r w:rsidRPr="000C0FB8">
              <w:rPr>
                <w:rFonts w:cstheme="minorHAnsi"/>
                <w:sz w:val="20"/>
                <w:szCs w:val="20"/>
              </w:rPr>
              <w:t xml:space="preserve"> </w:t>
            </w:r>
            <w:proofErr w:type="spellStart"/>
            <w:r w:rsidRPr="000C0FB8">
              <w:rPr>
                <w:rFonts w:cstheme="minorHAnsi"/>
                <w:sz w:val="20"/>
                <w:szCs w:val="20"/>
              </w:rPr>
              <w:t>izmjene</w:t>
            </w:r>
            <w:proofErr w:type="spellEnd"/>
            <w:r w:rsidRPr="000C0FB8">
              <w:rPr>
                <w:rFonts w:cstheme="minorHAnsi"/>
                <w:sz w:val="20"/>
                <w:szCs w:val="20"/>
              </w:rPr>
              <w:t xml:space="preserve"> </w:t>
            </w:r>
            <w:proofErr w:type="spellStart"/>
            <w:r w:rsidRPr="000C0FB8">
              <w:rPr>
                <w:rFonts w:cstheme="minorHAnsi"/>
                <w:sz w:val="20"/>
                <w:szCs w:val="20"/>
              </w:rPr>
              <w:t>temeljene</w:t>
            </w:r>
            <w:proofErr w:type="spellEnd"/>
            <w:r w:rsidRPr="000C0FB8">
              <w:rPr>
                <w:rFonts w:cstheme="minorHAnsi"/>
                <w:sz w:val="20"/>
                <w:szCs w:val="20"/>
              </w:rPr>
              <w:t xml:space="preserve"> </w:t>
            </w:r>
            <w:proofErr w:type="spellStart"/>
            <w:r w:rsidRPr="000C0FB8">
              <w:rPr>
                <w:rFonts w:cstheme="minorHAnsi"/>
                <w:sz w:val="20"/>
                <w:szCs w:val="20"/>
              </w:rPr>
              <w:t>na</w:t>
            </w:r>
            <w:proofErr w:type="spellEnd"/>
            <w:r w:rsidRPr="000C0FB8">
              <w:rPr>
                <w:rFonts w:cstheme="minorHAnsi"/>
                <w:sz w:val="20"/>
                <w:szCs w:val="20"/>
              </w:rPr>
              <w:t xml:space="preserve"> </w:t>
            </w:r>
            <w:proofErr w:type="spellStart"/>
            <w:r w:rsidRPr="000C0FB8">
              <w:rPr>
                <w:rFonts w:cstheme="minorHAnsi"/>
                <w:sz w:val="20"/>
                <w:szCs w:val="20"/>
              </w:rPr>
              <w:t>prikupljenim</w:t>
            </w:r>
            <w:proofErr w:type="spellEnd"/>
            <w:r w:rsidRPr="000C0FB8">
              <w:rPr>
                <w:rFonts w:cstheme="minorHAnsi"/>
                <w:sz w:val="20"/>
                <w:szCs w:val="20"/>
              </w:rPr>
              <w:t xml:space="preserve"> </w:t>
            </w:r>
            <w:proofErr w:type="spellStart"/>
            <w:r w:rsidRPr="000C0FB8">
              <w:rPr>
                <w:rFonts w:cstheme="minorHAnsi"/>
                <w:sz w:val="20"/>
                <w:szCs w:val="20"/>
              </w:rPr>
              <w:t>iskustvima</w:t>
            </w:r>
            <w:proofErr w:type="spellEnd"/>
          </w:p>
        </w:tc>
      </w:tr>
      <w:tr w:rsidR="00A00D87" w:rsidRPr="000C0FB8" w14:paraId="6CD57BC6" w14:textId="77777777" w:rsidTr="006D442E">
        <w:trPr>
          <w:trHeight w:val="1046"/>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DB3EE1"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Institucija</w:t>
            </w:r>
            <w:proofErr w:type="spellEnd"/>
            <w:r w:rsidRPr="000C0FB8">
              <w:rPr>
                <w:rFonts w:cstheme="minorHAnsi"/>
                <w:b/>
                <w:sz w:val="20"/>
                <w:szCs w:val="20"/>
              </w:rPr>
              <w:t xml:space="preserve"> </w:t>
            </w:r>
          </w:p>
          <w:p w14:paraId="5E07EEAA"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odgovorna</w:t>
            </w:r>
            <w:proofErr w:type="spellEnd"/>
            <w:r w:rsidRPr="000C0FB8">
              <w:rPr>
                <w:rFonts w:cstheme="minorHAnsi"/>
                <w:b/>
                <w:sz w:val="20"/>
                <w:szCs w:val="20"/>
              </w:rPr>
              <w:t xml:space="preserve"> za </w:t>
            </w:r>
            <w:proofErr w:type="spellStart"/>
            <w:r w:rsidRPr="000C0FB8">
              <w:rPr>
                <w:rFonts w:cstheme="minorHAnsi"/>
                <w:b/>
                <w:sz w:val="20"/>
                <w:szCs w:val="20"/>
              </w:rPr>
              <w:t>koordinaciju</w:t>
            </w:r>
            <w:proofErr w:type="spellEnd"/>
            <w:r w:rsidRPr="000C0FB8">
              <w:rPr>
                <w:rFonts w:cstheme="minorHAnsi"/>
                <w:b/>
                <w:sz w:val="20"/>
                <w:szCs w:val="20"/>
              </w:rPr>
              <w:t xml:space="preserve"> </w:t>
            </w:r>
            <w:proofErr w:type="spellStart"/>
            <w:r w:rsidRPr="000C0FB8">
              <w:rPr>
                <w:rFonts w:cstheme="minorHAnsi"/>
                <w:b/>
                <w:sz w:val="20"/>
                <w:szCs w:val="20"/>
              </w:rPr>
              <w:t>implementacije</w:t>
            </w:r>
            <w:proofErr w:type="spellEnd"/>
            <w:r w:rsidRPr="000C0FB8">
              <w:rPr>
                <w:rFonts w:cstheme="minorHAnsi"/>
                <w:b/>
                <w:sz w:val="20"/>
                <w:szCs w:val="20"/>
              </w:rPr>
              <w:t xml:space="preserve"> </w:t>
            </w:r>
            <w:proofErr w:type="spellStart"/>
            <w:r w:rsidRPr="000C0FB8">
              <w:rPr>
                <w:rFonts w:cstheme="minorHAnsi"/>
                <w:b/>
                <w:sz w:val="20"/>
                <w:szCs w:val="20"/>
              </w:rPr>
              <w:t>mjere</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vAlign w:val="center"/>
          </w:tcPr>
          <w:p w14:paraId="715BE10C" w14:textId="77777777" w:rsidR="00A00D87" w:rsidRPr="000C0FB8" w:rsidRDefault="00A00D87" w:rsidP="00E6560A">
            <w:pPr>
              <w:spacing w:line="259" w:lineRule="auto"/>
              <w:ind w:left="1"/>
              <w:jc w:val="both"/>
              <w:rPr>
                <w:rFonts w:cstheme="minorHAnsi"/>
                <w:sz w:val="20"/>
                <w:szCs w:val="20"/>
              </w:rPr>
            </w:pPr>
            <w:r w:rsidRPr="000C0FB8">
              <w:rPr>
                <w:rFonts w:cstheme="minorHAnsi"/>
                <w:sz w:val="20"/>
                <w:szCs w:val="20"/>
              </w:rPr>
              <w:t>Federalno ministarstvo prostornog uređenja, Federalno ministarstvo okoliša i turizma, Fond za zaštitu okoliša FBiH</w:t>
            </w:r>
          </w:p>
        </w:tc>
      </w:tr>
      <w:tr w:rsidR="00A00D87" w:rsidRPr="000C0FB8" w14:paraId="7AF10FDD" w14:textId="77777777" w:rsidTr="006D442E">
        <w:trPr>
          <w:trHeight w:val="422"/>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4FA42DB"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Nosioci</w:t>
            </w:r>
            <w:proofErr w:type="spellEnd"/>
            <w:r w:rsidRPr="000C0FB8">
              <w:rPr>
                <w:rFonts w:cstheme="minorHAnsi"/>
                <w:b/>
                <w:sz w:val="20"/>
                <w:szCs w:val="20"/>
              </w:rPr>
              <w:t xml:space="preserve"> </w:t>
            </w:r>
            <w:proofErr w:type="spellStart"/>
            <w:r w:rsidRPr="000C0FB8">
              <w:rPr>
                <w:rFonts w:cstheme="minorHAnsi"/>
                <w:b/>
                <w:sz w:val="20"/>
                <w:szCs w:val="20"/>
              </w:rPr>
              <w:t>mjere</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tcPr>
          <w:p w14:paraId="1FE3A301" w14:textId="77777777" w:rsidR="00A00D87" w:rsidRPr="000C0FB8" w:rsidRDefault="00A00D87" w:rsidP="00E6560A">
            <w:pPr>
              <w:spacing w:line="259" w:lineRule="auto"/>
              <w:ind w:left="1" w:right="3"/>
              <w:jc w:val="both"/>
              <w:rPr>
                <w:rFonts w:cstheme="minorHAnsi"/>
                <w:sz w:val="20"/>
                <w:szCs w:val="20"/>
              </w:rPr>
            </w:pPr>
            <w:proofErr w:type="spellStart"/>
            <w:r w:rsidRPr="000C0FB8">
              <w:rPr>
                <w:rFonts w:cstheme="minorHAnsi"/>
                <w:sz w:val="20"/>
                <w:szCs w:val="20"/>
              </w:rPr>
              <w:t>Kantonalna</w:t>
            </w:r>
            <w:proofErr w:type="spellEnd"/>
            <w:r w:rsidRPr="000C0FB8">
              <w:rPr>
                <w:rFonts w:cstheme="minorHAnsi"/>
                <w:sz w:val="20"/>
                <w:szCs w:val="20"/>
              </w:rPr>
              <w:t xml:space="preserve"> </w:t>
            </w:r>
            <w:proofErr w:type="spellStart"/>
            <w:r w:rsidRPr="000C0FB8">
              <w:rPr>
                <w:rFonts w:cstheme="minorHAnsi"/>
                <w:sz w:val="20"/>
                <w:szCs w:val="20"/>
              </w:rPr>
              <w:t>ministarstva</w:t>
            </w:r>
            <w:proofErr w:type="spellEnd"/>
            <w:r w:rsidRPr="000C0FB8">
              <w:rPr>
                <w:rFonts w:cstheme="minorHAnsi"/>
                <w:sz w:val="20"/>
                <w:szCs w:val="20"/>
              </w:rPr>
              <w:t xml:space="preserve"> </w:t>
            </w:r>
            <w:proofErr w:type="spellStart"/>
            <w:r w:rsidRPr="000C0FB8">
              <w:rPr>
                <w:rFonts w:cstheme="minorHAnsi"/>
                <w:sz w:val="20"/>
                <w:szCs w:val="20"/>
              </w:rPr>
              <w:t>nadležna</w:t>
            </w:r>
            <w:proofErr w:type="spellEnd"/>
            <w:r w:rsidRPr="000C0FB8">
              <w:rPr>
                <w:rFonts w:cstheme="minorHAnsi"/>
                <w:sz w:val="20"/>
                <w:szCs w:val="20"/>
              </w:rPr>
              <w:t xml:space="preserve"> za </w:t>
            </w:r>
            <w:proofErr w:type="spellStart"/>
            <w:r w:rsidRPr="000C0FB8">
              <w:rPr>
                <w:rFonts w:cstheme="minorHAnsi"/>
                <w:sz w:val="20"/>
                <w:szCs w:val="20"/>
              </w:rPr>
              <w:t>prostorno</w:t>
            </w:r>
            <w:proofErr w:type="spellEnd"/>
            <w:r w:rsidRPr="000C0FB8">
              <w:rPr>
                <w:rFonts w:cstheme="minorHAnsi"/>
                <w:sz w:val="20"/>
                <w:szCs w:val="20"/>
              </w:rPr>
              <w:t xml:space="preserve"> </w:t>
            </w:r>
            <w:proofErr w:type="spellStart"/>
            <w:r w:rsidRPr="000C0FB8">
              <w:rPr>
                <w:rFonts w:cstheme="minorHAnsi"/>
                <w:sz w:val="20"/>
                <w:szCs w:val="20"/>
              </w:rPr>
              <w:t>uređenje</w:t>
            </w:r>
            <w:proofErr w:type="spellEnd"/>
            <w:r w:rsidRPr="000C0FB8">
              <w:rPr>
                <w:rFonts w:cstheme="minorHAnsi"/>
                <w:sz w:val="20"/>
                <w:szCs w:val="20"/>
              </w:rPr>
              <w:t xml:space="preserve">, </w:t>
            </w:r>
            <w:proofErr w:type="spellStart"/>
            <w:r w:rsidRPr="000C0FB8">
              <w:rPr>
                <w:rFonts w:cstheme="minorHAnsi"/>
                <w:sz w:val="20"/>
                <w:szCs w:val="20"/>
              </w:rPr>
              <w:t>kantonalni</w:t>
            </w:r>
            <w:proofErr w:type="spellEnd"/>
            <w:r w:rsidRPr="000C0FB8">
              <w:rPr>
                <w:rFonts w:cstheme="minorHAnsi"/>
                <w:sz w:val="20"/>
                <w:szCs w:val="20"/>
              </w:rPr>
              <w:t xml:space="preserve"> </w:t>
            </w:r>
            <w:proofErr w:type="spellStart"/>
            <w:r w:rsidRPr="000C0FB8">
              <w:rPr>
                <w:rFonts w:cstheme="minorHAnsi"/>
                <w:sz w:val="20"/>
                <w:szCs w:val="20"/>
              </w:rPr>
              <w:t>fondovi</w:t>
            </w:r>
            <w:proofErr w:type="spellEnd"/>
            <w:r w:rsidRPr="000C0FB8">
              <w:rPr>
                <w:rFonts w:cstheme="minorHAnsi"/>
                <w:sz w:val="20"/>
                <w:szCs w:val="20"/>
              </w:rPr>
              <w:t xml:space="preserve"> za zaštitu okoliša, </w:t>
            </w:r>
            <w:proofErr w:type="spellStart"/>
            <w:r w:rsidRPr="000C0FB8">
              <w:rPr>
                <w:rFonts w:cstheme="minorHAnsi"/>
                <w:sz w:val="20"/>
                <w:szCs w:val="20"/>
              </w:rPr>
              <w:t>te</w:t>
            </w:r>
            <w:proofErr w:type="spellEnd"/>
            <w:r w:rsidRPr="000C0FB8">
              <w:rPr>
                <w:rFonts w:cstheme="minorHAnsi"/>
                <w:sz w:val="20"/>
                <w:szCs w:val="20"/>
              </w:rPr>
              <w:t xml:space="preserve"> </w:t>
            </w:r>
            <w:proofErr w:type="spellStart"/>
            <w:r w:rsidRPr="000C0FB8">
              <w:rPr>
                <w:rFonts w:cstheme="minorHAnsi"/>
                <w:sz w:val="20"/>
                <w:szCs w:val="20"/>
              </w:rPr>
              <w:t>jedinice</w:t>
            </w:r>
            <w:proofErr w:type="spellEnd"/>
            <w:r w:rsidRPr="000C0FB8">
              <w:rPr>
                <w:rFonts w:cstheme="minorHAnsi"/>
                <w:sz w:val="20"/>
                <w:szCs w:val="20"/>
              </w:rPr>
              <w:t xml:space="preserve"> </w:t>
            </w:r>
            <w:proofErr w:type="spellStart"/>
            <w:r w:rsidRPr="000C0FB8">
              <w:rPr>
                <w:rFonts w:cstheme="minorHAnsi"/>
                <w:sz w:val="20"/>
                <w:szCs w:val="20"/>
              </w:rPr>
              <w:t>lokalne</w:t>
            </w:r>
            <w:proofErr w:type="spellEnd"/>
            <w:r w:rsidRPr="000C0FB8">
              <w:rPr>
                <w:rFonts w:cstheme="minorHAnsi"/>
                <w:sz w:val="20"/>
                <w:szCs w:val="20"/>
              </w:rPr>
              <w:t xml:space="preserve"> </w:t>
            </w:r>
            <w:proofErr w:type="spellStart"/>
            <w:r w:rsidRPr="000C0FB8">
              <w:rPr>
                <w:rFonts w:cstheme="minorHAnsi"/>
                <w:sz w:val="20"/>
                <w:szCs w:val="20"/>
              </w:rPr>
              <w:t>samouprave</w:t>
            </w:r>
            <w:proofErr w:type="spellEnd"/>
            <w:r w:rsidRPr="000C0FB8">
              <w:rPr>
                <w:rFonts w:cstheme="minorHAnsi"/>
                <w:sz w:val="20"/>
                <w:szCs w:val="20"/>
              </w:rPr>
              <w:t>.</w:t>
            </w:r>
          </w:p>
        </w:tc>
      </w:tr>
      <w:tr w:rsidR="00A00D87" w:rsidRPr="000C0FB8" w14:paraId="5C625508" w14:textId="77777777" w:rsidTr="006D442E">
        <w:trPr>
          <w:trHeight w:val="217"/>
        </w:trPr>
        <w:tc>
          <w:tcPr>
            <w:tcW w:w="17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FA7B76" w14:textId="77777777" w:rsidR="00A00D87" w:rsidRPr="000C0FB8" w:rsidRDefault="00A00D87" w:rsidP="00122946">
            <w:pPr>
              <w:spacing w:line="259" w:lineRule="auto"/>
              <w:rPr>
                <w:rFonts w:cstheme="minorHAnsi"/>
                <w:sz w:val="20"/>
                <w:szCs w:val="20"/>
              </w:rPr>
            </w:pPr>
            <w:proofErr w:type="spellStart"/>
            <w:r w:rsidRPr="000C0FB8">
              <w:rPr>
                <w:rFonts w:cstheme="minorHAnsi"/>
                <w:b/>
                <w:sz w:val="20"/>
                <w:szCs w:val="20"/>
              </w:rPr>
              <w:t>Ciljne</w:t>
            </w:r>
            <w:proofErr w:type="spellEnd"/>
            <w:r w:rsidRPr="000C0FB8">
              <w:rPr>
                <w:rFonts w:cstheme="minorHAnsi"/>
                <w:b/>
                <w:sz w:val="20"/>
                <w:szCs w:val="20"/>
              </w:rPr>
              <w:t xml:space="preserve"> </w:t>
            </w:r>
            <w:proofErr w:type="spellStart"/>
            <w:r w:rsidRPr="000C0FB8">
              <w:rPr>
                <w:rFonts w:cstheme="minorHAnsi"/>
                <w:b/>
                <w:sz w:val="20"/>
                <w:szCs w:val="20"/>
              </w:rPr>
              <w:t>grupe</w:t>
            </w:r>
            <w:proofErr w:type="spellEnd"/>
            <w:r w:rsidRPr="000C0FB8">
              <w:rPr>
                <w:rFonts w:cstheme="minorHAnsi"/>
                <w:b/>
                <w:sz w:val="20"/>
                <w:szCs w:val="20"/>
              </w:rPr>
              <w:t xml:space="preserve"> </w:t>
            </w:r>
          </w:p>
        </w:tc>
        <w:tc>
          <w:tcPr>
            <w:tcW w:w="7498" w:type="dxa"/>
            <w:gridSpan w:val="3"/>
            <w:tcBorders>
              <w:top w:val="single" w:sz="4" w:space="0" w:color="000000"/>
              <w:left w:val="single" w:sz="4" w:space="0" w:color="000000"/>
              <w:bottom w:val="single" w:sz="4" w:space="0" w:color="000000"/>
              <w:right w:val="single" w:sz="4" w:space="0" w:color="000000"/>
            </w:tcBorders>
          </w:tcPr>
          <w:p w14:paraId="005F202F" w14:textId="77777777" w:rsidR="00A00D87" w:rsidRPr="000C0FB8" w:rsidRDefault="00A00D87" w:rsidP="00E6560A">
            <w:pPr>
              <w:spacing w:line="259" w:lineRule="auto"/>
              <w:ind w:left="1"/>
              <w:jc w:val="both"/>
              <w:rPr>
                <w:rFonts w:cstheme="minorHAnsi"/>
                <w:sz w:val="20"/>
                <w:szCs w:val="20"/>
              </w:rPr>
            </w:pPr>
            <w:proofErr w:type="spellStart"/>
            <w:r w:rsidRPr="000C0FB8">
              <w:rPr>
                <w:rFonts w:cstheme="minorHAnsi"/>
                <w:sz w:val="20"/>
                <w:szCs w:val="20"/>
              </w:rPr>
              <w:t>Stanovništvo</w:t>
            </w:r>
            <w:proofErr w:type="spellEnd"/>
            <w:r w:rsidRPr="000C0FB8">
              <w:rPr>
                <w:rFonts w:cstheme="minorHAnsi"/>
                <w:sz w:val="20"/>
                <w:szCs w:val="20"/>
              </w:rPr>
              <w:t xml:space="preserve"> FBiH</w:t>
            </w:r>
          </w:p>
        </w:tc>
      </w:tr>
    </w:tbl>
    <w:p w14:paraId="43650952" w14:textId="77777777" w:rsidR="00A00D87" w:rsidRDefault="00A00D87" w:rsidP="00A00D87"/>
    <w:p w14:paraId="162368DB" w14:textId="77777777" w:rsidR="00A00D87" w:rsidRPr="0097346D" w:rsidRDefault="00A00D87" w:rsidP="00A00D87">
      <w:pPr>
        <w:tabs>
          <w:tab w:val="left" w:pos="3180"/>
        </w:tabs>
        <w:rPr>
          <w:i/>
          <w:iCs/>
          <w:lang w:val="bs-Latn-BA"/>
        </w:rPr>
      </w:pPr>
      <w:r w:rsidRPr="0097346D">
        <w:rPr>
          <w:i/>
          <w:iCs/>
          <w:lang w:val="bs-Latn-BA"/>
        </w:rPr>
        <w:lastRenderedPageBreak/>
        <w:t>** Kolona „Polazne vrijednosti“ odnosi se na godinu izrade strateškog dokumenta ili na godinu u kojoj su traženi podaci bili dostupni.</w:t>
      </w:r>
    </w:p>
    <w:p w14:paraId="677A59C5" w14:textId="77777777" w:rsidR="00A00D87" w:rsidRPr="0097346D" w:rsidRDefault="00A00D87" w:rsidP="00A00D87">
      <w:pPr>
        <w:tabs>
          <w:tab w:val="left" w:pos="3180"/>
        </w:tabs>
        <w:rPr>
          <w:i/>
          <w:iCs/>
          <w:lang w:val="bs-Latn-BA"/>
        </w:rPr>
      </w:pPr>
      <w:r w:rsidRPr="0097346D">
        <w:rPr>
          <w:i/>
          <w:iCs/>
          <w:lang w:val="bs-Latn-BA"/>
        </w:rPr>
        <w:t>*** Kolona „Ciljne vrijednosti“ odnosi se na posljednju godinu provedbe strateškog dokumenta.</w:t>
      </w:r>
    </w:p>
    <w:p w14:paraId="5BD2CDF4" w14:textId="77777777" w:rsidR="00A00D87" w:rsidRPr="001972F5" w:rsidRDefault="00A00D87" w:rsidP="00A00D87">
      <w:pPr>
        <w:rPr>
          <w:lang w:val="bs-Latn-BA"/>
        </w:rPr>
      </w:pPr>
    </w:p>
    <w:p w14:paraId="583FEFDB" w14:textId="588119BF" w:rsidR="00C74274" w:rsidRPr="008924E0" w:rsidRDefault="00C74274" w:rsidP="00840EE9">
      <w:pPr>
        <w:tabs>
          <w:tab w:val="left" w:pos="3180"/>
        </w:tabs>
        <w:rPr>
          <w:lang w:val="bs-Latn-BA"/>
        </w:rPr>
        <w:sectPr w:rsidR="00C74274" w:rsidRPr="008924E0">
          <w:pgSz w:w="11907" w:h="16840"/>
          <w:pgMar w:top="1276" w:right="1440" w:bottom="1440" w:left="1440" w:header="284" w:footer="295" w:gutter="0"/>
          <w:cols w:space="720"/>
          <w:titlePg/>
        </w:sectPr>
      </w:pPr>
    </w:p>
    <w:p w14:paraId="7CA5BF19" w14:textId="62970E60" w:rsidR="00E606B9" w:rsidRPr="00CD4A0D" w:rsidRDefault="00E606B9" w:rsidP="00CD4A0D">
      <w:pPr>
        <w:pStyle w:val="Heading1"/>
        <w:numPr>
          <w:ilvl w:val="0"/>
          <w:numId w:val="0"/>
        </w:numPr>
        <w:rPr>
          <w:lang w:val="bs-Latn-BA"/>
        </w:rPr>
      </w:pPr>
      <w:bookmarkStart w:id="276" w:name="_Toc134011838"/>
      <w:r w:rsidRPr="008924E0">
        <w:rPr>
          <w:lang w:val="bs-Latn-BA"/>
        </w:rPr>
        <w:lastRenderedPageBreak/>
        <w:t>ANEKS 11.</w:t>
      </w:r>
      <w:r w:rsidR="001A4D88">
        <w:rPr>
          <w:lang w:val="bs-Latn-BA"/>
        </w:rPr>
        <w:t>6</w:t>
      </w:r>
      <w:r w:rsidRPr="008924E0">
        <w:rPr>
          <w:lang w:val="bs-Latn-BA"/>
        </w:rPr>
        <w:t>.</w:t>
      </w:r>
      <w:bookmarkEnd w:id="276"/>
      <w:r w:rsidRPr="008924E0">
        <w:rPr>
          <w:lang w:val="bs-Latn-BA"/>
        </w:rPr>
        <w:t xml:space="preserve"> </w:t>
      </w:r>
    </w:p>
    <w:p w14:paraId="2951810D" w14:textId="41435C90" w:rsidR="00E606B9" w:rsidRDefault="00E606B9" w:rsidP="00586694">
      <w:pPr>
        <w:pStyle w:val="Heading2"/>
        <w:numPr>
          <w:ilvl w:val="0"/>
          <w:numId w:val="0"/>
        </w:numPr>
        <w:rPr>
          <w:lang w:val="bs-Latn-BA"/>
        </w:rPr>
      </w:pPr>
      <w:bookmarkStart w:id="277" w:name="_Toc134011839"/>
      <w:r w:rsidRPr="00586694">
        <w:rPr>
          <w:lang w:val="bs-Latn-BA"/>
        </w:rPr>
        <w:t xml:space="preserve">Indikativni </w:t>
      </w:r>
      <w:r w:rsidR="007B690C">
        <w:rPr>
          <w:lang w:val="bs-Latn-BA"/>
        </w:rPr>
        <w:t>financ</w:t>
      </w:r>
      <w:r w:rsidRPr="00586694">
        <w:rPr>
          <w:lang w:val="bs-Latn-BA"/>
        </w:rPr>
        <w:t>ijski okvir 2020</w:t>
      </w:r>
      <w:r w:rsidR="00CE3B53">
        <w:rPr>
          <w:lang w:val="bs-Latn-BA"/>
        </w:rPr>
        <w:t>.</w:t>
      </w:r>
      <w:r w:rsidRPr="00586694">
        <w:rPr>
          <w:lang w:val="bs-Latn-BA"/>
        </w:rPr>
        <w:t>-2030</w:t>
      </w:r>
      <w:r w:rsidR="00CE3B53">
        <w:rPr>
          <w:lang w:val="bs-Latn-BA"/>
        </w:rPr>
        <w:t>.</w:t>
      </w:r>
      <w:bookmarkEnd w:id="277"/>
    </w:p>
    <w:tbl>
      <w:tblPr>
        <w:tblW w:w="14215" w:type="dxa"/>
        <w:tblInd w:w="27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left w:w="29" w:type="dxa"/>
          <w:right w:w="43" w:type="dxa"/>
        </w:tblCellMar>
        <w:tblLook w:val="01E0" w:firstRow="1" w:lastRow="1" w:firstColumn="1" w:lastColumn="1" w:noHBand="0" w:noVBand="0"/>
      </w:tblPr>
      <w:tblGrid>
        <w:gridCol w:w="3443"/>
        <w:gridCol w:w="2173"/>
        <w:gridCol w:w="753"/>
        <w:gridCol w:w="956"/>
        <w:gridCol w:w="1796"/>
        <w:gridCol w:w="1169"/>
        <w:gridCol w:w="515"/>
        <w:gridCol w:w="1438"/>
        <w:gridCol w:w="1972"/>
      </w:tblGrid>
      <w:tr w:rsidR="000937A0" w:rsidRPr="001972F5" w14:paraId="00D0255B" w14:textId="77777777" w:rsidTr="001633C2">
        <w:trPr>
          <w:trHeight w:val="611"/>
        </w:trPr>
        <w:tc>
          <w:tcPr>
            <w:tcW w:w="14215" w:type="dxa"/>
            <w:gridSpan w:val="9"/>
            <w:shd w:val="clear" w:color="auto" w:fill="006432"/>
            <w:vAlign w:val="center"/>
          </w:tcPr>
          <w:p w14:paraId="3989CB67" w14:textId="0D43D934" w:rsidR="000937A0" w:rsidRPr="00856D94" w:rsidRDefault="000937A0" w:rsidP="00847E0C">
            <w:pPr>
              <w:pStyle w:val="TableParagraph"/>
              <w:spacing w:before="20"/>
              <w:ind w:left="4746" w:right="4730"/>
              <w:jc w:val="center"/>
              <w:rPr>
                <w:rFonts w:asciiTheme="minorHAnsi" w:hAnsiTheme="minorHAnsi" w:cstheme="minorHAnsi"/>
                <w:b/>
                <w:sz w:val="20"/>
                <w:szCs w:val="20"/>
                <w:lang w:val="bs-Latn-BA"/>
              </w:rPr>
            </w:pPr>
            <w:r w:rsidRPr="00856D94">
              <w:rPr>
                <w:rFonts w:asciiTheme="minorHAnsi" w:hAnsiTheme="minorHAnsi" w:cstheme="minorHAnsi"/>
                <w:b/>
                <w:color w:val="FFFFFF"/>
                <w:sz w:val="20"/>
                <w:szCs w:val="20"/>
                <w:lang w:val="bs-Latn-BA"/>
              </w:rPr>
              <w:t>INDIKATIVNI</w:t>
            </w:r>
            <w:r w:rsidRPr="00856D94">
              <w:rPr>
                <w:rFonts w:asciiTheme="minorHAnsi" w:hAnsiTheme="minorHAnsi" w:cstheme="minorHAnsi"/>
                <w:b/>
                <w:color w:val="FFFFFF"/>
                <w:spacing w:val="-4"/>
                <w:sz w:val="20"/>
                <w:szCs w:val="20"/>
                <w:lang w:val="bs-Latn-BA"/>
              </w:rPr>
              <w:t xml:space="preserve"> </w:t>
            </w:r>
            <w:r w:rsidR="007B690C" w:rsidRPr="00856D94">
              <w:rPr>
                <w:rFonts w:asciiTheme="minorHAnsi" w:hAnsiTheme="minorHAnsi" w:cstheme="minorHAnsi"/>
                <w:b/>
                <w:color w:val="FFFFFF"/>
                <w:sz w:val="20"/>
                <w:szCs w:val="20"/>
                <w:lang w:val="bs-Latn-BA"/>
              </w:rPr>
              <w:t>FINANC</w:t>
            </w:r>
            <w:r w:rsidRPr="00856D94">
              <w:rPr>
                <w:rFonts w:asciiTheme="minorHAnsi" w:hAnsiTheme="minorHAnsi" w:cstheme="minorHAnsi"/>
                <w:b/>
                <w:color w:val="FFFFFF"/>
                <w:sz w:val="20"/>
                <w:szCs w:val="20"/>
                <w:lang w:val="bs-Latn-BA"/>
              </w:rPr>
              <w:t>IJSKI</w:t>
            </w:r>
            <w:r w:rsidRPr="00856D94">
              <w:rPr>
                <w:rFonts w:asciiTheme="minorHAnsi" w:hAnsiTheme="minorHAnsi" w:cstheme="minorHAnsi"/>
                <w:b/>
                <w:color w:val="FFFFFF"/>
                <w:spacing w:val="-2"/>
                <w:sz w:val="20"/>
                <w:szCs w:val="20"/>
                <w:lang w:val="bs-Latn-BA"/>
              </w:rPr>
              <w:t xml:space="preserve"> </w:t>
            </w:r>
            <w:r w:rsidRPr="00856D94">
              <w:rPr>
                <w:rFonts w:asciiTheme="minorHAnsi" w:hAnsiTheme="minorHAnsi" w:cstheme="minorHAnsi"/>
                <w:b/>
                <w:color w:val="FFFFFF"/>
                <w:sz w:val="20"/>
                <w:szCs w:val="20"/>
                <w:lang w:val="bs-Latn-BA"/>
              </w:rPr>
              <w:t>OKVIR</w:t>
            </w:r>
          </w:p>
          <w:p w14:paraId="764CF140" w14:textId="6A21382C" w:rsidR="000937A0" w:rsidRPr="00856D94" w:rsidRDefault="000937A0" w:rsidP="00847E0C">
            <w:pPr>
              <w:jc w:val="center"/>
              <w:rPr>
                <w:rFonts w:asciiTheme="minorHAnsi" w:hAnsiTheme="minorHAnsi" w:cstheme="minorHAnsi"/>
                <w:b/>
                <w:sz w:val="20"/>
                <w:szCs w:val="20"/>
                <w:lang w:val="bs-Latn-BA"/>
              </w:rPr>
            </w:pPr>
            <w:r w:rsidRPr="00856D94">
              <w:rPr>
                <w:rFonts w:asciiTheme="minorHAnsi" w:hAnsiTheme="minorHAnsi" w:cstheme="minorHAnsi"/>
                <w:b/>
                <w:color w:val="FFFFFF" w:themeColor="background1"/>
                <w:sz w:val="20"/>
                <w:szCs w:val="20"/>
                <w:lang w:val="bs-Latn-BA"/>
              </w:rPr>
              <w:t xml:space="preserve">Strategija obnove zgrada u FBiH 2020. - 2030. </w:t>
            </w:r>
          </w:p>
        </w:tc>
      </w:tr>
      <w:tr w:rsidR="000937A0" w:rsidRPr="00856D94" w14:paraId="33AEEE34" w14:textId="77777777" w:rsidTr="001633C2">
        <w:trPr>
          <w:trHeight w:val="408"/>
        </w:trPr>
        <w:tc>
          <w:tcPr>
            <w:tcW w:w="5616" w:type="dxa"/>
            <w:gridSpan w:val="2"/>
            <w:vMerge w:val="restart"/>
            <w:shd w:val="clear" w:color="auto" w:fill="006432"/>
          </w:tcPr>
          <w:p w14:paraId="4C35C656" w14:textId="77777777" w:rsidR="000937A0" w:rsidRPr="00856D94" w:rsidRDefault="000937A0" w:rsidP="00847E0C">
            <w:pPr>
              <w:pStyle w:val="TableParagraph"/>
              <w:rPr>
                <w:rFonts w:asciiTheme="minorHAnsi" w:hAnsiTheme="minorHAnsi" w:cstheme="minorHAnsi"/>
                <w:b/>
                <w:color w:val="FFFFFF" w:themeColor="background1"/>
                <w:sz w:val="20"/>
                <w:szCs w:val="20"/>
                <w:lang w:val="bs-Latn-BA"/>
              </w:rPr>
            </w:pPr>
          </w:p>
          <w:p w14:paraId="4606A683"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Strateški cilj - Postojeći fond zgrada FBiH transformiran </w:t>
            </w:r>
          </w:p>
          <w:p w14:paraId="082EC9A8"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u energijski visokoefikasan i dekarboniziran fond zgrada </w:t>
            </w:r>
          </w:p>
          <w:p w14:paraId="05FAF240"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do 2050. godine </w:t>
            </w:r>
          </w:p>
          <w:p w14:paraId="072C27EB" w14:textId="77777777" w:rsidR="000937A0" w:rsidRPr="00856D94" w:rsidRDefault="000937A0" w:rsidP="00847E0C">
            <w:pPr>
              <w:pStyle w:val="TableParagraph"/>
              <w:ind w:left="379"/>
              <w:rPr>
                <w:rFonts w:asciiTheme="minorHAnsi" w:hAnsiTheme="minorHAnsi" w:cstheme="minorHAnsi"/>
                <w:b/>
                <w:color w:val="FFFFFF" w:themeColor="background1"/>
                <w:sz w:val="20"/>
                <w:szCs w:val="20"/>
                <w:lang w:val="bs-Latn-BA"/>
              </w:rPr>
            </w:pPr>
          </w:p>
        </w:tc>
        <w:tc>
          <w:tcPr>
            <w:tcW w:w="1709" w:type="dxa"/>
            <w:gridSpan w:val="2"/>
            <w:vMerge w:val="restart"/>
            <w:shd w:val="clear" w:color="auto" w:fill="006432"/>
          </w:tcPr>
          <w:p w14:paraId="44040B5B" w14:textId="77777777" w:rsidR="000937A0" w:rsidRPr="00856D94" w:rsidRDefault="000937A0" w:rsidP="00847E0C">
            <w:pPr>
              <w:pStyle w:val="TableParagraph"/>
              <w:spacing w:before="11"/>
              <w:jc w:val="right"/>
              <w:rPr>
                <w:rFonts w:asciiTheme="minorHAnsi" w:hAnsiTheme="minorHAnsi" w:cstheme="minorHAnsi"/>
                <w:b/>
                <w:color w:val="FFFFFF" w:themeColor="background1"/>
                <w:sz w:val="20"/>
                <w:szCs w:val="20"/>
                <w:lang w:val="bs-Latn-BA"/>
              </w:rPr>
            </w:pPr>
          </w:p>
          <w:p w14:paraId="6A34899B" w14:textId="636D9DD2" w:rsidR="000937A0" w:rsidRPr="00856D94" w:rsidRDefault="000937A0" w:rsidP="00847E0C">
            <w:pPr>
              <w:pStyle w:val="TableParagraph"/>
              <w:spacing w:line="278" w:lineRule="auto"/>
              <w:ind w:right="226"/>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Struktura</w:t>
            </w:r>
            <w:r w:rsidRPr="00856D94">
              <w:rPr>
                <w:rFonts w:asciiTheme="minorHAnsi" w:hAnsiTheme="minorHAnsi" w:cstheme="minorHAnsi"/>
                <w:b/>
                <w:color w:val="FFFFFF" w:themeColor="background1"/>
                <w:spacing w:val="1"/>
                <w:sz w:val="20"/>
                <w:szCs w:val="20"/>
                <w:lang w:val="bs-Latn-BA"/>
              </w:rPr>
              <w:t xml:space="preserve"> </w:t>
            </w:r>
            <w:r w:rsidR="007B690C" w:rsidRPr="00856D94">
              <w:rPr>
                <w:rFonts w:asciiTheme="minorHAnsi" w:hAnsiTheme="minorHAnsi" w:cstheme="minorHAnsi"/>
                <w:b/>
                <w:color w:val="FFFFFF" w:themeColor="background1"/>
                <w:sz w:val="20"/>
                <w:szCs w:val="20"/>
                <w:lang w:val="bs-Latn-BA"/>
              </w:rPr>
              <w:t>financ</w:t>
            </w:r>
            <w:r w:rsidRPr="00856D94">
              <w:rPr>
                <w:rFonts w:asciiTheme="minorHAnsi" w:hAnsiTheme="minorHAnsi" w:cstheme="minorHAnsi"/>
                <w:b/>
                <w:color w:val="FFFFFF" w:themeColor="background1"/>
                <w:sz w:val="20"/>
                <w:szCs w:val="20"/>
                <w:lang w:val="bs-Latn-BA"/>
              </w:rPr>
              <w:t>iranja (%)*</w:t>
            </w:r>
          </w:p>
        </w:tc>
        <w:tc>
          <w:tcPr>
            <w:tcW w:w="1796" w:type="dxa"/>
            <w:vMerge w:val="restart"/>
            <w:shd w:val="clear" w:color="auto" w:fill="006432"/>
          </w:tcPr>
          <w:p w14:paraId="7C90008E" w14:textId="77777777" w:rsidR="000937A0" w:rsidRPr="00856D94" w:rsidRDefault="000937A0" w:rsidP="00847E0C">
            <w:pPr>
              <w:pStyle w:val="TableParagraph"/>
              <w:jc w:val="right"/>
              <w:rPr>
                <w:rFonts w:asciiTheme="minorHAnsi" w:hAnsiTheme="minorHAnsi" w:cstheme="minorHAnsi"/>
                <w:b/>
                <w:color w:val="FFFFFF" w:themeColor="background1"/>
                <w:sz w:val="20"/>
                <w:szCs w:val="20"/>
                <w:lang w:val="bs-Latn-BA"/>
              </w:rPr>
            </w:pPr>
          </w:p>
          <w:p w14:paraId="3B725474" w14:textId="77777777" w:rsidR="000937A0" w:rsidRPr="00856D94" w:rsidRDefault="000937A0" w:rsidP="00847E0C">
            <w:pPr>
              <w:pStyle w:val="TableParagraph"/>
              <w:tabs>
                <w:tab w:val="left" w:pos="1382"/>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Ukupno</w:t>
            </w:r>
          </w:p>
          <w:p w14:paraId="2C1EAC33" w14:textId="77777777" w:rsidR="000937A0" w:rsidRPr="00856D94" w:rsidRDefault="000937A0" w:rsidP="00847E0C">
            <w:pPr>
              <w:pStyle w:val="TableParagraph"/>
              <w:tabs>
                <w:tab w:val="left" w:pos="1382"/>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(mil. KM)</w:t>
            </w:r>
          </w:p>
        </w:tc>
        <w:tc>
          <w:tcPr>
            <w:tcW w:w="1684" w:type="dxa"/>
            <w:gridSpan w:val="2"/>
            <w:vMerge w:val="restart"/>
            <w:shd w:val="clear" w:color="auto" w:fill="006432"/>
          </w:tcPr>
          <w:p w14:paraId="2FC0F400" w14:textId="77777777" w:rsidR="000937A0" w:rsidRPr="00856D94" w:rsidRDefault="000937A0" w:rsidP="00847E0C">
            <w:pPr>
              <w:pStyle w:val="TableParagraph"/>
              <w:jc w:val="right"/>
              <w:rPr>
                <w:rFonts w:asciiTheme="minorHAnsi" w:hAnsiTheme="minorHAnsi" w:cstheme="minorHAnsi"/>
                <w:b/>
                <w:color w:val="FFFFFF" w:themeColor="background1"/>
                <w:sz w:val="20"/>
                <w:szCs w:val="20"/>
                <w:lang w:val="bs-Latn-BA"/>
              </w:rPr>
            </w:pPr>
          </w:p>
          <w:p w14:paraId="185D64D1" w14:textId="77777777" w:rsidR="000937A0" w:rsidRPr="00856D94" w:rsidRDefault="000937A0" w:rsidP="00847E0C">
            <w:pPr>
              <w:pStyle w:val="TableParagraph"/>
              <w:tabs>
                <w:tab w:val="left" w:pos="1858"/>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Budžet institucije (mil. KM)</w:t>
            </w:r>
          </w:p>
        </w:tc>
        <w:tc>
          <w:tcPr>
            <w:tcW w:w="3410" w:type="dxa"/>
            <w:gridSpan w:val="2"/>
            <w:shd w:val="clear" w:color="auto" w:fill="006432"/>
            <w:vAlign w:val="center"/>
          </w:tcPr>
          <w:p w14:paraId="51F15DF9" w14:textId="77777777" w:rsidR="000937A0" w:rsidRPr="00856D94" w:rsidRDefault="000937A0" w:rsidP="00847E0C">
            <w:pPr>
              <w:pStyle w:val="TableParagraph"/>
              <w:spacing w:before="1"/>
              <w:ind w:right="1896"/>
              <w:jc w:val="center"/>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Ostali izvori</w:t>
            </w:r>
          </w:p>
        </w:tc>
      </w:tr>
      <w:tr w:rsidR="000937A0" w:rsidRPr="00856D94" w14:paraId="7634A7DE" w14:textId="77777777" w:rsidTr="001633C2">
        <w:trPr>
          <w:trHeight w:val="575"/>
        </w:trPr>
        <w:tc>
          <w:tcPr>
            <w:tcW w:w="5616" w:type="dxa"/>
            <w:gridSpan w:val="2"/>
            <w:vMerge/>
            <w:tcBorders>
              <w:top w:val="nil"/>
            </w:tcBorders>
            <w:shd w:val="clear" w:color="auto" w:fill="006432"/>
          </w:tcPr>
          <w:p w14:paraId="58F50513" w14:textId="77777777" w:rsidR="000937A0" w:rsidRPr="00856D94" w:rsidRDefault="000937A0" w:rsidP="00847E0C">
            <w:pPr>
              <w:rPr>
                <w:rFonts w:asciiTheme="minorHAnsi" w:hAnsiTheme="minorHAnsi" w:cstheme="minorHAnsi"/>
                <w:color w:val="FFFFFF" w:themeColor="background1"/>
                <w:sz w:val="20"/>
                <w:szCs w:val="20"/>
                <w:lang w:val="bs-Latn-BA"/>
              </w:rPr>
            </w:pPr>
          </w:p>
        </w:tc>
        <w:tc>
          <w:tcPr>
            <w:tcW w:w="1709" w:type="dxa"/>
            <w:gridSpan w:val="2"/>
            <w:vMerge/>
            <w:tcBorders>
              <w:top w:val="nil"/>
            </w:tcBorders>
            <w:shd w:val="clear" w:color="auto" w:fill="006432"/>
          </w:tcPr>
          <w:p w14:paraId="4AD08EFB"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796" w:type="dxa"/>
            <w:vMerge/>
            <w:tcBorders>
              <w:top w:val="nil"/>
            </w:tcBorders>
            <w:shd w:val="clear" w:color="auto" w:fill="006432"/>
          </w:tcPr>
          <w:p w14:paraId="3E0A0E4C"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684" w:type="dxa"/>
            <w:gridSpan w:val="2"/>
            <w:vMerge/>
            <w:tcBorders>
              <w:top w:val="nil"/>
            </w:tcBorders>
            <w:shd w:val="clear" w:color="auto" w:fill="006432"/>
          </w:tcPr>
          <w:p w14:paraId="22D34EA8"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438" w:type="dxa"/>
            <w:shd w:val="clear" w:color="auto" w:fill="006432"/>
          </w:tcPr>
          <w:p w14:paraId="1F7D3CBA" w14:textId="77777777" w:rsidR="000937A0" w:rsidRPr="00856D94" w:rsidRDefault="000937A0" w:rsidP="00847E0C">
            <w:pPr>
              <w:pStyle w:val="TableParagraph"/>
              <w:spacing w:before="135"/>
              <w:ind w:left="127" w:right="112"/>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(mil. KM)</w:t>
            </w:r>
          </w:p>
        </w:tc>
        <w:tc>
          <w:tcPr>
            <w:tcW w:w="1972" w:type="dxa"/>
            <w:shd w:val="clear" w:color="auto" w:fill="006432"/>
          </w:tcPr>
          <w:p w14:paraId="228F802B" w14:textId="77777777" w:rsidR="000937A0" w:rsidRPr="00856D94" w:rsidRDefault="000937A0" w:rsidP="00847E0C">
            <w:pPr>
              <w:pStyle w:val="TableParagraph"/>
              <w:rPr>
                <w:rFonts w:asciiTheme="minorHAnsi" w:hAnsiTheme="minorHAnsi" w:cstheme="minorHAnsi"/>
                <w:b/>
                <w:bCs/>
                <w:color w:val="FFFFFF" w:themeColor="background1"/>
                <w:sz w:val="20"/>
                <w:szCs w:val="20"/>
                <w:lang w:val="bs-Latn-BA"/>
              </w:rPr>
            </w:pPr>
            <w:r w:rsidRPr="00856D94">
              <w:rPr>
                <w:rFonts w:asciiTheme="minorHAnsi" w:hAnsiTheme="minorHAnsi" w:cstheme="minorHAnsi"/>
                <w:b/>
                <w:bCs/>
                <w:color w:val="FFFFFF" w:themeColor="background1"/>
                <w:sz w:val="20"/>
                <w:szCs w:val="20"/>
                <w:lang w:val="bs-Latn-BA"/>
              </w:rPr>
              <w:t>Naziv potencijalnog izvora</w:t>
            </w:r>
          </w:p>
        </w:tc>
      </w:tr>
      <w:tr w:rsidR="000937A0" w:rsidRPr="00856D94" w14:paraId="68A51A68" w14:textId="77777777" w:rsidTr="001633C2">
        <w:trPr>
          <w:trHeight w:val="575"/>
        </w:trPr>
        <w:tc>
          <w:tcPr>
            <w:tcW w:w="5616" w:type="dxa"/>
            <w:gridSpan w:val="2"/>
            <w:shd w:val="clear" w:color="auto" w:fill="006432"/>
            <w:vAlign w:val="center"/>
          </w:tcPr>
          <w:p w14:paraId="5D18DCF8" w14:textId="77777777" w:rsidR="000937A0" w:rsidRPr="00856D94" w:rsidRDefault="000937A0" w:rsidP="00847E0C">
            <w:pPr>
              <w:pStyle w:val="TableParagraph"/>
              <w:spacing w:before="30"/>
              <w:ind w:left="110"/>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Redni broj i oznaka prioriteta i mjere </w:t>
            </w:r>
          </w:p>
        </w:tc>
        <w:tc>
          <w:tcPr>
            <w:tcW w:w="1709" w:type="dxa"/>
            <w:gridSpan w:val="2"/>
            <w:shd w:val="clear" w:color="auto" w:fill="006432"/>
            <w:vAlign w:val="center"/>
          </w:tcPr>
          <w:p w14:paraId="1DE1F089" w14:textId="77777777" w:rsidR="000937A0" w:rsidRPr="00856D94" w:rsidRDefault="000937A0" w:rsidP="00847E0C">
            <w:pPr>
              <w:pStyle w:val="TableParagraph"/>
              <w:spacing w:before="30"/>
              <w:ind w:right="90"/>
              <w:jc w:val="right"/>
              <w:rPr>
                <w:rFonts w:asciiTheme="minorHAnsi" w:hAnsiTheme="minorHAnsi" w:cstheme="minorHAnsi"/>
                <w:b/>
                <w:color w:val="FFFFFF" w:themeColor="background1"/>
                <w:sz w:val="20"/>
                <w:szCs w:val="20"/>
                <w:lang w:val="bs-Latn-BA"/>
              </w:rPr>
            </w:pPr>
          </w:p>
        </w:tc>
        <w:tc>
          <w:tcPr>
            <w:tcW w:w="1796" w:type="dxa"/>
            <w:shd w:val="clear" w:color="auto" w:fill="006432"/>
            <w:vAlign w:val="center"/>
          </w:tcPr>
          <w:p w14:paraId="7FD57475" w14:textId="77777777" w:rsidR="000937A0" w:rsidRPr="00856D94" w:rsidRDefault="000937A0" w:rsidP="00847E0C">
            <w:pPr>
              <w:pStyle w:val="TableParagraph"/>
              <w:spacing w:before="30"/>
              <w:ind w:right="96"/>
              <w:jc w:val="right"/>
              <w:rPr>
                <w:rFonts w:asciiTheme="minorHAnsi" w:hAnsiTheme="minorHAnsi" w:cstheme="minorHAnsi"/>
                <w:b/>
                <w:color w:val="FFFFFF" w:themeColor="background1"/>
                <w:sz w:val="20"/>
                <w:szCs w:val="20"/>
                <w:lang w:val="bs-Latn-BA"/>
              </w:rPr>
            </w:pPr>
          </w:p>
        </w:tc>
        <w:tc>
          <w:tcPr>
            <w:tcW w:w="1684" w:type="dxa"/>
            <w:gridSpan w:val="2"/>
            <w:shd w:val="clear" w:color="auto" w:fill="006432"/>
            <w:vAlign w:val="center"/>
          </w:tcPr>
          <w:p w14:paraId="3AE1B1A7" w14:textId="77777777" w:rsidR="000937A0" w:rsidRPr="00856D94" w:rsidRDefault="000937A0" w:rsidP="00847E0C">
            <w:pPr>
              <w:pStyle w:val="TableParagraph"/>
              <w:spacing w:before="30"/>
              <w:ind w:right="91"/>
              <w:jc w:val="right"/>
              <w:rPr>
                <w:rFonts w:asciiTheme="minorHAnsi" w:hAnsiTheme="minorHAnsi" w:cstheme="minorHAnsi"/>
                <w:b/>
                <w:color w:val="FFFFFF" w:themeColor="background1"/>
                <w:sz w:val="20"/>
                <w:szCs w:val="20"/>
                <w:lang w:val="bs-Latn-BA"/>
              </w:rPr>
            </w:pPr>
          </w:p>
        </w:tc>
        <w:tc>
          <w:tcPr>
            <w:tcW w:w="1438" w:type="dxa"/>
            <w:shd w:val="clear" w:color="auto" w:fill="006432"/>
            <w:vAlign w:val="center"/>
          </w:tcPr>
          <w:p w14:paraId="7F6924F6" w14:textId="77777777" w:rsidR="000937A0" w:rsidRPr="00856D94" w:rsidRDefault="000937A0" w:rsidP="00847E0C">
            <w:pPr>
              <w:pStyle w:val="TableParagraph"/>
              <w:spacing w:before="30"/>
              <w:ind w:right="91"/>
              <w:jc w:val="right"/>
              <w:rPr>
                <w:rFonts w:asciiTheme="minorHAnsi" w:hAnsiTheme="minorHAnsi" w:cstheme="minorHAnsi"/>
                <w:b/>
                <w:color w:val="FFFFFF" w:themeColor="background1"/>
                <w:sz w:val="20"/>
                <w:szCs w:val="20"/>
                <w:lang w:val="bs-Latn-BA"/>
              </w:rPr>
            </w:pPr>
          </w:p>
        </w:tc>
        <w:tc>
          <w:tcPr>
            <w:tcW w:w="1972" w:type="dxa"/>
            <w:shd w:val="clear" w:color="auto" w:fill="006432"/>
            <w:vAlign w:val="center"/>
          </w:tcPr>
          <w:p w14:paraId="7FBBF4A3" w14:textId="77777777" w:rsidR="000937A0" w:rsidRPr="00856D94" w:rsidRDefault="000937A0" w:rsidP="00847E0C">
            <w:pPr>
              <w:pStyle w:val="TableParagraph"/>
              <w:rPr>
                <w:rFonts w:asciiTheme="minorHAnsi" w:hAnsiTheme="minorHAnsi" w:cstheme="minorHAnsi"/>
                <w:color w:val="FFFFFF" w:themeColor="background1"/>
                <w:sz w:val="20"/>
                <w:szCs w:val="20"/>
                <w:lang w:val="bs-Latn-BA"/>
              </w:rPr>
            </w:pPr>
          </w:p>
        </w:tc>
      </w:tr>
      <w:tr w:rsidR="00A100BA" w:rsidRPr="00856D94" w14:paraId="62C88630" w14:textId="77777777" w:rsidTr="001633C2">
        <w:trPr>
          <w:trHeight w:val="447"/>
        </w:trPr>
        <w:tc>
          <w:tcPr>
            <w:tcW w:w="5616" w:type="dxa"/>
            <w:gridSpan w:val="2"/>
            <w:shd w:val="clear" w:color="auto" w:fill="D8D8D8"/>
            <w:vAlign w:val="center"/>
          </w:tcPr>
          <w:p w14:paraId="20F2F81A" w14:textId="77777777" w:rsidR="00A100BA" w:rsidRPr="00856D94" w:rsidRDefault="00A100BA" w:rsidP="00A100BA">
            <w:pPr>
              <w:pStyle w:val="TableParagraph"/>
              <w:spacing w:before="20"/>
              <w:rPr>
                <w:rFonts w:asciiTheme="minorHAnsi" w:hAnsiTheme="minorHAnsi" w:cstheme="minorHAnsi"/>
                <w:sz w:val="20"/>
                <w:szCs w:val="20"/>
                <w:lang w:val="bs-Latn-BA"/>
              </w:rPr>
            </w:pPr>
            <w:r w:rsidRPr="00856D94">
              <w:rPr>
                <w:rFonts w:asciiTheme="minorHAnsi" w:hAnsiTheme="minorHAnsi" w:cstheme="minorHAnsi"/>
                <w:b/>
                <w:bCs/>
                <w:color w:val="000000"/>
              </w:rPr>
              <w:t xml:space="preserve">1.1. Transformirati postojeći fond zgrada FBiH u energijski visokoefikasan </w:t>
            </w:r>
          </w:p>
        </w:tc>
        <w:tc>
          <w:tcPr>
            <w:tcW w:w="1709" w:type="dxa"/>
            <w:gridSpan w:val="2"/>
            <w:shd w:val="clear" w:color="auto" w:fill="D8D8D8"/>
            <w:vAlign w:val="center"/>
          </w:tcPr>
          <w:p w14:paraId="2424BBA3" w14:textId="21BE4F5C" w:rsidR="00A100BA" w:rsidRPr="00856D94" w:rsidRDefault="00A100BA" w:rsidP="001633C2">
            <w:pPr>
              <w:pStyle w:val="TableParagraph"/>
              <w:spacing w:before="20"/>
              <w:ind w:left="490" w:right="144"/>
              <w:jc w:val="right"/>
              <w:rPr>
                <w:rFonts w:asciiTheme="minorHAnsi" w:hAnsiTheme="minorHAnsi" w:cstheme="minorHAnsi"/>
                <w:b/>
                <w:lang w:val="bs-Latn-BA"/>
              </w:rPr>
            </w:pPr>
            <w:r w:rsidRPr="00856D94">
              <w:rPr>
                <w:rFonts w:asciiTheme="minorHAnsi" w:hAnsiTheme="minorHAnsi" w:cstheme="minorHAnsi"/>
                <w:b/>
                <w:bCs/>
              </w:rPr>
              <w:t>81</w:t>
            </w:r>
            <w:r w:rsidR="00BB01B4" w:rsidRPr="00856D94">
              <w:rPr>
                <w:rFonts w:asciiTheme="minorHAnsi" w:hAnsiTheme="minorHAnsi" w:cstheme="minorHAnsi"/>
                <w:b/>
                <w:bCs/>
              </w:rPr>
              <w:t>,</w:t>
            </w:r>
            <w:r w:rsidRPr="00856D94">
              <w:rPr>
                <w:rFonts w:asciiTheme="minorHAnsi" w:hAnsiTheme="minorHAnsi" w:cstheme="minorHAnsi"/>
                <w:b/>
                <w:bCs/>
              </w:rPr>
              <w:t>04%</w:t>
            </w:r>
          </w:p>
        </w:tc>
        <w:tc>
          <w:tcPr>
            <w:tcW w:w="1796" w:type="dxa"/>
            <w:shd w:val="clear" w:color="auto" w:fill="D8D8D8"/>
            <w:vAlign w:val="center"/>
          </w:tcPr>
          <w:p w14:paraId="303F2CEA" w14:textId="54FD794F" w:rsidR="00A100BA" w:rsidRPr="00856D94" w:rsidRDefault="00A100BA" w:rsidP="00A100BA">
            <w:pPr>
              <w:pStyle w:val="TableParagraph"/>
              <w:spacing w:before="20"/>
              <w:ind w:right="96"/>
              <w:jc w:val="right"/>
              <w:rPr>
                <w:rFonts w:asciiTheme="minorHAnsi" w:hAnsiTheme="minorHAnsi" w:cstheme="minorHAnsi"/>
                <w:b/>
                <w:lang w:val="bs-Latn-BA"/>
              </w:rPr>
            </w:pPr>
            <w:r w:rsidRPr="00856D94">
              <w:rPr>
                <w:rFonts w:asciiTheme="minorHAnsi" w:hAnsiTheme="minorHAnsi" w:cstheme="minorHAnsi"/>
                <w:b/>
                <w:bCs/>
              </w:rPr>
              <w:t>5,057</w:t>
            </w:r>
            <w:r w:rsidR="00BB01B4" w:rsidRPr="00856D94">
              <w:rPr>
                <w:rFonts w:asciiTheme="minorHAnsi" w:hAnsiTheme="minorHAnsi" w:cstheme="minorHAnsi"/>
                <w:b/>
                <w:bCs/>
              </w:rPr>
              <w:t>,</w:t>
            </w:r>
            <w:r w:rsidRPr="00856D94">
              <w:rPr>
                <w:rFonts w:asciiTheme="minorHAnsi" w:hAnsiTheme="minorHAnsi" w:cstheme="minorHAnsi"/>
                <w:b/>
                <w:bCs/>
              </w:rPr>
              <w:t>05</w:t>
            </w:r>
          </w:p>
        </w:tc>
        <w:tc>
          <w:tcPr>
            <w:tcW w:w="1684" w:type="dxa"/>
            <w:gridSpan w:val="2"/>
            <w:shd w:val="clear" w:color="auto" w:fill="D8D8D8"/>
            <w:vAlign w:val="center"/>
          </w:tcPr>
          <w:p w14:paraId="02AAD88A" w14:textId="417B71D7" w:rsidR="00A100BA" w:rsidRPr="00856D94" w:rsidRDefault="00A100BA" w:rsidP="00A100BA">
            <w:pPr>
              <w:pStyle w:val="TableParagraph"/>
              <w:spacing w:before="20"/>
              <w:ind w:right="91"/>
              <w:jc w:val="right"/>
              <w:rPr>
                <w:rFonts w:asciiTheme="minorHAnsi" w:hAnsiTheme="minorHAnsi" w:cstheme="minorHAnsi"/>
                <w:b/>
                <w:lang w:val="bs-Latn-BA"/>
              </w:rPr>
            </w:pPr>
            <w:r w:rsidRPr="00856D94">
              <w:rPr>
                <w:rFonts w:asciiTheme="minorHAnsi" w:hAnsiTheme="minorHAnsi" w:cstheme="minorHAnsi"/>
                <w:b/>
                <w:bCs/>
              </w:rPr>
              <w:t>760</w:t>
            </w:r>
            <w:r w:rsidR="00BB01B4" w:rsidRPr="00856D94">
              <w:rPr>
                <w:rFonts w:asciiTheme="minorHAnsi" w:hAnsiTheme="minorHAnsi" w:cstheme="minorHAnsi"/>
                <w:b/>
                <w:bCs/>
              </w:rPr>
              <w:t>,</w:t>
            </w:r>
            <w:r w:rsidRPr="00856D94">
              <w:rPr>
                <w:rFonts w:asciiTheme="minorHAnsi" w:hAnsiTheme="minorHAnsi" w:cstheme="minorHAnsi"/>
                <w:b/>
                <w:bCs/>
              </w:rPr>
              <w:t>47</w:t>
            </w:r>
          </w:p>
        </w:tc>
        <w:tc>
          <w:tcPr>
            <w:tcW w:w="1438" w:type="dxa"/>
            <w:shd w:val="clear" w:color="auto" w:fill="D8D8D8"/>
            <w:vAlign w:val="center"/>
          </w:tcPr>
          <w:p w14:paraId="6F41DD34" w14:textId="058EC5AD" w:rsidR="00A100BA" w:rsidRPr="00856D94" w:rsidRDefault="00A100BA" w:rsidP="00A100BA">
            <w:pPr>
              <w:pStyle w:val="TableParagraph"/>
              <w:spacing w:before="20"/>
              <w:ind w:right="91"/>
              <w:jc w:val="right"/>
              <w:rPr>
                <w:rFonts w:asciiTheme="minorHAnsi" w:hAnsiTheme="minorHAnsi" w:cstheme="minorHAnsi"/>
                <w:b/>
                <w:lang w:val="bs-Latn-BA"/>
              </w:rPr>
            </w:pPr>
            <w:r w:rsidRPr="00856D94">
              <w:rPr>
                <w:rFonts w:asciiTheme="minorHAnsi" w:hAnsiTheme="minorHAnsi" w:cstheme="minorHAnsi"/>
                <w:b/>
                <w:bCs/>
              </w:rPr>
              <w:t>4,296</w:t>
            </w:r>
            <w:r w:rsidR="00BB01B4" w:rsidRPr="00856D94">
              <w:rPr>
                <w:rFonts w:asciiTheme="minorHAnsi" w:hAnsiTheme="minorHAnsi" w:cstheme="minorHAnsi"/>
                <w:b/>
                <w:bCs/>
              </w:rPr>
              <w:t>,</w:t>
            </w:r>
            <w:r w:rsidRPr="00856D94">
              <w:rPr>
                <w:rFonts w:asciiTheme="minorHAnsi" w:hAnsiTheme="minorHAnsi" w:cstheme="minorHAnsi"/>
                <w:b/>
                <w:bCs/>
              </w:rPr>
              <w:t>58</w:t>
            </w:r>
          </w:p>
        </w:tc>
        <w:tc>
          <w:tcPr>
            <w:tcW w:w="1972" w:type="dxa"/>
            <w:shd w:val="clear" w:color="auto" w:fill="D8D8D8"/>
            <w:vAlign w:val="center"/>
          </w:tcPr>
          <w:p w14:paraId="4CD00123" w14:textId="77777777" w:rsidR="00A100BA" w:rsidRPr="00856D94" w:rsidRDefault="00A100BA" w:rsidP="00A100BA">
            <w:pPr>
              <w:pStyle w:val="TableParagraph"/>
              <w:rPr>
                <w:rFonts w:asciiTheme="minorHAnsi" w:hAnsiTheme="minorHAnsi" w:cstheme="minorHAnsi"/>
                <w:sz w:val="20"/>
                <w:szCs w:val="20"/>
                <w:lang w:val="bs-Latn-BA"/>
              </w:rPr>
            </w:pPr>
          </w:p>
        </w:tc>
      </w:tr>
      <w:tr w:rsidR="00A100BA" w:rsidRPr="00856D94" w14:paraId="1E25FEA1" w14:textId="77777777" w:rsidTr="001633C2">
        <w:trPr>
          <w:trHeight w:val="550"/>
        </w:trPr>
        <w:tc>
          <w:tcPr>
            <w:tcW w:w="5616" w:type="dxa"/>
            <w:gridSpan w:val="2"/>
            <w:vAlign w:val="center"/>
          </w:tcPr>
          <w:p w14:paraId="41D0BD8C" w14:textId="77777777" w:rsidR="00A100BA" w:rsidRPr="00856D94" w:rsidRDefault="00A100BA" w:rsidP="00A100BA">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1.1.1.</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Unaprijediti regulatorni okvir u cilju ostvarivanja potpune harmonizacije s pravnom stečevinom EU u oblasti EE koji će omogućiti energijsku obnovu zgrada</w:t>
            </w:r>
          </w:p>
        </w:tc>
        <w:tc>
          <w:tcPr>
            <w:tcW w:w="1709" w:type="dxa"/>
            <w:gridSpan w:val="2"/>
            <w:vAlign w:val="center"/>
          </w:tcPr>
          <w:p w14:paraId="00048319" w14:textId="74AEA8F2" w:rsidR="00A100BA" w:rsidRPr="00856D94" w:rsidRDefault="00A100BA"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48260463" w14:textId="75877682" w:rsidR="00A100BA" w:rsidRPr="00856D94" w:rsidRDefault="00A100BA" w:rsidP="00A100BA">
            <w:pPr>
              <w:pStyle w:val="TableParagraph"/>
              <w:ind w:right="96"/>
              <w:jc w:val="right"/>
              <w:rPr>
                <w:rFonts w:asciiTheme="minorHAnsi" w:hAnsiTheme="minorHAnsi" w:cstheme="minorHAnsi"/>
                <w:bCs/>
                <w:lang w:val="bs-Latn-BA"/>
              </w:rPr>
            </w:pPr>
            <w:r w:rsidRPr="00856D94">
              <w:rPr>
                <w:rFonts w:asciiTheme="minorHAnsi" w:hAnsiTheme="minorHAnsi" w:cstheme="minorHAnsi"/>
              </w:rPr>
              <w:t>1</w:t>
            </w:r>
            <w:r w:rsidR="00BB01B4" w:rsidRPr="00856D94">
              <w:rPr>
                <w:rFonts w:asciiTheme="minorHAnsi" w:hAnsiTheme="minorHAnsi" w:cstheme="minorHAnsi"/>
              </w:rPr>
              <w:t>,</w:t>
            </w:r>
            <w:r w:rsidRPr="00856D94">
              <w:rPr>
                <w:rFonts w:asciiTheme="minorHAnsi" w:hAnsiTheme="minorHAnsi" w:cstheme="minorHAnsi"/>
              </w:rPr>
              <w:t>00</w:t>
            </w:r>
          </w:p>
        </w:tc>
        <w:tc>
          <w:tcPr>
            <w:tcW w:w="1684" w:type="dxa"/>
            <w:gridSpan w:val="2"/>
            <w:vAlign w:val="center"/>
          </w:tcPr>
          <w:p w14:paraId="75832D8B" w14:textId="1A74F06B"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40</w:t>
            </w:r>
          </w:p>
        </w:tc>
        <w:tc>
          <w:tcPr>
            <w:tcW w:w="1438" w:type="dxa"/>
            <w:vAlign w:val="center"/>
          </w:tcPr>
          <w:p w14:paraId="4477248F" w14:textId="66A61F25"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60</w:t>
            </w:r>
          </w:p>
        </w:tc>
        <w:tc>
          <w:tcPr>
            <w:tcW w:w="1972" w:type="dxa"/>
            <w:vAlign w:val="center"/>
          </w:tcPr>
          <w:p w14:paraId="29C24D8E"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tc>
      </w:tr>
      <w:tr w:rsidR="00A100BA" w:rsidRPr="00856D94" w14:paraId="0144462B" w14:textId="77777777" w:rsidTr="001633C2">
        <w:trPr>
          <w:trHeight w:val="550"/>
        </w:trPr>
        <w:tc>
          <w:tcPr>
            <w:tcW w:w="5616" w:type="dxa"/>
            <w:gridSpan w:val="2"/>
            <w:vAlign w:val="center"/>
          </w:tcPr>
          <w:p w14:paraId="4233D77B" w14:textId="69D4EC1C" w:rsidR="00A100BA" w:rsidRPr="00856D94" w:rsidRDefault="00A100BA" w:rsidP="00A100BA">
            <w:pPr>
              <w:pStyle w:val="TableParagraph"/>
              <w:ind w:left="110"/>
              <w:rPr>
                <w:rFonts w:asciiTheme="minorHAnsi" w:hAnsiTheme="minorHAnsi" w:cstheme="minorHAnsi"/>
                <w:color w:val="000000"/>
              </w:rPr>
            </w:pPr>
            <w:r w:rsidRPr="00856D94">
              <w:rPr>
                <w:rFonts w:asciiTheme="minorHAnsi" w:hAnsiTheme="minorHAnsi" w:cstheme="minorHAnsi"/>
                <w:color w:val="000000"/>
              </w:rPr>
              <w:t xml:space="preserve">1.1.2.       Jačati institucionalne kapacitete na svim nivoima vlasti i međusektorsku saradnju </w:t>
            </w:r>
            <w:r w:rsidR="00BD43F2" w:rsidRPr="00856D94">
              <w:rPr>
                <w:rFonts w:asciiTheme="minorHAnsi" w:hAnsiTheme="minorHAnsi" w:cstheme="minorHAnsi"/>
                <w:color w:val="000000"/>
              </w:rPr>
              <w:t>u cilju</w:t>
            </w:r>
            <w:r w:rsidRPr="00856D94">
              <w:rPr>
                <w:rFonts w:asciiTheme="minorHAnsi" w:hAnsiTheme="minorHAnsi" w:cstheme="minorHAnsi"/>
                <w:color w:val="000000"/>
              </w:rPr>
              <w:t xml:space="preserve"> energijsk</w:t>
            </w:r>
            <w:r w:rsidR="00BD43F2" w:rsidRPr="00856D94">
              <w:rPr>
                <w:rFonts w:asciiTheme="minorHAnsi" w:hAnsiTheme="minorHAnsi" w:cstheme="minorHAnsi"/>
                <w:color w:val="000000"/>
              </w:rPr>
              <w:t>e</w:t>
            </w:r>
            <w:r w:rsidRPr="00856D94">
              <w:rPr>
                <w:rFonts w:asciiTheme="minorHAnsi" w:hAnsiTheme="minorHAnsi" w:cstheme="minorHAnsi"/>
                <w:color w:val="000000"/>
              </w:rPr>
              <w:t xml:space="preserve"> obnov</w:t>
            </w:r>
            <w:r w:rsidR="00BD43F2" w:rsidRPr="00856D94">
              <w:rPr>
                <w:rFonts w:asciiTheme="minorHAnsi" w:hAnsiTheme="minorHAnsi" w:cstheme="minorHAnsi"/>
                <w:color w:val="000000"/>
              </w:rPr>
              <w:t>e</w:t>
            </w:r>
            <w:r w:rsidRPr="00856D94">
              <w:rPr>
                <w:rFonts w:asciiTheme="minorHAnsi" w:hAnsiTheme="minorHAnsi" w:cstheme="minorHAnsi"/>
                <w:color w:val="000000"/>
              </w:rPr>
              <w:t xml:space="preserve"> zgrada</w:t>
            </w:r>
          </w:p>
        </w:tc>
        <w:tc>
          <w:tcPr>
            <w:tcW w:w="1709" w:type="dxa"/>
            <w:gridSpan w:val="2"/>
            <w:vAlign w:val="center"/>
          </w:tcPr>
          <w:p w14:paraId="59DE5B6E" w14:textId="4315B92C" w:rsidR="00A100BA" w:rsidRPr="00856D94" w:rsidRDefault="00A100BA"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42666B52" w14:textId="0C3AAB21" w:rsidR="00A100BA" w:rsidRPr="00856D94" w:rsidRDefault="00A100BA" w:rsidP="00A100BA">
            <w:pPr>
              <w:pStyle w:val="TableParagraph"/>
              <w:ind w:right="96"/>
              <w:jc w:val="right"/>
              <w:rPr>
                <w:rFonts w:asciiTheme="minorHAnsi" w:hAnsiTheme="minorHAnsi" w:cstheme="minorHAnsi"/>
                <w:bCs/>
                <w:lang w:val="bs-Latn-BA"/>
              </w:rPr>
            </w:pPr>
            <w:r w:rsidRPr="00856D94">
              <w:rPr>
                <w:rFonts w:asciiTheme="minorHAnsi" w:hAnsiTheme="minorHAnsi" w:cstheme="minorHAnsi"/>
              </w:rPr>
              <w:t>21</w:t>
            </w:r>
            <w:r w:rsidR="00BB01B4" w:rsidRPr="00856D94">
              <w:rPr>
                <w:rFonts w:asciiTheme="minorHAnsi" w:hAnsiTheme="minorHAnsi" w:cstheme="minorHAnsi"/>
              </w:rPr>
              <w:t>,</w:t>
            </w:r>
            <w:r w:rsidRPr="00856D94">
              <w:rPr>
                <w:rFonts w:asciiTheme="minorHAnsi" w:hAnsiTheme="minorHAnsi" w:cstheme="minorHAnsi"/>
              </w:rPr>
              <w:t>55</w:t>
            </w:r>
          </w:p>
        </w:tc>
        <w:tc>
          <w:tcPr>
            <w:tcW w:w="1684" w:type="dxa"/>
            <w:gridSpan w:val="2"/>
            <w:vAlign w:val="center"/>
          </w:tcPr>
          <w:p w14:paraId="6E2FF2E4" w14:textId="11099BBD"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3</w:t>
            </w:r>
            <w:r w:rsidR="00BB01B4" w:rsidRPr="00856D94">
              <w:rPr>
                <w:rFonts w:asciiTheme="minorHAnsi" w:hAnsiTheme="minorHAnsi" w:cstheme="minorHAnsi"/>
              </w:rPr>
              <w:t>,</w:t>
            </w:r>
            <w:r w:rsidRPr="00856D94">
              <w:rPr>
                <w:rFonts w:asciiTheme="minorHAnsi" w:hAnsiTheme="minorHAnsi" w:cstheme="minorHAnsi"/>
              </w:rPr>
              <w:t>88</w:t>
            </w:r>
          </w:p>
        </w:tc>
        <w:tc>
          <w:tcPr>
            <w:tcW w:w="1438" w:type="dxa"/>
            <w:vAlign w:val="center"/>
          </w:tcPr>
          <w:p w14:paraId="40860752" w14:textId="2D698ACB"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17</w:t>
            </w:r>
            <w:r w:rsidR="00BB01B4" w:rsidRPr="00856D94">
              <w:rPr>
                <w:rFonts w:asciiTheme="minorHAnsi" w:hAnsiTheme="minorHAnsi" w:cstheme="minorHAnsi"/>
              </w:rPr>
              <w:t>,</w:t>
            </w:r>
            <w:r w:rsidRPr="00856D94">
              <w:rPr>
                <w:rFonts w:asciiTheme="minorHAnsi" w:hAnsiTheme="minorHAnsi" w:cstheme="minorHAnsi"/>
              </w:rPr>
              <w:t>67</w:t>
            </w:r>
          </w:p>
        </w:tc>
        <w:tc>
          <w:tcPr>
            <w:tcW w:w="1972" w:type="dxa"/>
            <w:vAlign w:val="center"/>
          </w:tcPr>
          <w:p w14:paraId="494C2A8A"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0A08BFB6"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70D39D3E" w14:textId="0CAF58DA"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Ostale donacije</w:t>
            </w:r>
          </w:p>
        </w:tc>
      </w:tr>
      <w:tr w:rsidR="00A100BA" w:rsidRPr="00856D94" w14:paraId="24DC7374" w14:textId="77777777" w:rsidTr="001633C2">
        <w:trPr>
          <w:trHeight w:val="550"/>
        </w:trPr>
        <w:tc>
          <w:tcPr>
            <w:tcW w:w="5616" w:type="dxa"/>
            <w:gridSpan w:val="2"/>
            <w:vAlign w:val="center"/>
          </w:tcPr>
          <w:p w14:paraId="32A62940" w14:textId="1F3E3A08" w:rsidR="00A100BA" w:rsidRPr="00856D94" w:rsidRDefault="00A100BA" w:rsidP="00A100BA">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1.1.3.</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 xml:space="preserve">Uspostaviti održiv </w:t>
            </w:r>
            <w:r w:rsidR="007B690C" w:rsidRPr="00856D94">
              <w:rPr>
                <w:rFonts w:asciiTheme="minorHAnsi" w:hAnsiTheme="minorHAnsi" w:cstheme="minorHAnsi"/>
                <w:color w:val="000000"/>
              </w:rPr>
              <w:t>financ</w:t>
            </w:r>
            <w:r w:rsidRPr="00856D94">
              <w:rPr>
                <w:rFonts w:asciiTheme="minorHAnsi" w:hAnsiTheme="minorHAnsi" w:cstheme="minorHAnsi"/>
                <w:color w:val="000000"/>
              </w:rPr>
              <w:t xml:space="preserve">ijski okvir koji će omogućiti podsticaj i kontinuirano </w:t>
            </w:r>
            <w:r w:rsidR="007B690C" w:rsidRPr="00856D94">
              <w:rPr>
                <w:rFonts w:asciiTheme="minorHAnsi" w:hAnsiTheme="minorHAnsi" w:cstheme="minorHAnsi"/>
                <w:color w:val="000000"/>
              </w:rPr>
              <w:t>financ</w:t>
            </w:r>
            <w:r w:rsidRPr="00856D94">
              <w:rPr>
                <w:rFonts w:asciiTheme="minorHAnsi" w:hAnsiTheme="minorHAnsi" w:cstheme="minorHAnsi"/>
                <w:color w:val="000000"/>
              </w:rPr>
              <w:t>iranje obnove sektora zgradarstva</w:t>
            </w:r>
          </w:p>
        </w:tc>
        <w:tc>
          <w:tcPr>
            <w:tcW w:w="1709" w:type="dxa"/>
            <w:gridSpan w:val="2"/>
            <w:vAlign w:val="center"/>
          </w:tcPr>
          <w:p w14:paraId="2B895005" w14:textId="77ED8E75" w:rsidR="00A100BA" w:rsidRPr="00856D94" w:rsidRDefault="00A100BA"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4DCFAC81" w14:textId="6C07379F" w:rsidR="00A100BA" w:rsidRPr="00856D94" w:rsidRDefault="00A100BA" w:rsidP="00A100BA">
            <w:pPr>
              <w:pStyle w:val="TableParagraph"/>
              <w:ind w:right="96"/>
              <w:jc w:val="right"/>
              <w:rPr>
                <w:rFonts w:asciiTheme="minorHAnsi" w:hAnsiTheme="minorHAnsi" w:cstheme="minorHAnsi"/>
                <w:bCs/>
                <w:lang w:val="bs-Latn-BA"/>
              </w:rPr>
            </w:pPr>
            <w:r w:rsidRPr="00856D94">
              <w:rPr>
                <w:rFonts w:asciiTheme="minorHAnsi" w:hAnsiTheme="minorHAnsi" w:cstheme="minorHAnsi"/>
              </w:rPr>
              <w:t>20</w:t>
            </w:r>
            <w:r w:rsidR="00BB01B4" w:rsidRPr="00856D94">
              <w:rPr>
                <w:rFonts w:asciiTheme="minorHAnsi" w:hAnsiTheme="minorHAnsi" w:cstheme="minorHAnsi"/>
              </w:rPr>
              <w:t>,</w:t>
            </w:r>
            <w:r w:rsidRPr="00856D94">
              <w:rPr>
                <w:rFonts w:asciiTheme="minorHAnsi" w:hAnsiTheme="minorHAnsi" w:cstheme="minorHAnsi"/>
              </w:rPr>
              <w:t>00</w:t>
            </w:r>
          </w:p>
        </w:tc>
        <w:tc>
          <w:tcPr>
            <w:tcW w:w="1684" w:type="dxa"/>
            <w:gridSpan w:val="2"/>
            <w:vAlign w:val="center"/>
          </w:tcPr>
          <w:p w14:paraId="33199ECA" w14:textId="1CE1CECA"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4</w:t>
            </w:r>
            <w:r w:rsidR="00BB01B4" w:rsidRPr="00856D94">
              <w:rPr>
                <w:rFonts w:asciiTheme="minorHAnsi" w:hAnsiTheme="minorHAnsi" w:cstheme="minorHAnsi"/>
              </w:rPr>
              <w:t>,</w:t>
            </w:r>
            <w:r w:rsidRPr="00856D94">
              <w:rPr>
                <w:rFonts w:asciiTheme="minorHAnsi" w:hAnsiTheme="minorHAnsi" w:cstheme="minorHAnsi"/>
              </w:rPr>
              <w:t>00</w:t>
            </w:r>
          </w:p>
        </w:tc>
        <w:tc>
          <w:tcPr>
            <w:tcW w:w="1438" w:type="dxa"/>
            <w:vAlign w:val="center"/>
          </w:tcPr>
          <w:p w14:paraId="78ED819F" w14:textId="6F341D01"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16</w:t>
            </w:r>
            <w:r w:rsidR="00BB01B4" w:rsidRPr="00856D94">
              <w:rPr>
                <w:rFonts w:asciiTheme="minorHAnsi" w:hAnsiTheme="minorHAnsi" w:cstheme="minorHAnsi"/>
              </w:rPr>
              <w:t>,</w:t>
            </w:r>
            <w:r w:rsidRPr="00856D94">
              <w:rPr>
                <w:rFonts w:asciiTheme="minorHAnsi" w:hAnsiTheme="minorHAnsi" w:cstheme="minorHAnsi"/>
              </w:rPr>
              <w:t>00</w:t>
            </w:r>
          </w:p>
        </w:tc>
        <w:tc>
          <w:tcPr>
            <w:tcW w:w="1972" w:type="dxa"/>
          </w:tcPr>
          <w:p w14:paraId="4A92B396"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79006106"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1E9713B9" w14:textId="77777777" w:rsidR="00A100BA" w:rsidRPr="00856D94" w:rsidRDefault="00A100BA" w:rsidP="00A100BA">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A100BA" w:rsidRPr="00856D94" w14:paraId="3632C2B3" w14:textId="77777777" w:rsidTr="001633C2">
        <w:trPr>
          <w:trHeight w:val="350"/>
        </w:trPr>
        <w:tc>
          <w:tcPr>
            <w:tcW w:w="5616" w:type="dxa"/>
            <w:gridSpan w:val="2"/>
            <w:vAlign w:val="center"/>
          </w:tcPr>
          <w:p w14:paraId="3845FB6A" w14:textId="77777777" w:rsidR="00A100BA" w:rsidRPr="00856D94" w:rsidRDefault="00A100BA" w:rsidP="00A100BA">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1.1.4.</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Energijski obnoviti postojeći fond zgrada</w:t>
            </w:r>
          </w:p>
        </w:tc>
        <w:tc>
          <w:tcPr>
            <w:tcW w:w="1709" w:type="dxa"/>
            <w:gridSpan w:val="2"/>
            <w:vAlign w:val="center"/>
          </w:tcPr>
          <w:p w14:paraId="6FCAD5EA" w14:textId="50ABAC2B" w:rsidR="00A100BA" w:rsidRPr="00856D94" w:rsidRDefault="00A100BA"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537D6BFD" w14:textId="4BF37C91" w:rsidR="00A100BA" w:rsidRPr="00856D94" w:rsidRDefault="00A100BA" w:rsidP="00A100BA">
            <w:pPr>
              <w:pStyle w:val="TableParagraph"/>
              <w:ind w:right="96"/>
              <w:jc w:val="right"/>
              <w:rPr>
                <w:rFonts w:asciiTheme="minorHAnsi" w:hAnsiTheme="minorHAnsi" w:cstheme="minorHAnsi"/>
                <w:bCs/>
                <w:lang w:val="bs-Latn-BA"/>
              </w:rPr>
            </w:pPr>
            <w:r w:rsidRPr="00856D94">
              <w:rPr>
                <w:rFonts w:asciiTheme="minorHAnsi" w:hAnsiTheme="minorHAnsi" w:cstheme="minorHAnsi"/>
              </w:rPr>
              <w:t>4</w:t>
            </w:r>
            <w:r w:rsidR="00BB01B4" w:rsidRPr="00856D94">
              <w:rPr>
                <w:rFonts w:asciiTheme="minorHAnsi" w:hAnsiTheme="minorHAnsi" w:cstheme="minorHAnsi"/>
              </w:rPr>
              <w:t>.</w:t>
            </w:r>
            <w:r w:rsidRPr="00856D94">
              <w:rPr>
                <w:rFonts w:asciiTheme="minorHAnsi" w:hAnsiTheme="minorHAnsi" w:cstheme="minorHAnsi"/>
              </w:rPr>
              <w:t>987</w:t>
            </w:r>
            <w:r w:rsidR="00BB01B4" w:rsidRPr="00856D94">
              <w:rPr>
                <w:rFonts w:asciiTheme="minorHAnsi" w:hAnsiTheme="minorHAnsi" w:cstheme="minorHAnsi"/>
              </w:rPr>
              <w:t>,</w:t>
            </w:r>
            <w:r w:rsidRPr="00856D94">
              <w:rPr>
                <w:rFonts w:asciiTheme="minorHAnsi" w:hAnsiTheme="minorHAnsi" w:cstheme="minorHAnsi"/>
              </w:rPr>
              <w:t>99</w:t>
            </w:r>
          </w:p>
        </w:tc>
        <w:tc>
          <w:tcPr>
            <w:tcW w:w="1684" w:type="dxa"/>
            <w:gridSpan w:val="2"/>
            <w:vAlign w:val="center"/>
          </w:tcPr>
          <w:p w14:paraId="0DA4BE07" w14:textId="7A1EAAB1"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748</w:t>
            </w:r>
            <w:r w:rsidR="00BB01B4" w:rsidRPr="00856D94">
              <w:rPr>
                <w:rFonts w:asciiTheme="minorHAnsi" w:hAnsiTheme="minorHAnsi" w:cstheme="minorHAnsi"/>
              </w:rPr>
              <w:t>,</w:t>
            </w:r>
            <w:r w:rsidRPr="00856D94">
              <w:rPr>
                <w:rFonts w:asciiTheme="minorHAnsi" w:hAnsiTheme="minorHAnsi" w:cstheme="minorHAnsi"/>
              </w:rPr>
              <w:t>20</w:t>
            </w:r>
          </w:p>
        </w:tc>
        <w:tc>
          <w:tcPr>
            <w:tcW w:w="1438" w:type="dxa"/>
            <w:vAlign w:val="center"/>
          </w:tcPr>
          <w:p w14:paraId="041AC25A" w14:textId="00D99FB5"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4</w:t>
            </w:r>
            <w:r w:rsidR="00BB01B4" w:rsidRPr="00856D94">
              <w:rPr>
                <w:rFonts w:asciiTheme="minorHAnsi" w:hAnsiTheme="minorHAnsi" w:cstheme="minorHAnsi"/>
              </w:rPr>
              <w:t>.</w:t>
            </w:r>
            <w:r w:rsidRPr="00856D94">
              <w:rPr>
                <w:rFonts w:asciiTheme="minorHAnsi" w:hAnsiTheme="minorHAnsi" w:cstheme="minorHAnsi"/>
              </w:rPr>
              <w:t>239</w:t>
            </w:r>
            <w:r w:rsidR="00BB01B4" w:rsidRPr="00856D94">
              <w:rPr>
                <w:rFonts w:asciiTheme="minorHAnsi" w:hAnsiTheme="minorHAnsi" w:cstheme="minorHAnsi"/>
              </w:rPr>
              <w:t>,</w:t>
            </w:r>
            <w:r w:rsidRPr="00856D94">
              <w:rPr>
                <w:rFonts w:asciiTheme="minorHAnsi" w:hAnsiTheme="minorHAnsi" w:cstheme="minorHAnsi"/>
              </w:rPr>
              <w:t>79</w:t>
            </w:r>
          </w:p>
        </w:tc>
        <w:tc>
          <w:tcPr>
            <w:tcW w:w="1972" w:type="dxa"/>
            <w:vAlign w:val="center"/>
          </w:tcPr>
          <w:p w14:paraId="119EA5D4" w14:textId="6ADDB78F" w:rsidR="00A100BA" w:rsidRPr="00856D94" w:rsidRDefault="00856D94" w:rsidP="00A100BA">
            <w:pPr>
              <w:pStyle w:val="TableParagraph"/>
              <w:rPr>
                <w:rFonts w:asciiTheme="minorHAnsi" w:hAnsiTheme="minorHAnsi" w:cstheme="minorHAnsi"/>
                <w:sz w:val="20"/>
                <w:szCs w:val="20"/>
                <w:lang w:val="bs-Latn-BA"/>
              </w:rPr>
            </w:pPr>
            <w:r>
              <w:rPr>
                <w:rFonts w:asciiTheme="minorHAnsi" w:hAnsiTheme="minorHAnsi" w:cstheme="minorHAnsi"/>
                <w:sz w:val="20"/>
                <w:szCs w:val="20"/>
                <w:lang w:val="bs-Latn-BA"/>
              </w:rPr>
              <w:t xml:space="preserve">*) </w:t>
            </w:r>
            <w:r w:rsidR="00A100BA" w:rsidRPr="00856D94">
              <w:rPr>
                <w:rFonts w:asciiTheme="minorHAnsi" w:hAnsiTheme="minorHAnsi" w:cstheme="minorHAnsi"/>
                <w:sz w:val="20"/>
                <w:szCs w:val="20"/>
                <w:lang w:val="bs-Latn-BA"/>
              </w:rPr>
              <w:t>Kreditna sredstva</w:t>
            </w:r>
          </w:p>
          <w:p w14:paraId="0E4C7329"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25EAA7C4" w14:textId="77777777" w:rsidR="00A100BA" w:rsidRPr="00856D94" w:rsidRDefault="00A100BA" w:rsidP="00A100BA">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A100BA" w:rsidRPr="00856D94" w14:paraId="4EBCB087" w14:textId="77777777" w:rsidTr="001633C2">
        <w:trPr>
          <w:trHeight w:val="550"/>
        </w:trPr>
        <w:tc>
          <w:tcPr>
            <w:tcW w:w="5616" w:type="dxa"/>
            <w:gridSpan w:val="2"/>
            <w:vAlign w:val="center"/>
          </w:tcPr>
          <w:p w14:paraId="54642538" w14:textId="597AE9B7" w:rsidR="00A100BA" w:rsidRPr="00856D94" w:rsidRDefault="00A100BA" w:rsidP="00A100BA">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1.1.5.</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 xml:space="preserve">Promovirati izgradnju novih stambenih i nestambenih zgrada prema standardima propisanim za (nZEB) </w:t>
            </w:r>
          </w:p>
        </w:tc>
        <w:tc>
          <w:tcPr>
            <w:tcW w:w="1709" w:type="dxa"/>
            <w:gridSpan w:val="2"/>
            <w:vAlign w:val="center"/>
          </w:tcPr>
          <w:p w14:paraId="20F4A72B" w14:textId="53B183FC" w:rsidR="00A100BA" w:rsidRPr="00856D94" w:rsidRDefault="00A100BA"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64BDDD95" w14:textId="6C45838A" w:rsidR="00A100BA" w:rsidRPr="00856D94" w:rsidRDefault="00A100BA" w:rsidP="00A100BA">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50</w:t>
            </w:r>
          </w:p>
        </w:tc>
        <w:tc>
          <w:tcPr>
            <w:tcW w:w="1684" w:type="dxa"/>
            <w:gridSpan w:val="2"/>
            <w:vAlign w:val="center"/>
          </w:tcPr>
          <w:p w14:paraId="62EA8979" w14:textId="05893C08"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08</w:t>
            </w:r>
          </w:p>
        </w:tc>
        <w:tc>
          <w:tcPr>
            <w:tcW w:w="1438" w:type="dxa"/>
            <w:vAlign w:val="center"/>
          </w:tcPr>
          <w:p w14:paraId="5AA8D9D2" w14:textId="6F66339B"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43</w:t>
            </w:r>
          </w:p>
        </w:tc>
        <w:tc>
          <w:tcPr>
            <w:tcW w:w="1972" w:type="dxa"/>
            <w:vAlign w:val="center"/>
          </w:tcPr>
          <w:p w14:paraId="1AB93897"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tc>
      </w:tr>
      <w:tr w:rsidR="00A100BA" w:rsidRPr="00856D94" w14:paraId="19A54D36" w14:textId="77777777" w:rsidTr="001633C2">
        <w:trPr>
          <w:trHeight w:val="550"/>
        </w:trPr>
        <w:tc>
          <w:tcPr>
            <w:tcW w:w="5616" w:type="dxa"/>
            <w:gridSpan w:val="2"/>
            <w:vAlign w:val="center"/>
          </w:tcPr>
          <w:p w14:paraId="37CD034F" w14:textId="77777777" w:rsidR="00A100BA" w:rsidRPr="00856D94" w:rsidRDefault="00A100BA" w:rsidP="00A100BA">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1.1.6.</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Podsticati primjenu novih tehnologija i pametnih rješenja u sektoru zgradarstva</w:t>
            </w:r>
          </w:p>
        </w:tc>
        <w:tc>
          <w:tcPr>
            <w:tcW w:w="1709" w:type="dxa"/>
            <w:gridSpan w:val="2"/>
            <w:vAlign w:val="center"/>
          </w:tcPr>
          <w:p w14:paraId="4F04C67D" w14:textId="45CA200F" w:rsidR="00A100BA" w:rsidRPr="00856D94" w:rsidRDefault="00A100BA"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053F8C9E" w14:textId="5856C4A6" w:rsidR="00A100BA" w:rsidRPr="00856D94" w:rsidRDefault="00A100BA" w:rsidP="00A100BA">
            <w:pPr>
              <w:pStyle w:val="TableParagraph"/>
              <w:ind w:right="96"/>
              <w:jc w:val="right"/>
              <w:rPr>
                <w:rFonts w:asciiTheme="minorHAnsi" w:hAnsiTheme="minorHAnsi" w:cstheme="minorHAnsi"/>
                <w:bCs/>
                <w:lang w:val="bs-Latn-BA"/>
              </w:rPr>
            </w:pPr>
            <w:r w:rsidRPr="00856D94">
              <w:rPr>
                <w:rFonts w:asciiTheme="minorHAnsi" w:hAnsiTheme="minorHAnsi" w:cstheme="minorHAnsi"/>
              </w:rPr>
              <w:t>25</w:t>
            </w:r>
            <w:r w:rsidR="00BB01B4" w:rsidRPr="00856D94">
              <w:rPr>
                <w:rFonts w:asciiTheme="minorHAnsi" w:hAnsiTheme="minorHAnsi" w:cstheme="minorHAnsi"/>
              </w:rPr>
              <w:t>,</w:t>
            </w:r>
            <w:r w:rsidRPr="00856D94">
              <w:rPr>
                <w:rFonts w:asciiTheme="minorHAnsi" w:hAnsiTheme="minorHAnsi" w:cstheme="minorHAnsi"/>
              </w:rPr>
              <w:t>61</w:t>
            </w:r>
          </w:p>
        </w:tc>
        <w:tc>
          <w:tcPr>
            <w:tcW w:w="1684" w:type="dxa"/>
            <w:gridSpan w:val="2"/>
            <w:vAlign w:val="center"/>
          </w:tcPr>
          <w:p w14:paraId="72024FC1" w14:textId="39A102D2"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3</w:t>
            </w:r>
            <w:r w:rsidR="00BB01B4" w:rsidRPr="00856D94">
              <w:rPr>
                <w:rFonts w:asciiTheme="minorHAnsi" w:hAnsiTheme="minorHAnsi" w:cstheme="minorHAnsi"/>
              </w:rPr>
              <w:t>,</w:t>
            </w:r>
            <w:r w:rsidRPr="00856D94">
              <w:rPr>
                <w:rFonts w:asciiTheme="minorHAnsi" w:hAnsiTheme="minorHAnsi" w:cstheme="minorHAnsi"/>
              </w:rPr>
              <w:t>84</w:t>
            </w:r>
          </w:p>
        </w:tc>
        <w:tc>
          <w:tcPr>
            <w:tcW w:w="1438" w:type="dxa"/>
            <w:vAlign w:val="center"/>
          </w:tcPr>
          <w:p w14:paraId="5DBA8E75" w14:textId="271743E0"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21</w:t>
            </w:r>
            <w:r w:rsidR="00BB01B4" w:rsidRPr="00856D94">
              <w:rPr>
                <w:rFonts w:asciiTheme="minorHAnsi" w:hAnsiTheme="minorHAnsi" w:cstheme="minorHAnsi"/>
              </w:rPr>
              <w:t>,</w:t>
            </w:r>
            <w:r w:rsidRPr="00856D94">
              <w:rPr>
                <w:rFonts w:asciiTheme="minorHAnsi" w:hAnsiTheme="minorHAnsi" w:cstheme="minorHAnsi"/>
              </w:rPr>
              <w:t>77</w:t>
            </w:r>
          </w:p>
        </w:tc>
        <w:tc>
          <w:tcPr>
            <w:tcW w:w="1972" w:type="dxa"/>
          </w:tcPr>
          <w:p w14:paraId="58F7F558"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3B8C1ED0"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0986F658" w14:textId="77777777" w:rsidR="00A100BA" w:rsidRPr="00856D94" w:rsidRDefault="00A100BA" w:rsidP="00A100BA">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A100BA" w:rsidRPr="00856D94" w14:paraId="0E06E04B" w14:textId="77777777" w:rsidTr="001633C2">
        <w:trPr>
          <w:trHeight w:val="550"/>
        </w:trPr>
        <w:tc>
          <w:tcPr>
            <w:tcW w:w="5616" w:type="dxa"/>
            <w:gridSpan w:val="2"/>
            <w:vAlign w:val="center"/>
          </w:tcPr>
          <w:p w14:paraId="758FCFC7" w14:textId="77777777" w:rsidR="00A100BA" w:rsidRPr="00856D94" w:rsidRDefault="00A100BA" w:rsidP="00A100BA">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lastRenderedPageBreak/>
              <w:t>1.1.7.</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Smanjiti energijsko siromaštvo povećanjem EE i korištenjem OIE u stambenim zgradama</w:t>
            </w:r>
          </w:p>
        </w:tc>
        <w:tc>
          <w:tcPr>
            <w:tcW w:w="1709" w:type="dxa"/>
            <w:gridSpan w:val="2"/>
            <w:vAlign w:val="center"/>
          </w:tcPr>
          <w:p w14:paraId="29230A38" w14:textId="4C8FD187" w:rsidR="00A100BA" w:rsidRPr="00856D94" w:rsidRDefault="00A100BA" w:rsidP="001633C2">
            <w:pPr>
              <w:pStyle w:val="TableParagraph"/>
              <w:ind w:left="490" w:right="144"/>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404BC2D0" w14:textId="34364736" w:rsidR="00A100BA" w:rsidRPr="00856D94" w:rsidRDefault="00A100BA" w:rsidP="00A100BA">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40</w:t>
            </w:r>
          </w:p>
        </w:tc>
        <w:tc>
          <w:tcPr>
            <w:tcW w:w="1684" w:type="dxa"/>
            <w:gridSpan w:val="2"/>
            <w:vAlign w:val="center"/>
          </w:tcPr>
          <w:p w14:paraId="357D6F71" w14:textId="183ADE29"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08</w:t>
            </w:r>
          </w:p>
        </w:tc>
        <w:tc>
          <w:tcPr>
            <w:tcW w:w="1438" w:type="dxa"/>
            <w:vAlign w:val="center"/>
          </w:tcPr>
          <w:p w14:paraId="28291FA3" w14:textId="5D04BE75" w:rsidR="00A100BA" w:rsidRPr="00856D94" w:rsidRDefault="00A100BA" w:rsidP="00A100BA">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32</w:t>
            </w:r>
          </w:p>
        </w:tc>
        <w:tc>
          <w:tcPr>
            <w:tcW w:w="1972" w:type="dxa"/>
            <w:vAlign w:val="center"/>
          </w:tcPr>
          <w:p w14:paraId="4CAF8509"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048F756D"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0E989132" w14:textId="77777777" w:rsidR="00A100BA" w:rsidRPr="00856D94" w:rsidRDefault="00A100BA" w:rsidP="00A100BA">
            <w:pPr>
              <w:pStyle w:val="TableParagraph"/>
              <w:spacing w:before="3"/>
              <w:ind w:right="94"/>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A100BA" w:rsidRPr="00856D94" w14:paraId="16D732EE" w14:textId="77777777" w:rsidTr="001633C2">
        <w:trPr>
          <w:trHeight w:val="550"/>
        </w:trPr>
        <w:tc>
          <w:tcPr>
            <w:tcW w:w="5616" w:type="dxa"/>
            <w:gridSpan w:val="2"/>
            <w:shd w:val="clear" w:color="auto" w:fill="D9D9D9" w:themeFill="background1" w:themeFillShade="D9"/>
            <w:vAlign w:val="center"/>
          </w:tcPr>
          <w:p w14:paraId="38D74868" w14:textId="77777777" w:rsidR="00A100BA" w:rsidRPr="00856D94" w:rsidRDefault="00A100BA" w:rsidP="00A100BA">
            <w:pPr>
              <w:pStyle w:val="TableParagraph"/>
              <w:spacing w:before="20"/>
              <w:ind w:left="110"/>
              <w:rPr>
                <w:rFonts w:asciiTheme="minorHAnsi" w:hAnsiTheme="minorHAnsi" w:cstheme="minorHAnsi"/>
                <w:b/>
                <w:sz w:val="20"/>
                <w:szCs w:val="20"/>
                <w:lang w:val="bs-Latn-BA"/>
              </w:rPr>
            </w:pPr>
            <w:r w:rsidRPr="00856D94">
              <w:rPr>
                <w:rFonts w:asciiTheme="minorHAnsi" w:hAnsiTheme="minorHAnsi" w:cstheme="minorHAnsi"/>
                <w:b/>
                <w:bCs/>
                <w:color w:val="000000"/>
              </w:rPr>
              <w:t xml:space="preserve">1.2. Dekarbonizirati postojeći fond zgrada FBiH </w:t>
            </w:r>
          </w:p>
        </w:tc>
        <w:tc>
          <w:tcPr>
            <w:tcW w:w="1709" w:type="dxa"/>
            <w:gridSpan w:val="2"/>
            <w:shd w:val="clear" w:color="auto" w:fill="D9D9D9" w:themeFill="background1" w:themeFillShade="D9"/>
            <w:vAlign w:val="center"/>
          </w:tcPr>
          <w:p w14:paraId="3601893C" w14:textId="4CFFB1A2" w:rsidR="001633C2" w:rsidRPr="001633C2" w:rsidRDefault="00A100BA" w:rsidP="001633C2">
            <w:pPr>
              <w:pStyle w:val="TableParagraph"/>
              <w:spacing w:before="20"/>
              <w:ind w:left="490" w:right="144"/>
              <w:jc w:val="right"/>
              <w:rPr>
                <w:rFonts w:asciiTheme="minorHAnsi" w:hAnsiTheme="minorHAnsi" w:cstheme="minorHAnsi"/>
                <w:b/>
                <w:bCs/>
              </w:rPr>
            </w:pPr>
            <w:r w:rsidRPr="00856D94">
              <w:rPr>
                <w:rFonts w:asciiTheme="minorHAnsi" w:hAnsiTheme="minorHAnsi" w:cstheme="minorHAnsi"/>
                <w:b/>
                <w:bCs/>
              </w:rPr>
              <w:t>18</w:t>
            </w:r>
            <w:r w:rsidR="00BB01B4" w:rsidRPr="00856D94">
              <w:rPr>
                <w:rFonts w:asciiTheme="minorHAnsi" w:hAnsiTheme="minorHAnsi" w:cstheme="minorHAnsi"/>
                <w:b/>
                <w:bCs/>
              </w:rPr>
              <w:t>,</w:t>
            </w:r>
            <w:r w:rsidRPr="00856D94">
              <w:rPr>
                <w:rFonts w:asciiTheme="minorHAnsi" w:hAnsiTheme="minorHAnsi" w:cstheme="minorHAnsi"/>
                <w:b/>
                <w:bCs/>
              </w:rPr>
              <w:t>96%</w:t>
            </w:r>
          </w:p>
        </w:tc>
        <w:tc>
          <w:tcPr>
            <w:tcW w:w="1796" w:type="dxa"/>
            <w:shd w:val="clear" w:color="auto" w:fill="D9D9D9" w:themeFill="background1" w:themeFillShade="D9"/>
            <w:vAlign w:val="center"/>
          </w:tcPr>
          <w:p w14:paraId="73FA9943" w14:textId="342224F8" w:rsidR="00A100BA" w:rsidRPr="00856D94" w:rsidRDefault="00A100BA" w:rsidP="00A100BA">
            <w:pPr>
              <w:pStyle w:val="TableParagraph"/>
              <w:ind w:right="91"/>
              <w:jc w:val="right"/>
              <w:rPr>
                <w:rFonts w:asciiTheme="minorHAnsi" w:hAnsiTheme="minorHAnsi" w:cstheme="minorHAnsi"/>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183</w:t>
            </w:r>
            <w:r w:rsidR="00BB01B4" w:rsidRPr="00856D94">
              <w:rPr>
                <w:rFonts w:asciiTheme="minorHAnsi" w:hAnsiTheme="minorHAnsi" w:cstheme="minorHAnsi"/>
                <w:b/>
                <w:bCs/>
              </w:rPr>
              <w:t>,</w:t>
            </w:r>
            <w:r w:rsidRPr="00856D94">
              <w:rPr>
                <w:rFonts w:asciiTheme="minorHAnsi" w:hAnsiTheme="minorHAnsi" w:cstheme="minorHAnsi"/>
                <w:b/>
                <w:bCs/>
              </w:rPr>
              <w:t>39</w:t>
            </w:r>
          </w:p>
        </w:tc>
        <w:tc>
          <w:tcPr>
            <w:tcW w:w="1684" w:type="dxa"/>
            <w:gridSpan w:val="2"/>
            <w:shd w:val="clear" w:color="auto" w:fill="D9D9D9" w:themeFill="background1" w:themeFillShade="D9"/>
            <w:vAlign w:val="center"/>
          </w:tcPr>
          <w:p w14:paraId="6FD690B4" w14:textId="2260575B" w:rsidR="00A100BA" w:rsidRPr="00856D94" w:rsidRDefault="00A100BA" w:rsidP="00A100BA">
            <w:pPr>
              <w:pStyle w:val="TableParagraph"/>
              <w:ind w:right="91"/>
              <w:jc w:val="right"/>
              <w:rPr>
                <w:rFonts w:asciiTheme="minorHAnsi" w:hAnsiTheme="minorHAnsi" w:cstheme="minorHAnsi"/>
              </w:rPr>
            </w:pPr>
            <w:r w:rsidRPr="00856D94">
              <w:rPr>
                <w:rFonts w:asciiTheme="minorHAnsi" w:hAnsiTheme="minorHAnsi" w:cstheme="minorHAnsi"/>
                <w:b/>
                <w:bCs/>
              </w:rPr>
              <w:t>141</w:t>
            </w:r>
            <w:r w:rsidR="00BB01B4" w:rsidRPr="00856D94">
              <w:rPr>
                <w:rFonts w:asciiTheme="minorHAnsi" w:hAnsiTheme="minorHAnsi" w:cstheme="minorHAnsi"/>
                <w:b/>
                <w:bCs/>
              </w:rPr>
              <w:t>,</w:t>
            </w:r>
            <w:r w:rsidRPr="00856D94">
              <w:rPr>
                <w:rFonts w:asciiTheme="minorHAnsi" w:hAnsiTheme="minorHAnsi" w:cstheme="minorHAnsi"/>
                <w:b/>
                <w:bCs/>
              </w:rPr>
              <w:t>42</w:t>
            </w:r>
          </w:p>
        </w:tc>
        <w:tc>
          <w:tcPr>
            <w:tcW w:w="1438" w:type="dxa"/>
            <w:shd w:val="clear" w:color="auto" w:fill="D9D9D9" w:themeFill="background1" w:themeFillShade="D9"/>
            <w:vAlign w:val="center"/>
          </w:tcPr>
          <w:p w14:paraId="157A42DA" w14:textId="679D6417" w:rsidR="00A100BA" w:rsidRPr="00856D94" w:rsidRDefault="00A100BA" w:rsidP="00A100BA">
            <w:pPr>
              <w:spacing w:after="0"/>
              <w:ind w:right="91"/>
              <w:jc w:val="right"/>
              <w:rPr>
                <w:rFonts w:asciiTheme="minorHAnsi" w:hAnsiTheme="minorHAnsi" w:cstheme="minorHAnsi"/>
                <w:lang w:val="hr-HR"/>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041</w:t>
            </w:r>
            <w:r w:rsidR="00BB01B4" w:rsidRPr="00856D94">
              <w:rPr>
                <w:rFonts w:asciiTheme="minorHAnsi" w:hAnsiTheme="minorHAnsi" w:cstheme="minorHAnsi"/>
                <w:b/>
                <w:bCs/>
              </w:rPr>
              <w:t>,</w:t>
            </w:r>
            <w:r w:rsidRPr="00856D94">
              <w:rPr>
                <w:rFonts w:asciiTheme="minorHAnsi" w:hAnsiTheme="minorHAnsi" w:cstheme="minorHAnsi"/>
                <w:b/>
                <w:bCs/>
              </w:rPr>
              <w:t>97</w:t>
            </w:r>
          </w:p>
        </w:tc>
        <w:tc>
          <w:tcPr>
            <w:tcW w:w="1972" w:type="dxa"/>
            <w:shd w:val="clear" w:color="auto" w:fill="D9D9D9" w:themeFill="background1" w:themeFillShade="D9"/>
            <w:vAlign w:val="center"/>
          </w:tcPr>
          <w:p w14:paraId="0E63699C" w14:textId="77777777" w:rsidR="00A100BA" w:rsidRPr="00856D94" w:rsidRDefault="00A100BA" w:rsidP="00A100BA">
            <w:pPr>
              <w:pStyle w:val="TableParagraph"/>
              <w:spacing w:before="20"/>
              <w:rPr>
                <w:rFonts w:asciiTheme="minorHAnsi" w:hAnsiTheme="minorHAnsi" w:cstheme="minorHAnsi"/>
                <w:bCs/>
                <w:sz w:val="20"/>
                <w:szCs w:val="20"/>
                <w:lang w:val="bs-Latn-BA"/>
              </w:rPr>
            </w:pPr>
          </w:p>
        </w:tc>
      </w:tr>
      <w:tr w:rsidR="00A100BA" w:rsidRPr="00856D94" w14:paraId="63FBADFE" w14:textId="77777777" w:rsidTr="001633C2">
        <w:trPr>
          <w:trHeight w:val="402"/>
        </w:trPr>
        <w:tc>
          <w:tcPr>
            <w:tcW w:w="5616" w:type="dxa"/>
            <w:gridSpan w:val="2"/>
            <w:shd w:val="clear" w:color="auto" w:fill="auto"/>
            <w:vAlign w:val="center"/>
          </w:tcPr>
          <w:p w14:paraId="58C9A336" w14:textId="77777777" w:rsidR="00A100BA" w:rsidRPr="00856D94" w:rsidRDefault="00A100BA" w:rsidP="00A100BA">
            <w:pPr>
              <w:pStyle w:val="TableParagraph"/>
              <w:spacing w:before="15"/>
              <w:ind w:left="110"/>
              <w:rPr>
                <w:rFonts w:asciiTheme="minorHAnsi" w:hAnsiTheme="minorHAnsi" w:cstheme="minorHAnsi"/>
                <w:b/>
                <w:sz w:val="20"/>
                <w:szCs w:val="20"/>
                <w:lang w:val="bs-Latn-BA"/>
              </w:rPr>
            </w:pPr>
            <w:r w:rsidRPr="00856D94">
              <w:rPr>
                <w:rFonts w:asciiTheme="minorHAnsi" w:hAnsiTheme="minorHAnsi" w:cstheme="minorHAnsi"/>
                <w:color w:val="000000"/>
              </w:rPr>
              <w:t>1.2.1.</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Povećati udio OIE i sigurnost snabdijevanja energentima u sektoru zgradarstva</w:t>
            </w:r>
          </w:p>
        </w:tc>
        <w:tc>
          <w:tcPr>
            <w:tcW w:w="1709" w:type="dxa"/>
            <w:gridSpan w:val="2"/>
            <w:shd w:val="clear" w:color="auto" w:fill="auto"/>
            <w:vAlign w:val="center"/>
          </w:tcPr>
          <w:p w14:paraId="4A8724C9" w14:textId="7F3C542E" w:rsidR="00A100BA" w:rsidRPr="00856D94" w:rsidRDefault="00A100BA" w:rsidP="001633C2">
            <w:pPr>
              <w:pStyle w:val="TableParagraph"/>
              <w:spacing w:before="15"/>
              <w:ind w:left="758" w:right="144"/>
              <w:jc w:val="right"/>
              <w:rPr>
                <w:rFonts w:asciiTheme="minorHAnsi" w:hAnsiTheme="minorHAnsi" w:cstheme="minorHAnsi"/>
                <w:b/>
                <w:lang w:val="bs-Latn-BA"/>
              </w:rPr>
            </w:pPr>
            <w:r w:rsidRPr="00856D94">
              <w:rPr>
                <w:rFonts w:asciiTheme="minorHAnsi" w:hAnsiTheme="minorHAnsi" w:cstheme="minorHAnsi"/>
              </w:rPr>
              <w:t> </w:t>
            </w:r>
          </w:p>
        </w:tc>
        <w:tc>
          <w:tcPr>
            <w:tcW w:w="1796" w:type="dxa"/>
            <w:shd w:val="clear" w:color="auto" w:fill="auto"/>
            <w:vAlign w:val="center"/>
          </w:tcPr>
          <w:p w14:paraId="3D9B0883" w14:textId="544B68C0" w:rsidR="00A100BA" w:rsidRPr="00856D94" w:rsidRDefault="00A100BA" w:rsidP="00A100BA">
            <w:pPr>
              <w:pStyle w:val="TableParagraph"/>
              <w:spacing w:before="15"/>
              <w:ind w:right="96"/>
              <w:jc w:val="right"/>
              <w:rPr>
                <w:rFonts w:asciiTheme="minorHAnsi" w:hAnsiTheme="minorHAnsi" w:cstheme="minorHAnsi"/>
                <w:b/>
                <w:lang w:val="bs-Latn-BA"/>
              </w:rPr>
            </w:pPr>
            <w:r w:rsidRPr="00856D94">
              <w:rPr>
                <w:rFonts w:asciiTheme="minorHAnsi" w:hAnsiTheme="minorHAnsi" w:cstheme="minorHAnsi"/>
              </w:rPr>
              <w:t>3</w:t>
            </w:r>
            <w:r w:rsidR="00BB01B4" w:rsidRPr="00856D94">
              <w:rPr>
                <w:rFonts w:asciiTheme="minorHAnsi" w:hAnsiTheme="minorHAnsi" w:cstheme="minorHAnsi"/>
              </w:rPr>
              <w:t>,</w:t>
            </w:r>
            <w:r w:rsidRPr="00856D94">
              <w:rPr>
                <w:rFonts w:asciiTheme="minorHAnsi" w:hAnsiTheme="minorHAnsi" w:cstheme="minorHAnsi"/>
              </w:rPr>
              <w:t>00</w:t>
            </w:r>
          </w:p>
        </w:tc>
        <w:tc>
          <w:tcPr>
            <w:tcW w:w="1684" w:type="dxa"/>
            <w:gridSpan w:val="2"/>
            <w:shd w:val="clear" w:color="auto" w:fill="auto"/>
            <w:vAlign w:val="center"/>
          </w:tcPr>
          <w:p w14:paraId="7FA26D17" w14:textId="1BA7A8B5" w:rsidR="00A100BA" w:rsidRPr="00856D94" w:rsidRDefault="00A100BA" w:rsidP="00A100BA">
            <w:pPr>
              <w:pStyle w:val="TableParagraph"/>
              <w:spacing w:before="15"/>
              <w:ind w:right="91"/>
              <w:jc w:val="right"/>
              <w:rPr>
                <w:rFonts w:asciiTheme="minorHAnsi" w:hAnsiTheme="minorHAnsi" w:cstheme="minorHAnsi"/>
                <w:b/>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45</w:t>
            </w:r>
          </w:p>
        </w:tc>
        <w:tc>
          <w:tcPr>
            <w:tcW w:w="1438" w:type="dxa"/>
            <w:shd w:val="clear" w:color="auto" w:fill="auto"/>
            <w:vAlign w:val="center"/>
          </w:tcPr>
          <w:p w14:paraId="154013F4" w14:textId="3B898A11" w:rsidR="00A100BA" w:rsidRPr="00856D94" w:rsidRDefault="00A100BA" w:rsidP="00A100BA">
            <w:pPr>
              <w:pStyle w:val="TableParagraph"/>
              <w:spacing w:before="15"/>
              <w:ind w:right="91"/>
              <w:jc w:val="right"/>
              <w:rPr>
                <w:rFonts w:asciiTheme="minorHAnsi" w:hAnsiTheme="minorHAnsi" w:cstheme="minorHAnsi"/>
                <w:b/>
                <w:lang w:val="bs-Latn-BA"/>
              </w:rPr>
            </w:pPr>
            <w:r w:rsidRPr="00856D94">
              <w:rPr>
                <w:rFonts w:asciiTheme="minorHAnsi" w:hAnsiTheme="minorHAnsi" w:cstheme="minorHAnsi"/>
              </w:rPr>
              <w:t>2</w:t>
            </w:r>
            <w:r w:rsidR="00BB01B4" w:rsidRPr="00856D94">
              <w:rPr>
                <w:rFonts w:asciiTheme="minorHAnsi" w:hAnsiTheme="minorHAnsi" w:cstheme="minorHAnsi"/>
              </w:rPr>
              <w:t>,</w:t>
            </w:r>
            <w:r w:rsidRPr="00856D94">
              <w:rPr>
                <w:rFonts w:asciiTheme="minorHAnsi" w:hAnsiTheme="minorHAnsi" w:cstheme="minorHAnsi"/>
              </w:rPr>
              <w:t>55</w:t>
            </w:r>
          </w:p>
        </w:tc>
        <w:tc>
          <w:tcPr>
            <w:tcW w:w="1972" w:type="dxa"/>
            <w:shd w:val="clear" w:color="auto" w:fill="auto"/>
            <w:vAlign w:val="center"/>
          </w:tcPr>
          <w:p w14:paraId="564A3036" w14:textId="52A2B608" w:rsidR="00A100BA" w:rsidRPr="00856D94" w:rsidRDefault="00856D94" w:rsidP="00A100BA">
            <w:pPr>
              <w:pStyle w:val="TableParagraph"/>
              <w:rPr>
                <w:rFonts w:asciiTheme="minorHAnsi" w:hAnsiTheme="minorHAnsi" w:cstheme="minorHAnsi"/>
                <w:sz w:val="20"/>
                <w:szCs w:val="20"/>
                <w:lang w:val="bs-Latn-BA"/>
              </w:rPr>
            </w:pPr>
            <w:r>
              <w:rPr>
                <w:rFonts w:asciiTheme="minorHAnsi" w:hAnsiTheme="minorHAnsi" w:cstheme="minorHAnsi"/>
                <w:sz w:val="20"/>
                <w:szCs w:val="20"/>
                <w:lang w:val="bs-Latn-BA"/>
              </w:rPr>
              <w:t xml:space="preserve">*) </w:t>
            </w:r>
            <w:r w:rsidR="00A100BA" w:rsidRPr="00856D94">
              <w:rPr>
                <w:rFonts w:asciiTheme="minorHAnsi" w:hAnsiTheme="minorHAnsi" w:cstheme="minorHAnsi"/>
                <w:sz w:val="20"/>
                <w:szCs w:val="20"/>
                <w:lang w:val="bs-Latn-BA"/>
              </w:rPr>
              <w:t>Kreditna sredstva</w:t>
            </w:r>
          </w:p>
          <w:p w14:paraId="772866C6"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Ostale donacije</w:t>
            </w:r>
          </w:p>
        </w:tc>
      </w:tr>
      <w:tr w:rsidR="00A100BA" w:rsidRPr="00856D94" w14:paraId="512E2AF7" w14:textId="77777777" w:rsidTr="001633C2">
        <w:trPr>
          <w:trHeight w:val="550"/>
        </w:trPr>
        <w:tc>
          <w:tcPr>
            <w:tcW w:w="5616" w:type="dxa"/>
            <w:gridSpan w:val="2"/>
            <w:vAlign w:val="center"/>
          </w:tcPr>
          <w:p w14:paraId="494ED10D" w14:textId="77777777" w:rsidR="00A100BA" w:rsidRPr="00856D94" w:rsidRDefault="00A100BA" w:rsidP="00A100BA">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1.2.2.</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Razvijati sisteme daljinskih grijanja (centralizacija i modernizacije sistema grijanja), hlađenja i ventilacije te pripreme PTV uz primjenu OIE</w:t>
            </w:r>
          </w:p>
        </w:tc>
        <w:tc>
          <w:tcPr>
            <w:tcW w:w="1709" w:type="dxa"/>
            <w:gridSpan w:val="2"/>
            <w:vAlign w:val="center"/>
          </w:tcPr>
          <w:p w14:paraId="6FB6A926" w14:textId="7256E811" w:rsidR="00A100BA" w:rsidRPr="00856D94" w:rsidRDefault="00A100BA" w:rsidP="001633C2">
            <w:pPr>
              <w:pStyle w:val="TableParagraph"/>
              <w:ind w:left="490" w:right="144"/>
              <w:jc w:val="right"/>
              <w:rPr>
                <w:rFonts w:asciiTheme="minorHAnsi" w:hAnsiTheme="minorHAnsi" w:cstheme="minorHAnsi"/>
                <w:lang w:val="bs-Latn-BA"/>
              </w:rPr>
            </w:pPr>
            <w:r w:rsidRPr="00856D94">
              <w:rPr>
                <w:rFonts w:asciiTheme="minorHAnsi" w:hAnsiTheme="minorHAnsi" w:cstheme="minorHAnsi"/>
              </w:rPr>
              <w:t> </w:t>
            </w:r>
          </w:p>
        </w:tc>
        <w:tc>
          <w:tcPr>
            <w:tcW w:w="1796" w:type="dxa"/>
            <w:vAlign w:val="center"/>
          </w:tcPr>
          <w:p w14:paraId="4D84174E" w14:textId="3D354D0A" w:rsidR="00A100BA" w:rsidRPr="00856D94" w:rsidRDefault="00A100BA" w:rsidP="00A100BA">
            <w:pPr>
              <w:pStyle w:val="TableParagraph"/>
              <w:ind w:right="96"/>
              <w:jc w:val="right"/>
              <w:rPr>
                <w:rFonts w:asciiTheme="minorHAnsi" w:hAnsiTheme="minorHAnsi" w:cstheme="minorHAnsi"/>
                <w:lang w:val="bs-Latn-BA"/>
              </w:rPr>
            </w:pPr>
            <w:r w:rsidRPr="00856D94">
              <w:rPr>
                <w:rFonts w:asciiTheme="minorHAnsi" w:hAnsiTheme="minorHAnsi" w:cstheme="minorHAnsi"/>
              </w:rPr>
              <w:t>1</w:t>
            </w:r>
            <w:r w:rsidR="00BB01B4" w:rsidRPr="00856D94">
              <w:rPr>
                <w:rFonts w:asciiTheme="minorHAnsi" w:hAnsiTheme="minorHAnsi" w:cstheme="minorHAnsi"/>
              </w:rPr>
              <w:t>.</w:t>
            </w:r>
            <w:r w:rsidRPr="00856D94">
              <w:rPr>
                <w:rFonts w:asciiTheme="minorHAnsi" w:hAnsiTheme="minorHAnsi" w:cstheme="minorHAnsi"/>
              </w:rPr>
              <w:t>146</w:t>
            </w:r>
            <w:r w:rsidR="00BB01B4" w:rsidRPr="00856D94">
              <w:rPr>
                <w:rFonts w:asciiTheme="minorHAnsi" w:hAnsiTheme="minorHAnsi" w:cstheme="minorHAnsi"/>
              </w:rPr>
              <w:t>,</w:t>
            </w:r>
            <w:r w:rsidRPr="00856D94">
              <w:rPr>
                <w:rFonts w:asciiTheme="minorHAnsi" w:hAnsiTheme="minorHAnsi" w:cstheme="minorHAnsi"/>
              </w:rPr>
              <w:t>69</w:t>
            </w:r>
          </w:p>
        </w:tc>
        <w:tc>
          <w:tcPr>
            <w:tcW w:w="1684" w:type="dxa"/>
            <w:gridSpan w:val="2"/>
            <w:vAlign w:val="center"/>
          </w:tcPr>
          <w:p w14:paraId="5F7EF8F4" w14:textId="2F884965" w:rsidR="00A100BA" w:rsidRPr="00856D94" w:rsidRDefault="00A100BA" w:rsidP="00A100BA">
            <w:pPr>
              <w:pStyle w:val="TableParagraph"/>
              <w:ind w:right="91"/>
              <w:jc w:val="right"/>
              <w:rPr>
                <w:rFonts w:asciiTheme="minorHAnsi" w:hAnsiTheme="minorHAnsi" w:cstheme="minorHAnsi"/>
                <w:lang w:val="bs-Latn-BA"/>
              </w:rPr>
            </w:pPr>
            <w:r w:rsidRPr="00856D94">
              <w:rPr>
                <w:rFonts w:asciiTheme="minorHAnsi" w:hAnsiTheme="minorHAnsi" w:cstheme="minorHAnsi"/>
              </w:rPr>
              <w:t>137</w:t>
            </w:r>
            <w:r w:rsidR="00BB01B4" w:rsidRPr="00856D94">
              <w:rPr>
                <w:rFonts w:asciiTheme="minorHAnsi" w:hAnsiTheme="minorHAnsi" w:cstheme="minorHAnsi"/>
              </w:rPr>
              <w:t>,</w:t>
            </w:r>
            <w:r w:rsidRPr="00856D94">
              <w:rPr>
                <w:rFonts w:asciiTheme="minorHAnsi" w:hAnsiTheme="minorHAnsi" w:cstheme="minorHAnsi"/>
              </w:rPr>
              <w:t>60</w:t>
            </w:r>
          </w:p>
        </w:tc>
        <w:tc>
          <w:tcPr>
            <w:tcW w:w="1438" w:type="dxa"/>
            <w:vAlign w:val="center"/>
          </w:tcPr>
          <w:p w14:paraId="25219EE1" w14:textId="075E70EE" w:rsidR="00A100BA" w:rsidRPr="00856D94" w:rsidRDefault="00A100BA" w:rsidP="00A100BA">
            <w:pPr>
              <w:pStyle w:val="TableParagraph"/>
              <w:ind w:right="91"/>
              <w:jc w:val="right"/>
              <w:rPr>
                <w:rFonts w:asciiTheme="minorHAnsi" w:hAnsiTheme="minorHAnsi" w:cstheme="minorHAnsi"/>
                <w:lang w:val="bs-Latn-BA"/>
              </w:rPr>
            </w:pPr>
            <w:r w:rsidRPr="00856D94">
              <w:rPr>
                <w:rFonts w:asciiTheme="minorHAnsi" w:hAnsiTheme="minorHAnsi" w:cstheme="minorHAnsi"/>
              </w:rPr>
              <w:t>1</w:t>
            </w:r>
            <w:r w:rsidR="00BB01B4" w:rsidRPr="00856D94">
              <w:rPr>
                <w:rFonts w:asciiTheme="minorHAnsi" w:hAnsiTheme="minorHAnsi" w:cstheme="minorHAnsi"/>
              </w:rPr>
              <w:t>.</w:t>
            </w:r>
            <w:r w:rsidRPr="00856D94">
              <w:rPr>
                <w:rFonts w:asciiTheme="minorHAnsi" w:hAnsiTheme="minorHAnsi" w:cstheme="minorHAnsi"/>
              </w:rPr>
              <w:t>009</w:t>
            </w:r>
            <w:r w:rsidR="00BB01B4" w:rsidRPr="00856D94">
              <w:rPr>
                <w:rFonts w:asciiTheme="minorHAnsi" w:hAnsiTheme="minorHAnsi" w:cstheme="minorHAnsi"/>
              </w:rPr>
              <w:t>,</w:t>
            </w:r>
            <w:r w:rsidRPr="00856D94">
              <w:rPr>
                <w:rFonts w:asciiTheme="minorHAnsi" w:hAnsiTheme="minorHAnsi" w:cstheme="minorHAnsi"/>
              </w:rPr>
              <w:t>08</w:t>
            </w:r>
          </w:p>
        </w:tc>
        <w:tc>
          <w:tcPr>
            <w:tcW w:w="1972" w:type="dxa"/>
            <w:vAlign w:val="center"/>
          </w:tcPr>
          <w:p w14:paraId="15D8E958"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3D7C9303"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6F209CD9" w14:textId="77777777" w:rsidR="00A100BA" w:rsidRPr="00856D94" w:rsidRDefault="00A100BA" w:rsidP="00A100BA">
            <w:pPr>
              <w:pStyle w:val="TableParagraph"/>
              <w:spacing w:before="34"/>
              <w:ind w:right="94"/>
              <w:rPr>
                <w:rFonts w:asciiTheme="minorHAnsi" w:hAnsiTheme="minorHAnsi" w:cstheme="minorHAnsi"/>
                <w:b/>
                <w:sz w:val="20"/>
                <w:szCs w:val="20"/>
                <w:lang w:val="bs-Latn-BA"/>
              </w:rPr>
            </w:pPr>
            <w:r w:rsidRPr="00856D94">
              <w:rPr>
                <w:rFonts w:asciiTheme="minorHAnsi" w:hAnsiTheme="minorHAnsi" w:cstheme="minorHAnsi"/>
                <w:sz w:val="20"/>
                <w:szCs w:val="20"/>
                <w:lang w:val="bs-Latn-BA"/>
              </w:rPr>
              <w:t>Ostale donacije</w:t>
            </w:r>
          </w:p>
        </w:tc>
      </w:tr>
      <w:tr w:rsidR="00A100BA" w:rsidRPr="00856D94" w14:paraId="70471769" w14:textId="77777777" w:rsidTr="001633C2">
        <w:trPr>
          <w:trHeight w:val="550"/>
        </w:trPr>
        <w:tc>
          <w:tcPr>
            <w:tcW w:w="5616" w:type="dxa"/>
            <w:gridSpan w:val="2"/>
            <w:vAlign w:val="center"/>
          </w:tcPr>
          <w:p w14:paraId="73332290" w14:textId="77777777" w:rsidR="00A100BA" w:rsidRPr="00856D94" w:rsidRDefault="00A100BA" w:rsidP="00A100BA">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1.2.3.</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Unaprijediti održivost urbanih područja</w:t>
            </w:r>
          </w:p>
        </w:tc>
        <w:tc>
          <w:tcPr>
            <w:tcW w:w="1709" w:type="dxa"/>
            <w:gridSpan w:val="2"/>
            <w:vAlign w:val="center"/>
          </w:tcPr>
          <w:p w14:paraId="0BC1F08B" w14:textId="41256288" w:rsidR="00A100BA" w:rsidRPr="00856D94" w:rsidRDefault="00A100BA" w:rsidP="001633C2">
            <w:pPr>
              <w:pStyle w:val="TableParagraph"/>
              <w:ind w:left="490" w:right="144"/>
              <w:jc w:val="right"/>
              <w:rPr>
                <w:rFonts w:asciiTheme="minorHAnsi" w:hAnsiTheme="minorHAnsi" w:cstheme="minorHAnsi"/>
                <w:lang w:val="bs-Latn-BA"/>
              </w:rPr>
            </w:pPr>
            <w:r w:rsidRPr="00856D94">
              <w:rPr>
                <w:rFonts w:asciiTheme="minorHAnsi" w:hAnsiTheme="minorHAnsi" w:cstheme="minorHAnsi"/>
              </w:rPr>
              <w:t> </w:t>
            </w:r>
          </w:p>
        </w:tc>
        <w:tc>
          <w:tcPr>
            <w:tcW w:w="1796" w:type="dxa"/>
            <w:vAlign w:val="center"/>
          </w:tcPr>
          <w:p w14:paraId="2A35AC49" w14:textId="5C95E94D" w:rsidR="00A100BA" w:rsidRPr="00856D94" w:rsidRDefault="00A100BA" w:rsidP="00A100BA">
            <w:pPr>
              <w:pStyle w:val="TableParagraph"/>
              <w:ind w:right="96"/>
              <w:jc w:val="right"/>
              <w:rPr>
                <w:rFonts w:asciiTheme="minorHAnsi" w:hAnsiTheme="minorHAnsi" w:cstheme="minorHAnsi"/>
                <w:lang w:val="bs-Latn-BA"/>
              </w:rPr>
            </w:pPr>
            <w:r w:rsidRPr="00856D94">
              <w:rPr>
                <w:rFonts w:asciiTheme="minorHAnsi" w:hAnsiTheme="minorHAnsi" w:cstheme="minorHAnsi"/>
              </w:rPr>
              <w:t>33</w:t>
            </w:r>
            <w:r w:rsidR="00BB01B4" w:rsidRPr="00856D94">
              <w:rPr>
                <w:rFonts w:asciiTheme="minorHAnsi" w:hAnsiTheme="minorHAnsi" w:cstheme="minorHAnsi"/>
              </w:rPr>
              <w:t>,</w:t>
            </w:r>
            <w:r w:rsidRPr="00856D94">
              <w:rPr>
                <w:rFonts w:asciiTheme="minorHAnsi" w:hAnsiTheme="minorHAnsi" w:cstheme="minorHAnsi"/>
              </w:rPr>
              <w:t>70</w:t>
            </w:r>
          </w:p>
        </w:tc>
        <w:tc>
          <w:tcPr>
            <w:tcW w:w="1684" w:type="dxa"/>
            <w:gridSpan w:val="2"/>
            <w:vAlign w:val="center"/>
          </w:tcPr>
          <w:p w14:paraId="681F314D" w14:textId="4B5E1819" w:rsidR="00A100BA" w:rsidRPr="00856D94" w:rsidRDefault="00A100BA" w:rsidP="00A100BA">
            <w:pPr>
              <w:pStyle w:val="TableParagraph"/>
              <w:ind w:right="91"/>
              <w:jc w:val="right"/>
              <w:rPr>
                <w:rFonts w:asciiTheme="minorHAnsi" w:hAnsiTheme="minorHAnsi" w:cstheme="minorHAnsi"/>
                <w:lang w:val="bs-Latn-BA"/>
              </w:rPr>
            </w:pPr>
            <w:r w:rsidRPr="00856D94">
              <w:rPr>
                <w:rFonts w:asciiTheme="minorHAnsi" w:hAnsiTheme="minorHAnsi" w:cstheme="minorHAnsi"/>
              </w:rPr>
              <w:t>3</w:t>
            </w:r>
            <w:r w:rsidR="00BB01B4" w:rsidRPr="00856D94">
              <w:rPr>
                <w:rFonts w:asciiTheme="minorHAnsi" w:hAnsiTheme="minorHAnsi" w:cstheme="minorHAnsi"/>
              </w:rPr>
              <w:t>,</w:t>
            </w:r>
            <w:r w:rsidRPr="00856D94">
              <w:rPr>
                <w:rFonts w:asciiTheme="minorHAnsi" w:hAnsiTheme="minorHAnsi" w:cstheme="minorHAnsi"/>
              </w:rPr>
              <w:t>37</w:t>
            </w:r>
          </w:p>
        </w:tc>
        <w:tc>
          <w:tcPr>
            <w:tcW w:w="1438" w:type="dxa"/>
            <w:vAlign w:val="center"/>
          </w:tcPr>
          <w:p w14:paraId="0FB34D70" w14:textId="76401E4C" w:rsidR="00A100BA" w:rsidRPr="00856D94" w:rsidRDefault="00A100BA" w:rsidP="00A100BA">
            <w:pPr>
              <w:pStyle w:val="TableParagraph"/>
              <w:ind w:right="91"/>
              <w:jc w:val="right"/>
              <w:rPr>
                <w:rFonts w:asciiTheme="minorHAnsi" w:hAnsiTheme="minorHAnsi" w:cstheme="minorHAnsi"/>
                <w:lang w:val="bs-Latn-BA"/>
              </w:rPr>
            </w:pPr>
            <w:r w:rsidRPr="00856D94">
              <w:rPr>
                <w:rFonts w:asciiTheme="minorHAnsi" w:hAnsiTheme="minorHAnsi" w:cstheme="minorHAnsi"/>
              </w:rPr>
              <w:t>30</w:t>
            </w:r>
            <w:r w:rsidR="00BB01B4" w:rsidRPr="00856D94">
              <w:rPr>
                <w:rFonts w:asciiTheme="minorHAnsi" w:hAnsiTheme="minorHAnsi" w:cstheme="minorHAnsi"/>
              </w:rPr>
              <w:t>,</w:t>
            </w:r>
            <w:r w:rsidRPr="00856D94">
              <w:rPr>
                <w:rFonts w:asciiTheme="minorHAnsi" w:hAnsiTheme="minorHAnsi" w:cstheme="minorHAnsi"/>
              </w:rPr>
              <w:t>33</w:t>
            </w:r>
          </w:p>
        </w:tc>
        <w:tc>
          <w:tcPr>
            <w:tcW w:w="1972" w:type="dxa"/>
            <w:vAlign w:val="center"/>
          </w:tcPr>
          <w:p w14:paraId="6CAE7BD4"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7CD1726B" w14:textId="77777777" w:rsidR="00A100BA" w:rsidRPr="00856D94" w:rsidRDefault="00A100BA" w:rsidP="00A100BA">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0A1F5D33" w14:textId="77777777" w:rsidR="00A100BA" w:rsidRPr="00856D94" w:rsidRDefault="00A100BA" w:rsidP="00A100BA">
            <w:pPr>
              <w:pStyle w:val="TableParagraph"/>
              <w:spacing w:before="34"/>
              <w:ind w:right="94"/>
              <w:rPr>
                <w:rFonts w:asciiTheme="minorHAnsi" w:hAnsiTheme="minorHAnsi" w:cstheme="minorHAnsi"/>
                <w:b/>
                <w:sz w:val="20"/>
                <w:szCs w:val="20"/>
                <w:lang w:val="bs-Latn-BA"/>
              </w:rPr>
            </w:pPr>
            <w:r w:rsidRPr="00856D94">
              <w:rPr>
                <w:rFonts w:asciiTheme="minorHAnsi" w:hAnsiTheme="minorHAnsi" w:cstheme="minorHAnsi"/>
                <w:sz w:val="20"/>
                <w:szCs w:val="20"/>
                <w:lang w:val="bs-Latn-BA"/>
              </w:rPr>
              <w:t>Ostale donacije</w:t>
            </w:r>
          </w:p>
        </w:tc>
      </w:tr>
      <w:tr w:rsidR="00A100BA" w:rsidRPr="00856D94" w14:paraId="7A7D1505" w14:textId="77777777" w:rsidTr="001633C2">
        <w:trPr>
          <w:trHeight w:val="269"/>
        </w:trPr>
        <w:tc>
          <w:tcPr>
            <w:tcW w:w="5616" w:type="dxa"/>
            <w:gridSpan w:val="2"/>
            <w:shd w:val="clear" w:color="auto" w:fill="D9D9D9" w:themeFill="background1" w:themeFillShade="D9"/>
          </w:tcPr>
          <w:p w14:paraId="725A0596" w14:textId="77777777" w:rsidR="00A100BA" w:rsidRPr="00856D94" w:rsidRDefault="00A100BA" w:rsidP="00A100BA">
            <w:pPr>
              <w:pStyle w:val="TableParagraph"/>
              <w:ind w:left="110"/>
              <w:jc w:val="right"/>
              <w:rPr>
                <w:rFonts w:asciiTheme="minorHAnsi" w:hAnsiTheme="minorHAnsi" w:cstheme="minorHAnsi"/>
                <w:b/>
                <w:bCs/>
                <w:sz w:val="20"/>
                <w:szCs w:val="20"/>
                <w:lang w:val="bs-Latn-BA"/>
              </w:rPr>
            </w:pPr>
            <w:r w:rsidRPr="00856D94">
              <w:rPr>
                <w:rFonts w:asciiTheme="minorHAnsi" w:hAnsiTheme="minorHAnsi" w:cstheme="minorHAnsi"/>
                <w:b/>
                <w:bCs/>
                <w:sz w:val="20"/>
                <w:szCs w:val="20"/>
                <w:lang w:val="bs-Latn-BA"/>
              </w:rPr>
              <w:t>Ukupno:</w:t>
            </w:r>
          </w:p>
        </w:tc>
        <w:tc>
          <w:tcPr>
            <w:tcW w:w="1709" w:type="dxa"/>
            <w:gridSpan w:val="2"/>
            <w:shd w:val="clear" w:color="auto" w:fill="D9D9D9" w:themeFill="background1" w:themeFillShade="D9"/>
            <w:vAlign w:val="center"/>
          </w:tcPr>
          <w:p w14:paraId="029541CF" w14:textId="1F4C23F0" w:rsidR="00A100BA" w:rsidRPr="00856D94" w:rsidRDefault="00A100BA" w:rsidP="001633C2">
            <w:pPr>
              <w:pStyle w:val="TableParagraph"/>
              <w:ind w:left="110" w:right="144"/>
              <w:jc w:val="right"/>
              <w:rPr>
                <w:rFonts w:asciiTheme="minorHAnsi" w:hAnsiTheme="minorHAnsi" w:cstheme="minorHAnsi"/>
                <w:b/>
                <w:bCs/>
                <w:lang w:val="bs-Latn-BA"/>
              </w:rPr>
            </w:pPr>
            <w:r w:rsidRPr="00856D94">
              <w:rPr>
                <w:rFonts w:asciiTheme="minorHAnsi" w:hAnsiTheme="minorHAnsi" w:cstheme="minorHAnsi"/>
                <w:b/>
                <w:bCs/>
              </w:rPr>
              <w:t>100</w:t>
            </w:r>
            <w:r w:rsidR="00BB01B4" w:rsidRPr="00856D94">
              <w:rPr>
                <w:rFonts w:asciiTheme="minorHAnsi" w:hAnsiTheme="minorHAnsi" w:cstheme="minorHAnsi"/>
                <w:b/>
                <w:bCs/>
              </w:rPr>
              <w:t>,</w:t>
            </w:r>
            <w:r w:rsidRPr="00856D94">
              <w:rPr>
                <w:rFonts w:asciiTheme="minorHAnsi" w:hAnsiTheme="minorHAnsi" w:cstheme="minorHAnsi"/>
                <w:b/>
                <w:bCs/>
              </w:rPr>
              <w:t>00%</w:t>
            </w:r>
          </w:p>
        </w:tc>
        <w:tc>
          <w:tcPr>
            <w:tcW w:w="1796" w:type="dxa"/>
            <w:shd w:val="clear" w:color="auto" w:fill="D9D9D9" w:themeFill="background1" w:themeFillShade="D9"/>
            <w:vAlign w:val="center"/>
          </w:tcPr>
          <w:p w14:paraId="330A4E7C" w14:textId="6A7A71EE" w:rsidR="00A100BA" w:rsidRPr="00856D94" w:rsidRDefault="00A100BA" w:rsidP="00A100BA">
            <w:pPr>
              <w:pStyle w:val="TableParagraph"/>
              <w:ind w:left="110" w:right="96"/>
              <w:jc w:val="right"/>
              <w:rPr>
                <w:rFonts w:asciiTheme="minorHAnsi" w:hAnsiTheme="minorHAnsi" w:cstheme="minorHAnsi"/>
                <w:b/>
                <w:bCs/>
              </w:rPr>
            </w:pPr>
            <w:r w:rsidRPr="00856D94">
              <w:rPr>
                <w:rFonts w:asciiTheme="minorHAnsi" w:hAnsiTheme="minorHAnsi" w:cstheme="minorHAnsi"/>
                <w:b/>
                <w:bCs/>
              </w:rPr>
              <w:t>6</w:t>
            </w:r>
            <w:r w:rsidR="00BB01B4" w:rsidRPr="00856D94">
              <w:rPr>
                <w:rFonts w:asciiTheme="minorHAnsi" w:hAnsiTheme="minorHAnsi" w:cstheme="minorHAnsi"/>
                <w:b/>
                <w:bCs/>
              </w:rPr>
              <w:t>.</w:t>
            </w:r>
            <w:r w:rsidRPr="00856D94">
              <w:rPr>
                <w:rFonts w:asciiTheme="minorHAnsi" w:hAnsiTheme="minorHAnsi" w:cstheme="minorHAnsi"/>
                <w:b/>
                <w:bCs/>
              </w:rPr>
              <w:t>240</w:t>
            </w:r>
            <w:r w:rsidR="00BB01B4" w:rsidRPr="00856D94">
              <w:rPr>
                <w:rFonts w:asciiTheme="minorHAnsi" w:hAnsiTheme="minorHAnsi" w:cstheme="minorHAnsi"/>
                <w:b/>
                <w:bCs/>
              </w:rPr>
              <w:t>,</w:t>
            </w:r>
            <w:r w:rsidRPr="00856D94">
              <w:rPr>
                <w:rFonts w:asciiTheme="minorHAnsi" w:hAnsiTheme="minorHAnsi" w:cstheme="minorHAnsi"/>
                <w:b/>
                <w:bCs/>
              </w:rPr>
              <w:t>44</w:t>
            </w:r>
          </w:p>
        </w:tc>
        <w:tc>
          <w:tcPr>
            <w:tcW w:w="1684" w:type="dxa"/>
            <w:gridSpan w:val="2"/>
            <w:shd w:val="clear" w:color="auto" w:fill="D9D9D9" w:themeFill="background1" w:themeFillShade="D9"/>
            <w:vAlign w:val="center"/>
          </w:tcPr>
          <w:p w14:paraId="2D71ABF0" w14:textId="3D04EE43" w:rsidR="00A100BA" w:rsidRPr="00856D94" w:rsidRDefault="00A100BA" w:rsidP="00A100BA">
            <w:pPr>
              <w:pStyle w:val="TableParagraph"/>
              <w:ind w:left="110" w:right="91"/>
              <w:jc w:val="right"/>
              <w:rPr>
                <w:rFonts w:asciiTheme="minorHAnsi" w:hAnsiTheme="minorHAnsi" w:cstheme="minorHAnsi"/>
                <w:b/>
                <w:bCs/>
              </w:rPr>
            </w:pPr>
            <w:r w:rsidRPr="00856D94">
              <w:rPr>
                <w:rFonts w:asciiTheme="minorHAnsi" w:hAnsiTheme="minorHAnsi" w:cstheme="minorHAnsi"/>
                <w:b/>
                <w:bCs/>
              </w:rPr>
              <w:t>901</w:t>
            </w:r>
            <w:r w:rsidR="00BB01B4" w:rsidRPr="00856D94">
              <w:rPr>
                <w:rFonts w:asciiTheme="minorHAnsi" w:hAnsiTheme="minorHAnsi" w:cstheme="minorHAnsi"/>
                <w:b/>
                <w:bCs/>
              </w:rPr>
              <w:t>,</w:t>
            </w:r>
            <w:r w:rsidRPr="00856D94">
              <w:rPr>
                <w:rFonts w:asciiTheme="minorHAnsi" w:hAnsiTheme="minorHAnsi" w:cstheme="minorHAnsi"/>
                <w:b/>
                <w:bCs/>
              </w:rPr>
              <w:t>90</w:t>
            </w:r>
          </w:p>
        </w:tc>
        <w:tc>
          <w:tcPr>
            <w:tcW w:w="1438" w:type="dxa"/>
            <w:shd w:val="clear" w:color="auto" w:fill="D9D9D9" w:themeFill="background1" w:themeFillShade="D9"/>
            <w:vAlign w:val="center"/>
          </w:tcPr>
          <w:p w14:paraId="7CDDEC34" w14:textId="02C83022" w:rsidR="00A100BA" w:rsidRPr="00856D94" w:rsidRDefault="00A100BA" w:rsidP="00A100BA">
            <w:pPr>
              <w:spacing w:after="0" w:line="240" w:lineRule="auto"/>
              <w:jc w:val="right"/>
              <w:rPr>
                <w:rFonts w:asciiTheme="minorHAnsi" w:hAnsiTheme="minorHAnsi" w:cstheme="minorHAnsi"/>
                <w:b/>
                <w:bCs/>
                <w:lang w:val="hr-HR"/>
              </w:rPr>
            </w:pPr>
            <w:r w:rsidRPr="00856D94">
              <w:rPr>
                <w:rFonts w:asciiTheme="minorHAnsi" w:hAnsiTheme="minorHAnsi" w:cstheme="minorHAnsi"/>
                <w:b/>
                <w:bCs/>
              </w:rPr>
              <w:t>5</w:t>
            </w:r>
            <w:r w:rsidR="00BB01B4" w:rsidRPr="00856D94">
              <w:rPr>
                <w:rFonts w:asciiTheme="minorHAnsi" w:hAnsiTheme="minorHAnsi" w:cstheme="minorHAnsi"/>
                <w:b/>
                <w:bCs/>
              </w:rPr>
              <w:t>.</w:t>
            </w:r>
            <w:r w:rsidRPr="00856D94">
              <w:rPr>
                <w:rFonts w:asciiTheme="minorHAnsi" w:hAnsiTheme="minorHAnsi" w:cstheme="minorHAnsi"/>
                <w:b/>
                <w:bCs/>
              </w:rPr>
              <w:t>338</w:t>
            </w:r>
            <w:r w:rsidR="00BB01B4" w:rsidRPr="00856D94">
              <w:rPr>
                <w:rFonts w:asciiTheme="minorHAnsi" w:hAnsiTheme="minorHAnsi" w:cstheme="minorHAnsi"/>
                <w:b/>
                <w:bCs/>
              </w:rPr>
              <w:t>,</w:t>
            </w:r>
            <w:r w:rsidRPr="00856D94">
              <w:rPr>
                <w:rFonts w:asciiTheme="minorHAnsi" w:hAnsiTheme="minorHAnsi" w:cstheme="minorHAnsi"/>
                <w:b/>
                <w:bCs/>
              </w:rPr>
              <w:t>54</w:t>
            </w:r>
          </w:p>
        </w:tc>
        <w:tc>
          <w:tcPr>
            <w:tcW w:w="1972" w:type="dxa"/>
            <w:shd w:val="clear" w:color="auto" w:fill="D9D9D9" w:themeFill="background1" w:themeFillShade="D9"/>
            <w:vAlign w:val="center"/>
          </w:tcPr>
          <w:p w14:paraId="68BB74CF" w14:textId="77777777" w:rsidR="00A100BA" w:rsidRPr="00856D94" w:rsidRDefault="00A100BA" w:rsidP="00A100BA">
            <w:pPr>
              <w:pStyle w:val="TableParagraph"/>
              <w:ind w:left="110" w:right="92"/>
              <w:rPr>
                <w:rFonts w:asciiTheme="minorHAnsi" w:hAnsiTheme="minorHAnsi" w:cstheme="minorHAnsi"/>
                <w:b/>
                <w:bCs/>
                <w:sz w:val="20"/>
                <w:szCs w:val="20"/>
                <w:lang w:val="bs-Latn-BA"/>
              </w:rPr>
            </w:pPr>
          </w:p>
        </w:tc>
      </w:tr>
      <w:tr w:rsidR="000937A0" w:rsidRPr="00856D94" w14:paraId="25B397A3" w14:textId="77777777" w:rsidTr="001633C2">
        <w:trPr>
          <w:trHeight w:val="629"/>
        </w:trPr>
        <w:tc>
          <w:tcPr>
            <w:tcW w:w="14215" w:type="dxa"/>
            <w:gridSpan w:val="9"/>
            <w:shd w:val="clear" w:color="auto" w:fill="auto"/>
            <w:vAlign w:val="center"/>
          </w:tcPr>
          <w:p w14:paraId="2B9C4945" w14:textId="77777777" w:rsidR="000937A0" w:rsidRPr="00856D94" w:rsidRDefault="000937A0" w:rsidP="00847E0C">
            <w:pPr>
              <w:pStyle w:val="TableParagraph"/>
              <w:ind w:left="110" w:right="92"/>
              <w:jc w:val="center"/>
              <w:rPr>
                <w:rFonts w:asciiTheme="minorHAnsi" w:hAnsiTheme="minorHAnsi" w:cstheme="minorHAnsi"/>
                <w:b/>
                <w:bCs/>
                <w:sz w:val="20"/>
                <w:szCs w:val="20"/>
                <w:lang w:val="bs-Latn-BA"/>
              </w:rPr>
            </w:pPr>
            <w:r w:rsidRPr="00856D94">
              <w:rPr>
                <w:rFonts w:asciiTheme="minorHAnsi" w:hAnsiTheme="minorHAnsi" w:cstheme="minorHAnsi"/>
                <w:b/>
                <w:bCs/>
                <w:lang w:val="bs-Latn-BA"/>
              </w:rPr>
              <w:t>PREGLED PO IZVORIMA</w:t>
            </w:r>
          </w:p>
        </w:tc>
      </w:tr>
      <w:tr w:rsidR="000937A0" w:rsidRPr="00856D94" w14:paraId="76E69079" w14:textId="77777777" w:rsidTr="001633C2">
        <w:trPr>
          <w:trHeight w:val="152"/>
        </w:trPr>
        <w:tc>
          <w:tcPr>
            <w:tcW w:w="3443" w:type="dxa"/>
            <w:shd w:val="clear" w:color="auto" w:fill="D9D9D9" w:themeFill="background1" w:themeFillShade="D9"/>
            <w:vAlign w:val="center"/>
          </w:tcPr>
          <w:p w14:paraId="75CD0B33"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Budžetska sredstva</w:t>
            </w:r>
          </w:p>
        </w:tc>
        <w:tc>
          <w:tcPr>
            <w:tcW w:w="2926" w:type="dxa"/>
            <w:gridSpan w:val="2"/>
            <w:shd w:val="clear" w:color="auto" w:fill="D9D9D9" w:themeFill="background1" w:themeFillShade="D9"/>
            <w:vAlign w:val="center"/>
          </w:tcPr>
          <w:p w14:paraId="56338C33"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Kreditna sredstva</w:t>
            </w:r>
          </w:p>
        </w:tc>
        <w:tc>
          <w:tcPr>
            <w:tcW w:w="3921" w:type="dxa"/>
            <w:gridSpan w:val="3"/>
            <w:shd w:val="clear" w:color="auto" w:fill="D9D9D9" w:themeFill="background1" w:themeFillShade="D9"/>
            <w:vAlign w:val="center"/>
          </w:tcPr>
          <w:p w14:paraId="1296774B"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Sredstva EU</w:t>
            </w:r>
          </w:p>
        </w:tc>
        <w:tc>
          <w:tcPr>
            <w:tcW w:w="3925" w:type="dxa"/>
            <w:gridSpan w:val="3"/>
            <w:shd w:val="clear" w:color="auto" w:fill="D9D9D9" w:themeFill="background1" w:themeFillShade="D9"/>
            <w:vAlign w:val="center"/>
          </w:tcPr>
          <w:p w14:paraId="316B27E7"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Ostale donacije</w:t>
            </w:r>
          </w:p>
        </w:tc>
      </w:tr>
      <w:tr w:rsidR="00A100BA" w:rsidRPr="00856D94" w14:paraId="3763F5EA" w14:textId="77777777" w:rsidTr="001633C2">
        <w:trPr>
          <w:trHeight w:val="350"/>
        </w:trPr>
        <w:tc>
          <w:tcPr>
            <w:tcW w:w="3443" w:type="dxa"/>
            <w:shd w:val="clear" w:color="auto" w:fill="auto"/>
            <w:vAlign w:val="center"/>
          </w:tcPr>
          <w:p w14:paraId="06415DB5" w14:textId="5FA80296"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901</w:t>
            </w:r>
            <w:r w:rsidR="00BB01B4" w:rsidRPr="00856D94">
              <w:rPr>
                <w:rFonts w:asciiTheme="minorHAnsi" w:hAnsiTheme="minorHAnsi" w:cstheme="minorHAnsi"/>
                <w:b/>
                <w:bCs/>
              </w:rPr>
              <w:t>,</w:t>
            </w:r>
            <w:r w:rsidRPr="00856D94">
              <w:rPr>
                <w:rFonts w:asciiTheme="minorHAnsi" w:hAnsiTheme="minorHAnsi" w:cstheme="minorHAnsi"/>
                <w:b/>
                <w:bCs/>
              </w:rPr>
              <w:t>90</w:t>
            </w:r>
          </w:p>
        </w:tc>
        <w:tc>
          <w:tcPr>
            <w:tcW w:w="2926" w:type="dxa"/>
            <w:gridSpan w:val="2"/>
            <w:shd w:val="clear" w:color="auto" w:fill="auto"/>
            <w:vAlign w:val="center"/>
          </w:tcPr>
          <w:p w14:paraId="14B4A406" w14:textId="5C8D2BF4"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4</w:t>
            </w:r>
            <w:r w:rsidR="00BB01B4" w:rsidRPr="00856D94">
              <w:rPr>
                <w:rFonts w:asciiTheme="minorHAnsi" w:hAnsiTheme="minorHAnsi" w:cstheme="minorHAnsi"/>
                <w:b/>
                <w:bCs/>
              </w:rPr>
              <w:t>.</w:t>
            </w:r>
            <w:r w:rsidRPr="00856D94">
              <w:rPr>
                <w:rFonts w:asciiTheme="minorHAnsi" w:hAnsiTheme="minorHAnsi" w:cstheme="minorHAnsi"/>
                <w:b/>
                <w:bCs/>
              </w:rPr>
              <w:t>298</w:t>
            </w:r>
            <w:r w:rsidR="00BB01B4" w:rsidRPr="00856D94">
              <w:rPr>
                <w:rFonts w:asciiTheme="minorHAnsi" w:hAnsiTheme="minorHAnsi" w:cstheme="minorHAnsi"/>
                <w:b/>
                <w:bCs/>
              </w:rPr>
              <w:t>,</w:t>
            </w:r>
            <w:r w:rsidRPr="00856D94">
              <w:rPr>
                <w:rFonts w:asciiTheme="minorHAnsi" w:hAnsiTheme="minorHAnsi" w:cstheme="minorHAnsi"/>
                <w:b/>
                <w:bCs/>
              </w:rPr>
              <w:t>14</w:t>
            </w:r>
          </w:p>
        </w:tc>
        <w:tc>
          <w:tcPr>
            <w:tcW w:w="3921" w:type="dxa"/>
            <w:gridSpan w:val="3"/>
            <w:shd w:val="clear" w:color="auto" w:fill="auto"/>
            <w:vAlign w:val="center"/>
          </w:tcPr>
          <w:p w14:paraId="710547A7" w14:textId="77447C45"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525</w:t>
            </w:r>
            <w:r w:rsidR="00BB01B4" w:rsidRPr="00856D94">
              <w:rPr>
                <w:rFonts w:asciiTheme="minorHAnsi" w:hAnsiTheme="minorHAnsi" w:cstheme="minorHAnsi"/>
                <w:b/>
                <w:bCs/>
              </w:rPr>
              <w:t>,</w:t>
            </w:r>
            <w:r w:rsidRPr="00856D94">
              <w:rPr>
                <w:rFonts w:asciiTheme="minorHAnsi" w:hAnsiTheme="minorHAnsi" w:cstheme="minorHAnsi"/>
                <w:b/>
                <w:bCs/>
              </w:rPr>
              <w:t>74</w:t>
            </w:r>
          </w:p>
        </w:tc>
        <w:tc>
          <w:tcPr>
            <w:tcW w:w="3925" w:type="dxa"/>
            <w:gridSpan w:val="3"/>
            <w:shd w:val="clear" w:color="auto" w:fill="auto"/>
            <w:vAlign w:val="center"/>
          </w:tcPr>
          <w:p w14:paraId="729ACAD3" w14:textId="22CCF43B"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514</w:t>
            </w:r>
            <w:r w:rsidR="00BB01B4" w:rsidRPr="00856D94">
              <w:rPr>
                <w:rFonts w:asciiTheme="minorHAnsi" w:hAnsiTheme="minorHAnsi" w:cstheme="minorHAnsi"/>
                <w:b/>
                <w:bCs/>
              </w:rPr>
              <w:t>,</w:t>
            </w:r>
            <w:r w:rsidRPr="00856D94">
              <w:rPr>
                <w:rFonts w:asciiTheme="minorHAnsi" w:hAnsiTheme="minorHAnsi" w:cstheme="minorHAnsi"/>
                <w:b/>
                <w:bCs/>
              </w:rPr>
              <w:t>67</w:t>
            </w:r>
          </w:p>
        </w:tc>
      </w:tr>
      <w:tr w:rsidR="00A100BA" w:rsidRPr="00856D94" w14:paraId="01BA42C9" w14:textId="77777777" w:rsidTr="001633C2">
        <w:trPr>
          <w:trHeight w:val="359"/>
        </w:trPr>
        <w:tc>
          <w:tcPr>
            <w:tcW w:w="3443" w:type="dxa"/>
            <w:shd w:val="clear" w:color="auto" w:fill="auto"/>
            <w:vAlign w:val="center"/>
          </w:tcPr>
          <w:p w14:paraId="10DDF631" w14:textId="5603F5FE"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14</w:t>
            </w:r>
            <w:r w:rsidR="00BB01B4" w:rsidRPr="00856D94">
              <w:rPr>
                <w:rFonts w:asciiTheme="minorHAnsi" w:hAnsiTheme="minorHAnsi" w:cstheme="minorHAnsi"/>
                <w:b/>
                <w:bCs/>
              </w:rPr>
              <w:t>,</w:t>
            </w:r>
            <w:r w:rsidRPr="00856D94">
              <w:rPr>
                <w:rFonts w:asciiTheme="minorHAnsi" w:hAnsiTheme="minorHAnsi" w:cstheme="minorHAnsi"/>
                <w:b/>
                <w:bCs/>
              </w:rPr>
              <w:t>45%</w:t>
            </w:r>
          </w:p>
        </w:tc>
        <w:tc>
          <w:tcPr>
            <w:tcW w:w="2926" w:type="dxa"/>
            <w:gridSpan w:val="2"/>
            <w:shd w:val="clear" w:color="auto" w:fill="auto"/>
            <w:vAlign w:val="center"/>
          </w:tcPr>
          <w:p w14:paraId="2E3A63A9" w14:textId="4DF1CA8E"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68</w:t>
            </w:r>
            <w:r w:rsidR="00BB01B4" w:rsidRPr="00856D94">
              <w:rPr>
                <w:rFonts w:asciiTheme="minorHAnsi" w:hAnsiTheme="minorHAnsi" w:cstheme="minorHAnsi"/>
                <w:b/>
                <w:bCs/>
              </w:rPr>
              <w:t>,</w:t>
            </w:r>
            <w:r w:rsidRPr="00856D94">
              <w:rPr>
                <w:rFonts w:asciiTheme="minorHAnsi" w:hAnsiTheme="minorHAnsi" w:cstheme="minorHAnsi"/>
                <w:b/>
                <w:bCs/>
              </w:rPr>
              <w:t>88%</w:t>
            </w:r>
          </w:p>
        </w:tc>
        <w:tc>
          <w:tcPr>
            <w:tcW w:w="3921" w:type="dxa"/>
            <w:gridSpan w:val="3"/>
            <w:shd w:val="clear" w:color="auto" w:fill="auto"/>
            <w:vAlign w:val="center"/>
          </w:tcPr>
          <w:p w14:paraId="110E042B" w14:textId="75709B17"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8</w:t>
            </w:r>
            <w:r w:rsidR="00BB01B4" w:rsidRPr="00856D94">
              <w:rPr>
                <w:rFonts w:asciiTheme="minorHAnsi" w:hAnsiTheme="minorHAnsi" w:cstheme="minorHAnsi"/>
                <w:b/>
                <w:bCs/>
              </w:rPr>
              <w:t>,</w:t>
            </w:r>
            <w:r w:rsidRPr="00856D94">
              <w:rPr>
                <w:rFonts w:asciiTheme="minorHAnsi" w:hAnsiTheme="minorHAnsi" w:cstheme="minorHAnsi"/>
                <w:b/>
                <w:bCs/>
              </w:rPr>
              <w:t>42%</w:t>
            </w:r>
          </w:p>
        </w:tc>
        <w:tc>
          <w:tcPr>
            <w:tcW w:w="3925" w:type="dxa"/>
            <w:gridSpan w:val="3"/>
            <w:shd w:val="clear" w:color="auto" w:fill="auto"/>
            <w:vAlign w:val="center"/>
          </w:tcPr>
          <w:p w14:paraId="61C29AD2" w14:textId="5353113A" w:rsidR="00A100BA" w:rsidRPr="00856D94" w:rsidRDefault="00A100BA" w:rsidP="00A100BA">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8.25%</w:t>
            </w:r>
          </w:p>
        </w:tc>
      </w:tr>
    </w:tbl>
    <w:p w14:paraId="07D509B5" w14:textId="0603D944" w:rsidR="000B529C" w:rsidRPr="00856D94" w:rsidRDefault="000B529C" w:rsidP="000B529C">
      <w:pPr>
        <w:pStyle w:val="TableParagraph"/>
        <w:ind w:left="110"/>
        <w:rPr>
          <w:rFonts w:asciiTheme="minorHAnsi" w:hAnsiTheme="minorHAnsi" w:cstheme="minorHAnsi"/>
          <w:i/>
          <w:iCs/>
          <w:sz w:val="20"/>
          <w:szCs w:val="20"/>
          <w:lang w:val="bs-Latn-BA"/>
        </w:rPr>
      </w:pPr>
      <w:r w:rsidRPr="00856D94">
        <w:rPr>
          <w:i/>
          <w:iCs/>
          <w:lang w:val="bs-Latn-BA"/>
        </w:rPr>
        <w:tab/>
        <w:t>*</w:t>
      </w:r>
      <w:r w:rsidR="00856D94" w:rsidRPr="00856D94">
        <w:rPr>
          <w:i/>
          <w:iCs/>
          <w:lang w:val="bs-Latn-BA"/>
        </w:rPr>
        <w:t xml:space="preserve">) </w:t>
      </w:r>
      <w:r w:rsidRPr="00856D94">
        <w:rPr>
          <w:rFonts w:asciiTheme="minorHAnsi" w:hAnsiTheme="minorHAnsi" w:cstheme="minorHAnsi"/>
          <w:i/>
          <w:iCs/>
          <w:sz w:val="20"/>
          <w:szCs w:val="20"/>
          <w:lang w:val="bs-Latn-BA"/>
        </w:rPr>
        <w:t>Napomena: Vlastita sredstva građana/vlasnika predviđena su u okviru Kreditnih sredstava.</w:t>
      </w:r>
    </w:p>
    <w:p w14:paraId="752BEC07" w14:textId="7C54A3E5" w:rsidR="000937A0" w:rsidRDefault="000937A0" w:rsidP="000937A0">
      <w:pPr>
        <w:rPr>
          <w:lang w:val="bs-Latn-BA"/>
        </w:rPr>
      </w:pPr>
    </w:p>
    <w:p w14:paraId="562094FB" w14:textId="5A704B2D" w:rsidR="000937A0" w:rsidRDefault="000937A0" w:rsidP="000937A0">
      <w:pPr>
        <w:rPr>
          <w:lang w:val="bs-Latn-BA"/>
        </w:rPr>
      </w:pPr>
    </w:p>
    <w:p w14:paraId="2100EAF8" w14:textId="652BCAFE" w:rsidR="000937A0" w:rsidRDefault="000937A0" w:rsidP="000937A0">
      <w:pPr>
        <w:rPr>
          <w:lang w:val="bs-Latn-BA"/>
        </w:rPr>
      </w:pPr>
    </w:p>
    <w:p w14:paraId="5C1761C4" w14:textId="684E9BF1" w:rsidR="000937A0" w:rsidRDefault="000937A0" w:rsidP="000937A0">
      <w:pPr>
        <w:rPr>
          <w:lang w:val="bs-Latn-BA"/>
        </w:rPr>
      </w:pPr>
    </w:p>
    <w:p w14:paraId="2AC14C63" w14:textId="7E7118F1" w:rsidR="000937A0" w:rsidRDefault="000937A0" w:rsidP="000937A0">
      <w:pPr>
        <w:rPr>
          <w:lang w:val="bs-Latn-BA"/>
        </w:rPr>
      </w:pPr>
    </w:p>
    <w:p w14:paraId="74AEC2C6" w14:textId="77777777" w:rsidR="000937A0" w:rsidRPr="000937A0" w:rsidRDefault="000937A0" w:rsidP="000937A0">
      <w:pPr>
        <w:rPr>
          <w:lang w:val="bs-Latn-BA"/>
        </w:rPr>
      </w:pPr>
    </w:p>
    <w:p w14:paraId="2445B610" w14:textId="3EABD141" w:rsidR="001D78DB" w:rsidRPr="00586694" w:rsidRDefault="001D78DB" w:rsidP="00586694">
      <w:pPr>
        <w:pStyle w:val="Heading2"/>
        <w:numPr>
          <w:ilvl w:val="0"/>
          <w:numId w:val="0"/>
        </w:numPr>
        <w:rPr>
          <w:lang w:val="bs-Latn-BA"/>
        </w:rPr>
      </w:pPr>
      <w:bookmarkStart w:id="278" w:name="_Toc134011840"/>
      <w:r w:rsidRPr="00586694">
        <w:rPr>
          <w:lang w:val="bs-Latn-BA"/>
        </w:rPr>
        <w:lastRenderedPageBreak/>
        <w:t xml:space="preserve">Indikativni </w:t>
      </w:r>
      <w:r w:rsidR="007B690C">
        <w:rPr>
          <w:lang w:val="bs-Latn-BA"/>
        </w:rPr>
        <w:t>financ</w:t>
      </w:r>
      <w:r w:rsidRPr="00586694">
        <w:rPr>
          <w:lang w:val="bs-Latn-BA"/>
        </w:rPr>
        <w:t>ijski okvir 2030</w:t>
      </w:r>
      <w:r w:rsidR="006A36F9">
        <w:rPr>
          <w:lang w:val="bs-Latn-BA"/>
        </w:rPr>
        <w:t>.</w:t>
      </w:r>
      <w:r w:rsidRPr="00586694">
        <w:rPr>
          <w:lang w:val="bs-Latn-BA"/>
        </w:rPr>
        <w:t>-2040</w:t>
      </w:r>
      <w:r w:rsidR="006A36F9">
        <w:rPr>
          <w:lang w:val="bs-Latn-BA"/>
        </w:rPr>
        <w:t>.</w:t>
      </w:r>
      <w:bookmarkEnd w:id="278"/>
    </w:p>
    <w:tbl>
      <w:tblPr>
        <w:tblW w:w="14215" w:type="dxa"/>
        <w:tblInd w:w="27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left w:w="29" w:type="dxa"/>
          <w:right w:w="29" w:type="dxa"/>
        </w:tblCellMar>
        <w:tblLook w:val="01E0" w:firstRow="1" w:lastRow="1" w:firstColumn="1" w:lastColumn="1" w:noHBand="0" w:noVBand="0"/>
      </w:tblPr>
      <w:tblGrid>
        <w:gridCol w:w="3443"/>
        <w:gridCol w:w="2171"/>
        <w:gridCol w:w="753"/>
        <w:gridCol w:w="956"/>
        <w:gridCol w:w="1796"/>
        <w:gridCol w:w="1172"/>
        <w:gridCol w:w="515"/>
        <w:gridCol w:w="1438"/>
        <w:gridCol w:w="1971"/>
      </w:tblGrid>
      <w:tr w:rsidR="000937A0" w:rsidRPr="001972F5" w14:paraId="083D78DF" w14:textId="77777777" w:rsidTr="00847E0C">
        <w:trPr>
          <w:trHeight w:val="611"/>
        </w:trPr>
        <w:tc>
          <w:tcPr>
            <w:tcW w:w="14215" w:type="dxa"/>
            <w:gridSpan w:val="9"/>
            <w:shd w:val="clear" w:color="auto" w:fill="006432"/>
            <w:vAlign w:val="center"/>
          </w:tcPr>
          <w:p w14:paraId="669BA2AB" w14:textId="4F25DC89" w:rsidR="000937A0" w:rsidRPr="00856D94" w:rsidRDefault="000937A0" w:rsidP="00847E0C">
            <w:pPr>
              <w:pStyle w:val="TableParagraph"/>
              <w:spacing w:before="20"/>
              <w:ind w:left="4746" w:right="4730"/>
              <w:jc w:val="center"/>
              <w:rPr>
                <w:rFonts w:asciiTheme="minorHAnsi" w:hAnsiTheme="minorHAnsi" w:cstheme="minorHAnsi"/>
                <w:b/>
                <w:sz w:val="20"/>
                <w:szCs w:val="20"/>
                <w:lang w:val="bs-Latn-BA"/>
              </w:rPr>
            </w:pPr>
            <w:r w:rsidRPr="00856D94">
              <w:rPr>
                <w:rFonts w:asciiTheme="minorHAnsi" w:hAnsiTheme="minorHAnsi" w:cstheme="minorHAnsi"/>
                <w:b/>
                <w:color w:val="FFFFFF"/>
                <w:sz w:val="20"/>
                <w:szCs w:val="20"/>
                <w:lang w:val="bs-Latn-BA"/>
              </w:rPr>
              <w:t>INDIKATIVNI</w:t>
            </w:r>
            <w:r w:rsidRPr="00856D94">
              <w:rPr>
                <w:rFonts w:asciiTheme="minorHAnsi" w:hAnsiTheme="minorHAnsi" w:cstheme="minorHAnsi"/>
                <w:b/>
                <w:color w:val="FFFFFF"/>
                <w:spacing w:val="-4"/>
                <w:sz w:val="20"/>
                <w:szCs w:val="20"/>
                <w:lang w:val="bs-Latn-BA"/>
              </w:rPr>
              <w:t xml:space="preserve"> </w:t>
            </w:r>
            <w:r w:rsidR="007B690C" w:rsidRPr="00856D94">
              <w:rPr>
                <w:rFonts w:asciiTheme="minorHAnsi" w:hAnsiTheme="minorHAnsi" w:cstheme="minorHAnsi"/>
                <w:b/>
                <w:color w:val="FFFFFF"/>
                <w:sz w:val="20"/>
                <w:szCs w:val="20"/>
                <w:lang w:val="bs-Latn-BA"/>
              </w:rPr>
              <w:t>FINANC</w:t>
            </w:r>
            <w:r w:rsidRPr="00856D94">
              <w:rPr>
                <w:rFonts w:asciiTheme="minorHAnsi" w:hAnsiTheme="minorHAnsi" w:cstheme="minorHAnsi"/>
                <w:b/>
                <w:color w:val="FFFFFF"/>
                <w:sz w:val="20"/>
                <w:szCs w:val="20"/>
                <w:lang w:val="bs-Latn-BA"/>
              </w:rPr>
              <w:t>IJSKI</w:t>
            </w:r>
            <w:r w:rsidRPr="00856D94">
              <w:rPr>
                <w:rFonts w:asciiTheme="minorHAnsi" w:hAnsiTheme="minorHAnsi" w:cstheme="minorHAnsi"/>
                <w:b/>
                <w:color w:val="FFFFFF"/>
                <w:spacing w:val="-2"/>
                <w:sz w:val="20"/>
                <w:szCs w:val="20"/>
                <w:lang w:val="bs-Latn-BA"/>
              </w:rPr>
              <w:t xml:space="preserve"> </w:t>
            </w:r>
            <w:r w:rsidRPr="00856D94">
              <w:rPr>
                <w:rFonts w:asciiTheme="minorHAnsi" w:hAnsiTheme="minorHAnsi" w:cstheme="minorHAnsi"/>
                <w:b/>
                <w:color w:val="FFFFFF"/>
                <w:sz w:val="20"/>
                <w:szCs w:val="20"/>
                <w:lang w:val="bs-Latn-BA"/>
              </w:rPr>
              <w:t>OKVIR</w:t>
            </w:r>
          </w:p>
          <w:p w14:paraId="7BBC7766" w14:textId="4093435F" w:rsidR="000937A0" w:rsidRPr="00856D94" w:rsidRDefault="000937A0" w:rsidP="00847E0C">
            <w:pPr>
              <w:jc w:val="center"/>
              <w:rPr>
                <w:rFonts w:asciiTheme="minorHAnsi" w:hAnsiTheme="minorHAnsi" w:cstheme="minorHAnsi"/>
                <w:b/>
                <w:sz w:val="20"/>
                <w:szCs w:val="20"/>
                <w:lang w:val="bs-Latn-BA"/>
              </w:rPr>
            </w:pPr>
            <w:r w:rsidRPr="00856D94">
              <w:rPr>
                <w:rFonts w:asciiTheme="minorHAnsi" w:hAnsiTheme="minorHAnsi" w:cstheme="minorHAnsi"/>
                <w:b/>
                <w:color w:val="FFFFFF" w:themeColor="background1"/>
                <w:sz w:val="20"/>
                <w:szCs w:val="20"/>
                <w:lang w:val="bs-Latn-BA"/>
              </w:rPr>
              <w:t>Strategija obnove zgrada u FBiH 2030. – 2040.</w:t>
            </w:r>
          </w:p>
        </w:tc>
      </w:tr>
      <w:tr w:rsidR="000937A0" w:rsidRPr="00856D94" w14:paraId="2DF2BD76" w14:textId="77777777" w:rsidTr="00FF1EB6">
        <w:trPr>
          <w:trHeight w:val="408"/>
        </w:trPr>
        <w:tc>
          <w:tcPr>
            <w:tcW w:w="5614" w:type="dxa"/>
            <w:gridSpan w:val="2"/>
            <w:vMerge w:val="restart"/>
            <w:shd w:val="clear" w:color="auto" w:fill="006432"/>
          </w:tcPr>
          <w:p w14:paraId="3952BD62" w14:textId="77777777" w:rsidR="000937A0" w:rsidRPr="00856D94" w:rsidRDefault="000937A0" w:rsidP="00847E0C">
            <w:pPr>
              <w:pStyle w:val="TableParagraph"/>
              <w:rPr>
                <w:rFonts w:asciiTheme="minorHAnsi" w:hAnsiTheme="minorHAnsi" w:cstheme="minorHAnsi"/>
                <w:b/>
                <w:color w:val="FFFFFF" w:themeColor="background1"/>
                <w:sz w:val="20"/>
                <w:szCs w:val="20"/>
                <w:lang w:val="bs-Latn-BA"/>
              </w:rPr>
            </w:pPr>
          </w:p>
          <w:p w14:paraId="36381F2F"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Strateški cilj - Postojeći fond zgrada FBiH transformiran </w:t>
            </w:r>
          </w:p>
          <w:p w14:paraId="22112BF6"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u energijski visokoefikasan i dekarboniziran fond zgrada </w:t>
            </w:r>
          </w:p>
          <w:p w14:paraId="07D046B3"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do 2050. godine </w:t>
            </w:r>
          </w:p>
          <w:p w14:paraId="5C34FBB2" w14:textId="77777777" w:rsidR="000937A0" w:rsidRPr="00856D94" w:rsidRDefault="000937A0" w:rsidP="00847E0C">
            <w:pPr>
              <w:pStyle w:val="TableParagraph"/>
              <w:ind w:left="379"/>
              <w:rPr>
                <w:rFonts w:asciiTheme="minorHAnsi" w:hAnsiTheme="minorHAnsi" w:cstheme="minorHAnsi"/>
                <w:b/>
                <w:color w:val="FFFFFF" w:themeColor="background1"/>
                <w:sz w:val="20"/>
                <w:szCs w:val="20"/>
                <w:lang w:val="bs-Latn-BA"/>
              </w:rPr>
            </w:pPr>
          </w:p>
        </w:tc>
        <w:tc>
          <w:tcPr>
            <w:tcW w:w="1709" w:type="dxa"/>
            <w:gridSpan w:val="2"/>
            <w:vMerge w:val="restart"/>
            <w:shd w:val="clear" w:color="auto" w:fill="006432"/>
          </w:tcPr>
          <w:p w14:paraId="77A8BE1E" w14:textId="77777777" w:rsidR="000937A0" w:rsidRPr="00856D94" w:rsidRDefault="000937A0" w:rsidP="00847E0C">
            <w:pPr>
              <w:pStyle w:val="TableParagraph"/>
              <w:spacing w:before="11"/>
              <w:jc w:val="right"/>
              <w:rPr>
                <w:rFonts w:asciiTheme="minorHAnsi" w:hAnsiTheme="minorHAnsi" w:cstheme="minorHAnsi"/>
                <w:b/>
                <w:color w:val="FFFFFF" w:themeColor="background1"/>
                <w:sz w:val="20"/>
                <w:szCs w:val="20"/>
                <w:lang w:val="bs-Latn-BA"/>
              </w:rPr>
            </w:pPr>
          </w:p>
          <w:p w14:paraId="1F9278AA" w14:textId="26FB4968" w:rsidR="000937A0" w:rsidRPr="00856D94" w:rsidRDefault="000937A0" w:rsidP="00847E0C">
            <w:pPr>
              <w:pStyle w:val="TableParagraph"/>
              <w:spacing w:line="278" w:lineRule="auto"/>
              <w:ind w:right="226"/>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Struktura</w:t>
            </w:r>
            <w:r w:rsidRPr="00856D94">
              <w:rPr>
                <w:rFonts w:asciiTheme="minorHAnsi" w:hAnsiTheme="minorHAnsi" w:cstheme="minorHAnsi"/>
                <w:b/>
                <w:color w:val="FFFFFF" w:themeColor="background1"/>
                <w:spacing w:val="1"/>
                <w:sz w:val="20"/>
                <w:szCs w:val="20"/>
                <w:lang w:val="bs-Latn-BA"/>
              </w:rPr>
              <w:t xml:space="preserve"> </w:t>
            </w:r>
            <w:r w:rsidR="007B690C" w:rsidRPr="00856D94">
              <w:rPr>
                <w:rFonts w:asciiTheme="minorHAnsi" w:hAnsiTheme="minorHAnsi" w:cstheme="minorHAnsi"/>
                <w:b/>
                <w:color w:val="FFFFFF" w:themeColor="background1"/>
                <w:sz w:val="20"/>
                <w:szCs w:val="20"/>
                <w:lang w:val="bs-Latn-BA"/>
              </w:rPr>
              <w:t>financ</w:t>
            </w:r>
            <w:r w:rsidRPr="00856D94">
              <w:rPr>
                <w:rFonts w:asciiTheme="minorHAnsi" w:hAnsiTheme="minorHAnsi" w:cstheme="minorHAnsi"/>
                <w:b/>
                <w:color w:val="FFFFFF" w:themeColor="background1"/>
                <w:sz w:val="20"/>
                <w:szCs w:val="20"/>
                <w:lang w:val="bs-Latn-BA"/>
              </w:rPr>
              <w:t>iranja (%)*</w:t>
            </w:r>
          </w:p>
        </w:tc>
        <w:tc>
          <w:tcPr>
            <w:tcW w:w="1796" w:type="dxa"/>
            <w:vMerge w:val="restart"/>
            <w:shd w:val="clear" w:color="auto" w:fill="006432"/>
          </w:tcPr>
          <w:p w14:paraId="512BDDA9" w14:textId="77777777" w:rsidR="000937A0" w:rsidRPr="00856D94" w:rsidRDefault="000937A0" w:rsidP="00847E0C">
            <w:pPr>
              <w:pStyle w:val="TableParagraph"/>
              <w:jc w:val="right"/>
              <w:rPr>
                <w:rFonts w:asciiTheme="minorHAnsi" w:hAnsiTheme="minorHAnsi" w:cstheme="minorHAnsi"/>
                <w:b/>
                <w:color w:val="FFFFFF" w:themeColor="background1"/>
                <w:sz w:val="20"/>
                <w:szCs w:val="20"/>
                <w:lang w:val="bs-Latn-BA"/>
              </w:rPr>
            </w:pPr>
          </w:p>
          <w:p w14:paraId="1AE37650" w14:textId="77777777" w:rsidR="000937A0" w:rsidRPr="00856D94" w:rsidRDefault="000937A0" w:rsidP="00847E0C">
            <w:pPr>
              <w:pStyle w:val="TableParagraph"/>
              <w:tabs>
                <w:tab w:val="left" w:pos="1382"/>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Ukupno</w:t>
            </w:r>
          </w:p>
          <w:p w14:paraId="233E8D57" w14:textId="77777777" w:rsidR="000937A0" w:rsidRPr="00856D94" w:rsidRDefault="000937A0" w:rsidP="00847E0C">
            <w:pPr>
              <w:pStyle w:val="TableParagraph"/>
              <w:tabs>
                <w:tab w:val="left" w:pos="1382"/>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(mil. KM)</w:t>
            </w:r>
          </w:p>
        </w:tc>
        <w:tc>
          <w:tcPr>
            <w:tcW w:w="1687" w:type="dxa"/>
            <w:gridSpan w:val="2"/>
            <w:vMerge w:val="restart"/>
            <w:shd w:val="clear" w:color="auto" w:fill="006432"/>
          </w:tcPr>
          <w:p w14:paraId="31C117E0" w14:textId="77777777" w:rsidR="000937A0" w:rsidRPr="00856D94" w:rsidRDefault="000937A0" w:rsidP="00847E0C">
            <w:pPr>
              <w:pStyle w:val="TableParagraph"/>
              <w:jc w:val="right"/>
              <w:rPr>
                <w:rFonts w:asciiTheme="minorHAnsi" w:hAnsiTheme="minorHAnsi" w:cstheme="minorHAnsi"/>
                <w:b/>
                <w:color w:val="FFFFFF" w:themeColor="background1"/>
                <w:sz w:val="20"/>
                <w:szCs w:val="20"/>
                <w:lang w:val="bs-Latn-BA"/>
              </w:rPr>
            </w:pPr>
          </w:p>
          <w:p w14:paraId="57BDBAF9" w14:textId="77777777" w:rsidR="000937A0" w:rsidRPr="00856D94" w:rsidRDefault="000937A0" w:rsidP="00847E0C">
            <w:pPr>
              <w:pStyle w:val="TableParagraph"/>
              <w:tabs>
                <w:tab w:val="left" w:pos="1858"/>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Budžet institucije (mil. KM)</w:t>
            </w:r>
          </w:p>
        </w:tc>
        <w:tc>
          <w:tcPr>
            <w:tcW w:w="3409" w:type="dxa"/>
            <w:gridSpan w:val="2"/>
            <w:shd w:val="clear" w:color="auto" w:fill="006432"/>
            <w:vAlign w:val="center"/>
          </w:tcPr>
          <w:p w14:paraId="24BAD10E" w14:textId="77777777" w:rsidR="000937A0" w:rsidRPr="00856D94" w:rsidRDefault="000937A0" w:rsidP="00847E0C">
            <w:pPr>
              <w:pStyle w:val="TableParagraph"/>
              <w:spacing w:before="1"/>
              <w:ind w:right="1896"/>
              <w:jc w:val="center"/>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Ostali izvori</w:t>
            </w:r>
          </w:p>
        </w:tc>
      </w:tr>
      <w:tr w:rsidR="000937A0" w:rsidRPr="00856D94" w14:paraId="1D4BF639" w14:textId="77777777" w:rsidTr="00FF1EB6">
        <w:trPr>
          <w:trHeight w:val="575"/>
        </w:trPr>
        <w:tc>
          <w:tcPr>
            <w:tcW w:w="5614" w:type="dxa"/>
            <w:gridSpan w:val="2"/>
            <w:vMerge/>
            <w:tcBorders>
              <w:top w:val="nil"/>
            </w:tcBorders>
            <w:shd w:val="clear" w:color="auto" w:fill="006432"/>
          </w:tcPr>
          <w:p w14:paraId="545B1442" w14:textId="77777777" w:rsidR="000937A0" w:rsidRPr="00856D94" w:rsidRDefault="000937A0" w:rsidP="00847E0C">
            <w:pPr>
              <w:rPr>
                <w:rFonts w:asciiTheme="minorHAnsi" w:hAnsiTheme="minorHAnsi" w:cstheme="minorHAnsi"/>
                <w:color w:val="FFFFFF" w:themeColor="background1"/>
                <w:sz w:val="20"/>
                <w:szCs w:val="20"/>
                <w:lang w:val="bs-Latn-BA"/>
              </w:rPr>
            </w:pPr>
          </w:p>
        </w:tc>
        <w:tc>
          <w:tcPr>
            <w:tcW w:w="1709" w:type="dxa"/>
            <w:gridSpan w:val="2"/>
            <w:vMerge/>
            <w:tcBorders>
              <w:top w:val="nil"/>
            </w:tcBorders>
            <w:shd w:val="clear" w:color="auto" w:fill="006432"/>
          </w:tcPr>
          <w:p w14:paraId="45251140"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796" w:type="dxa"/>
            <w:vMerge/>
            <w:tcBorders>
              <w:top w:val="nil"/>
            </w:tcBorders>
            <w:shd w:val="clear" w:color="auto" w:fill="006432"/>
          </w:tcPr>
          <w:p w14:paraId="3A13A5F5"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687" w:type="dxa"/>
            <w:gridSpan w:val="2"/>
            <w:vMerge/>
            <w:tcBorders>
              <w:top w:val="nil"/>
            </w:tcBorders>
            <w:shd w:val="clear" w:color="auto" w:fill="006432"/>
          </w:tcPr>
          <w:p w14:paraId="1ED27C73"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438" w:type="dxa"/>
            <w:shd w:val="clear" w:color="auto" w:fill="006432"/>
          </w:tcPr>
          <w:p w14:paraId="0BFD1675" w14:textId="77777777" w:rsidR="000937A0" w:rsidRPr="00856D94" w:rsidRDefault="000937A0" w:rsidP="00847E0C">
            <w:pPr>
              <w:pStyle w:val="TableParagraph"/>
              <w:spacing w:before="135"/>
              <w:ind w:left="127" w:right="112"/>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(mil. KM)</w:t>
            </w:r>
          </w:p>
        </w:tc>
        <w:tc>
          <w:tcPr>
            <w:tcW w:w="1971" w:type="dxa"/>
            <w:shd w:val="clear" w:color="auto" w:fill="006432"/>
          </w:tcPr>
          <w:p w14:paraId="07532F58" w14:textId="77777777" w:rsidR="000937A0" w:rsidRPr="00856D94" w:rsidRDefault="000937A0" w:rsidP="00847E0C">
            <w:pPr>
              <w:pStyle w:val="TableParagraph"/>
              <w:rPr>
                <w:rFonts w:asciiTheme="minorHAnsi" w:hAnsiTheme="minorHAnsi" w:cstheme="minorHAnsi"/>
                <w:b/>
                <w:bCs/>
                <w:color w:val="FFFFFF" w:themeColor="background1"/>
                <w:sz w:val="20"/>
                <w:szCs w:val="20"/>
                <w:lang w:val="bs-Latn-BA"/>
              </w:rPr>
            </w:pPr>
            <w:r w:rsidRPr="00856D94">
              <w:rPr>
                <w:rFonts w:asciiTheme="minorHAnsi" w:hAnsiTheme="minorHAnsi" w:cstheme="minorHAnsi"/>
                <w:b/>
                <w:bCs/>
                <w:color w:val="FFFFFF" w:themeColor="background1"/>
                <w:sz w:val="20"/>
                <w:szCs w:val="20"/>
                <w:lang w:val="bs-Latn-BA"/>
              </w:rPr>
              <w:t>Naziv potencijalnog izvora</w:t>
            </w:r>
          </w:p>
        </w:tc>
      </w:tr>
      <w:tr w:rsidR="000937A0" w:rsidRPr="00856D94" w14:paraId="4C098BFD" w14:textId="77777777" w:rsidTr="00FF1EB6">
        <w:trPr>
          <w:trHeight w:val="575"/>
        </w:trPr>
        <w:tc>
          <w:tcPr>
            <w:tcW w:w="5614" w:type="dxa"/>
            <w:gridSpan w:val="2"/>
            <w:shd w:val="clear" w:color="auto" w:fill="006432"/>
            <w:vAlign w:val="center"/>
          </w:tcPr>
          <w:p w14:paraId="0631A57A" w14:textId="77777777" w:rsidR="000937A0" w:rsidRPr="00856D94" w:rsidRDefault="000937A0" w:rsidP="00847E0C">
            <w:pPr>
              <w:pStyle w:val="TableParagraph"/>
              <w:spacing w:before="30"/>
              <w:ind w:left="110"/>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Redni broj i oznaka prioriteta i mjere </w:t>
            </w:r>
          </w:p>
        </w:tc>
        <w:tc>
          <w:tcPr>
            <w:tcW w:w="1709" w:type="dxa"/>
            <w:gridSpan w:val="2"/>
            <w:shd w:val="clear" w:color="auto" w:fill="006432"/>
            <w:vAlign w:val="center"/>
          </w:tcPr>
          <w:p w14:paraId="39A5F8B6" w14:textId="77777777" w:rsidR="000937A0" w:rsidRPr="00856D94" w:rsidRDefault="000937A0" w:rsidP="00847E0C">
            <w:pPr>
              <w:pStyle w:val="TableParagraph"/>
              <w:spacing w:before="30"/>
              <w:ind w:right="90"/>
              <w:jc w:val="right"/>
              <w:rPr>
                <w:rFonts w:asciiTheme="minorHAnsi" w:hAnsiTheme="minorHAnsi" w:cstheme="minorHAnsi"/>
                <w:b/>
                <w:color w:val="FFFFFF" w:themeColor="background1"/>
                <w:sz w:val="20"/>
                <w:szCs w:val="20"/>
                <w:lang w:val="bs-Latn-BA"/>
              </w:rPr>
            </w:pPr>
          </w:p>
        </w:tc>
        <w:tc>
          <w:tcPr>
            <w:tcW w:w="1796" w:type="dxa"/>
            <w:shd w:val="clear" w:color="auto" w:fill="006432"/>
            <w:vAlign w:val="center"/>
          </w:tcPr>
          <w:p w14:paraId="2F432B38" w14:textId="77777777" w:rsidR="000937A0" w:rsidRPr="00856D94" w:rsidRDefault="000937A0" w:rsidP="00847E0C">
            <w:pPr>
              <w:pStyle w:val="TableParagraph"/>
              <w:spacing w:before="30"/>
              <w:ind w:right="96"/>
              <w:jc w:val="right"/>
              <w:rPr>
                <w:rFonts w:asciiTheme="minorHAnsi" w:hAnsiTheme="minorHAnsi" w:cstheme="minorHAnsi"/>
                <w:b/>
                <w:color w:val="FFFFFF" w:themeColor="background1"/>
                <w:sz w:val="20"/>
                <w:szCs w:val="20"/>
                <w:lang w:val="bs-Latn-BA"/>
              </w:rPr>
            </w:pPr>
          </w:p>
        </w:tc>
        <w:tc>
          <w:tcPr>
            <w:tcW w:w="1687" w:type="dxa"/>
            <w:gridSpan w:val="2"/>
            <w:shd w:val="clear" w:color="auto" w:fill="006432"/>
            <w:vAlign w:val="center"/>
          </w:tcPr>
          <w:p w14:paraId="3EDDD9A9" w14:textId="77777777" w:rsidR="000937A0" w:rsidRPr="00856D94" w:rsidRDefault="000937A0" w:rsidP="00847E0C">
            <w:pPr>
              <w:pStyle w:val="TableParagraph"/>
              <w:spacing w:before="30"/>
              <w:ind w:right="91"/>
              <w:jc w:val="right"/>
              <w:rPr>
                <w:rFonts w:asciiTheme="minorHAnsi" w:hAnsiTheme="minorHAnsi" w:cstheme="minorHAnsi"/>
                <w:b/>
                <w:color w:val="FFFFFF" w:themeColor="background1"/>
                <w:sz w:val="20"/>
                <w:szCs w:val="20"/>
                <w:lang w:val="bs-Latn-BA"/>
              </w:rPr>
            </w:pPr>
          </w:p>
        </w:tc>
        <w:tc>
          <w:tcPr>
            <w:tcW w:w="1438" w:type="dxa"/>
            <w:shd w:val="clear" w:color="auto" w:fill="006432"/>
            <w:vAlign w:val="center"/>
          </w:tcPr>
          <w:p w14:paraId="5FF40BD3" w14:textId="77777777" w:rsidR="000937A0" w:rsidRPr="00856D94" w:rsidRDefault="000937A0" w:rsidP="00847E0C">
            <w:pPr>
              <w:pStyle w:val="TableParagraph"/>
              <w:spacing w:before="30"/>
              <w:ind w:right="91"/>
              <w:jc w:val="right"/>
              <w:rPr>
                <w:rFonts w:asciiTheme="minorHAnsi" w:hAnsiTheme="minorHAnsi" w:cstheme="minorHAnsi"/>
                <w:b/>
                <w:color w:val="FFFFFF" w:themeColor="background1"/>
                <w:sz w:val="20"/>
                <w:szCs w:val="20"/>
                <w:lang w:val="bs-Latn-BA"/>
              </w:rPr>
            </w:pPr>
          </w:p>
        </w:tc>
        <w:tc>
          <w:tcPr>
            <w:tcW w:w="1971" w:type="dxa"/>
            <w:shd w:val="clear" w:color="auto" w:fill="006432"/>
            <w:vAlign w:val="center"/>
          </w:tcPr>
          <w:p w14:paraId="307678EB" w14:textId="77777777" w:rsidR="000937A0" w:rsidRPr="00856D94" w:rsidRDefault="000937A0" w:rsidP="00847E0C">
            <w:pPr>
              <w:pStyle w:val="TableParagraph"/>
              <w:rPr>
                <w:rFonts w:asciiTheme="minorHAnsi" w:hAnsiTheme="minorHAnsi" w:cstheme="minorHAnsi"/>
                <w:color w:val="FFFFFF" w:themeColor="background1"/>
                <w:sz w:val="20"/>
                <w:szCs w:val="20"/>
                <w:lang w:val="bs-Latn-BA"/>
              </w:rPr>
            </w:pPr>
          </w:p>
        </w:tc>
      </w:tr>
      <w:tr w:rsidR="00FF1EB6" w:rsidRPr="00856D94" w14:paraId="7FA9E93A" w14:textId="77777777" w:rsidTr="00FF1EB6">
        <w:trPr>
          <w:trHeight w:val="447"/>
        </w:trPr>
        <w:tc>
          <w:tcPr>
            <w:tcW w:w="5614" w:type="dxa"/>
            <w:gridSpan w:val="2"/>
            <w:shd w:val="clear" w:color="auto" w:fill="D8D8D8"/>
            <w:vAlign w:val="center"/>
          </w:tcPr>
          <w:p w14:paraId="254C40BA" w14:textId="77777777" w:rsidR="00FF1EB6" w:rsidRPr="00856D94" w:rsidRDefault="00FF1EB6" w:rsidP="00FF1EB6">
            <w:pPr>
              <w:pStyle w:val="TableParagraph"/>
              <w:spacing w:before="20"/>
              <w:rPr>
                <w:rFonts w:asciiTheme="minorHAnsi" w:hAnsiTheme="minorHAnsi" w:cstheme="minorHAnsi"/>
                <w:sz w:val="20"/>
                <w:szCs w:val="20"/>
                <w:lang w:val="bs-Latn-BA"/>
              </w:rPr>
            </w:pPr>
            <w:r w:rsidRPr="00856D94">
              <w:rPr>
                <w:rFonts w:asciiTheme="minorHAnsi" w:hAnsiTheme="minorHAnsi" w:cstheme="minorHAnsi"/>
                <w:b/>
                <w:bCs/>
                <w:color w:val="000000"/>
              </w:rPr>
              <w:t xml:space="preserve">1.1. Transformirati postojeći fond zgrada FBiH u energijski visokoefikasan </w:t>
            </w:r>
          </w:p>
        </w:tc>
        <w:tc>
          <w:tcPr>
            <w:tcW w:w="1709" w:type="dxa"/>
            <w:gridSpan w:val="2"/>
            <w:shd w:val="clear" w:color="auto" w:fill="D8D8D8"/>
            <w:vAlign w:val="center"/>
          </w:tcPr>
          <w:p w14:paraId="795BF4E9" w14:textId="4F440D3A" w:rsidR="00FF1EB6" w:rsidRPr="00856D94" w:rsidRDefault="00FF1EB6" w:rsidP="001633C2">
            <w:pPr>
              <w:pStyle w:val="TableParagraph"/>
              <w:spacing w:before="20"/>
              <w:ind w:left="490" w:right="144"/>
              <w:jc w:val="right"/>
              <w:rPr>
                <w:rFonts w:asciiTheme="minorHAnsi" w:hAnsiTheme="minorHAnsi" w:cstheme="minorHAnsi"/>
                <w:b/>
                <w:lang w:val="bs-Latn-BA"/>
              </w:rPr>
            </w:pPr>
            <w:r w:rsidRPr="00856D94">
              <w:rPr>
                <w:rFonts w:asciiTheme="minorHAnsi" w:hAnsiTheme="minorHAnsi" w:cstheme="minorHAnsi"/>
                <w:b/>
                <w:bCs/>
              </w:rPr>
              <w:t>77</w:t>
            </w:r>
            <w:r w:rsidR="00BB01B4" w:rsidRPr="00856D94">
              <w:rPr>
                <w:rFonts w:asciiTheme="minorHAnsi" w:hAnsiTheme="minorHAnsi" w:cstheme="minorHAnsi"/>
                <w:b/>
                <w:bCs/>
              </w:rPr>
              <w:t>,</w:t>
            </w:r>
            <w:r w:rsidRPr="00856D94">
              <w:rPr>
                <w:rFonts w:asciiTheme="minorHAnsi" w:hAnsiTheme="minorHAnsi" w:cstheme="minorHAnsi"/>
                <w:b/>
                <w:bCs/>
              </w:rPr>
              <w:t>55%</w:t>
            </w:r>
          </w:p>
        </w:tc>
        <w:tc>
          <w:tcPr>
            <w:tcW w:w="1796" w:type="dxa"/>
            <w:shd w:val="clear" w:color="auto" w:fill="D8D8D8"/>
            <w:vAlign w:val="center"/>
          </w:tcPr>
          <w:p w14:paraId="57CF8A93" w14:textId="12EF8A46" w:rsidR="00FF1EB6" w:rsidRPr="00856D94" w:rsidRDefault="00FF1EB6" w:rsidP="00FF1EB6">
            <w:pPr>
              <w:pStyle w:val="TableParagraph"/>
              <w:spacing w:before="20"/>
              <w:ind w:right="96"/>
              <w:jc w:val="right"/>
              <w:rPr>
                <w:rFonts w:asciiTheme="minorHAnsi" w:hAnsiTheme="minorHAnsi" w:cstheme="minorHAnsi"/>
                <w:b/>
                <w:lang w:val="bs-Latn-BA"/>
              </w:rPr>
            </w:pPr>
            <w:r w:rsidRPr="00856D94">
              <w:rPr>
                <w:rFonts w:asciiTheme="minorHAnsi" w:hAnsiTheme="minorHAnsi" w:cstheme="minorHAnsi"/>
                <w:b/>
                <w:bCs/>
              </w:rPr>
              <w:t>5</w:t>
            </w:r>
            <w:r w:rsidR="00BB01B4" w:rsidRPr="00856D94">
              <w:rPr>
                <w:rFonts w:asciiTheme="minorHAnsi" w:hAnsiTheme="minorHAnsi" w:cstheme="minorHAnsi"/>
                <w:b/>
                <w:bCs/>
              </w:rPr>
              <w:t>.</w:t>
            </w:r>
            <w:r w:rsidRPr="00856D94">
              <w:rPr>
                <w:rFonts w:asciiTheme="minorHAnsi" w:hAnsiTheme="minorHAnsi" w:cstheme="minorHAnsi"/>
                <w:b/>
                <w:bCs/>
              </w:rPr>
              <w:t>826</w:t>
            </w:r>
            <w:r w:rsidR="00BB01B4" w:rsidRPr="00856D94">
              <w:rPr>
                <w:rFonts w:asciiTheme="minorHAnsi" w:hAnsiTheme="minorHAnsi" w:cstheme="minorHAnsi"/>
                <w:b/>
                <w:bCs/>
              </w:rPr>
              <w:t>,</w:t>
            </w:r>
            <w:r w:rsidRPr="00856D94">
              <w:rPr>
                <w:rFonts w:asciiTheme="minorHAnsi" w:hAnsiTheme="minorHAnsi" w:cstheme="minorHAnsi"/>
                <w:b/>
                <w:bCs/>
              </w:rPr>
              <w:t>13</w:t>
            </w:r>
          </w:p>
        </w:tc>
        <w:tc>
          <w:tcPr>
            <w:tcW w:w="1687" w:type="dxa"/>
            <w:gridSpan w:val="2"/>
            <w:shd w:val="clear" w:color="auto" w:fill="D8D8D8"/>
            <w:vAlign w:val="center"/>
          </w:tcPr>
          <w:p w14:paraId="50041406" w14:textId="1496D314" w:rsidR="00FF1EB6" w:rsidRPr="00856D94" w:rsidRDefault="00FF1EB6" w:rsidP="00FF1EB6">
            <w:pPr>
              <w:pStyle w:val="TableParagraph"/>
              <w:spacing w:before="20"/>
              <w:ind w:right="91"/>
              <w:jc w:val="right"/>
              <w:rPr>
                <w:rFonts w:asciiTheme="minorHAnsi" w:hAnsiTheme="minorHAnsi" w:cstheme="minorHAnsi"/>
                <w:b/>
                <w:lang w:val="bs-Latn-BA"/>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164</w:t>
            </w:r>
            <w:r w:rsidR="00BB01B4" w:rsidRPr="00856D94">
              <w:rPr>
                <w:rFonts w:asciiTheme="minorHAnsi" w:hAnsiTheme="minorHAnsi" w:cstheme="minorHAnsi"/>
                <w:b/>
                <w:bCs/>
              </w:rPr>
              <w:t>,</w:t>
            </w:r>
            <w:r w:rsidRPr="00856D94">
              <w:rPr>
                <w:rFonts w:asciiTheme="minorHAnsi" w:hAnsiTheme="minorHAnsi" w:cstheme="minorHAnsi"/>
                <w:b/>
                <w:bCs/>
              </w:rPr>
              <w:t>79</w:t>
            </w:r>
          </w:p>
        </w:tc>
        <w:tc>
          <w:tcPr>
            <w:tcW w:w="1438" w:type="dxa"/>
            <w:shd w:val="clear" w:color="auto" w:fill="D8D8D8"/>
            <w:vAlign w:val="center"/>
          </w:tcPr>
          <w:p w14:paraId="4781163A" w14:textId="3994D07E" w:rsidR="00FF1EB6" w:rsidRPr="00856D94" w:rsidRDefault="00FF1EB6" w:rsidP="00FF1EB6">
            <w:pPr>
              <w:pStyle w:val="TableParagraph"/>
              <w:spacing w:before="20"/>
              <w:ind w:right="91"/>
              <w:jc w:val="right"/>
              <w:rPr>
                <w:rFonts w:asciiTheme="minorHAnsi" w:hAnsiTheme="minorHAnsi" w:cstheme="minorHAnsi"/>
                <w:b/>
                <w:lang w:val="bs-Latn-BA"/>
              </w:rPr>
            </w:pPr>
            <w:r w:rsidRPr="00856D94">
              <w:rPr>
                <w:rFonts w:asciiTheme="minorHAnsi" w:hAnsiTheme="minorHAnsi" w:cstheme="minorHAnsi"/>
                <w:b/>
                <w:bCs/>
              </w:rPr>
              <w:t>4</w:t>
            </w:r>
            <w:r w:rsidR="00BB01B4" w:rsidRPr="00856D94">
              <w:rPr>
                <w:rFonts w:asciiTheme="minorHAnsi" w:hAnsiTheme="minorHAnsi" w:cstheme="minorHAnsi"/>
                <w:b/>
                <w:bCs/>
              </w:rPr>
              <w:t>.</w:t>
            </w:r>
            <w:r w:rsidRPr="00856D94">
              <w:rPr>
                <w:rFonts w:asciiTheme="minorHAnsi" w:hAnsiTheme="minorHAnsi" w:cstheme="minorHAnsi"/>
                <w:b/>
                <w:bCs/>
              </w:rPr>
              <w:t>661</w:t>
            </w:r>
            <w:r w:rsidR="00BB01B4" w:rsidRPr="00856D94">
              <w:rPr>
                <w:rFonts w:asciiTheme="minorHAnsi" w:hAnsiTheme="minorHAnsi" w:cstheme="minorHAnsi"/>
                <w:b/>
                <w:bCs/>
              </w:rPr>
              <w:t>,</w:t>
            </w:r>
            <w:r w:rsidRPr="00856D94">
              <w:rPr>
                <w:rFonts w:asciiTheme="minorHAnsi" w:hAnsiTheme="minorHAnsi" w:cstheme="minorHAnsi"/>
                <w:b/>
                <w:bCs/>
              </w:rPr>
              <w:t>34</w:t>
            </w:r>
          </w:p>
        </w:tc>
        <w:tc>
          <w:tcPr>
            <w:tcW w:w="1971" w:type="dxa"/>
            <w:shd w:val="clear" w:color="auto" w:fill="D8D8D8"/>
            <w:vAlign w:val="center"/>
          </w:tcPr>
          <w:p w14:paraId="3E3E8610" w14:textId="77777777" w:rsidR="00FF1EB6" w:rsidRPr="00856D94" w:rsidRDefault="00FF1EB6" w:rsidP="00FF1EB6">
            <w:pPr>
              <w:pStyle w:val="TableParagraph"/>
              <w:rPr>
                <w:rFonts w:asciiTheme="minorHAnsi" w:hAnsiTheme="minorHAnsi" w:cstheme="minorHAnsi"/>
                <w:sz w:val="20"/>
                <w:szCs w:val="20"/>
                <w:lang w:val="bs-Latn-BA"/>
              </w:rPr>
            </w:pPr>
          </w:p>
        </w:tc>
      </w:tr>
      <w:tr w:rsidR="00FF1EB6" w:rsidRPr="00856D94" w14:paraId="51809D8C" w14:textId="77777777" w:rsidTr="00FF1EB6">
        <w:trPr>
          <w:trHeight w:val="550"/>
        </w:trPr>
        <w:tc>
          <w:tcPr>
            <w:tcW w:w="5614" w:type="dxa"/>
            <w:gridSpan w:val="2"/>
            <w:vAlign w:val="center"/>
          </w:tcPr>
          <w:p w14:paraId="346558F9"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1.1.1.</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Unaprijediti regulatorni okvir u cilju ostvarivanja potpune harmonizacije s pravnom stečevinom EU u oblasti EE koji će omogućiti energijsku obnovu zgrada</w:t>
            </w:r>
          </w:p>
        </w:tc>
        <w:tc>
          <w:tcPr>
            <w:tcW w:w="1709" w:type="dxa"/>
            <w:gridSpan w:val="2"/>
            <w:vAlign w:val="center"/>
          </w:tcPr>
          <w:p w14:paraId="2F130886" w14:textId="4D69C9C9" w:rsidR="00FF1EB6" w:rsidRPr="00856D94" w:rsidRDefault="00FF1EB6"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083ABBC6" w14:textId="5D7A5B84"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40</w:t>
            </w:r>
          </w:p>
        </w:tc>
        <w:tc>
          <w:tcPr>
            <w:tcW w:w="1687" w:type="dxa"/>
            <w:gridSpan w:val="2"/>
            <w:vAlign w:val="center"/>
          </w:tcPr>
          <w:p w14:paraId="50424C28" w14:textId="71F1D674"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20</w:t>
            </w:r>
          </w:p>
        </w:tc>
        <w:tc>
          <w:tcPr>
            <w:tcW w:w="1438" w:type="dxa"/>
            <w:vAlign w:val="center"/>
          </w:tcPr>
          <w:p w14:paraId="1A708156" w14:textId="1FBA6DE5"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20</w:t>
            </w:r>
          </w:p>
        </w:tc>
        <w:tc>
          <w:tcPr>
            <w:tcW w:w="1971" w:type="dxa"/>
            <w:vAlign w:val="center"/>
          </w:tcPr>
          <w:p w14:paraId="691E7BCF"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tc>
      </w:tr>
      <w:tr w:rsidR="00FF1EB6" w:rsidRPr="00856D94" w14:paraId="579E370A" w14:textId="77777777" w:rsidTr="00FF1EB6">
        <w:trPr>
          <w:trHeight w:val="550"/>
        </w:trPr>
        <w:tc>
          <w:tcPr>
            <w:tcW w:w="5614" w:type="dxa"/>
            <w:gridSpan w:val="2"/>
            <w:vAlign w:val="center"/>
          </w:tcPr>
          <w:p w14:paraId="6BC18549" w14:textId="22A6CB26" w:rsidR="00FF1EB6" w:rsidRPr="00856D94" w:rsidRDefault="00FF1EB6" w:rsidP="00FF1EB6">
            <w:pPr>
              <w:pStyle w:val="TableParagraph"/>
              <w:ind w:left="110"/>
              <w:rPr>
                <w:rFonts w:asciiTheme="minorHAnsi" w:hAnsiTheme="minorHAnsi" w:cstheme="minorHAnsi"/>
                <w:color w:val="000000"/>
              </w:rPr>
            </w:pPr>
            <w:r w:rsidRPr="00856D94">
              <w:rPr>
                <w:rFonts w:asciiTheme="minorHAnsi" w:hAnsiTheme="minorHAnsi" w:cstheme="minorHAnsi"/>
                <w:color w:val="000000"/>
              </w:rPr>
              <w:t xml:space="preserve">1.1.2.       Jačati institucionalne kapacitete na svim nivoima vlasti i međusektorsku saradnju </w:t>
            </w:r>
            <w:r w:rsidR="00BD43F2" w:rsidRPr="00856D94">
              <w:rPr>
                <w:rFonts w:asciiTheme="minorHAnsi" w:hAnsiTheme="minorHAnsi" w:cstheme="minorHAnsi"/>
                <w:color w:val="000000"/>
              </w:rPr>
              <w:t>u cilju</w:t>
            </w:r>
            <w:r w:rsidRPr="00856D94">
              <w:rPr>
                <w:rFonts w:asciiTheme="minorHAnsi" w:hAnsiTheme="minorHAnsi" w:cstheme="minorHAnsi"/>
                <w:color w:val="000000"/>
              </w:rPr>
              <w:t xml:space="preserve"> energijsk</w:t>
            </w:r>
            <w:r w:rsidR="00BD43F2" w:rsidRPr="00856D94">
              <w:rPr>
                <w:rFonts w:asciiTheme="minorHAnsi" w:hAnsiTheme="minorHAnsi" w:cstheme="minorHAnsi"/>
                <w:color w:val="000000"/>
              </w:rPr>
              <w:t>e</w:t>
            </w:r>
            <w:r w:rsidRPr="00856D94">
              <w:rPr>
                <w:rFonts w:asciiTheme="minorHAnsi" w:hAnsiTheme="minorHAnsi" w:cstheme="minorHAnsi"/>
                <w:color w:val="000000"/>
              </w:rPr>
              <w:t xml:space="preserve"> obnov</w:t>
            </w:r>
            <w:r w:rsidR="00BD43F2" w:rsidRPr="00856D94">
              <w:rPr>
                <w:rFonts w:asciiTheme="minorHAnsi" w:hAnsiTheme="minorHAnsi" w:cstheme="minorHAnsi"/>
                <w:color w:val="000000"/>
              </w:rPr>
              <w:t>e</w:t>
            </w:r>
            <w:r w:rsidRPr="00856D94">
              <w:rPr>
                <w:rFonts w:asciiTheme="minorHAnsi" w:hAnsiTheme="minorHAnsi" w:cstheme="minorHAnsi"/>
                <w:color w:val="000000"/>
              </w:rPr>
              <w:t xml:space="preserve"> zgrada</w:t>
            </w:r>
          </w:p>
        </w:tc>
        <w:tc>
          <w:tcPr>
            <w:tcW w:w="1709" w:type="dxa"/>
            <w:gridSpan w:val="2"/>
            <w:vAlign w:val="center"/>
          </w:tcPr>
          <w:p w14:paraId="7A2339DA" w14:textId="7A54B407" w:rsidR="00FF1EB6" w:rsidRPr="00856D94" w:rsidRDefault="00FF1EB6"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346F559C" w14:textId="54919BF5"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27</w:t>
            </w:r>
            <w:r w:rsidR="00BB01B4" w:rsidRPr="00856D94">
              <w:rPr>
                <w:rFonts w:asciiTheme="minorHAnsi" w:hAnsiTheme="minorHAnsi" w:cstheme="minorHAnsi"/>
              </w:rPr>
              <w:t>,</w:t>
            </w:r>
            <w:r w:rsidRPr="00856D94">
              <w:rPr>
                <w:rFonts w:asciiTheme="minorHAnsi" w:hAnsiTheme="minorHAnsi" w:cstheme="minorHAnsi"/>
              </w:rPr>
              <w:t>93</w:t>
            </w:r>
          </w:p>
        </w:tc>
        <w:tc>
          <w:tcPr>
            <w:tcW w:w="1687" w:type="dxa"/>
            <w:gridSpan w:val="2"/>
            <w:vAlign w:val="center"/>
          </w:tcPr>
          <w:p w14:paraId="2E340D6D" w14:textId="620E161D"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5</w:t>
            </w:r>
            <w:r w:rsidR="00BB01B4" w:rsidRPr="00856D94">
              <w:rPr>
                <w:rFonts w:asciiTheme="minorHAnsi" w:hAnsiTheme="minorHAnsi" w:cstheme="minorHAnsi"/>
              </w:rPr>
              <w:t>,</w:t>
            </w:r>
            <w:r w:rsidRPr="00856D94">
              <w:rPr>
                <w:rFonts w:asciiTheme="minorHAnsi" w:hAnsiTheme="minorHAnsi" w:cstheme="minorHAnsi"/>
              </w:rPr>
              <w:t>03</w:t>
            </w:r>
          </w:p>
        </w:tc>
        <w:tc>
          <w:tcPr>
            <w:tcW w:w="1438" w:type="dxa"/>
            <w:vAlign w:val="center"/>
          </w:tcPr>
          <w:p w14:paraId="1DF3DA94" w14:textId="4DBA0607"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22</w:t>
            </w:r>
            <w:r w:rsidR="00BB01B4" w:rsidRPr="00856D94">
              <w:rPr>
                <w:rFonts w:asciiTheme="minorHAnsi" w:hAnsiTheme="minorHAnsi" w:cstheme="minorHAnsi"/>
              </w:rPr>
              <w:t>,</w:t>
            </w:r>
            <w:r w:rsidRPr="00856D94">
              <w:rPr>
                <w:rFonts w:asciiTheme="minorHAnsi" w:hAnsiTheme="minorHAnsi" w:cstheme="minorHAnsi"/>
              </w:rPr>
              <w:t>90</w:t>
            </w:r>
          </w:p>
        </w:tc>
        <w:tc>
          <w:tcPr>
            <w:tcW w:w="1971" w:type="dxa"/>
            <w:vAlign w:val="center"/>
          </w:tcPr>
          <w:p w14:paraId="23080288"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0555E5D0"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2F151A49" w14:textId="4B5E1E33"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Ostale donacije</w:t>
            </w:r>
          </w:p>
        </w:tc>
      </w:tr>
      <w:tr w:rsidR="00FF1EB6" w:rsidRPr="00856D94" w14:paraId="2C2E462C" w14:textId="77777777" w:rsidTr="00FF1EB6">
        <w:trPr>
          <w:trHeight w:val="550"/>
        </w:trPr>
        <w:tc>
          <w:tcPr>
            <w:tcW w:w="5614" w:type="dxa"/>
            <w:gridSpan w:val="2"/>
            <w:vAlign w:val="center"/>
          </w:tcPr>
          <w:p w14:paraId="4E28EC89" w14:textId="7DB69A39"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1.1.3.</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 xml:space="preserve">Uspostaviti održiv </w:t>
            </w:r>
            <w:r w:rsidR="007B690C" w:rsidRPr="00856D94">
              <w:rPr>
                <w:rFonts w:asciiTheme="minorHAnsi" w:hAnsiTheme="minorHAnsi" w:cstheme="minorHAnsi"/>
                <w:color w:val="000000"/>
              </w:rPr>
              <w:t>financ</w:t>
            </w:r>
            <w:r w:rsidRPr="00856D94">
              <w:rPr>
                <w:rFonts w:asciiTheme="minorHAnsi" w:hAnsiTheme="minorHAnsi" w:cstheme="minorHAnsi"/>
                <w:color w:val="000000"/>
              </w:rPr>
              <w:t xml:space="preserve">ijski okvir koji će omogućiti podsticaj i kontinuirano </w:t>
            </w:r>
            <w:r w:rsidR="007B690C" w:rsidRPr="00856D94">
              <w:rPr>
                <w:rFonts w:asciiTheme="minorHAnsi" w:hAnsiTheme="minorHAnsi" w:cstheme="minorHAnsi"/>
                <w:color w:val="000000"/>
              </w:rPr>
              <w:t>financ</w:t>
            </w:r>
            <w:r w:rsidRPr="00856D94">
              <w:rPr>
                <w:rFonts w:asciiTheme="minorHAnsi" w:hAnsiTheme="minorHAnsi" w:cstheme="minorHAnsi"/>
                <w:color w:val="000000"/>
              </w:rPr>
              <w:t>iranje obnove sektora zgradarstva</w:t>
            </w:r>
          </w:p>
        </w:tc>
        <w:tc>
          <w:tcPr>
            <w:tcW w:w="1709" w:type="dxa"/>
            <w:gridSpan w:val="2"/>
            <w:vAlign w:val="center"/>
          </w:tcPr>
          <w:p w14:paraId="13071419" w14:textId="64DFBCF1" w:rsidR="00FF1EB6" w:rsidRPr="00856D94" w:rsidRDefault="00FF1EB6"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119AABC5" w14:textId="54B21D54"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20</w:t>
            </w:r>
            <w:r w:rsidR="00BB01B4" w:rsidRPr="00856D94">
              <w:rPr>
                <w:rFonts w:asciiTheme="minorHAnsi" w:hAnsiTheme="minorHAnsi" w:cstheme="minorHAnsi"/>
              </w:rPr>
              <w:t>,</w:t>
            </w:r>
            <w:r w:rsidRPr="00856D94">
              <w:rPr>
                <w:rFonts w:asciiTheme="minorHAnsi" w:hAnsiTheme="minorHAnsi" w:cstheme="minorHAnsi"/>
              </w:rPr>
              <w:t>00</w:t>
            </w:r>
          </w:p>
        </w:tc>
        <w:tc>
          <w:tcPr>
            <w:tcW w:w="1687" w:type="dxa"/>
            <w:gridSpan w:val="2"/>
            <w:vAlign w:val="center"/>
          </w:tcPr>
          <w:p w14:paraId="75BC703E" w14:textId="5C0BEBCC"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4</w:t>
            </w:r>
            <w:r w:rsidR="00BB01B4" w:rsidRPr="00856D94">
              <w:rPr>
                <w:rFonts w:asciiTheme="minorHAnsi" w:hAnsiTheme="minorHAnsi" w:cstheme="minorHAnsi"/>
              </w:rPr>
              <w:t>,</w:t>
            </w:r>
            <w:r w:rsidRPr="00856D94">
              <w:rPr>
                <w:rFonts w:asciiTheme="minorHAnsi" w:hAnsiTheme="minorHAnsi" w:cstheme="minorHAnsi"/>
              </w:rPr>
              <w:t>00</w:t>
            </w:r>
          </w:p>
        </w:tc>
        <w:tc>
          <w:tcPr>
            <w:tcW w:w="1438" w:type="dxa"/>
            <w:vAlign w:val="center"/>
          </w:tcPr>
          <w:p w14:paraId="592AE5E5" w14:textId="56C42F22"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16</w:t>
            </w:r>
            <w:r w:rsidR="00BB01B4" w:rsidRPr="00856D94">
              <w:rPr>
                <w:rFonts w:asciiTheme="minorHAnsi" w:hAnsiTheme="minorHAnsi" w:cstheme="minorHAnsi"/>
              </w:rPr>
              <w:t>,</w:t>
            </w:r>
            <w:r w:rsidRPr="00856D94">
              <w:rPr>
                <w:rFonts w:asciiTheme="minorHAnsi" w:hAnsiTheme="minorHAnsi" w:cstheme="minorHAnsi"/>
              </w:rPr>
              <w:t>00</w:t>
            </w:r>
          </w:p>
        </w:tc>
        <w:tc>
          <w:tcPr>
            <w:tcW w:w="1971" w:type="dxa"/>
          </w:tcPr>
          <w:p w14:paraId="5DC26745"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06009D2F"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609AC2C1" w14:textId="77777777" w:rsidR="00FF1EB6" w:rsidRPr="00856D94" w:rsidRDefault="00FF1EB6" w:rsidP="00FF1EB6">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FF1EB6" w:rsidRPr="00856D94" w14:paraId="616BBA46" w14:textId="77777777" w:rsidTr="00FF1EB6">
        <w:trPr>
          <w:trHeight w:val="350"/>
        </w:trPr>
        <w:tc>
          <w:tcPr>
            <w:tcW w:w="5614" w:type="dxa"/>
            <w:gridSpan w:val="2"/>
            <w:vAlign w:val="center"/>
          </w:tcPr>
          <w:p w14:paraId="0646DA95" w14:textId="77777777"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1.1.4.</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Energijski obnoviti postojeći fond zgrada</w:t>
            </w:r>
          </w:p>
        </w:tc>
        <w:tc>
          <w:tcPr>
            <w:tcW w:w="1709" w:type="dxa"/>
            <w:gridSpan w:val="2"/>
            <w:vAlign w:val="center"/>
          </w:tcPr>
          <w:p w14:paraId="673C3C60" w14:textId="02A371CB" w:rsidR="00FF1EB6" w:rsidRPr="00856D94" w:rsidRDefault="00FF1EB6"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0CE51C33" w14:textId="55D44697"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5</w:t>
            </w:r>
            <w:r w:rsidR="00BB01B4" w:rsidRPr="00856D94">
              <w:rPr>
                <w:rFonts w:asciiTheme="minorHAnsi" w:hAnsiTheme="minorHAnsi" w:cstheme="minorHAnsi"/>
              </w:rPr>
              <w:t>.</w:t>
            </w:r>
            <w:r w:rsidRPr="00856D94">
              <w:rPr>
                <w:rFonts w:asciiTheme="minorHAnsi" w:hAnsiTheme="minorHAnsi" w:cstheme="minorHAnsi"/>
              </w:rPr>
              <w:t>740</w:t>
            </w:r>
            <w:r w:rsidR="00BB01B4" w:rsidRPr="00856D94">
              <w:rPr>
                <w:rFonts w:asciiTheme="minorHAnsi" w:hAnsiTheme="minorHAnsi" w:cstheme="minorHAnsi"/>
              </w:rPr>
              <w:t>,</w:t>
            </w:r>
            <w:r w:rsidRPr="00856D94">
              <w:rPr>
                <w:rFonts w:asciiTheme="minorHAnsi" w:hAnsiTheme="minorHAnsi" w:cstheme="minorHAnsi"/>
              </w:rPr>
              <w:t>91</w:t>
            </w:r>
          </w:p>
        </w:tc>
        <w:tc>
          <w:tcPr>
            <w:tcW w:w="1687" w:type="dxa"/>
            <w:gridSpan w:val="2"/>
            <w:vAlign w:val="center"/>
          </w:tcPr>
          <w:p w14:paraId="4C778487" w14:textId="17904709"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1</w:t>
            </w:r>
            <w:r w:rsidR="00BB01B4" w:rsidRPr="00856D94">
              <w:rPr>
                <w:rFonts w:asciiTheme="minorHAnsi" w:hAnsiTheme="minorHAnsi" w:cstheme="minorHAnsi"/>
              </w:rPr>
              <w:t>.</w:t>
            </w:r>
            <w:r w:rsidRPr="00856D94">
              <w:rPr>
                <w:rFonts w:asciiTheme="minorHAnsi" w:hAnsiTheme="minorHAnsi" w:cstheme="minorHAnsi"/>
              </w:rPr>
              <w:t>148</w:t>
            </w:r>
            <w:r w:rsidR="00BB01B4" w:rsidRPr="00856D94">
              <w:rPr>
                <w:rFonts w:asciiTheme="minorHAnsi" w:hAnsiTheme="minorHAnsi" w:cstheme="minorHAnsi"/>
              </w:rPr>
              <w:t>,</w:t>
            </w:r>
            <w:r w:rsidRPr="00856D94">
              <w:rPr>
                <w:rFonts w:asciiTheme="minorHAnsi" w:hAnsiTheme="minorHAnsi" w:cstheme="minorHAnsi"/>
              </w:rPr>
              <w:t>18</w:t>
            </w:r>
          </w:p>
        </w:tc>
        <w:tc>
          <w:tcPr>
            <w:tcW w:w="1438" w:type="dxa"/>
            <w:vAlign w:val="center"/>
          </w:tcPr>
          <w:p w14:paraId="20240B22" w14:textId="6D92A630"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4</w:t>
            </w:r>
            <w:r w:rsidR="00BB01B4" w:rsidRPr="00856D94">
              <w:rPr>
                <w:rFonts w:asciiTheme="minorHAnsi" w:hAnsiTheme="minorHAnsi" w:cstheme="minorHAnsi"/>
              </w:rPr>
              <w:t>.</w:t>
            </w:r>
            <w:r w:rsidRPr="00856D94">
              <w:rPr>
                <w:rFonts w:asciiTheme="minorHAnsi" w:hAnsiTheme="minorHAnsi" w:cstheme="minorHAnsi"/>
              </w:rPr>
              <w:t>592</w:t>
            </w:r>
            <w:r w:rsidR="00BB01B4" w:rsidRPr="00856D94">
              <w:rPr>
                <w:rFonts w:asciiTheme="minorHAnsi" w:hAnsiTheme="minorHAnsi" w:cstheme="minorHAnsi"/>
              </w:rPr>
              <w:t>,</w:t>
            </w:r>
            <w:r w:rsidRPr="00856D94">
              <w:rPr>
                <w:rFonts w:asciiTheme="minorHAnsi" w:hAnsiTheme="minorHAnsi" w:cstheme="minorHAnsi"/>
              </w:rPr>
              <w:t>73</w:t>
            </w:r>
          </w:p>
        </w:tc>
        <w:tc>
          <w:tcPr>
            <w:tcW w:w="1971" w:type="dxa"/>
            <w:vAlign w:val="center"/>
          </w:tcPr>
          <w:p w14:paraId="21CBD3E5" w14:textId="0F821D93" w:rsidR="00FF1EB6" w:rsidRPr="00856D94" w:rsidRDefault="00856D94" w:rsidP="00FF1EB6">
            <w:pPr>
              <w:pStyle w:val="TableParagraph"/>
              <w:rPr>
                <w:rFonts w:asciiTheme="minorHAnsi" w:hAnsiTheme="minorHAnsi" w:cstheme="minorHAnsi"/>
                <w:sz w:val="20"/>
                <w:szCs w:val="20"/>
                <w:lang w:val="bs-Latn-BA"/>
              </w:rPr>
            </w:pPr>
            <w:r>
              <w:rPr>
                <w:rFonts w:asciiTheme="minorHAnsi" w:hAnsiTheme="minorHAnsi" w:cstheme="minorHAnsi"/>
                <w:sz w:val="20"/>
                <w:szCs w:val="20"/>
                <w:lang w:val="bs-Latn-BA"/>
              </w:rPr>
              <w:t xml:space="preserve">*) </w:t>
            </w:r>
            <w:r w:rsidR="00FF1EB6" w:rsidRPr="00856D94">
              <w:rPr>
                <w:rFonts w:asciiTheme="minorHAnsi" w:hAnsiTheme="minorHAnsi" w:cstheme="minorHAnsi"/>
                <w:sz w:val="20"/>
                <w:szCs w:val="20"/>
                <w:lang w:val="bs-Latn-BA"/>
              </w:rPr>
              <w:t>Kreditna sredstva</w:t>
            </w:r>
          </w:p>
          <w:p w14:paraId="238CC90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6B095E18" w14:textId="77777777" w:rsidR="00FF1EB6" w:rsidRPr="00856D94" w:rsidRDefault="00FF1EB6" w:rsidP="00FF1EB6">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FF1EB6" w:rsidRPr="00856D94" w14:paraId="03875D79" w14:textId="77777777" w:rsidTr="00BB01B4">
        <w:trPr>
          <w:trHeight w:val="550"/>
        </w:trPr>
        <w:tc>
          <w:tcPr>
            <w:tcW w:w="5614" w:type="dxa"/>
            <w:gridSpan w:val="2"/>
            <w:vAlign w:val="center"/>
          </w:tcPr>
          <w:p w14:paraId="7CD5FD7F" w14:textId="7A116A65"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1.1.5.</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 xml:space="preserve">Promovirati izgradnju novih stambenih i nestambenih zgrada prema standardima propisanim za (nZEB) </w:t>
            </w:r>
          </w:p>
        </w:tc>
        <w:tc>
          <w:tcPr>
            <w:tcW w:w="1709" w:type="dxa"/>
            <w:gridSpan w:val="2"/>
            <w:vAlign w:val="center"/>
          </w:tcPr>
          <w:p w14:paraId="386AEAD2" w14:textId="3DDA4CD8" w:rsidR="00FF1EB6" w:rsidRPr="00856D94" w:rsidRDefault="00FF1EB6"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78BF5387" w14:textId="3CDED96D"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30</w:t>
            </w:r>
          </w:p>
        </w:tc>
        <w:tc>
          <w:tcPr>
            <w:tcW w:w="1687" w:type="dxa"/>
            <w:gridSpan w:val="2"/>
            <w:vAlign w:val="center"/>
          </w:tcPr>
          <w:p w14:paraId="5EF448B1" w14:textId="03437E54"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06</w:t>
            </w:r>
          </w:p>
        </w:tc>
        <w:tc>
          <w:tcPr>
            <w:tcW w:w="1438" w:type="dxa"/>
            <w:vAlign w:val="center"/>
          </w:tcPr>
          <w:p w14:paraId="5C95A8CF" w14:textId="1853AAF0"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24</w:t>
            </w:r>
          </w:p>
        </w:tc>
        <w:tc>
          <w:tcPr>
            <w:tcW w:w="1971" w:type="dxa"/>
            <w:vAlign w:val="center"/>
          </w:tcPr>
          <w:p w14:paraId="7479E65C"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tc>
      </w:tr>
      <w:tr w:rsidR="00FF1EB6" w:rsidRPr="00856D94" w14:paraId="647050AE" w14:textId="77777777" w:rsidTr="00FF1EB6">
        <w:trPr>
          <w:trHeight w:val="550"/>
        </w:trPr>
        <w:tc>
          <w:tcPr>
            <w:tcW w:w="5614" w:type="dxa"/>
            <w:gridSpan w:val="2"/>
            <w:vAlign w:val="center"/>
          </w:tcPr>
          <w:p w14:paraId="7B199CC8" w14:textId="77777777"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1.1.6.</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Podsticati primjenu novih tehnologija i pametnih rješenja u sektoru zgradarstva</w:t>
            </w:r>
          </w:p>
        </w:tc>
        <w:tc>
          <w:tcPr>
            <w:tcW w:w="1709" w:type="dxa"/>
            <w:gridSpan w:val="2"/>
            <w:vAlign w:val="center"/>
          </w:tcPr>
          <w:p w14:paraId="20A09CD8" w14:textId="380629EB" w:rsidR="00FF1EB6" w:rsidRPr="00856D94" w:rsidRDefault="00FF1EB6" w:rsidP="001633C2">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4CADCB6E" w14:textId="68653163"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36</w:t>
            </w:r>
            <w:r w:rsidR="00BB01B4" w:rsidRPr="00856D94">
              <w:rPr>
                <w:rFonts w:asciiTheme="minorHAnsi" w:hAnsiTheme="minorHAnsi" w:cstheme="minorHAnsi"/>
              </w:rPr>
              <w:t>,</w:t>
            </w:r>
            <w:r w:rsidRPr="00856D94">
              <w:rPr>
                <w:rFonts w:asciiTheme="minorHAnsi" w:hAnsiTheme="minorHAnsi" w:cstheme="minorHAnsi"/>
              </w:rPr>
              <w:t>59</w:t>
            </w:r>
          </w:p>
        </w:tc>
        <w:tc>
          <w:tcPr>
            <w:tcW w:w="1687" w:type="dxa"/>
            <w:gridSpan w:val="2"/>
            <w:vAlign w:val="center"/>
          </w:tcPr>
          <w:p w14:paraId="4262274F" w14:textId="4D530B4F"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7</w:t>
            </w:r>
            <w:r w:rsidR="00BB01B4" w:rsidRPr="00856D94">
              <w:rPr>
                <w:rFonts w:asciiTheme="minorHAnsi" w:hAnsiTheme="minorHAnsi" w:cstheme="minorHAnsi"/>
              </w:rPr>
              <w:t>,</w:t>
            </w:r>
            <w:r w:rsidRPr="00856D94">
              <w:rPr>
                <w:rFonts w:asciiTheme="minorHAnsi" w:hAnsiTheme="minorHAnsi" w:cstheme="minorHAnsi"/>
              </w:rPr>
              <w:t>32</w:t>
            </w:r>
          </w:p>
        </w:tc>
        <w:tc>
          <w:tcPr>
            <w:tcW w:w="1438" w:type="dxa"/>
            <w:vAlign w:val="center"/>
          </w:tcPr>
          <w:p w14:paraId="4A8ACE33" w14:textId="2675AFAD"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29.27</w:t>
            </w:r>
          </w:p>
        </w:tc>
        <w:tc>
          <w:tcPr>
            <w:tcW w:w="1971" w:type="dxa"/>
          </w:tcPr>
          <w:p w14:paraId="4A1565D3"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31F02DB0"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66159133" w14:textId="77777777" w:rsidR="00FF1EB6" w:rsidRPr="00856D94" w:rsidRDefault="00FF1EB6" w:rsidP="00FF1EB6">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FF1EB6" w:rsidRPr="00856D94" w14:paraId="6C64CD91" w14:textId="77777777" w:rsidTr="00FF1EB6">
        <w:trPr>
          <w:trHeight w:val="550"/>
        </w:trPr>
        <w:tc>
          <w:tcPr>
            <w:tcW w:w="5614" w:type="dxa"/>
            <w:gridSpan w:val="2"/>
            <w:vAlign w:val="center"/>
          </w:tcPr>
          <w:p w14:paraId="43D4066B"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1.1.7.</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Smanjiti energijsko siromaštvo povećanjem EE i korištenjem OIE u stambenim zgradama</w:t>
            </w:r>
          </w:p>
        </w:tc>
        <w:tc>
          <w:tcPr>
            <w:tcW w:w="1709" w:type="dxa"/>
            <w:gridSpan w:val="2"/>
            <w:vAlign w:val="center"/>
          </w:tcPr>
          <w:p w14:paraId="3806FD3B" w14:textId="0BE13C3E" w:rsidR="00FF1EB6" w:rsidRPr="00856D94" w:rsidRDefault="00FF1EB6" w:rsidP="001633C2">
            <w:pPr>
              <w:pStyle w:val="TableParagraph"/>
              <w:ind w:left="490" w:right="144"/>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7F2D8969" w14:textId="034B65BA"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00</w:t>
            </w:r>
          </w:p>
        </w:tc>
        <w:tc>
          <w:tcPr>
            <w:tcW w:w="1687" w:type="dxa"/>
            <w:gridSpan w:val="2"/>
            <w:vAlign w:val="center"/>
          </w:tcPr>
          <w:p w14:paraId="10FD7E34" w14:textId="17CC0445"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00</w:t>
            </w:r>
          </w:p>
        </w:tc>
        <w:tc>
          <w:tcPr>
            <w:tcW w:w="1438" w:type="dxa"/>
            <w:vAlign w:val="center"/>
          </w:tcPr>
          <w:p w14:paraId="67DF4A82" w14:textId="2C583B8B"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00</w:t>
            </w:r>
          </w:p>
        </w:tc>
        <w:tc>
          <w:tcPr>
            <w:tcW w:w="1971" w:type="dxa"/>
            <w:vAlign w:val="center"/>
          </w:tcPr>
          <w:p w14:paraId="7C3A5136"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644A8BB6"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1ADEB224" w14:textId="77777777" w:rsidR="00FF1EB6" w:rsidRPr="00856D94" w:rsidRDefault="00FF1EB6" w:rsidP="00FF1EB6">
            <w:pPr>
              <w:pStyle w:val="TableParagraph"/>
              <w:spacing w:before="3"/>
              <w:ind w:right="94"/>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lastRenderedPageBreak/>
              <w:t>Ostale donacije</w:t>
            </w:r>
          </w:p>
        </w:tc>
      </w:tr>
      <w:tr w:rsidR="00FF1EB6" w:rsidRPr="00856D94" w14:paraId="44455B07" w14:textId="77777777" w:rsidTr="00FF1EB6">
        <w:trPr>
          <w:trHeight w:val="550"/>
        </w:trPr>
        <w:tc>
          <w:tcPr>
            <w:tcW w:w="5614" w:type="dxa"/>
            <w:gridSpan w:val="2"/>
            <w:shd w:val="clear" w:color="auto" w:fill="D9D9D9" w:themeFill="background1" w:themeFillShade="D9"/>
            <w:vAlign w:val="center"/>
          </w:tcPr>
          <w:p w14:paraId="722F203F" w14:textId="77777777" w:rsidR="00FF1EB6" w:rsidRPr="00856D94" w:rsidRDefault="00FF1EB6" w:rsidP="00FF1EB6">
            <w:pPr>
              <w:pStyle w:val="TableParagraph"/>
              <w:spacing w:before="20"/>
              <w:ind w:left="110"/>
              <w:rPr>
                <w:rFonts w:asciiTheme="minorHAnsi" w:hAnsiTheme="minorHAnsi" w:cstheme="minorHAnsi"/>
                <w:b/>
                <w:sz w:val="20"/>
                <w:szCs w:val="20"/>
                <w:lang w:val="bs-Latn-BA"/>
              </w:rPr>
            </w:pPr>
            <w:r w:rsidRPr="00856D94">
              <w:rPr>
                <w:rFonts w:asciiTheme="minorHAnsi" w:hAnsiTheme="minorHAnsi" w:cstheme="minorHAnsi"/>
                <w:b/>
                <w:bCs/>
                <w:color w:val="000000"/>
              </w:rPr>
              <w:lastRenderedPageBreak/>
              <w:t xml:space="preserve">1.2. Dekarbonizirati postojeći fond zgrada FBiH </w:t>
            </w:r>
          </w:p>
        </w:tc>
        <w:tc>
          <w:tcPr>
            <w:tcW w:w="1709" w:type="dxa"/>
            <w:gridSpan w:val="2"/>
            <w:shd w:val="clear" w:color="auto" w:fill="D9D9D9" w:themeFill="background1" w:themeFillShade="D9"/>
            <w:vAlign w:val="center"/>
          </w:tcPr>
          <w:p w14:paraId="14F4F25F" w14:textId="6DAF188D" w:rsidR="00FF1EB6" w:rsidRPr="00856D94" w:rsidRDefault="00FF1EB6" w:rsidP="001633C2">
            <w:pPr>
              <w:pStyle w:val="TableParagraph"/>
              <w:spacing w:before="20"/>
              <w:ind w:left="490" w:right="144"/>
              <w:jc w:val="right"/>
              <w:rPr>
                <w:rFonts w:asciiTheme="minorHAnsi" w:hAnsiTheme="minorHAnsi" w:cstheme="minorHAnsi"/>
                <w:bCs/>
                <w:lang w:val="bs-Latn-BA"/>
              </w:rPr>
            </w:pPr>
            <w:r w:rsidRPr="00856D94">
              <w:rPr>
                <w:rFonts w:asciiTheme="minorHAnsi" w:hAnsiTheme="minorHAnsi" w:cstheme="minorHAnsi"/>
                <w:b/>
                <w:bCs/>
              </w:rPr>
              <w:t>22</w:t>
            </w:r>
            <w:r w:rsidR="00BB01B4" w:rsidRPr="00856D94">
              <w:rPr>
                <w:rFonts w:asciiTheme="minorHAnsi" w:hAnsiTheme="minorHAnsi" w:cstheme="minorHAnsi"/>
                <w:b/>
                <w:bCs/>
              </w:rPr>
              <w:t>,</w:t>
            </w:r>
            <w:r w:rsidRPr="00856D94">
              <w:rPr>
                <w:rFonts w:asciiTheme="minorHAnsi" w:hAnsiTheme="minorHAnsi" w:cstheme="minorHAnsi"/>
                <w:b/>
                <w:bCs/>
              </w:rPr>
              <w:t>45%</w:t>
            </w:r>
          </w:p>
        </w:tc>
        <w:tc>
          <w:tcPr>
            <w:tcW w:w="1796" w:type="dxa"/>
            <w:shd w:val="clear" w:color="auto" w:fill="D9D9D9" w:themeFill="background1" w:themeFillShade="D9"/>
            <w:vAlign w:val="center"/>
          </w:tcPr>
          <w:p w14:paraId="1402E621" w14:textId="32EA7889" w:rsidR="00FF1EB6" w:rsidRPr="00856D94" w:rsidRDefault="00FF1EB6" w:rsidP="00FF1EB6">
            <w:pPr>
              <w:pStyle w:val="TableParagraph"/>
              <w:ind w:right="91"/>
              <w:jc w:val="right"/>
              <w:rPr>
                <w:rFonts w:asciiTheme="minorHAnsi" w:hAnsiTheme="minorHAnsi" w:cstheme="minorHAnsi"/>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686</w:t>
            </w:r>
            <w:r w:rsidR="00BB01B4" w:rsidRPr="00856D94">
              <w:rPr>
                <w:rFonts w:asciiTheme="minorHAnsi" w:hAnsiTheme="minorHAnsi" w:cstheme="minorHAnsi"/>
                <w:b/>
                <w:bCs/>
              </w:rPr>
              <w:t>,</w:t>
            </w:r>
            <w:r w:rsidRPr="00856D94">
              <w:rPr>
                <w:rFonts w:asciiTheme="minorHAnsi" w:hAnsiTheme="minorHAnsi" w:cstheme="minorHAnsi"/>
                <w:b/>
                <w:bCs/>
              </w:rPr>
              <w:t>56</w:t>
            </w:r>
          </w:p>
        </w:tc>
        <w:tc>
          <w:tcPr>
            <w:tcW w:w="1687" w:type="dxa"/>
            <w:gridSpan w:val="2"/>
            <w:shd w:val="clear" w:color="auto" w:fill="D9D9D9" w:themeFill="background1" w:themeFillShade="D9"/>
            <w:vAlign w:val="center"/>
          </w:tcPr>
          <w:p w14:paraId="4E433BA1" w14:textId="6392B8A8" w:rsidR="00FF1EB6" w:rsidRPr="00856D94" w:rsidRDefault="00FF1EB6" w:rsidP="00FF1EB6">
            <w:pPr>
              <w:pStyle w:val="TableParagraph"/>
              <w:ind w:right="91"/>
              <w:jc w:val="right"/>
              <w:rPr>
                <w:rFonts w:asciiTheme="minorHAnsi" w:hAnsiTheme="minorHAnsi" w:cstheme="minorHAnsi"/>
              </w:rPr>
            </w:pPr>
            <w:r w:rsidRPr="00856D94">
              <w:rPr>
                <w:rFonts w:asciiTheme="minorHAnsi" w:hAnsiTheme="minorHAnsi" w:cstheme="minorHAnsi"/>
                <w:b/>
                <w:bCs/>
              </w:rPr>
              <w:t>168</w:t>
            </w:r>
            <w:r w:rsidR="00BB01B4" w:rsidRPr="00856D94">
              <w:rPr>
                <w:rFonts w:asciiTheme="minorHAnsi" w:hAnsiTheme="minorHAnsi" w:cstheme="minorHAnsi"/>
                <w:b/>
                <w:bCs/>
              </w:rPr>
              <w:t>,</w:t>
            </w:r>
            <w:r w:rsidRPr="00856D94">
              <w:rPr>
                <w:rFonts w:asciiTheme="minorHAnsi" w:hAnsiTheme="minorHAnsi" w:cstheme="minorHAnsi"/>
                <w:b/>
                <w:bCs/>
              </w:rPr>
              <w:t>76</w:t>
            </w:r>
          </w:p>
        </w:tc>
        <w:tc>
          <w:tcPr>
            <w:tcW w:w="1438" w:type="dxa"/>
            <w:shd w:val="clear" w:color="auto" w:fill="D9D9D9" w:themeFill="background1" w:themeFillShade="D9"/>
            <w:vAlign w:val="center"/>
          </w:tcPr>
          <w:p w14:paraId="04537FCF" w14:textId="637F5F3A" w:rsidR="00FF1EB6" w:rsidRPr="00856D94" w:rsidRDefault="00FF1EB6" w:rsidP="00FF1EB6">
            <w:pPr>
              <w:spacing w:after="0"/>
              <w:ind w:right="91"/>
              <w:jc w:val="right"/>
              <w:rPr>
                <w:rFonts w:asciiTheme="minorHAnsi" w:hAnsiTheme="minorHAnsi" w:cstheme="minorHAnsi"/>
                <w:lang w:val="hr-HR"/>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517</w:t>
            </w:r>
            <w:r w:rsidR="00BB01B4" w:rsidRPr="00856D94">
              <w:rPr>
                <w:rFonts w:asciiTheme="minorHAnsi" w:hAnsiTheme="minorHAnsi" w:cstheme="minorHAnsi"/>
                <w:b/>
                <w:bCs/>
              </w:rPr>
              <w:t>,</w:t>
            </w:r>
            <w:r w:rsidRPr="00856D94">
              <w:rPr>
                <w:rFonts w:asciiTheme="minorHAnsi" w:hAnsiTheme="minorHAnsi" w:cstheme="minorHAnsi"/>
                <w:b/>
                <w:bCs/>
              </w:rPr>
              <w:t>80</w:t>
            </w:r>
          </w:p>
        </w:tc>
        <w:tc>
          <w:tcPr>
            <w:tcW w:w="1971" w:type="dxa"/>
            <w:shd w:val="clear" w:color="auto" w:fill="D9D9D9" w:themeFill="background1" w:themeFillShade="D9"/>
            <w:vAlign w:val="center"/>
          </w:tcPr>
          <w:p w14:paraId="125AE665" w14:textId="77777777" w:rsidR="00FF1EB6" w:rsidRPr="00856D94" w:rsidRDefault="00FF1EB6" w:rsidP="00FF1EB6">
            <w:pPr>
              <w:pStyle w:val="TableParagraph"/>
              <w:spacing w:before="20"/>
              <w:rPr>
                <w:rFonts w:asciiTheme="minorHAnsi" w:hAnsiTheme="minorHAnsi" w:cstheme="minorHAnsi"/>
                <w:bCs/>
                <w:sz w:val="20"/>
                <w:szCs w:val="20"/>
                <w:lang w:val="bs-Latn-BA"/>
              </w:rPr>
            </w:pPr>
          </w:p>
        </w:tc>
      </w:tr>
      <w:tr w:rsidR="00FF1EB6" w:rsidRPr="00856D94" w14:paraId="55E08822" w14:textId="77777777" w:rsidTr="00FF1EB6">
        <w:trPr>
          <w:trHeight w:val="402"/>
        </w:trPr>
        <w:tc>
          <w:tcPr>
            <w:tcW w:w="5614" w:type="dxa"/>
            <w:gridSpan w:val="2"/>
            <w:shd w:val="clear" w:color="auto" w:fill="auto"/>
            <w:vAlign w:val="center"/>
          </w:tcPr>
          <w:p w14:paraId="33C1E712" w14:textId="77777777" w:rsidR="00FF1EB6" w:rsidRPr="00856D94" w:rsidRDefault="00FF1EB6" w:rsidP="00FF1EB6">
            <w:pPr>
              <w:pStyle w:val="TableParagraph"/>
              <w:spacing w:before="15"/>
              <w:ind w:left="110"/>
              <w:rPr>
                <w:rFonts w:asciiTheme="minorHAnsi" w:hAnsiTheme="minorHAnsi" w:cstheme="minorHAnsi"/>
                <w:b/>
                <w:sz w:val="20"/>
                <w:szCs w:val="20"/>
                <w:lang w:val="bs-Latn-BA"/>
              </w:rPr>
            </w:pPr>
            <w:r w:rsidRPr="00856D94">
              <w:rPr>
                <w:rFonts w:asciiTheme="minorHAnsi" w:hAnsiTheme="minorHAnsi" w:cstheme="minorHAnsi"/>
                <w:color w:val="000000"/>
              </w:rPr>
              <w:t>1.2.1.</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Povećati udio OIE i sigurnost snabdijevanja energentima u sektoru zgradarstva</w:t>
            </w:r>
          </w:p>
        </w:tc>
        <w:tc>
          <w:tcPr>
            <w:tcW w:w="1709" w:type="dxa"/>
            <w:gridSpan w:val="2"/>
            <w:shd w:val="clear" w:color="auto" w:fill="auto"/>
            <w:vAlign w:val="center"/>
          </w:tcPr>
          <w:p w14:paraId="30CA7AFA" w14:textId="2203E591" w:rsidR="00FF1EB6" w:rsidRPr="00856D94" w:rsidRDefault="00FF1EB6" w:rsidP="001633C2">
            <w:pPr>
              <w:pStyle w:val="TableParagraph"/>
              <w:spacing w:before="15"/>
              <w:ind w:left="758" w:right="144"/>
              <w:jc w:val="right"/>
              <w:rPr>
                <w:rFonts w:asciiTheme="minorHAnsi" w:hAnsiTheme="minorHAnsi" w:cstheme="minorHAnsi"/>
                <w:b/>
                <w:lang w:val="bs-Latn-BA"/>
              </w:rPr>
            </w:pPr>
            <w:r w:rsidRPr="00856D94">
              <w:rPr>
                <w:rFonts w:asciiTheme="minorHAnsi" w:hAnsiTheme="minorHAnsi" w:cstheme="minorHAnsi"/>
              </w:rPr>
              <w:t> </w:t>
            </w:r>
          </w:p>
        </w:tc>
        <w:tc>
          <w:tcPr>
            <w:tcW w:w="1796" w:type="dxa"/>
            <w:shd w:val="clear" w:color="auto" w:fill="auto"/>
            <w:vAlign w:val="center"/>
          </w:tcPr>
          <w:p w14:paraId="62DC8FB3" w14:textId="38ABD133" w:rsidR="00FF1EB6" w:rsidRPr="00856D94" w:rsidRDefault="00FF1EB6" w:rsidP="00FF1EB6">
            <w:pPr>
              <w:pStyle w:val="TableParagraph"/>
              <w:spacing w:before="15"/>
              <w:ind w:right="96"/>
              <w:jc w:val="right"/>
              <w:rPr>
                <w:rFonts w:asciiTheme="minorHAnsi" w:hAnsiTheme="minorHAnsi" w:cstheme="minorHAnsi"/>
                <w:b/>
                <w:lang w:val="bs-Latn-BA"/>
              </w:rPr>
            </w:pPr>
            <w:r w:rsidRPr="00856D94">
              <w:rPr>
                <w:rFonts w:asciiTheme="minorHAnsi" w:hAnsiTheme="minorHAnsi" w:cstheme="minorHAnsi"/>
              </w:rPr>
              <w:t>1</w:t>
            </w:r>
            <w:r w:rsidR="00BB01B4" w:rsidRPr="00856D94">
              <w:rPr>
                <w:rFonts w:asciiTheme="minorHAnsi" w:hAnsiTheme="minorHAnsi" w:cstheme="minorHAnsi"/>
              </w:rPr>
              <w:t>,</w:t>
            </w:r>
            <w:r w:rsidRPr="00856D94">
              <w:rPr>
                <w:rFonts w:asciiTheme="minorHAnsi" w:hAnsiTheme="minorHAnsi" w:cstheme="minorHAnsi"/>
              </w:rPr>
              <w:t>00</w:t>
            </w:r>
          </w:p>
        </w:tc>
        <w:tc>
          <w:tcPr>
            <w:tcW w:w="1687" w:type="dxa"/>
            <w:gridSpan w:val="2"/>
            <w:shd w:val="clear" w:color="auto" w:fill="auto"/>
            <w:vAlign w:val="center"/>
          </w:tcPr>
          <w:p w14:paraId="4281BFC9" w14:textId="44663BF5" w:rsidR="00FF1EB6" w:rsidRPr="00856D94" w:rsidRDefault="00FF1EB6" w:rsidP="00FF1EB6">
            <w:pPr>
              <w:pStyle w:val="TableParagraph"/>
              <w:spacing w:before="15"/>
              <w:ind w:right="91"/>
              <w:jc w:val="right"/>
              <w:rPr>
                <w:rFonts w:asciiTheme="minorHAnsi" w:hAnsiTheme="minorHAnsi" w:cstheme="minorHAnsi"/>
                <w:b/>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20</w:t>
            </w:r>
          </w:p>
        </w:tc>
        <w:tc>
          <w:tcPr>
            <w:tcW w:w="1438" w:type="dxa"/>
            <w:shd w:val="clear" w:color="auto" w:fill="auto"/>
            <w:vAlign w:val="center"/>
          </w:tcPr>
          <w:p w14:paraId="06A7623B" w14:textId="0A2E1579" w:rsidR="00FF1EB6" w:rsidRPr="00856D94" w:rsidRDefault="00FF1EB6" w:rsidP="00FF1EB6">
            <w:pPr>
              <w:pStyle w:val="TableParagraph"/>
              <w:spacing w:before="15"/>
              <w:ind w:right="91"/>
              <w:jc w:val="right"/>
              <w:rPr>
                <w:rFonts w:asciiTheme="minorHAnsi" w:hAnsiTheme="minorHAnsi" w:cstheme="minorHAnsi"/>
                <w:b/>
                <w:lang w:val="bs-Latn-BA"/>
              </w:rPr>
            </w:pPr>
            <w:r w:rsidRPr="00856D94">
              <w:rPr>
                <w:rFonts w:asciiTheme="minorHAnsi" w:hAnsiTheme="minorHAnsi" w:cstheme="minorHAnsi"/>
              </w:rPr>
              <w:t>0</w:t>
            </w:r>
            <w:r w:rsidR="00BB01B4" w:rsidRPr="00856D94">
              <w:rPr>
                <w:rFonts w:asciiTheme="minorHAnsi" w:hAnsiTheme="minorHAnsi" w:cstheme="minorHAnsi"/>
              </w:rPr>
              <w:t>,</w:t>
            </w:r>
            <w:r w:rsidRPr="00856D94">
              <w:rPr>
                <w:rFonts w:asciiTheme="minorHAnsi" w:hAnsiTheme="minorHAnsi" w:cstheme="minorHAnsi"/>
              </w:rPr>
              <w:t>80</w:t>
            </w:r>
          </w:p>
        </w:tc>
        <w:tc>
          <w:tcPr>
            <w:tcW w:w="1971" w:type="dxa"/>
            <w:shd w:val="clear" w:color="auto" w:fill="auto"/>
            <w:vAlign w:val="center"/>
          </w:tcPr>
          <w:p w14:paraId="5E702D99" w14:textId="42232811" w:rsidR="00FF1EB6" w:rsidRPr="00856D94" w:rsidRDefault="00856D94" w:rsidP="00FF1EB6">
            <w:pPr>
              <w:pStyle w:val="TableParagraph"/>
              <w:rPr>
                <w:rFonts w:asciiTheme="minorHAnsi" w:hAnsiTheme="minorHAnsi" w:cstheme="minorHAnsi"/>
                <w:sz w:val="20"/>
                <w:szCs w:val="20"/>
                <w:lang w:val="bs-Latn-BA"/>
              </w:rPr>
            </w:pPr>
            <w:r>
              <w:rPr>
                <w:rFonts w:asciiTheme="minorHAnsi" w:hAnsiTheme="minorHAnsi" w:cstheme="minorHAnsi"/>
                <w:sz w:val="20"/>
                <w:szCs w:val="20"/>
                <w:lang w:val="bs-Latn-BA"/>
              </w:rPr>
              <w:t xml:space="preserve">*) </w:t>
            </w:r>
            <w:r w:rsidR="00FF1EB6" w:rsidRPr="00856D94">
              <w:rPr>
                <w:rFonts w:asciiTheme="minorHAnsi" w:hAnsiTheme="minorHAnsi" w:cstheme="minorHAnsi"/>
                <w:sz w:val="20"/>
                <w:szCs w:val="20"/>
                <w:lang w:val="bs-Latn-BA"/>
              </w:rPr>
              <w:t>Kreditna sredstva</w:t>
            </w:r>
          </w:p>
          <w:p w14:paraId="10924151"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Ostale donacije</w:t>
            </w:r>
          </w:p>
        </w:tc>
      </w:tr>
      <w:tr w:rsidR="00FF1EB6" w:rsidRPr="00856D94" w14:paraId="78CD26B8" w14:textId="77777777" w:rsidTr="00FF1EB6">
        <w:trPr>
          <w:trHeight w:val="550"/>
        </w:trPr>
        <w:tc>
          <w:tcPr>
            <w:tcW w:w="5614" w:type="dxa"/>
            <w:gridSpan w:val="2"/>
            <w:vAlign w:val="center"/>
          </w:tcPr>
          <w:p w14:paraId="21D353AD"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1.2.2.</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Razvijati sisteme daljinskih grijanja (centralizacija i modernizacije sistema grijanja), hlađenja i ventilacije te pripreme PTV uz primjenu OIE</w:t>
            </w:r>
          </w:p>
        </w:tc>
        <w:tc>
          <w:tcPr>
            <w:tcW w:w="1709" w:type="dxa"/>
            <w:gridSpan w:val="2"/>
            <w:vAlign w:val="center"/>
          </w:tcPr>
          <w:p w14:paraId="433DC6B9" w14:textId="4050F4B5" w:rsidR="00FF1EB6" w:rsidRPr="00856D94" w:rsidRDefault="00FF1EB6" w:rsidP="001633C2">
            <w:pPr>
              <w:pStyle w:val="TableParagraph"/>
              <w:ind w:left="490" w:right="144"/>
              <w:jc w:val="right"/>
              <w:rPr>
                <w:rFonts w:asciiTheme="minorHAnsi" w:hAnsiTheme="minorHAnsi" w:cstheme="minorHAnsi"/>
                <w:lang w:val="bs-Latn-BA"/>
              </w:rPr>
            </w:pPr>
            <w:r w:rsidRPr="00856D94">
              <w:rPr>
                <w:rFonts w:asciiTheme="minorHAnsi" w:hAnsiTheme="minorHAnsi" w:cstheme="minorHAnsi"/>
              </w:rPr>
              <w:t> </w:t>
            </w:r>
          </w:p>
        </w:tc>
        <w:tc>
          <w:tcPr>
            <w:tcW w:w="1796" w:type="dxa"/>
            <w:vAlign w:val="center"/>
          </w:tcPr>
          <w:p w14:paraId="33FD8DDC" w14:textId="64591D8C" w:rsidR="00FF1EB6" w:rsidRPr="00856D94" w:rsidRDefault="00FF1EB6" w:rsidP="00FF1EB6">
            <w:pPr>
              <w:pStyle w:val="TableParagraph"/>
              <w:ind w:right="96"/>
              <w:jc w:val="right"/>
              <w:rPr>
                <w:rFonts w:asciiTheme="minorHAnsi" w:hAnsiTheme="minorHAnsi" w:cstheme="minorHAnsi"/>
                <w:lang w:val="bs-Latn-BA"/>
              </w:rPr>
            </w:pPr>
            <w:r w:rsidRPr="00856D94">
              <w:rPr>
                <w:rFonts w:asciiTheme="minorHAnsi" w:hAnsiTheme="minorHAnsi" w:cstheme="minorHAnsi"/>
              </w:rPr>
              <w:t>1</w:t>
            </w:r>
            <w:r w:rsidR="00BB01B4" w:rsidRPr="00856D94">
              <w:rPr>
                <w:rFonts w:asciiTheme="minorHAnsi" w:hAnsiTheme="minorHAnsi" w:cstheme="minorHAnsi"/>
              </w:rPr>
              <w:t>.</w:t>
            </w:r>
            <w:r w:rsidRPr="00856D94">
              <w:rPr>
                <w:rFonts w:asciiTheme="minorHAnsi" w:hAnsiTheme="minorHAnsi" w:cstheme="minorHAnsi"/>
              </w:rPr>
              <w:t>637</w:t>
            </w:r>
            <w:r w:rsidR="00BB01B4" w:rsidRPr="00856D94">
              <w:rPr>
                <w:rFonts w:asciiTheme="minorHAnsi" w:hAnsiTheme="minorHAnsi" w:cstheme="minorHAnsi"/>
              </w:rPr>
              <w:t>,</w:t>
            </w:r>
            <w:r w:rsidRPr="00856D94">
              <w:rPr>
                <w:rFonts w:asciiTheme="minorHAnsi" w:hAnsiTheme="minorHAnsi" w:cstheme="minorHAnsi"/>
              </w:rPr>
              <w:t>41</w:t>
            </w:r>
          </w:p>
        </w:tc>
        <w:tc>
          <w:tcPr>
            <w:tcW w:w="1687" w:type="dxa"/>
            <w:gridSpan w:val="2"/>
            <w:vAlign w:val="center"/>
          </w:tcPr>
          <w:p w14:paraId="213804EB" w14:textId="0928BBA9"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163</w:t>
            </w:r>
            <w:r w:rsidR="00BB01B4" w:rsidRPr="00856D94">
              <w:rPr>
                <w:rFonts w:asciiTheme="minorHAnsi" w:hAnsiTheme="minorHAnsi" w:cstheme="minorHAnsi"/>
              </w:rPr>
              <w:t>,</w:t>
            </w:r>
            <w:r w:rsidRPr="00856D94">
              <w:rPr>
                <w:rFonts w:asciiTheme="minorHAnsi" w:hAnsiTheme="minorHAnsi" w:cstheme="minorHAnsi"/>
              </w:rPr>
              <w:t>74</w:t>
            </w:r>
          </w:p>
        </w:tc>
        <w:tc>
          <w:tcPr>
            <w:tcW w:w="1438" w:type="dxa"/>
            <w:vAlign w:val="center"/>
          </w:tcPr>
          <w:p w14:paraId="7D217698" w14:textId="357534BE"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1</w:t>
            </w:r>
            <w:r w:rsidR="00BB01B4" w:rsidRPr="00856D94">
              <w:rPr>
                <w:rFonts w:asciiTheme="minorHAnsi" w:hAnsiTheme="minorHAnsi" w:cstheme="minorHAnsi"/>
              </w:rPr>
              <w:t>.</w:t>
            </w:r>
            <w:r w:rsidRPr="00856D94">
              <w:rPr>
                <w:rFonts w:asciiTheme="minorHAnsi" w:hAnsiTheme="minorHAnsi" w:cstheme="minorHAnsi"/>
              </w:rPr>
              <w:t>473</w:t>
            </w:r>
            <w:r w:rsidR="00BB01B4" w:rsidRPr="00856D94">
              <w:rPr>
                <w:rFonts w:asciiTheme="minorHAnsi" w:hAnsiTheme="minorHAnsi" w:cstheme="minorHAnsi"/>
              </w:rPr>
              <w:t>,</w:t>
            </w:r>
            <w:r w:rsidRPr="00856D94">
              <w:rPr>
                <w:rFonts w:asciiTheme="minorHAnsi" w:hAnsiTheme="minorHAnsi" w:cstheme="minorHAnsi"/>
              </w:rPr>
              <w:t>67</w:t>
            </w:r>
          </w:p>
        </w:tc>
        <w:tc>
          <w:tcPr>
            <w:tcW w:w="1971" w:type="dxa"/>
            <w:vAlign w:val="center"/>
          </w:tcPr>
          <w:p w14:paraId="07CFB383"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462659A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484ACDFC" w14:textId="77777777" w:rsidR="00FF1EB6" w:rsidRPr="00856D94" w:rsidRDefault="00FF1EB6" w:rsidP="00FF1EB6">
            <w:pPr>
              <w:pStyle w:val="TableParagraph"/>
              <w:spacing w:before="34"/>
              <w:ind w:right="94"/>
              <w:rPr>
                <w:rFonts w:asciiTheme="minorHAnsi" w:hAnsiTheme="minorHAnsi" w:cstheme="minorHAnsi"/>
                <w:b/>
                <w:sz w:val="20"/>
                <w:szCs w:val="20"/>
                <w:lang w:val="bs-Latn-BA"/>
              </w:rPr>
            </w:pPr>
            <w:r w:rsidRPr="00856D94">
              <w:rPr>
                <w:rFonts w:asciiTheme="minorHAnsi" w:hAnsiTheme="minorHAnsi" w:cstheme="minorHAnsi"/>
                <w:sz w:val="20"/>
                <w:szCs w:val="20"/>
                <w:lang w:val="bs-Latn-BA"/>
              </w:rPr>
              <w:t>Ostale donacije</w:t>
            </w:r>
          </w:p>
        </w:tc>
      </w:tr>
      <w:tr w:rsidR="00FF1EB6" w:rsidRPr="00856D94" w14:paraId="3F51CAAE" w14:textId="77777777" w:rsidTr="00FF1EB6">
        <w:trPr>
          <w:trHeight w:val="550"/>
        </w:trPr>
        <w:tc>
          <w:tcPr>
            <w:tcW w:w="5614" w:type="dxa"/>
            <w:gridSpan w:val="2"/>
            <w:vAlign w:val="center"/>
          </w:tcPr>
          <w:p w14:paraId="71534971"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1.2.3.</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Unaprijediti održivost urbanih područja</w:t>
            </w:r>
          </w:p>
        </w:tc>
        <w:tc>
          <w:tcPr>
            <w:tcW w:w="1709" w:type="dxa"/>
            <w:gridSpan w:val="2"/>
            <w:vAlign w:val="center"/>
          </w:tcPr>
          <w:p w14:paraId="233563C5" w14:textId="17DD484F" w:rsidR="00FF1EB6" w:rsidRPr="00856D94" w:rsidRDefault="00FF1EB6" w:rsidP="001633C2">
            <w:pPr>
              <w:pStyle w:val="TableParagraph"/>
              <w:ind w:left="490" w:right="144"/>
              <w:jc w:val="right"/>
              <w:rPr>
                <w:rFonts w:asciiTheme="minorHAnsi" w:hAnsiTheme="minorHAnsi" w:cstheme="minorHAnsi"/>
                <w:lang w:val="bs-Latn-BA"/>
              </w:rPr>
            </w:pPr>
            <w:r w:rsidRPr="00856D94">
              <w:rPr>
                <w:rFonts w:asciiTheme="minorHAnsi" w:hAnsiTheme="minorHAnsi" w:cstheme="minorHAnsi"/>
              </w:rPr>
              <w:t> </w:t>
            </w:r>
          </w:p>
        </w:tc>
        <w:tc>
          <w:tcPr>
            <w:tcW w:w="1796" w:type="dxa"/>
            <w:vAlign w:val="center"/>
          </w:tcPr>
          <w:p w14:paraId="52414FD0" w14:textId="711AE053" w:rsidR="00FF1EB6" w:rsidRPr="00856D94" w:rsidRDefault="00FF1EB6" w:rsidP="00FF1EB6">
            <w:pPr>
              <w:pStyle w:val="TableParagraph"/>
              <w:ind w:right="96"/>
              <w:jc w:val="right"/>
              <w:rPr>
                <w:rFonts w:asciiTheme="minorHAnsi" w:hAnsiTheme="minorHAnsi" w:cstheme="minorHAnsi"/>
                <w:lang w:val="bs-Latn-BA"/>
              </w:rPr>
            </w:pPr>
            <w:r w:rsidRPr="00856D94">
              <w:rPr>
                <w:rFonts w:asciiTheme="minorHAnsi" w:hAnsiTheme="minorHAnsi" w:cstheme="minorHAnsi"/>
              </w:rPr>
              <w:t>48</w:t>
            </w:r>
            <w:r w:rsidR="00BB01B4" w:rsidRPr="00856D94">
              <w:rPr>
                <w:rFonts w:asciiTheme="minorHAnsi" w:hAnsiTheme="minorHAnsi" w:cstheme="minorHAnsi"/>
              </w:rPr>
              <w:t>,</w:t>
            </w:r>
            <w:r w:rsidRPr="00856D94">
              <w:rPr>
                <w:rFonts w:asciiTheme="minorHAnsi" w:hAnsiTheme="minorHAnsi" w:cstheme="minorHAnsi"/>
              </w:rPr>
              <w:t>15</w:t>
            </w:r>
          </w:p>
        </w:tc>
        <w:tc>
          <w:tcPr>
            <w:tcW w:w="1687" w:type="dxa"/>
            <w:gridSpan w:val="2"/>
            <w:vAlign w:val="center"/>
          </w:tcPr>
          <w:p w14:paraId="2E9FB0D6" w14:textId="0001BE58"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4</w:t>
            </w:r>
            <w:r w:rsidR="00BB01B4" w:rsidRPr="00856D94">
              <w:rPr>
                <w:rFonts w:asciiTheme="minorHAnsi" w:hAnsiTheme="minorHAnsi" w:cstheme="minorHAnsi"/>
              </w:rPr>
              <w:t>,</w:t>
            </w:r>
            <w:r w:rsidRPr="00856D94">
              <w:rPr>
                <w:rFonts w:asciiTheme="minorHAnsi" w:hAnsiTheme="minorHAnsi" w:cstheme="minorHAnsi"/>
              </w:rPr>
              <w:t>81</w:t>
            </w:r>
          </w:p>
        </w:tc>
        <w:tc>
          <w:tcPr>
            <w:tcW w:w="1438" w:type="dxa"/>
            <w:vAlign w:val="center"/>
          </w:tcPr>
          <w:p w14:paraId="3F4FC627" w14:textId="56B37968"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43</w:t>
            </w:r>
            <w:r w:rsidR="00BB01B4" w:rsidRPr="00856D94">
              <w:rPr>
                <w:rFonts w:asciiTheme="minorHAnsi" w:hAnsiTheme="minorHAnsi" w:cstheme="minorHAnsi"/>
              </w:rPr>
              <w:t>,</w:t>
            </w:r>
            <w:r w:rsidRPr="00856D94">
              <w:rPr>
                <w:rFonts w:asciiTheme="minorHAnsi" w:hAnsiTheme="minorHAnsi" w:cstheme="minorHAnsi"/>
              </w:rPr>
              <w:t>33</w:t>
            </w:r>
          </w:p>
        </w:tc>
        <w:tc>
          <w:tcPr>
            <w:tcW w:w="1971" w:type="dxa"/>
            <w:vAlign w:val="center"/>
          </w:tcPr>
          <w:p w14:paraId="727199C9"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0B25A923"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3ED65398" w14:textId="77777777" w:rsidR="00FF1EB6" w:rsidRPr="00856D94" w:rsidRDefault="00FF1EB6" w:rsidP="00FF1EB6">
            <w:pPr>
              <w:pStyle w:val="TableParagraph"/>
              <w:spacing w:before="34"/>
              <w:ind w:right="94"/>
              <w:rPr>
                <w:rFonts w:asciiTheme="minorHAnsi" w:hAnsiTheme="minorHAnsi" w:cstheme="minorHAnsi"/>
                <w:b/>
                <w:sz w:val="20"/>
                <w:szCs w:val="20"/>
                <w:lang w:val="bs-Latn-BA"/>
              </w:rPr>
            </w:pPr>
            <w:r w:rsidRPr="00856D94">
              <w:rPr>
                <w:rFonts w:asciiTheme="minorHAnsi" w:hAnsiTheme="minorHAnsi" w:cstheme="minorHAnsi"/>
                <w:sz w:val="20"/>
                <w:szCs w:val="20"/>
                <w:lang w:val="bs-Latn-BA"/>
              </w:rPr>
              <w:t>Ostale donacije</w:t>
            </w:r>
          </w:p>
        </w:tc>
      </w:tr>
      <w:tr w:rsidR="00FF1EB6" w:rsidRPr="00856D94" w14:paraId="7D79543D" w14:textId="77777777" w:rsidTr="00FF1EB6">
        <w:trPr>
          <w:trHeight w:val="269"/>
        </w:trPr>
        <w:tc>
          <w:tcPr>
            <w:tcW w:w="5614" w:type="dxa"/>
            <w:gridSpan w:val="2"/>
            <w:shd w:val="clear" w:color="auto" w:fill="D9D9D9" w:themeFill="background1" w:themeFillShade="D9"/>
          </w:tcPr>
          <w:p w14:paraId="3FD95498" w14:textId="77777777" w:rsidR="00FF1EB6" w:rsidRPr="00856D94" w:rsidRDefault="00FF1EB6" w:rsidP="00FF1EB6">
            <w:pPr>
              <w:pStyle w:val="TableParagraph"/>
              <w:ind w:left="110"/>
              <w:jc w:val="right"/>
              <w:rPr>
                <w:rFonts w:asciiTheme="minorHAnsi" w:hAnsiTheme="minorHAnsi" w:cstheme="minorHAnsi"/>
                <w:b/>
                <w:bCs/>
                <w:sz w:val="20"/>
                <w:szCs w:val="20"/>
                <w:lang w:val="bs-Latn-BA"/>
              </w:rPr>
            </w:pPr>
            <w:r w:rsidRPr="00856D94">
              <w:rPr>
                <w:rFonts w:asciiTheme="minorHAnsi" w:hAnsiTheme="minorHAnsi" w:cstheme="minorHAnsi"/>
                <w:b/>
                <w:bCs/>
                <w:sz w:val="20"/>
                <w:szCs w:val="20"/>
                <w:lang w:val="bs-Latn-BA"/>
              </w:rPr>
              <w:t>Ukupno:</w:t>
            </w:r>
          </w:p>
        </w:tc>
        <w:tc>
          <w:tcPr>
            <w:tcW w:w="1709" w:type="dxa"/>
            <w:gridSpan w:val="2"/>
            <w:shd w:val="clear" w:color="auto" w:fill="D9D9D9" w:themeFill="background1" w:themeFillShade="D9"/>
            <w:vAlign w:val="center"/>
          </w:tcPr>
          <w:p w14:paraId="0F8F2DD4" w14:textId="09935E05" w:rsidR="00FF1EB6" w:rsidRPr="00856D94" w:rsidRDefault="00FF1EB6" w:rsidP="001633C2">
            <w:pPr>
              <w:pStyle w:val="TableParagraph"/>
              <w:ind w:left="110" w:right="144"/>
              <w:jc w:val="right"/>
              <w:rPr>
                <w:rFonts w:asciiTheme="minorHAnsi" w:hAnsiTheme="minorHAnsi" w:cstheme="minorHAnsi"/>
                <w:b/>
                <w:bCs/>
                <w:lang w:val="bs-Latn-BA"/>
              </w:rPr>
            </w:pPr>
            <w:r w:rsidRPr="00856D94">
              <w:rPr>
                <w:rFonts w:asciiTheme="minorHAnsi" w:hAnsiTheme="minorHAnsi" w:cstheme="minorHAnsi"/>
                <w:b/>
                <w:bCs/>
              </w:rPr>
              <w:t>100</w:t>
            </w:r>
            <w:r w:rsidR="00BB01B4" w:rsidRPr="00856D94">
              <w:rPr>
                <w:rFonts w:asciiTheme="minorHAnsi" w:hAnsiTheme="minorHAnsi" w:cstheme="minorHAnsi"/>
                <w:b/>
                <w:bCs/>
              </w:rPr>
              <w:t>,</w:t>
            </w:r>
            <w:r w:rsidRPr="00856D94">
              <w:rPr>
                <w:rFonts w:asciiTheme="minorHAnsi" w:hAnsiTheme="minorHAnsi" w:cstheme="minorHAnsi"/>
                <w:b/>
                <w:bCs/>
              </w:rPr>
              <w:t>00%</w:t>
            </w:r>
          </w:p>
        </w:tc>
        <w:tc>
          <w:tcPr>
            <w:tcW w:w="1796" w:type="dxa"/>
            <w:shd w:val="clear" w:color="auto" w:fill="D9D9D9" w:themeFill="background1" w:themeFillShade="D9"/>
            <w:vAlign w:val="center"/>
          </w:tcPr>
          <w:p w14:paraId="02DDD2FE" w14:textId="7BA94D16" w:rsidR="00FF1EB6" w:rsidRPr="00856D94" w:rsidRDefault="00FF1EB6" w:rsidP="00FF1EB6">
            <w:pPr>
              <w:pStyle w:val="TableParagraph"/>
              <w:ind w:left="110" w:right="96"/>
              <w:jc w:val="right"/>
              <w:rPr>
                <w:rFonts w:asciiTheme="minorHAnsi" w:hAnsiTheme="minorHAnsi" w:cstheme="minorHAnsi"/>
                <w:b/>
                <w:bCs/>
              </w:rPr>
            </w:pPr>
            <w:r w:rsidRPr="00856D94">
              <w:rPr>
                <w:rFonts w:asciiTheme="minorHAnsi" w:hAnsiTheme="minorHAnsi" w:cstheme="minorHAnsi"/>
                <w:b/>
                <w:bCs/>
              </w:rPr>
              <w:t>7</w:t>
            </w:r>
            <w:r w:rsidR="00BB01B4" w:rsidRPr="00856D94">
              <w:rPr>
                <w:rFonts w:asciiTheme="minorHAnsi" w:hAnsiTheme="minorHAnsi" w:cstheme="minorHAnsi"/>
                <w:b/>
                <w:bCs/>
              </w:rPr>
              <w:t>.</w:t>
            </w:r>
            <w:r w:rsidRPr="00856D94">
              <w:rPr>
                <w:rFonts w:asciiTheme="minorHAnsi" w:hAnsiTheme="minorHAnsi" w:cstheme="minorHAnsi"/>
                <w:b/>
                <w:bCs/>
              </w:rPr>
              <w:t>512</w:t>
            </w:r>
            <w:r w:rsidR="00BB01B4" w:rsidRPr="00856D94">
              <w:rPr>
                <w:rFonts w:asciiTheme="minorHAnsi" w:hAnsiTheme="minorHAnsi" w:cstheme="minorHAnsi"/>
                <w:b/>
                <w:bCs/>
              </w:rPr>
              <w:t>,</w:t>
            </w:r>
            <w:r w:rsidRPr="00856D94">
              <w:rPr>
                <w:rFonts w:asciiTheme="minorHAnsi" w:hAnsiTheme="minorHAnsi" w:cstheme="minorHAnsi"/>
                <w:b/>
                <w:bCs/>
              </w:rPr>
              <w:t>68</w:t>
            </w:r>
          </w:p>
        </w:tc>
        <w:tc>
          <w:tcPr>
            <w:tcW w:w="1687" w:type="dxa"/>
            <w:gridSpan w:val="2"/>
            <w:shd w:val="clear" w:color="auto" w:fill="D9D9D9" w:themeFill="background1" w:themeFillShade="D9"/>
            <w:vAlign w:val="center"/>
          </w:tcPr>
          <w:p w14:paraId="12F41DDD" w14:textId="07BA9299" w:rsidR="00FF1EB6" w:rsidRPr="00856D94" w:rsidRDefault="00FF1EB6" w:rsidP="00FF1EB6">
            <w:pPr>
              <w:pStyle w:val="TableParagraph"/>
              <w:ind w:left="110" w:right="91"/>
              <w:jc w:val="right"/>
              <w:rPr>
                <w:rFonts w:asciiTheme="minorHAnsi" w:hAnsiTheme="minorHAnsi" w:cstheme="minorHAnsi"/>
                <w:b/>
                <w:bCs/>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333</w:t>
            </w:r>
            <w:r w:rsidR="00BB01B4" w:rsidRPr="00856D94">
              <w:rPr>
                <w:rFonts w:asciiTheme="minorHAnsi" w:hAnsiTheme="minorHAnsi" w:cstheme="minorHAnsi"/>
                <w:b/>
                <w:bCs/>
              </w:rPr>
              <w:t>,</w:t>
            </w:r>
            <w:r w:rsidRPr="00856D94">
              <w:rPr>
                <w:rFonts w:asciiTheme="minorHAnsi" w:hAnsiTheme="minorHAnsi" w:cstheme="minorHAnsi"/>
                <w:b/>
                <w:bCs/>
              </w:rPr>
              <w:t>54</w:t>
            </w:r>
          </w:p>
        </w:tc>
        <w:tc>
          <w:tcPr>
            <w:tcW w:w="1438" w:type="dxa"/>
            <w:shd w:val="clear" w:color="auto" w:fill="D9D9D9" w:themeFill="background1" w:themeFillShade="D9"/>
            <w:vAlign w:val="center"/>
          </w:tcPr>
          <w:p w14:paraId="3A2A549F" w14:textId="2CD9331A" w:rsidR="00FF1EB6" w:rsidRPr="00856D94" w:rsidRDefault="00FF1EB6" w:rsidP="00FF1EB6">
            <w:pPr>
              <w:spacing w:after="0" w:line="240" w:lineRule="auto"/>
              <w:jc w:val="right"/>
              <w:rPr>
                <w:rFonts w:asciiTheme="minorHAnsi" w:hAnsiTheme="minorHAnsi" w:cstheme="minorHAnsi"/>
                <w:b/>
                <w:bCs/>
                <w:lang w:val="hr-HR"/>
              </w:rPr>
            </w:pPr>
            <w:r w:rsidRPr="00856D94">
              <w:rPr>
                <w:rFonts w:asciiTheme="minorHAnsi" w:hAnsiTheme="minorHAnsi" w:cstheme="minorHAnsi"/>
                <w:b/>
                <w:bCs/>
              </w:rPr>
              <w:t>6</w:t>
            </w:r>
            <w:r w:rsidR="00BB01B4" w:rsidRPr="00856D94">
              <w:rPr>
                <w:rFonts w:asciiTheme="minorHAnsi" w:hAnsiTheme="minorHAnsi" w:cstheme="minorHAnsi"/>
                <w:b/>
                <w:bCs/>
              </w:rPr>
              <w:t>.</w:t>
            </w:r>
            <w:r w:rsidRPr="00856D94">
              <w:rPr>
                <w:rFonts w:asciiTheme="minorHAnsi" w:hAnsiTheme="minorHAnsi" w:cstheme="minorHAnsi"/>
                <w:b/>
                <w:bCs/>
              </w:rPr>
              <w:t>179</w:t>
            </w:r>
            <w:r w:rsidR="00BB01B4" w:rsidRPr="00856D94">
              <w:rPr>
                <w:rFonts w:asciiTheme="minorHAnsi" w:hAnsiTheme="minorHAnsi" w:cstheme="minorHAnsi"/>
                <w:b/>
                <w:bCs/>
              </w:rPr>
              <w:t>,</w:t>
            </w:r>
            <w:r w:rsidRPr="00856D94">
              <w:rPr>
                <w:rFonts w:asciiTheme="minorHAnsi" w:hAnsiTheme="minorHAnsi" w:cstheme="minorHAnsi"/>
                <w:b/>
                <w:bCs/>
              </w:rPr>
              <w:t>14</w:t>
            </w:r>
          </w:p>
        </w:tc>
        <w:tc>
          <w:tcPr>
            <w:tcW w:w="1971" w:type="dxa"/>
            <w:shd w:val="clear" w:color="auto" w:fill="D9D9D9" w:themeFill="background1" w:themeFillShade="D9"/>
            <w:vAlign w:val="center"/>
          </w:tcPr>
          <w:p w14:paraId="04FD1E20" w14:textId="77777777" w:rsidR="00FF1EB6" w:rsidRPr="00856D94" w:rsidRDefault="00FF1EB6" w:rsidP="00FF1EB6">
            <w:pPr>
              <w:pStyle w:val="TableParagraph"/>
              <w:ind w:left="110" w:right="92"/>
              <w:rPr>
                <w:rFonts w:asciiTheme="minorHAnsi" w:hAnsiTheme="minorHAnsi" w:cstheme="minorHAnsi"/>
                <w:b/>
                <w:bCs/>
                <w:sz w:val="20"/>
                <w:szCs w:val="20"/>
                <w:lang w:val="bs-Latn-BA"/>
              </w:rPr>
            </w:pPr>
          </w:p>
        </w:tc>
      </w:tr>
      <w:tr w:rsidR="000937A0" w:rsidRPr="00856D94" w14:paraId="7E4C0EF6" w14:textId="77777777" w:rsidTr="00847E0C">
        <w:trPr>
          <w:trHeight w:val="629"/>
        </w:trPr>
        <w:tc>
          <w:tcPr>
            <w:tcW w:w="14215" w:type="dxa"/>
            <w:gridSpan w:val="9"/>
            <w:shd w:val="clear" w:color="auto" w:fill="auto"/>
            <w:vAlign w:val="center"/>
          </w:tcPr>
          <w:p w14:paraId="32A1A537" w14:textId="77777777" w:rsidR="000937A0" w:rsidRPr="00856D94" w:rsidRDefault="000937A0" w:rsidP="00847E0C">
            <w:pPr>
              <w:pStyle w:val="TableParagraph"/>
              <w:ind w:left="110" w:right="92"/>
              <w:jc w:val="center"/>
              <w:rPr>
                <w:rFonts w:asciiTheme="minorHAnsi" w:hAnsiTheme="minorHAnsi" w:cstheme="minorHAnsi"/>
                <w:b/>
                <w:bCs/>
                <w:sz w:val="20"/>
                <w:szCs w:val="20"/>
                <w:lang w:val="bs-Latn-BA"/>
              </w:rPr>
            </w:pPr>
            <w:r w:rsidRPr="00856D94">
              <w:rPr>
                <w:rFonts w:asciiTheme="minorHAnsi" w:hAnsiTheme="minorHAnsi" w:cstheme="minorHAnsi"/>
                <w:b/>
                <w:bCs/>
                <w:lang w:val="bs-Latn-BA"/>
              </w:rPr>
              <w:t>PREGLED PO IZVORIMA</w:t>
            </w:r>
          </w:p>
        </w:tc>
      </w:tr>
      <w:tr w:rsidR="000937A0" w:rsidRPr="00856D94" w14:paraId="21B7C5C0" w14:textId="77777777" w:rsidTr="00FF1EB6">
        <w:trPr>
          <w:trHeight w:val="152"/>
        </w:trPr>
        <w:tc>
          <w:tcPr>
            <w:tcW w:w="3443" w:type="dxa"/>
            <w:shd w:val="clear" w:color="auto" w:fill="D9D9D9" w:themeFill="background1" w:themeFillShade="D9"/>
            <w:vAlign w:val="center"/>
          </w:tcPr>
          <w:p w14:paraId="46E6E75B"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Budžetska sredstva</w:t>
            </w:r>
          </w:p>
        </w:tc>
        <w:tc>
          <w:tcPr>
            <w:tcW w:w="2924" w:type="dxa"/>
            <w:gridSpan w:val="2"/>
            <w:shd w:val="clear" w:color="auto" w:fill="D9D9D9" w:themeFill="background1" w:themeFillShade="D9"/>
            <w:vAlign w:val="center"/>
          </w:tcPr>
          <w:p w14:paraId="23466ECB"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Kreditna sredstva</w:t>
            </w:r>
          </w:p>
        </w:tc>
        <w:tc>
          <w:tcPr>
            <w:tcW w:w="3924" w:type="dxa"/>
            <w:gridSpan w:val="3"/>
            <w:shd w:val="clear" w:color="auto" w:fill="D9D9D9" w:themeFill="background1" w:themeFillShade="D9"/>
            <w:vAlign w:val="center"/>
          </w:tcPr>
          <w:p w14:paraId="60152854"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Sredstva EU</w:t>
            </w:r>
          </w:p>
        </w:tc>
        <w:tc>
          <w:tcPr>
            <w:tcW w:w="3924" w:type="dxa"/>
            <w:gridSpan w:val="3"/>
            <w:shd w:val="clear" w:color="auto" w:fill="D9D9D9" w:themeFill="background1" w:themeFillShade="D9"/>
            <w:vAlign w:val="center"/>
          </w:tcPr>
          <w:p w14:paraId="26B8FC67"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Ostale donacije</w:t>
            </w:r>
          </w:p>
        </w:tc>
      </w:tr>
      <w:tr w:rsidR="00FF1EB6" w:rsidRPr="00856D94" w14:paraId="3F54C179" w14:textId="77777777" w:rsidTr="00FF1EB6">
        <w:trPr>
          <w:trHeight w:val="350"/>
        </w:trPr>
        <w:tc>
          <w:tcPr>
            <w:tcW w:w="3443" w:type="dxa"/>
            <w:shd w:val="clear" w:color="auto" w:fill="auto"/>
            <w:vAlign w:val="center"/>
          </w:tcPr>
          <w:p w14:paraId="222A116C" w14:textId="1C99FDEC"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333</w:t>
            </w:r>
            <w:r w:rsidR="00BB01B4" w:rsidRPr="00856D94">
              <w:rPr>
                <w:rFonts w:asciiTheme="minorHAnsi" w:hAnsiTheme="minorHAnsi" w:cstheme="minorHAnsi"/>
                <w:b/>
                <w:bCs/>
              </w:rPr>
              <w:t>,</w:t>
            </w:r>
            <w:r w:rsidRPr="00856D94">
              <w:rPr>
                <w:rFonts w:asciiTheme="minorHAnsi" w:hAnsiTheme="minorHAnsi" w:cstheme="minorHAnsi"/>
                <w:b/>
                <w:bCs/>
              </w:rPr>
              <w:t>54</w:t>
            </w:r>
          </w:p>
        </w:tc>
        <w:tc>
          <w:tcPr>
            <w:tcW w:w="2924" w:type="dxa"/>
            <w:gridSpan w:val="2"/>
            <w:shd w:val="clear" w:color="auto" w:fill="auto"/>
            <w:vAlign w:val="center"/>
          </w:tcPr>
          <w:p w14:paraId="42EB1854" w14:textId="06E9CDF9"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3</w:t>
            </w:r>
            <w:r w:rsidR="00BB01B4" w:rsidRPr="00856D94">
              <w:rPr>
                <w:rFonts w:asciiTheme="minorHAnsi" w:hAnsiTheme="minorHAnsi" w:cstheme="minorHAnsi"/>
                <w:b/>
                <w:bCs/>
              </w:rPr>
              <w:t>.</w:t>
            </w:r>
            <w:r w:rsidRPr="00856D94">
              <w:rPr>
                <w:rFonts w:asciiTheme="minorHAnsi" w:hAnsiTheme="minorHAnsi" w:cstheme="minorHAnsi"/>
                <w:b/>
                <w:bCs/>
              </w:rPr>
              <w:t>900</w:t>
            </w:r>
            <w:r w:rsidR="00BB01B4" w:rsidRPr="00856D94">
              <w:rPr>
                <w:rFonts w:asciiTheme="minorHAnsi" w:hAnsiTheme="minorHAnsi" w:cstheme="minorHAnsi"/>
                <w:b/>
                <w:bCs/>
              </w:rPr>
              <w:t>,</w:t>
            </w:r>
            <w:r w:rsidRPr="00856D94">
              <w:rPr>
                <w:rFonts w:asciiTheme="minorHAnsi" w:hAnsiTheme="minorHAnsi" w:cstheme="minorHAnsi"/>
                <w:b/>
                <w:bCs/>
              </w:rPr>
              <w:t>60</w:t>
            </w:r>
          </w:p>
        </w:tc>
        <w:tc>
          <w:tcPr>
            <w:tcW w:w="3924" w:type="dxa"/>
            <w:gridSpan w:val="3"/>
            <w:shd w:val="clear" w:color="auto" w:fill="auto"/>
            <w:vAlign w:val="center"/>
          </w:tcPr>
          <w:p w14:paraId="50111BEA" w14:textId="6548938A"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1</w:t>
            </w:r>
            <w:r w:rsidR="00BB01B4" w:rsidRPr="00856D94">
              <w:rPr>
                <w:rFonts w:asciiTheme="minorHAnsi" w:hAnsiTheme="minorHAnsi" w:cstheme="minorHAnsi"/>
                <w:b/>
                <w:bCs/>
              </w:rPr>
              <w:t>.</w:t>
            </w:r>
            <w:r w:rsidRPr="00856D94">
              <w:rPr>
                <w:rFonts w:asciiTheme="minorHAnsi" w:hAnsiTheme="minorHAnsi" w:cstheme="minorHAnsi"/>
                <w:b/>
                <w:bCs/>
              </w:rPr>
              <w:t>723</w:t>
            </w:r>
            <w:r w:rsidR="00BB01B4" w:rsidRPr="00856D94">
              <w:rPr>
                <w:rFonts w:asciiTheme="minorHAnsi" w:hAnsiTheme="minorHAnsi" w:cstheme="minorHAnsi"/>
                <w:b/>
                <w:bCs/>
              </w:rPr>
              <w:t>,</w:t>
            </w:r>
            <w:r w:rsidRPr="00856D94">
              <w:rPr>
                <w:rFonts w:asciiTheme="minorHAnsi" w:hAnsiTheme="minorHAnsi" w:cstheme="minorHAnsi"/>
                <w:b/>
                <w:bCs/>
              </w:rPr>
              <w:t>12</w:t>
            </w:r>
          </w:p>
        </w:tc>
        <w:tc>
          <w:tcPr>
            <w:tcW w:w="3924" w:type="dxa"/>
            <w:gridSpan w:val="3"/>
            <w:shd w:val="clear" w:color="auto" w:fill="auto"/>
            <w:vAlign w:val="center"/>
          </w:tcPr>
          <w:p w14:paraId="3B68D233" w14:textId="2DD4DEE4"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555</w:t>
            </w:r>
            <w:r w:rsidR="00BB01B4" w:rsidRPr="00856D94">
              <w:rPr>
                <w:rFonts w:asciiTheme="minorHAnsi" w:hAnsiTheme="minorHAnsi" w:cstheme="minorHAnsi"/>
                <w:b/>
                <w:bCs/>
              </w:rPr>
              <w:t>,</w:t>
            </w:r>
            <w:r w:rsidRPr="00856D94">
              <w:rPr>
                <w:rFonts w:asciiTheme="minorHAnsi" w:hAnsiTheme="minorHAnsi" w:cstheme="minorHAnsi"/>
                <w:b/>
                <w:bCs/>
              </w:rPr>
              <w:t>43</w:t>
            </w:r>
          </w:p>
        </w:tc>
      </w:tr>
      <w:tr w:rsidR="00FF1EB6" w:rsidRPr="00856D94" w14:paraId="4B2270A3" w14:textId="77777777" w:rsidTr="00FF1EB6">
        <w:trPr>
          <w:trHeight w:val="359"/>
        </w:trPr>
        <w:tc>
          <w:tcPr>
            <w:tcW w:w="3443" w:type="dxa"/>
            <w:shd w:val="clear" w:color="auto" w:fill="auto"/>
            <w:vAlign w:val="center"/>
          </w:tcPr>
          <w:p w14:paraId="318F1BB8" w14:textId="385A5C25"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17</w:t>
            </w:r>
            <w:r w:rsidR="00BB01B4" w:rsidRPr="00856D94">
              <w:rPr>
                <w:rFonts w:asciiTheme="minorHAnsi" w:hAnsiTheme="minorHAnsi" w:cstheme="minorHAnsi"/>
                <w:b/>
                <w:bCs/>
              </w:rPr>
              <w:t>,</w:t>
            </w:r>
            <w:r w:rsidRPr="00856D94">
              <w:rPr>
                <w:rFonts w:asciiTheme="minorHAnsi" w:hAnsiTheme="minorHAnsi" w:cstheme="minorHAnsi"/>
                <w:b/>
                <w:bCs/>
              </w:rPr>
              <w:t>75%</w:t>
            </w:r>
          </w:p>
        </w:tc>
        <w:tc>
          <w:tcPr>
            <w:tcW w:w="2924" w:type="dxa"/>
            <w:gridSpan w:val="2"/>
            <w:shd w:val="clear" w:color="auto" w:fill="auto"/>
            <w:vAlign w:val="center"/>
          </w:tcPr>
          <w:p w14:paraId="5A2736BC" w14:textId="41C869AD"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51</w:t>
            </w:r>
            <w:r w:rsidR="00BB01B4" w:rsidRPr="00856D94">
              <w:rPr>
                <w:rFonts w:asciiTheme="minorHAnsi" w:hAnsiTheme="minorHAnsi" w:cstheme="minorHAnsi"/>
                <w:b/>
                <w:bCs/>
              </w:rPr>
              <w:t>,</w:t>
            </w:r>
            <w:r w:rsidRPr="00856D94">
              <w:rPr>
                <w:rFonts w:asciiTheme="minorHAnsi" w:hAnsiTheme="minorHAnsi" w:cstheme="minorHAnsi"/>
                <w:b/>
                <w:bCs/>
              </w:rPr>
              <w:t>92%</w:t>
            </w:r>
          </w:p>
        </w:tc>
        <w:tc>
          <w:tcPr>
            <w:tcW w:w="3924" w:type="dxa"/>
            <w:gridSpan w:val="3"/>
            <w:shd w:val="clear" w:color="auto" w:fill="auto"/>
            <w:vAlign w:val="center"/>
          </w:tcPr>
          <w:p w14:paraId="2D6BC2C8" w14:textId="2E12FE81"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22</w:t>
            </w:r>
            <w:r w:rsidR="00BB01B4" w:rsidRPr="00856D94">
              <w:rPr>
                <w:rFonts w:asciiTheme="minorHAnsi" w:hAnsiTheme="minorHAnsi" w:cstheme="minorHAnsi"/>
                <w:b/>
                <w:bCs/>
              </w:rPr>
              <w:t>,</w:t>
            </w:r>
            <w:r w:rsidRPr="00856D94">
              <w:rPr>
                <w:rFonts w:asciiTheme="minorHAnsi" w:hAnsiTheme="minorHAnsi" w:cstheme="minorHAnsi"/>
                <w:b/>
                <w:bCs/>
              </w:rPr>
              <w:t>94%</w:t>
            </w:r>
          </w:p>
        </w:tc>
        <w:tc>
          <w:tcPr>
            <w:tcW w:w="3924" w:type="dxa"/>
            <w:gridSpan w:val="3"/>
            <w:shd w:val="clear" w:color="auto" w:fill="auto"/>
            <w:vAlign w:val="center"/>
          </w:tcPr>
          <w:p w14:paraId="1A1C4F7F" w14:textId="70D1326C"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7</w:t>
            </w:r>
            <w:r w:rsidR="00BB01B4" w:rsidRPr="00856D94">
              <w:rPr>
                <w:rFonts w:asciiTheme="minorHAnsi" w:hAnsiTheme="minorHAnsi" w:cstheme="minorHAnsi"/>
                <w:b/>
                <w:bCs/>
              </w:rPr>
              <w:t>,</w:t>
            </w:r>
            <w:r w:rsidRPr="00856D94">
              <w:rPr>
                <w:rFonts w:asciiTheme="minorHAnsi" w:hAnsiTheme="minorHAnsi" w:cstheme="minorHAnsi"/>
                <w:b/>
                <w:bCs/>
              </w:rPr>
              <w:t>39%</w:t>
            </w:r>
          </w:p>
        </w:tc>
      </w:tr>
    </w:tbl>
    <w:p w14:paraId="12E21396" w14:textId="70AA1B1E" w:rsidR="000B529C" w:rsidRPr="000168C9" w:rsidRDefault="000B529C" w:rsidP="000B529C">
      <w:pPr>
        <w:pStyle w:val="TableParagraph"/>
        <w:ind w:left="110"/>
        <w:rPr>
          <w:rFonts w:asciiTheme="minorHAnsi" w:hAnsiTheme="minorHAnsi" w:cstheme="minorHAnsi"/>
          <w:i/>
          <w:iCs/>
          <w:sz w:val="20"/>
          <w:szCs w:val="20"/>
          <w:lang w:val="bs-Latn-BA"/>
        </w:rPr>
      </w:pPr>
      <w:r>
        <w:rPr>
          <w:lang w:val="bs-Latn-BA"/>
        </w:rPr>
        <w:tab/>
        <w:t>*</w:t>
      </w:r>
      <w:r w:rsidR="00856D94">
        <w:rPr>
          <w:lang w:val="bs-Latn-BA"/>
        </w:rPr>
        <w:t xml:space="preserve">) </w:t>
      </w:r>
      <w:r w:rsidRPr="000168C9">
        <w:rPr>
          <w:rFonts w:asciiTheme="minorHAnsi" w:hAnsiTheme="minorHAnsi" w:cstheme="minorHAnsi"/>
          <w:i/>
          <w:iCs/>
          <w:sz w:val="20"/>
          <w:szCs w:val="20"/>
          <w:lang w:val="bs-Latn-BA"/>
        </w:rPr>
        <w:t>Napomena: Vlastita sredstva građana/vlasnika predviđena su u okviru Kreditnih sredstava.</w:t>
      </w:r>
    </w:p>
    <w:p w14:paraId="26ABCB53" w14:textId="16D140BA" w:rsidR="007E4E44" w:rsidRDefault="007E4E44" w:rsidP="001D78DB">
      <w:pPr>
        <w:rPr>
          <w:rFonts w:ascii="Arial" w:eastAsiaTheme="majorEastAsia" w:hAnsi="Arial" w:cstheme="majorBidi"/>
          <w:b/>
          <w:caps/>
          <w:color w:val="00592E"/>
          <w:sz w:val="28"/>
          <w:szCs w:val="32"/>
          <w:lang w:val="bs-Latn-BA"/>
        </w:rPr>
      </w:pPr>
    </w:p>
    <w:p w14:paraId="74ACD358" w14:textId="6714B8F5" w:rsidR="000937A0" w:rsidRDefault="000937A0" w:rsidP="001D78DB">
      <w:pPr>
        <w:rPr>
          <w:rFonts w:ascii="Arial" w:eastAsiaTheme="majorEastAsia" w:hAnsi="Arial" w:cstheme="majorBidi"/>
          <w:b/>
          <w:caps/>
          <w:color w:val="00592E"/>
          <w:sz w:val="28"/>
          <w:szCs w:val="32"/>
          <w:lang w:val="bs-Latn-BA"/>
        </w:rPr>
      </w:pPr>
    </w:p>
    <w:p w14:paraId="21087296" w14:textId="030BD9BC" w:rsidR="000937A0" w:rsidRDefault="000937A0" w:rsidP="001D78DB">
      <w:pPr>
        <w:rPr>
          <w:rFonts w:ascii="Arial" w:eastAsiaTheme="majorEastAsia" w:hAnsi="Arial" w:cstheme="majorBidi"/>
          <w:b/>
          <w:caps/>
          <w:color w:val="00592E"/>
          <w:sz w:val="28"/>
          <w:szCs w:val="32"/>
          <w:lang w:val="bs-Latn-BA"/>
        </w:rPr>
      </w:pPr>
    </w:p>
    <w:p w14:paraId="78ACBD89" w14:textId="5AC10A53" w:rsidR="000937A0" w:rsidRDefault="000937A0" w:rsidP="001D78DB">
      <w:pPr>
        <w:rPr>
          <w:rFonts w:ascii="Arial" w:eastAsiaTheme="majorEastAsia" w:hAnsi="Arial" w:cstheme="majorBidi"/>
          <w:b/>
          <w:caps/>
          <w:color w:val="00592E"/>
          <w:sz w:val="28"/>
          <w:szCs w:val="32"/>
          <w:lang w:val="bs-Latn-BA"/>
        </w:rPr>
      </w:pPr>
    </w:p>
    <w:p w14:paraId="3AB5EBEB" w14:textId="6913D8EA" w:rsidR="000937A0" w:rsidRDefault="000937A0" w:rsidP="001D78DB">
      <w:pPr>
        <w:rPr>
          <w:rFonts w:ascii="Arial" w:eastAsiaTheme="majorEastAsia" w:hAnsi="Arial" w:cstheme="majorBidi"/>
          <w:b/>
          <w:caps/>
          <w:color w:val="00592E"/>
          <w:sz w:val="28"/>
          <w:szCs w:val="32"/>
          <w:lang w:val="bs-Latn-BA"/>
        </w:rPr>
      </w:pPr>
    </w:p>
    <w:p w14:paraId="131B6A13" w14:textId="77777777" w:rsidR="000937A0" w:rsidRPr="008924E0" w:rsidRDefault="000937A0" w:rsidP="001D78DB">
      <w:pPr>
        <w:rPr>
          <w:rFonts w:ascii="Arial" w:eastAsiaTheme="majorEastAsia" w:hAnsi="Arial" w:cstheme="majorBidi"/>
          <w:b/>
          <w:caps/>
          <w:color w:val="00592E"/>
          <w:sz w:val="28"/>
          <w:szCs w:val="32"/>
          <w:lang w:val="bs-Latn-BA"/>
        </w:rPr>
      </w:pPr>
    </w:p>
    <w:p w14:paraId="47FCF2AC" w14:textId="0D8D1409" w:rsidR="001D78DB" w:rsidRPr="00586694" w:rsidRDefault="001D78DB" w:rsidP="00586694">
      <w:pPr>
        <w:pStyle w:val="Heading2"/>
        <w:numPr>
          <w:ilvl w:val="0"/>
          <w:numId w:val="0"/>
        </w:numPr>
        <w:rPr>
          <w:lang w:val="bs-Latn-BA"/>
        </w:rPr>
      </w:pPr>
      <w:bookmarkStart w:id="279" w:name="_Toc134011841"/>
      <w:r w:rsidRPr="00586694">
        <w:rPr>
          <w:lang w:val="bs-Latn-BA"/>
        </w:rPr>
        <w:lastRenderedPageBreak/>
        <w:t xml:space="preserve">Indikativni </w:t>
      </w:r>
      <w:r w:rsidR="007B690C">
        <w:rPr>
          <w:lang w:val="bs-Latn-BA"/>
        </w:rPr>
        <w:t>financ</w:t>
      </w:r>
      <w:r w:rsidRPr="00586694">
        <w:rPr>
          <w:lang w:val="bs-Latn-BA"/>
        </w:rPr>
        <w:t>ijski okvir 2040</w:t>
      </w:r>
      <w:r w:rsidR="0083554F">
        <w:rPr>
          <w:lang w:val="bs-Latn-BA"/>
        </w:rPr>
        <w:t>.</w:t>
      </w:r>
      <w:r w:rsidRPr="00586694">
        <w:rPr>
          <w:lang w:val="bs-Latn-BA"/>
        </w:rPr>
        <w:t>-2050</w:t>
      </w:r>
      <w:r w:rsidR="0083554F">
        <w:rPr>
          <w:lang w:val="bs-Latn-BA"/>
        </w:rPr>
        <w:t>.</w:t>
      </w:r>
      <w:bookmarkEnd w:id="279"/>
    </w:p>
    <w:tbl>
      <w:tblPr>
        <w:tblW w:w="14215" w:type="dxa"/>
        <w:tblInd w:w="270" w:type="dxa"/>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CellMar>
          <w:left w:w="29" w:type="dxa"/>
          <w:right w:w="29" w:type="dxa"/>
        </w:tblCellMar>
        <w:tblLook w:val="01E0" w:firstRow="1" w:lastRow="1" w:firstColumn="1" w:lastColumn="1" w:noHBand="0" w:noVBand="0"/>
      </w:tblPr>
      <w:tblGrid>
        <w:gridCol w:w="3443"/>
        <w:gridCol w:w="2171"/>
        <w:gridCol w:w="753"/>
        <w:gridCol w:w="956"/>
        <w:gridCol w:w="1796"/>
        <w:gridCol w:w="1172"/>
        <w:gridCol w:w="515"/>
        <w:gridCol w:w="1438"/>
        <w:gridCol w:w="1971"/>
      </w:tblGrid>
      <w:tr w:rsidR="000937A0" w:rsidRPr="001972F5" w14:paraId="2EE8A581" w14:textId="77777777" w:rsidTr="00847E0C">
        <w:trPr>
          <w:trHeight w:val="611"/>
        </w:trPr>
        <w:tc>
          <w:tcPr>
            <w:tcW w:w="14215" w:type="dxa"/>
            <w:gridSpan w:val="9"/>
            <w:shd w:val="clear" w:color="auto" w:fill="006432"/>
            <w:vAlign w:val="center"/>
          </w:tcPr>
          <w:p w14:paraId="11B8B87C" w14:textId="04D0266C" w:rsidR="000937A0" w:rsidRPr="00856D94" w:rsidRDefault="000937A0" w:rsidP="00847E0C">
            <w:pPr>
              <w:pStyle w:val="TableParagraph"/>
              <w:spacing w:before="20"/>
              <w:ind w:left="4746" w:right="4730"/>
              <w:jc w:val="center"/>
              <w:rPr>
                <w:rFonts w:asciiTheme="minorHAnsi" w:hAnsiTheme="minorHAnsi" w:cstheme="minorHAnsi"/>
                <w:b/>
                <w:sz w:val="20"/>
                <w:szCs w:val="20"/>
                <w:lang w:val="bs-Latn-BA"/>
              </w:rPr>
            </w:pPr>
            <w:r w:rsidRPr="00856D94">
              <w:rPr>
                <w:rFonts w:asciiTheme="minorHAnsi" w:hAnsiTheme="minorHAnsi" w:cstheme="minorHAnsi"/>
                <w:b/>
                <w:color w:val="FFFFFF"/>
                <w:sz w:val="20"/>
                <w:szCs w:val="20"/>
                <w:lang w:val="bs-Latn-BA"/>
              </w:rPr>
              <w:t>INDIKATIVNI</w:t>
            </w:r>
            <w:r w:rsidRPr="00856D94">
              <w:rPr>
                <w:rFonts w:asciiTheme="minorHAnsi" w:hAnsiTheme="minorHAnsi" w:cstheme="minorHAnsi"/>
                <w:b/>
                <w:color w:val="FFFFFF"/>
                <w:spacing w:val="-4"/>
                <w:sz w:val="20"/>
                <w:szCs w:val="20"/>
                <w:lang w:val="bs-Latn-BA"/>
              </w:rPr>
              <w:t xml:space="preserve"> </w:t>
            </w:r>
            <w:r w:rsidR="007B690C" w:rsidRPr="00856D94">
              <w:rPr>
                <w:rFonts w:asciiTheme="minorHAnsi" w:hAnsiTheme="minorHAnsi" w:cstheme="minorHAnsi"/>
                <w:b/>
                <w:color w:val="FFFFFF"/>
                <w:sz w:val="20"/>
                <w:szCs w:val="20"/>
                <w:lang w:val="bs-Latn-BA"/>
              </w:rPr>
              <w:t>FINANC</w:t>
            </w:r>
            <w:r w:rsidRPr="00856D94">
              <w:rPr>
                <w:rFonts w:asciiTheme="minorHAnsi" w:hAnsiTheme="minorHAnsi" w:cstheme="minorHAnsi"/>
                <w:b/>
                <w:color w:val="FFFFFF"/>
                <w:sz w:val="20"/>
                <w:szCs w:val="20"/>
                <w:lang w:val="bs-Latn-BA"/>
              </w:rPr>
              <w:t>IJSKI</w:t>
            </w:r>
            <w:r w:rsidRPr="00856D94">
              <w:rPr>
                <w:rFonts w:asciiTheme="minorHAnsi" w:hAnsiTheme="minorHAnsi" w:cstheme="minorHAnsi"/>
                <w:b/>
                <w:color w:val="FFFFFF"/>
                <w:spacing w:val="-2"/>
                <w:sz w:val="20"/>
                <w:szCs w:val="20"/>
                <w:lang w:val="bs-Latn-BA"/>
              </w:rPr>
              <w:t xml:space="preserve"> </w:t>
            </w:r>
            <w:r w:rsidRPr="00856D94">
              <w:rPr>
                <w:rFonts w:asciiTheme="minorHAnsi" w:hAnsiTheme="minorHAnsi" w:cstheme="minorHAnsi"/>
                <w:b/>
                <w:color w:val="FFFFFF"/>
                <w:sz w:val="20"/>
                <w:szCs w:val="20"/>
                <w:lang w:val="bs-Latn-BA"/>
              </w:rPr>
              <w:t>OKVIR</w:t>
            </w:r>
          </w:p>
          <w:p w14:paraId="768A338D" w14:textId="5B77B280" w:rsidR="000937A0" w:rsidRPr="00856D94" w:rsidRDefault="000937A0" w:rsidP="00847E0C">
            <w:pPr>
              <w:jc w:val="center"/>
              <w:rPr>
                <w:rFonts w:asciiTheme="minorHAnsi" w:hAnsiTheme="minorHAnsi" w:cstheme="minorHAnsi"/>
                <w:b/>
                <w:sz w:val="20"/>
                <w:szCs w:val="20"/>
                <w:lang w:val="bs-Latn-BA"/>
              </w:rPr>
            </w:pPr>
            <w:r w:rsidRPr="00856D94">
              <w:rPr>
                <w:rFonts w:asciiTheme="minorHAnsi" w:hAnsiTheme="minorHAnsi" w:cstheme="minorHAnsi"/>
                <w:b/>
                <w:color w:val="FFFFFF" w:themeColor="background1"/>
                <w:sz w:val="20"/>
                <w:szCs w:val="20"/>
                <w:lang w:val="bs-Latn-BA"/>
              </w:rPr>
              <w:t>Strategija obnove zgrada u FBiH 2040. – 2050.</w:t>
            </w:r>
          </w:p>
        </w:tc>
      </w:tr>
      <w:tr w:rsidR="000937A0" w:rsidRPr="00856D94" w14:paraId="162C9AC3" w14:textId="77777777" w:rsidTr="00FF1EB6">
        <w:trPr>
          <w:trHeight w:val="408"/>
        </w:trPr>
        <w:tc>
          <w:tcPr>
            <w:tcW w:w="5614" w:type="dxa"/>
            <w:gridSpan w:val="2"/>
            <w:vMerge w:val="restart"/>
            <w:shd w:val="clear" w:color="auto" w:fill="006432"/>
          </w:tcPr>
          <w:p w14:paraId="2E221451" w14:textId="77777777" w:rsidR="000937A0" w:rsidRPr="00856D94" w:rsidRDefault="000937A0" w:rsidP="00847E0C">
            <w:pPr>
              <w:pStyle w:val="TableParagraph"/>
              <w:rPr>
                <w:rFonts w:asciiTheme="minorHAnsi" w:hAnsiTheme="minorHAnsi" w:cstheme="minorHAnsi"/>
                <w:b/>
                <w:color w:val="FFFFFF" w:themeColor="background1"/>
                <w:sz w:val="20"/>
                <w:szCs w:val="20"/>
                <w:lang w:val="bs-Latn-BA"/>
              </w:rPr>
            </w:pPr>
          </w:p>
          <w:p w14:paraId="6C7221B8"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Strateški cilj - Postojeći fond zgrada FBiH transformiran </w:t>
            </w:r>
          </w:p>
          <w:p w14:paraId="718475D2"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u energijski visokoefikasan i dekarboniziran fond zgrada </w:t>
            </w:r>
          </w:p>
          <w:p w14:paraId="01A8DB60" w14:textId="77777777" w:rsidR="000937A0" w:rsidRPr="00856D94" w:rsidRDefault="000937A0" w:rsidP="00847E0C">
            <w:pPr>
              <w:pStyle w:val="TableParagraph"/>
              <w:jc w:val="both"/>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do 2050. godine </w:t>
            </w:r>
          </w:p>
          <w:p w14:paraId="45F49C82" w14:textId="77777777" w:rsidR="000937A0" w:rsidRPr="00856D94" w:rsidRDefault="000937A0" w:rsidP="00847E0C">
            <w:pPr>
              <w:pStyle w:val="TableParagraph"/>
              <w:ind w:left="379"/>
              <w:rPr>
                <w:rFonts w:asciiTheme="minorHAnsi" w:hAnsiTheme="minorHAnsi" w:cstheme="minorHAnsi"/>
                <w:b/>
                <w:color w:val="FFFFFF" w:themeColor="background1"/>
                <w:sz w:val="20"/>
                <w:szCs w:val="20"/>
                <w:lang w:val="bs-Latn-BA"/>
              </w:rPr>
            </w:pPr>
          </w:p>
        </w:tc>
        <w:tc>
          <w:tcPr>
            <w:tcW w:w="1709" w:type="dxa"/>
            <w:gridSpan w:val="2"/>
            <w:vMerge w:val="restart"/>
            <w:shd w:val="clear" w:color="auto" w:fill="006432"/>
          </w:tcPr>
          <w:p w14:paraId="54250EA1" w14:textId="77777777" w:rsidR="000937A0" w:rsidRPr="00856D94" w:rsidRDefault="000937A0" w:rsidP="00847E0C">
            <w:pPr>
              <w:pStyle w:val="TableParagraph"/>
              <w:spacing w:before="11"/>
              <w:jc w:val="right"/>
              <w:rPr>
                <w:rFonts w:asciiTheme="minorHAnsi" w:hAnsiTheme="minorHAnsi" w:cstheme="minorHAnsi"/>
                <w:b/>
                <w:color w:val="FFFFFF" w:themeColor="background1"/>
                <w:sz w:val="20"/>
                <w:szCs w:val="20"/>
                <w:lang w:val="bs-Latn-BA"/>
              </w:rPr>
            </w:pPr>
          </w:p>
          <w:p w14:paraId="2CAF0EE8" w14:textId="0E4BC9A9" w:rsidR="000937A0" w:rsidRPr="00856D94" w:rsidRDefault="000937A0" w:rsidP="00847E0C">
            <w:pPr>
              <w:pStyle w:val="TableParagraph"/>
              <w:spacing w:line="278" w:lineRule="auto"/>
              <w:ind w:right="226"/>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Struktura</w:t>
            </w:r>
            <w:r w:rsidRPr="00856D94">
              <w:rPr>
                <w:rFonts w:asciiTheme="minorHAnsi" w:hAnsiTheme="minorHAnsi" w:cstheme="minorHAnsi"/>
                <w:b/>
                <w:color w:val="FFFFFF" w:themeColor="background1"/>
                <w:spacing w:val="1"/>
                <w:sz w:val="20"/>
                <w:szCs w:val="20"/>
                <w:lang w:val="bs-Latn-BA"/>
              </w:rPr>
              <w:t xml:space="preserve"> </w:t>
            </w:r>
            <w:r w:rsidR="007B690C" w:rsidRPr="00856D94">
              <w:rPr>
                <w:rFonts w:asciiTheme="minorHAnsi" w:hAnsiTheme="minorHAnsi" w:cstheme="minorHAnsi"/>
                <w:b/>
                <w:color w:val="FFFFFF" w:themeColor="background1"/>
                <w:sz w:val="20"/>
                <w:szCs w:val="20"/>
                <w:lang w:val="bs-Latn-BA"/>
              </w:rPr>
              <w:t>financ</w:t>
            </w:r>
            <w:r w:rsidRPr="00856D94">
              <w:rPr>
                <w:rFonts w:asciiTheme="minorHAnsi" w:hAnsiTheme="minorHAnsi" w:cstheme="minorHAnsi"/>
                <w:b/>
                <w:color w:val="FFFFFF" w:themeColor="background1"/>
                <w:sz w:val="20"/>
                <w:szCs w:val="20"/>
                <w:lang w:val="bs-Latn-BA"/>
              </w:rPr>
              <w:t>iranja (%)*</w:t>
            </w:r>
          </w:p>
        </w:tc>
        <w:tc>
          <w:tcPr>
            <w:tcW w:w="1796" w:type="dxa"/>
            <w:vMerge w:val="restart"/>
            <w:shd w:val="clear" w:color="auto" w:fill="006432"/>
          </w:tcPr>
          <w:p w14:paraId="52DB9AA5" w14:textId="77777777" w:rsidR="000937A0" w:rsidRPr="00856D94" w:rsidRDefault="000937A0" w:rsidP="00847E0C">
            <w:pPr>
              <w:pStyle w:val="TableParagraph"/>
              <w:jc w:val="right"/>
              <w:rPr>
                <w:rFonts w:asciiTheme="minorHAnsi" w:hAnsiTheme="minorHAnsi" w:cstheme="minorHAnsi"/>
                <w:b/>
                <w:color w:val="FFFFFF" w:themeColor="background1"/>
                <w:sz w:val="20"/>
                <w:szCs w:val="20"/>
                <w:lang w:val="bs-Latn-BA"/>
              </w:rPr>
            </w:pPr>
          </w:p>
          <w:p w14:paraId="4DC886E7" w14:textId="77777777" w:rsidR="000937A0" w:rsidRPr="00856D94" w:rsidRDefault="000937A0" w:rsidP="00847E0C">
            <w:pPr>
              <w:pStyle w:val="TableParagraph"/>
              <w:tabs>
                <w:tab w:val="left" w:pos="1382"/>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Ukupno</w:t>
            </w:r>
          </w:p>
          <w:p w14:paraId="20EC3964" w14:textId="77777777" w:rsidR="000937A0" w:rsidRPr="00856D94" w:rsidRDefault="000937A0" w:rsidP="00847E0C">
            <w:pPr>
              <w:pStyle w:val="TableParagraph"/>
              <w:tabs>
                <w:tab w:val="left" w:pos="1382"/>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(mil. KM)</w:t>
            </w:r>
          </w:p>
        </w:tc>
        <w:tc>
          <w:tcPr>
            <w:tcW w:w="1687" w:type="dxa"/>
            <w:gridSpan w:val="2"/>
            <w:vMerge w:val="restart"/>
            <w:shd w:val="clear" w:color="auto" w:fill="006432"/>
          </w:tcPr>
          <w:p w14:paraId="21627344" w14:textId="77777777" w:rsidR="000937A0" w:rsidRPr="00856D94" w:rsidRDefault="000937A0" w:rsidP="00847E0C">
            <w:pPr>
              <w:pStyle w:val="TableParagraph"/>
              <w:jc w:val="right"/>
              <w:rPr>
                <w:rFonts w:asciiTheme="minorHAnsi" w:hAnsiTheme="minorHAnsi" w:cstheme="minorHAnsi"/>
                <w:b/>
                <w:color w:val="FFFFFF" w:themeColor="background1"/>
                <w:sz w:val="20"/>
                <w:szCs w:val="20"/>
                <w:lang w:val="bs-Latn-BA"/>
              </w:rPr>
            </w:pPr>
          </w:p>
          <w:p w14:paraId="58ECCB8C" w14:textId="77777777" w:rsidR="000937A0" w:rsidRPr="00856D94" w:rsidRDefault="000937A0" w:rsidP="00847E0C">
            <w:pPr>
              <w:pStyle w:val="TableParagraph"/>
              <w:tabs>
                <w:tab w:val="left" w:pos="1858"/>
              </w:tabs>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Budžet institucije (mil. KM)</w:t>
            </w:r>
          </w:p>
        </w:tc>
        <w:tc>
          <w:tcPr>
            <w:tcW w:w="3409" w:type="dxa"/>
            <w:gridSpan w:val="2"/>
            <w:shd w:val="clear" w:color="auto" w:fill="006432"/>
            <w:vAlign w:val="center"/>
          </w:tcPr>
          <w:p w14:paraId="0F499D84" w14:textId="77777777" w:rsidR="000937A0" w:rsidRPr="00856D94" w:rsidRDefault="000937A0" w:rsidP="00847E0C">
            <w:pPr>
              <w:pStyle w:val="TableParagraph"/>
              <w:spacing w:before="1"/>
              <w:ind w:right="1896"/>
              <w:jc w:val="center"/>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Ostali izvori</w:t>
            </w:r>
          </w:p>
        </w:tc>
      </w:tr>
      <w:tr w:rsidR="000937A0" w:rsidRPr="00856D94" w14:paraId="2452A7AA" w14:textId="77777777" w:rsidTr="00FF1EB6">
        <w:trPr>
          <w:trHeight w:val="575"/>
        </w:trPr>
        <w:tc>
          <w:tcPr>
            <w:tcW w:w="5614" w:type="dxa"/>
            <w:gridSpan w:val="2"/>
            <w:vMerge/>
            <w:tcBorders>
              <w:top w:val="nil"/>
            </w:tcBorders>
            <w:shd w:val="clear" w:color="auto" w:fill="006432"/>
          </w:tcPr>
          <w:p w14:paraId="4839DB18" w14:textId="77777777" w:rsidR="000937A0" w:rsidRPr="00856D94" w:rsidRDefault="000937A0" w:rsidP="00847E0C">
            <w:pPr>
              <w:rPr>
                <w:rFonts w:asciiTheme="minorHAnsi" w:hAnsiTheme="minorHAnsi" w:cstheme="minorHAnsi"/>
                <w:color w:val="FFFFFF" w:themeColor="background1"/>
                <w:sz w:val="20"/>
                <w:szCs w:val="20"/>
                <w:lang w:val="bs-Latn-BA"/>
              </w:rPr>
            </w:pPr>
          </w:p>
        </w:tc>
        <w:tc>
          <w:tcPr>
            <w:tcW w:w="1709" w:type="dxa"/>
            <w:gridSpan w:val="2"/>
            <w:vMerge/>
            <w:tcBorders>
              <w:top w:val="nil"/>
            </w:tcBorders>
            <w:shd w:val="clear" w:color="auto" w:fill="006432"/>
          </w:tcPr>
          <w:p w14:paraId="6E9700A8"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796" w:type="dxa"/>
            <w:vMerge/>
            <w:tcBorders>
              <w:top w:val="nil"/>
            </w:tcBorders>
            <w:shd w:val="clear" w:color="auto" w:fill="006432"/>
          </w:tcPr>
          <w:p w14:paraId="32011E2D"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687" w:type="dxa"/>
            <w:gridSpan w:val="2"/>
            <w:vMerge/>
            <w:tcBorders>
              <w:top w:val="nil"/>
            </w:tcBorders>
            <w:shd w:val="clear" w:color="auto" w:fill="006432"/>
          </w:tcPr>
          <w:p w14:paraId="6FEF629C" w14:textId="77777777" w:rsidR="000937A0" w:rsidRPr="00856D94" w:rsidRDefault="000937A0" w:rsidP="00847E0C">
            <w:pPr>
              <w:jc w:val="right"/>
              <w:rPr>
                <w:rFonts w:asciiTheme="minorHAnsi" w:hAnsiTheme="minorHAnsi" w:cstheme="minorHAnsi"/>
                <w:color w:val="FFFFFF" w:themeColor="background1"/>
                <w:sz w:val="20"/>
                <w:szCs w:val="20"/>
                <w:lang w:val="bs-Latn-BA"/>
              </w:rPr>
            </w:pPr>
          </w:p>
        </w:tc>
        <w:tc>
          <w:tcPr>
            <w:tcW w:w="1438" w:type="dxa"/>
            <w:shd w:val="clear" w:color="auto" w:fill="006432"/>
          </w:tcPr>
          <w:p w14:paraId="4DA6F8B3" w14:textId="77777777" w:rsidR="000937A0" w:rsidRPr="00856D94" w:rsidRDefault="000937A0" w:rsidP="00847E0C">
            <w:pPr>
              <w:pStyle w:val="TableParagraph"/>
              <w:spacing w:before="135"/>
              <w:ind w:left="127" w:right="112"/>
              <w:jc w:val="right"/>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(mil. KM)</w:t>
            </w:r>
          </w:p>
        </w:tc>
        <w:tc>
          <w:tcPr>
            <w:tcW w:w="1971" w:type="dxa"/>
            <w:shd w:val="clear" w:color="auto" w:fill="006432"/>
          </w:tcPr>
          <w:p w14:paraId="199FD8F3" w14:textId="77777777" w:rsidR="000937A0" w:rsidRPr="00856D94" w:rsidRDefault="000937A0" w:rsidP="00847E0C">
            <w:pPr>
              <w:pStyle w:val="TableParagraph"/>
              <w:rPr>
                <w:rFonts w:asciiTheme="minorHAnsi" w:hAnsiTheme="minorHAnsi" w:cstheme="minorHAnsi"/>
                <w:b/>
                <w:bCs/>
                <w:color w:val="FFFFFF" w:themeColor="background1"/>
                <w:sz w:val="20"/>
                <w:szCs w:val="20"/>
                <w:lang w:val="bs-Latn-BA"/>
              </w:rPr>
            </w:pPr>
            <w:r w:rsidRPr="00856D94">
              <w:rPr>
                <w:rFonts w:asciiTheme="minorHAnsi" w:hAnsiTheme="minorHAnsi" w:cstheme="minorHAnsi"/>
                <w:b/>
                <w:bCs/>
                <w:color w:val="FFFFFF" w:themeColor="background1"/>
                <w:sz w:val="20"/>
                <w:szCs w:val="20"/>
                <w:lang w:val="bs-Latn-BA"/>
              </w:rPr>
              <w:t>Naziv potencijalnog izvora</w:t>
            </w:r>
          </w:p>
        </w:tc>
      </w:tr>
      <w:tr w:rsidR="000937A0" w:rsidRPr="00856D94" w14:paraId="2E0F75DC" w14:textId="77777777" w:rsidTr="00FF1EB6">
        <w:trPr>
          <w:trHeight w:val="575"/>
        </w:trPr>
        <w:tc>
          <w:tcPr>
            <w:tcW w:w="5614" w:type="dxa"/>
            <w:gridSpan w:val="2"/>
            <w:shd w:val="clear" w:color="auto" w:fill="006432"/>
            <w:vAlign w:val="center"/>
          </w:tcPr>
          <w:p w14:paraId="11F6DFE1" w14:textId="77777777" w:rsidR="000937A0" w:rsidRPr="00856D94" w:rsidRDefault="000937A0" w:rsidP="00847E0C">
            <w:pPr>
              <w:pStyle w:val="TableParagraph"/>
              <w:spacing w:before="30"/>
              <w:ind w:left="110"/>
              <w:rPr>
                <w:rFonts w:asciiTheme="minorHAnsi" w:hAnsiTheme="minorHAnsi" w:cstheme="minorHAnsi"/>
                <w:b/>
                <w:color w:val="FFFFFF" w:themeColor="background1"/>
                <w:sz w:val="20"/>
                <w:szCs w:val="20"/>
                <w:lang w:val="bs-Latn-BA"/>
              </w:rPr>
            </w:pPr>
            <w:r w:rsidRPr="00856D94">
              <w:rPr>
                <w:rFonts w:asciiTheme="minorHAnsi" w:hAnsiTheme="minorHAnsi" w:cstheme="minorHAnsi"/>
                <w:b/>
                <w:color w:val="FFFFFF" w:themeColor="background1"/>
                <w:sz w:val="20"/>
                <w:szCs w:val="20"/>
                <w:lang w:val="bs-Latn-BA"/>
              </w:rPr>
              <w:t xml:space="preserve">Redni broj i oznaka prioriteta i mjere </w:t>
            </w:r>
          </w:p>
        </w:tc>
        <w:tc>
          <w:tcPr>
            <w:tcW w:w="1709" w:type="dxa"/>
            <w:gridSpan w:val="2"/>
            <w:shd w:val="clear" w:color="auto" w:fill="006432"/>
            <w:vAlign w:val="center"/>
          </w:tcPr>
          <w:p w14:paraId="46F77A47" w14:textId="77777777" w:rsidR="000937A0" w:rsidRPr="00856D94" w:rsidRDefault="000937A0" w:rsidP="00847E0C">
            <w:pPr>
              <w:pStyle w:val="TableParagraph"/>
              <w:spacing w:before="30"/>
              <w:ind w:right="90"/>
              <w:jc w:val="right"/>
              <w:rPr>
                <w:rFonts w:asciiTheme="minorHAnsi" w:hAnsiTheme="minorHAnsi" w:cstheme="minorHAnsi"/>
                <w:b/>
                <w:color w:val="FFFFFF" w:themeColor="background1"/>
                <w:sz w:val="20"/>
                <w:szCs w:val="20"/>
                <w:lang w:val="bs-Latn-BA"/>
              </w:rPr>
            </w:pPr>
          </w:p>
        </w:tc>
        <w:tc>
          <w:tcPr>
            <w:tcW w:w="1796" w:type="dxa"/>
            <w:shd w:val="clear" w:color="auto" w:fill="006432"/>
            <w:vAlign w:val="center"/>
          </w:tcPr>
          <w:p w14:paraId="1F1AD0D5" w14:textId="77777777" w:rsidR="000937A0" w:rsidRPr="00856D94" w:rsidRDefault="000937A0" w:rsidP="00847E0C">
            <w:pPr>
              <w:pStyle w:val="TableParagraph"/>
              <w:spacing w:before="30"/>
              <w:ind w:right="96"/>
              <w:jc w:val="right"/>
              <w:rPr>
                <w:rFonts w:asciiTheme="minorHAnsi" w:hAnsiTheme="minorHAnsi" w:cstheme="minorHAnsi"/>
                <w:b/>
                <w:color w:val="FFFFFF" w:themeColor="background1"/>
                <w:sz w:val="20"/>
                <w:szCs w:val="20"/>
                <w:lang w:val="bs-Latn-BA"/>
              </w:rPr>
            </w:pPr>
          </w:p>
        </w:tc>
        <w:tc>
          <w:tcPr>
            <w:tcW w:w="1687" w:type="dxa"/>
            <w:gridSpan w:val="2"/>
            <w:shd w:val="clear" w:color="auto" w:fill="006432"/>
            <w:vAlign w:val="center"/>
          </w:tcPr>
          <w:p w14:paraId="62CA4974" w14:textId="77777777" w:rsidR="000937A0" w:rsidRPr="00856D94" w:rsidRDefault="000937A0" w:rsidP="00847E0C">
            <w:pPr>
              <w:pStyle w:val="TableParagraph"/>
              <w:spacing w:before="30"/>
              <w:ind w:right="91"/>
              <w:jc w:val="right"/>
              <w:rPr>
                <w:rFonts w:asciiTheme="minorHAnsi" w:hAnsiTheme="minorHAnsi" w:cstheme="minorHAnsi"/>
                <w:b/>
                <w:color w:val="FFFFFF" w:themeColor="background1"/>
                <w:sz w:val="20"/>
                <w:szCs w:val="20"/>
                <w:lang w:val="bs-Latn-BA"/>
              </w:rPr>
            </w:pPr>
          </w:p>
        </w:tc>
        <w:tc>
          <w:tcPr>
            <w:tcW w:w="1438" w:type="dxa"/>
            <w:shd w:val="clear" w:color="auto" w:fill="006432"/>
            <w:vAlign w:val="center"/>
          </w:tcPr>
          <w:p w14:paraId="0570CB53" w14:textId="77777777" w:rsidR="000937A0" w:rsidRPr="00856D94" w:rsidRDefault="000937A0" w:rsidP="00847E0C">
            <w:pPr>
              <w:pStyle w:val="TableParagraph"/>
              <w:spacing w:before="30"/>
              <w:ind w:right="91"/>
              <w:jc w:val="right"/>
              <w:rPr>
                <w:rFonts w:asciiTheme="minorHAnsi" w:hAnsiTheme="minorHAnsi" w:cstheme="minorHAnsi"/>
                <w:b/>
                <w:color w:val="FFFFFF" w:themeColor="background1"/>
                <w:sz w:val="20"/>
                <w:szCs w:val="20"/>
                <w:lang w:val="bs-Latn-BA"/>
              </w:rPr>
            </w:pPr>
          </w:p>
        </w:tc>
        <w:tc>
          <w:tcPr>
            <w:tcW w:w="1971" w:type="dxa"/>
            <w:shd w:val="clear" w:color="auto" w:fill="006432"/>
            <w:vAlign w:val="center"/>
          </w:tcPr>
          <w:p w14:paraId="5334DD02" w14:textId="77777777" w:rsidR="000937A0" w:rsidRPr="00856D94" w:rsidRDefault="000937A0" w:rsidP="00847E0C">
            <w:pPr>
              <w:pStyle w:val="TableParagraph"/>
              <w:rPr>
                <w:rFonts w:asciiTheme="minorHAnsi" w:hAnsiTheme="minorHAnsi" w:cstheme="minorHAnsi"/>
                <w:color w:val="FFFFFF" w:themeColor="background1"/>
                <w:sz w:val="20"/>
                <w:szCs w:val="20"/>
                <w:lang w:val="bs-Latn-BA"/>
              </w:rPr>
            </w:pPr>
          </w:p>
        </w:tc>
      </w:tr>
      <w:tr w:rsidR="00FF1EB6" w:rsidRPr="00856D94" w14:paraId="074C9096" w14:textId="77777777" w:rsidTr="00FF1EB6">
        <w:trPr>
          <w:trHeight w:val="447"/>
        </w:trPr>
        <w:tc>
          <w:tcPr>
            <w:tcW w:w="5614" w:type="dxa"/>
            <w:gridSpan w:val="2"/>
            <w:shd w:val="clear" w:color="auto" w:fill="D8D8D8"/>
            <w:vAlign w:val="center"/>
          </w:tcPr>
          <w:p w14:paraId="2229547D" w14:textId="77777777" w:rsidR="00FF1EB6" w:rsidRPr="00856D94" w:rsidRDefault="00FF1EB6" w:rsidP="00FF1EB6">
            <w:pPr>
              <w:pStyle w:val="TableParagraph"/>
              <w:spacing w:before="20"/>
              <w:rPr>
                <w:rFonts w:asciiTheme="minorHAnsi" w:hAnsiTheme="minorHAnsi" w:cstheme="minorHAnsi"/>
                <w:sz w:val="20"/>
                <w:szCs w:val="20"/>
                <w:lang w:val="bs-Latn-BA"/>
              </w:rPr>
            </w:pPr>
            <w:r w:rsidRPr="00856D94">
              <w:rPr>
                <w:rFonts w:asciiTheme="minorHAnsi" w:hAnsiTheme="minorHAnsi" w:cstheme="minorHAnsi"/>
                <w:b/>
                <w:bCs/>
                <w:color w:val="000000"/>
              </w:rPr>
              <w:t xml:space="preserve">1.1. Transformirati postojeći fond zgrada FBiH u energijski visokoefikasan </w:t>
            </w:r>
          </w:p>
        </w:tc>
        <w:tc>
          <w:tcPr>
            <w:tcW w:w="1709" w:type="dxa"/>
            <w:gridSpan w:val="2"/>
            <w:shd w:val="clear" w:color="auto" w:fill="D8D8D8"/>
            <w:vAlign w:val="center"/>
          </w:tcPr>
          <w:p w14:paraId="269AF18A" w14:textId="637825E1" w:rsidR="00FF1EB6" w:rsidRPr="00856D94" w:rsidRDefault="00FF1EB6" w:rsidP="00F66F86">
            <w:pPr>
              <w:pStyle w:val="TableParagraph"/>
              <w:spacing w:before="20"/>
              <w:ind w:left="490" w:right="144"/>
              <w:jc w:val="right"/>
              <w:rPr>
                <w:rFonts w:asciiTheme="minorHAnsi" w:hAnsiTheme="minorHAnsi" w:cstheme="minorHAnsi"/>
                <w:b/>
                <w:lang w:val="bs-Latn-BA"/>
              </w:rPr>
            </w:pPr>
            <w:r w:rsidRPr="00856D94">
              <w:rPr>
                <w:rFonts w:asciiTheme="minorHAnsi" w:hAnsiTheme="minorHAnsi" w:cstheme="minorHAnsi"/>
                <w:b/>
                <w:bCs/>
              </w:rPr>
              <w:t>77</w:t>
            </w:r>
            <w:r w:rsidR="004C6686" w:rsidRPr="00856D94">
              <w:rPr>
                <w:rFonts w:asciiTheme="minorHAnsi" w:hAnsiTheme="minorHAnsi" w:cstheme="minorHAnsi"/>
                <w:b/>
                <w:bCs/>
              </w:rPr>
              <w:t>,</w:t>
            </w:r>
            <w:r w:rsidRPr="00856D94">
              <w:rPr>
                <w:rFonts w:asciiTheme="minorHAnsi" w:hAnsiTheme="minorHAnsi" w:cstheme="minorHAnsi"/>
                <w:b/>
                <w:bCs/>
              </w:rPr>
              <w:t>69%</w:t>
            </w:r>
          </w:p>
        </w:tc>
        <w:tc>
          <w:tcPr>
            <w:tcW w:w="1796" w:type="dxa"/>
            <w:shd w:val="clear" w:color="auto" w:fill="D8D8D8"/>
            <w:vAlign w:val="center"/>
          </w:tcPr>
          <w:p w14:paraId="21310277" w14:textId="73BB6999" w:rsidR="00FF1EB6" w:rsidRPr="00856D94" w:rsidRDefault="00FF1EB6" w:rsidP="00FF1EB6">
            <w:pPr>
              <w:pStyle w:val="TableParagraph"/>
              <w:spacing w:before="20"/>
              <w:ind w:right="96"/>
              <w:jc w:val="right"/>
              <w:rPr>
                <w:rFonts w:asciiTheme="minorHAnsi" w:hAnsiTheme="minorHAnsi" w:cstheme="minorHAnsi"/>
                <w:b/>
                <w:lang w:val="bs-Latn-BA"/>
              </w:rPr>
            </w:pPr>
            <w:r w:rsidRPr="00856D94">
              <w:rPr>
                <w:rFonts w:asciiTheme="minorHAnsi" w:hAnsiTheme="minorHAnsi" w:cstheme="minorHAnsi"/>
                <w:b/>
                <w:bCs/>
              </w:rPr>
              <w:t>5</w:t>
            </w:r>
            <w:r w:rsidR="004C6686" w:rsidRPr="00856D94">
              <w:rPr>
                <w:rFonts w:asciiTheme="minorHAnsi" w:hAnsiTheme="minorHAnsi" w:cstheme="minorHAnsi"/>
                <w:b/>
                <w:bCs/>
              </w:rPr>
              <w:t>.</w:t>
            </w:r>
            <w:r w:rsidRPr="00856D94">
              <w:rPr>
                <w:rFonts w:asciiTheme="minorHAnsi" w:hAnsiTheme="minorHAnsi" w:cstheme="minorHAnsi"/>
                <w:b/>
                <w:bCs/>
              </w:rPr>
              <w:t>873</w:t>
            </w:r>
            <w:r w:rsidR="004C6686" w:rsidRPr="00856D94">
              <w:rPr>
                <w:rFonts w:asciiTheme="minorHAnsi" w:hAnsiTheme="minorHAnsi" w:cstheme="minorHAnsi"/>
                <w:b/>
                <w:bCs/>
              </w:rPr>
              <w:t>,</w:t>
            </w:r>
            <w:r w:rsidRPr="00856D94">
              <w:rPr>
                <w:rFonts w:asciiTheme="minorHAnsi" w:hAnsiTheme="minorHAnsi" w:cstheme="minorHAnsi"/>
                <w:b/>
                <w:bCs/>
              </w:rPr>
              <w:t>86</w:t>
            </w:r>
          </w:p>
        </w:tc>
        <w:tc>
          <w:tcPr>
            <w:tcW w:w="1687" w:type="dxa"/>
            <w:gridSpan w:val="2"/>
            <w:shd w:val="clear" w:color="auto" w:fill="D8D8D8"/>
            <w:vAlign w:val="center"/>
          </w:tcPr>
          <w:p w14:paraId="70386612" w14:textId="5CA64B0F" w:rsidR="00FF1EB6" w:rsidRPr="00856D94" w:rsidRDefault="00FF1EB6" w:rsidP="00FF1EB6">
            <w:pPr>
              <w:pStyle w:val="TableParagraph"/>
              <w:spacing w:before="20"/>
              <w:ind w:right="91"/>
              <w:jc w:val="right"/>
              <w:rPr>
                <w:rFonts w:asciiTheme="minorHAnsi" w:hAnsiTheme="minorHAnsi" w:cstheme="minorHAnsi"/>
                <w:b/>
                <w:lang w:val="bs-Latn-BA"/>
              </w:rPr>
            </w:pPr>
            <w:r w:rsidRPr="00856D94">
              <w:rPr>
                <w:rFonts w:asciiTheme="minorHAnsi" w:hAnsiTheme="minorHAnsi" w:cstheme="minorHAnsi"/>
                <w:b/>
                <w:bCs/>
              </w:rPr>
              <w:t>1</w:t>
            </w:r>
            <w:r w:rsidR="004C6686" w:rsidRPr="00856D94">
              <w:rPr>
                <w:rFonts w:asciiTheme="minorHAnsi" w:hAnsiTheme="minorHAnsi" w:cstheme="minorHAnsi"/>
                <w:b/>
                <w:bCs/>
              </w:rPr>
              <w:t>.</w:t>
            </w:r>
            <w:r w:rsidRPr="00856D94">
              <w:rPr>
                <w:rFonts w:asciiTheme="minorHAnsi" w:hAnsiTheme="minorHAnsi" w:cstheme="minorHAnsi"/>
                <w:b/>
                <w:bCs/>
              </w:rPr>
              <w:t>174</w:t>
            </w:r>
            <w:r w:rsidR="004C6686" w:rsidRPr="00856D94">
              <w:rPr>
                <w:rFonts w:asciiTheme="minorHAnsi" w:hAnsiTheme="minorHAnsi" w:cstheme="minorHAnsi"/>
                <w:b/>
                <w:bCs/>
              </w:rPr>
              <w:t>,</w:t>
            </w:r>
            <w:r w:rsidRPr="00856D94">
              <w:rPr>
                <w:rFonts w:asciiTheme="minorHAnsi" w:hAnsiTheme="minorHAnsi" w:cstheme="minorHAnsi"/>
                <w:b/>
                <w:bCs/>
              </w:rPr>
              <w:t>33</w:t>
            </w:r>
          </w:p>
        </w:tc>
        <w:tc>
          <w:tcPr>
            <w:tcW w:w="1438" w:type="dxa"/>
            <w:shd w:val="clear" w:color="auto" w:fill="D8D8D8"/>
            <w:vAlign w:val="center"/>
          </w:tcPr>
          <w:p w14:paraId="3EB0AE62" w14:textId="2A4A71BE" w:rsidR="00FF1EB6" w:rsidRPr="00856D94" w:rsidRDefault="00FF1EB6" w:rsidP="00FF1EB6">
            <w:pPr>
              <w:pStyle w:val="TableParagraph"/>
              <w:spacing w:before="20"/>
              <w:ind w:right="91"/>
              <w:jc w:val="right"/>
              <w:rPr>
                <w:rFonts w:asciiTheme="minorHAnsi" w:hAnsiTheme="minorHAnsi" w:cstheme="minorHAnsi"/>
                <w:b/>
                <w:lang w:val="bs-Latn-BA"/>
              </w:rPr>
            </w:pPr>
            <w:r w:rsidRPr="00856D94">
              <w:rPr>
                <w:rFonts w:asciiTheme="minorHAnsi" w:hAnsiTheme="minorHAnsi" w:cstheme="minorHAnsi"/>
                <w:b/>
                <w:bCs/>
              </w:rPr>
              <w:t>4</w:t>
            </w:r>
            <w:r w:rsidR="004C6686" w:rsidRPr="00856D94">
              <w:rPr>
                <w:rFonts w:asciiTheme="minorHAnsi" w:hAnsiTheme="minorHAnsi" w:cstheme="minorHAnsi"/>
                <w:b/>
                <w:bCs/>
              </w:rPr>
              <w:t>.</w:t>
            </w:r>
            <w:r w:rsidRPr="00856D94">
              <w:rPr>
                <w:rFonts w:asciiTheme="minorHAnsi" w:hAnsiTheme="minorHAnsi" w:cstheme="minorHAnsi"/>
                <w:b/>
                <w:bCs/>
              </w:rPr>
              <w:t>699</w:t>
            </w:r>
            <w:r w:rsidR="004C6686" w:rsidRPr="00856D94">
              <w:rPr>
                <w:rFonts w:asciiTheme="minorHAnsi" w:hAnsiTheme="minorHAnsi" w:cstheme="minorHAnsi"/>
                <w:b/>
                <w:bCs/>
              </w:rPr>
              <w:t>,</w:t>
            </w:r>
            <w:r w:rsidRPr="00856D94">
              <w:rPr>
                <w:rFonts w:asciiTheme="minorHAnsi" w:hAnsiTheme="minorHAnsi" w:cstheme="minorHAnsi"/>
                <w:b/>
                <w:bCs/>
              </w:rPr>
              <w:t>53</w:t>
            </w:r>
          </w:p>
        </w:tc>
        <w:tc>
          <w:tcPr>
            <w:tcW w:w="1971" w:type="dxa"/>
            <w:shd w:val="clear" w:color="auto" w:fill="D8D8D8"/>
            <w:vAlign w:val="center"/>
          </w:tcPr>
          <w:p w14:paraId="1B1ECA88" w14:textId="77777777" w:rsidR="00FF1EB6" w:rsidRPr="00856D94" w:rsidRDefault="00FF1EB6" w:rsidP="00FF1EB6">
            <w:pPr>
              <w:pStyle w:val="TableParagraph"/>
              <w:rPr>
                <w:rFonts w:asciiTheme="minorHAnsi" w:hAnsiTheme="minorHAnsi" w:cstheme="minorHAnsi"/>
                <w:sz w:val="20"/>
                <w:szCs w:val="20"/>
                <w:lang w:val="bs-Latn-BA"/>
              </w:rPr>
            </w:pPr>
          </w:p>
        </w:tc>
      </w:tr>
      <w:tr w:rsidR="00FF1EB6" w:rsidRPr="00856D94" w14:paraId="40E65C92" w14:textId="77777777" w:rsidTr="00FF1EB6">
        <w:trPr>
          <w:trHeight w:val="550"/>
        </w:trPr>
        <w:tc>
          <w:tcPr>
            <w:tcW w:w="5614" w:type="dxa"/>
            <w:gridSpan w:val="2"/>
            <w:vAlign w:val="center"/>
          </w:tcPr>
          <w:p w14:paraId="1F53816B"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1.1.1.</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Unaprijediti regulatorni okvir u cilju ostvarivanja potpune harmonizacije s pravnom stečevinom EU u oblasti EE koji će omogućiti energijsku obnovu zgrada</w:t>
            </w:r>
          </w:p>
        </w:tc>
        <w:tc>
          <w:tcPr>
            <w:tcW w:w="1709" w:type="dxa"/>
            <w:gridSpan w:val="2"/>
            <w:vAlign w:val="center"/>
          </w:tcPr>
          <w:p w14:paraId="61989ED1" w14:textId="31B47C65" w:rsidR="00FF1EB6" w:rsidRPr="00856D94" w:rsidRDefault="00FF1EB6" w:rsidP="00F66F86">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37119390" w14:textId="4EFB920F"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40</w:t>
            </w:r>
          </w:p>
        </w:tc>
        <w:tc>
          <w:tcPr>
            <w:tcW w:w="1687" w:type="dxa"/>
            <w:gridSpan w:val="2"/>
            <w:vAlign w:val="center"/>
          </w:tcPr>
          <w:p w14:paraId="3856DAC6" w14:textId="58660D64"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20</w:t>
            </w:r>
          </w:p>
        </w:tc>
        <w:tc>
          <w:tcPr>
            <w:tcW w:w="1438" w:type="dxa"/>
            <w:vAlign w:val="center"/>
          </w:tcPr>
          <w:p w14:paraId="7713A123" w14:textId="0B73365A"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20</w:t>
            </w:r>
          </w:p>
        </w:tc>
        <w:tc>
          <w:tcPr>
            <w:tcW w:w="1971" w:type="dxa"/>
            <w:vAlign w:val="center"/>
          </w:tcPr>
          <w:p w14:paraId="4719B94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tc>
      </w:tr>
      <w:tr w:rsidR="00FF1EB6" w:rsidRPr="00856D94" w14:paraId="60975406" w14:textId="77777777" w:rsidTr="00FF1EB6">
        <w:trPr>
          <w:trHeight w:val="550"/>
        </w:trPr>
        <w:tc>
          <w:tcPr>
            <w:tcW w:w="5614" w:type="dxa"/>
            <w:gridSpan w:val="2"/>
            <w:vAlign w:val="center"/>
          </w:tcPr>
          <w:p w14:paraId="13970A58" w14:textId="4FFD1AD9" w:rsidR="00FF1EB6" w:rsidRPr="00856D94" w:rsidRDefault="00FF1EB6" w:rsidP="00FF1EB6">
            <w:pPr>
              <w:pStyle w:val="TableParagraph"/>
              <w:ind w:left="110"/>
              <w:rPr>
                <w:rFonts w:asciiTheme="minorHAnsi" w:hAnsiTheme="minorHAnsi" w:cstheme="minorHAnsi"/>
                <w:color w:val="000000"/>
              </w:rPr>
            </w:pPr>
            <w:r w:rsidRPr="00856D94">
              <w:rPr>
                <w:rFonts w:asciiTheme="minorHAnsi" w:hAnsiTheme="minorHAnsi" w:cstheme="minorHAnsi"/>
                <w:color w:val="000000"/>
              </w:rPr>
              <w:t xml:space="preserve">1.1.2.       Jačati institucionalne kapacitete na svim nivoima vlasti i međusektorsku saradnju </w:t>
            </w:r>
            <w:r w:rsidR="00BD43F2" w:rsidRPr="00856D94">
              <w:rPr>
                <w:rFonts w:asciiTheme="minorHAnsi" w:hAnsiTheme="minorHAnsi" w:cstheme="minorHAnsi"/>
                <w:color w:val="000000"/>
              </w:rPr>
              <w:t>u cilju</w:t>
            </w:r>
            <w:r w:rsidRPr="00856D94">
              <w:rPr>
                <w:rFonts w:asciiTheme="minorHAnsi" w:hAnsiTheme="minorHAnsi" w:cstheme="minorHAnsi"/>
                <w:color w:val="000000"/>
              </w:rPr>
              <w:t xml:space="preserve"> energijsk</w:t>
            </w:r>
            <w:r w:rsidR="00BD43F2" w:rsidRPr="00856D94">
              <w:rPr>
                <w:rFonts w:asciiTheme="minorHAnsi" w:hAnsiTheme="minorHAnsi" w:cstheme="minorHAnsi"/>
                <w:color w:val="000000"/>
              </w:rPr>
              <w:t>e</w:t>
            </w:r>
            <w:r w:rsidRPr="00856D94">
              <w:rPr>
                <w:rFonts w:asciiTheme="minorHAnsi" w:hAnsiTheme="minorHAnsi" w:cstheme="minorHAnsi"/>
                <w:color w:val="000000"/>
              </w:rPr>
              <w:t xml:space="preserve"> obnov</w:t>
            </w:r>
            <w:r w:rsidR="00BD43F2" w:rsidRPr="00856D94">
              <w:rPr>
                <w:rFonts w:asciiTheme="minorHAnsi" w:hAnsiTheme="minorHAnsi" w:cstheme="minorHAnsi"/>
                <w:color w:val="000000"/>
              </w:rPr>
              <w:t>e</w:t>
            </w:r>
            <w:r w:rsidRPr="00856D94">
              <w:rPr>
                <w:rFonts w:asciiTheme="minorHAnsi" w:hAnsiTheme="minorHAnsi" w:cstheme="minorHAnsi"/>
                <w:color w:val="000000"/>
              </w:rPr>
              <w:t xml:space="preserve"> zgrada</w:t>
            </w:r>
          </w:p>
        </w:tc>
        <w:tc>
          <w:tcPr>
            <w:tcW w:w="1709" w:type="dxa"/>
            <w:gridSpan w:val="2"/>
            <w:vAlign w:val="center"/>
          </w:tcPr>
          <w:p w14:paraId="247496AE" w14:textId="72CA0E79" w:rsidR="00FF1EB6" w:rsidRPr="00856D94" w:rsidRDefault="00FF1EB6" w:rsidP="00F66F86">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27C55A58" w14:textId="2FA80186"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27</w:t>
            </w:r>
            <w:r w:rsidR="004C6686" w:rsidRPr="00856D94">
              <w:rPr>
                <w:rFonts w:asciiTheme="minorHAnsi" w:hAnsiTheme="minorHAnsi" w:cstheme="minorHAnsi"/>
              </w:rPr>
              <w:t>,</w:t>
            </w:r>
            <w:r w:rsidRPr="00856D94">
              <w:rPr>
                <w:rFonts w:asciiTheme="minorHAnsi" w:hAnsiTheme="minorHAnsi" w:cstheme="minorHAnsi"/>
              </w:rPr>
              <w:t>93</w:t>
            </w:r>
          </w:p>
        </w:tc>
        <w:tc>
          <w:tcPr>
            <w:tcW w:w="1687" w:type="dxa"/>
            <w:gridSpan w:val="2"/>
            <w:vAlign w:val="center"/>
          </w:tcPr>
          <w:p w14:paraId="5927A03C" w14:textId="0BD4A1B5"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5</w:t>
            </w:r>
            <w:r w:rsidR="004C6686" w:rsidRPr="00856D94">
              <w:rPr>
                <w:rFonts w:asciiTheme="minorHAnsi" w:hAnsiTheme="minorHAnsi" w:cstheme="minorHAnsi"/>
              </w:rPr>
              <w:t>,</w:t>
            </w:r>
            <w:r w:rsidRPr="00856D94">
              <w:rPr>
                <w:rFonts w:asciiTheme="minorHAnsi" w:hAnsiTheme="minorHAnsi" w:cstheme="minorHAnsi"/>
              </w:rPr>
              <w:t>03</w:t>
            </w:r>
          </w:p>
        </w:tc>
        <w:tc>
          <w:tcPr>
            <w:tcW w:w="1438" w:type="dxa"/>
            <w:vAlign w:val="center"/>
          </w:tcPr>
          <w:p w14:paraId="603AF576" w14:textId="471608F1"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22</w:t>
            </w:r>
            <w:r w:rsidR="004C6686" w:rsidRPr="00856D94">
              <w:rPr>
                <w:rFonts w:asciiTheme="minorHAnsi" w:hAnsiTheme="minorHAnsi" w:cstheme="minorHAnsi"/>
              </w:rPr>
              <w:t>,</w:t>
            </w:r>
            <w:r w:rsidRPr="00856D94">
              <w:rPr>
                <w:rFonts w:asciiTheme="minorHAnsi" w:hAnsiTheme="minorHAnsi" w:cstheme="minorHAnsi"/>
              </w:rPr>
              <w:t>90</w:t>
            </w:r>
          </w:p>
        </w:tc>
        <w:tc>
          <w:tcPr>
            <w:tcW w:w="1971" w:type="dxa"/>
            <w:vAlign w:val="center"/>
          </w:tcPr>
          <w:p w14:paraId="62FDB26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39B2B027"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50E79DA3" w14:textId="171C969F"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Ostale donacije</w:t>
            </w:r>
          </w:p>
        </w:tc>
      </w:tr>
      <w:tr w:rsidR="00FF1EB6" w:rsidRPr="00856D94" w14:paraId="28144403" w14:textId="77777777" w:rsidTr="00FF1EB6">
        <w:trPr>
          <w:trHeight w:val="550"/>
        </w:trPr>
        <w:tc>
          <w:tcPr>
            <w:tcW w:w="5614" w:type="dxa"/>
            <w:gridSpan w:val="2"/>
            <w:vAlign w:val="center"/>
          </w:tcPr>
          <w:p w14:paraId="607A1D36" w14:textId="35921AB3"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1.1.3.</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 xml:space="preserve">Uspostaviti održiv </w:t>
            </w:r>
            <w:r w:rsidR="007B690C" w:rsidRPr="00856D94">
              <w:rPr>
                <w:rFonts w:asciiTheme="minorHAnsi" w:hAnsiTheme="minorHAnsi" w:cstheme="minorHAnsi"/>
                <w:color w:val="000000"/>
              </w:rPr>
              <w:t>financ</w:t>
            </w:r>
            <w:r w:rsidRPr="00856D94">
              <w:rPr>
                <w:rFonts w:asciiTheme="minorHAnsi" w:hAnsiTheme="minorHAnsi" w:cstheme="minorHAnsi"/>
                <w:color w:val="000000"/>
              </w:rPr>
              <w:t xml:space="preserve">ijski okvir koji će omogućiti podsticaj i kontinuirano </w:t>
            </w:r>
            <w:r w:rsidR="007B690C" w:rsidRPr="00856D94">
              <w:rPr>
                <w:rFonts w:asciiTheme="minorHAnsi" w:hAnsiTheme="minorHAnsi" w:cstheme="minorHAnsi"/>
                <w:color w:val="000000"/>
              </w:rPr>
              <w:t>financ</w:t>
            </w:r>
            <w:r w:rsidRPr="00856D94">
              <w:rPr>
                <w:rFonts w:asciiTheme="minorHAnsi" w:hAnsiTheme="minorHAnsi" w:cstheme="minorHAnsi"/>
                <w:color w:val="000000"/>
              </w:rPr>
              <w:t>iranje obnove sektora zgradarstva</w:t>
            </w:r>
          </w:p>
        </w:tc>
        <w:tc>
          <w:tcPr>
            <w:tcW w:w="1709" w:type="dxa"/>
            <w:gridSpan w:val="2"/>
            <w:vAlign w:val="center"/>
          </w:tcPr>
          <w:p w14:paraId="47BF8818" w14:textId="65446D2F" w:rsidR="00FF1EB6" w:rsidRPr="00856D94" w:rsidRDefault="00FF1EB6" w:rsidP="00F66F86">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19D4D4A4" w14:textId="4A3FEDF8"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9</w:t>
            </w:r>
            <w:r w:rsidR="004C6686" w:rsidRPr="00856D94">
              <w:rPr>
                <w:rFonts w:asciiTheme="minorHAnsi" w:hAnsiTheme="minorHAnsi" w:cstheme="minorHAnsi"/>
              </w:rPr>
              <w:t>,</w:t>
            </w:r>
            <w:r w:rsidRPr="00856D94">
              <w:rPr>
                <w:rFonts w:asciiTheme="minorHAnsi" w:hAnsiTheme="minorHAnsi" w:cstheme="minorHAnsi"/>
              </w:rPr>
              <w:t>00</w:t>
            </w:r>
          </w:p>
        </w:tc>
        <w:tc>
          <w:tcPr>
            <w:tcW w:w="1687" w:type="dxa"/>
            <w:gridSpan w:val="2"/>
            <w:vAlign w:val="center"/>
          </w:tcPr>
          <w:p w14:paraId="14EE5BD7" w14:textId="3A428B22"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1</w:t>
            </w:r>
            <w:r w:rsidR="004C6686" w:rsidRPr="00856D94">
              <w:rPr>
                <w:rFonts w:asciiTheme="minorHAnsi" w:hAnsiTheme="minorHAnsi" w:cstheme="minorHAnsi"/>
              </w:rPr>
              <w:t>,</w:t>
            </w:r>
            <w:r w:rsidRPr="00856D94">
              <w:rPr>
                <w:rFonts w:asciiTheme="minorHAnsi" w:hAnsiTheme="minorHAnsi" w:cstheme="minorHAnsi"/>
              </w:rPr>
              <w:t>80</w:t>
            </w:r>
          </w:p>
        </w:tc>
        <w:tc>
          <w:tcPr>
            <w:tcW w:w="1438" w:type="dxa"/>
            <w:vAlign w:val="center"/>
          </w:tcPr>
          <w:p w14:paraId="17460CCB" w14:textId="2F82A98B"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7</w:t>
            </w:r>
            <w:r w:rsidR="004C6686" w:rsidRPr="00856D94">
              <w:rPr>
                <w:rFonts w:asciiTheme="minorHAnsi" w:hAnsiTheme="minorHAnsi" w:cstheme="minorHAnsi"/>
              </w:rPr>
              <w:t>,</w:t>
            </w:r>
            <w:r w:rsidRPr="00856D94">
              <w:rPr>
                <w:rFonts w:asciiTheme="minorHAnsi" w:hAnsiTheme="minorHAnsi" w:cstheme="minorHAnsi"/>
              </w:rPr>
              <w:t>20</w:t>
            </w:r>
          </w:p>
        </w:tc>
        <w:tc>
          <w:tcPr>
            <w:tcW w:w="1971" w:type="dxa"/>
          </w:tcPr>
          <w:p w14:paraId="7565785F"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50C7D04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1C8EA9C9" w14:textId="77777777" w:rsidR="00FF1EB6" w:rsidRPr="00856D94" w:rsidRDefault="00FF1EB6" w:rsidP="00FF1EB6">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FF1EB6" w:rsidRPr="00856D94" w14:paraId="717AB173" w14:textId="77777777" w:rsidTr="00FF1EB6">
        <w:trPr>
          <w:trHeight w:val="350"/>
        </w:trPr>
        <w:tc>
          <w:tcPr>
            <w:tcW w:w="5614" w:type="dxa"/>
            <w:gridSpan w:val="2"/>
            <w:vAlign w:val="center"/>
          </w:tcPr>
          <w:p w14:paraId="2C81DF36" w14:textId="77777777"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1.1.4.</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Energijski obnoviti postojeći fond zgrada</w:t>
            </w:r>
          </w:p>
        </w:tc>
        <w:tc>
          <w:tcPr>
            <w:tcW w:w="1709" w:type="dxa"/>
            <w:gridSpan w:val="2"/>
            <w:vAlign w:val="center"/>
          </w:tcPr>
          <w:p w14:paraId="0D5CF655" w14:textId="5295274F" w:rsidR="00FF1EB6" w:rsidRPr="00856D94" w:rsidRDefault="00FF1EB6" w:rsidP="00F66F86">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4262DAF1" w14:textId="0F122E73"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5</w:t>
            </w:r>
            <w:r w:rsidR="004C6686" w:rsidRPr="00856D94">
              <w:rPr>
                <w:rFonts w:asciiTheme="minorHAnsi" w:hAnsiTheme="minorHAnsi" w:cstheme="minorHAnsi"/>
              </w:rPr>
              <w:t>.</w:t>
            </w:r>
            <w:r w:rsidRPr="00856D94">
              <w:rPr>
                <w:rFonts w:asciiTheme="minorHAnsi" w:hAnsiTheme="minorHAnsi" w:cstheme="minorHAnsi"/>
              </w:rPr>
              <w:t>799</w:t>
            </w:r>
            <w:r w:rsidR="004C6686" w:rsidRPr="00856D94">
              <w:rPr>
                <w:rFonts w:asciiTheme="minorHAnsi" w:hAnsiTheme="minorHAnsi" w:cstheme="minorHAnsi"/>
              </w:rPr>
              <w:t>,</w:t>
            </w:r>
            <w:r w:rsidRPr="00856D94">
              <w:rPr>
                <w:rFonts w:asciiTheme="minorHAnsi" w:hAnsiTheme="minorHAnsi" w:cstheme="minorHAnsi"/>
              </w:rPr>
              <w:t>74</w:t>
            </w:r>
          </w:p>
        </w:tc>
        <w:tc>
          <w:tcPr>
            <w:tcW w:w="1687" w:type="dxa"/>
            <w:gridSpan w:val="2"/>
            <w:vAlign w:val="center"/>
          </w:tcPr>
          <w:p w14:paraId="65763500" w14:textId="7BFCA5A4"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1</w:t>
            </w:r>
            <w:r w:rsidR="004C6686" w:rsidRPr="00856D94">
              <w:rPr>
                <w:rFonts w:asciiTheme="minorHAnsi" w:hAnsiTheme="minorHAnsi" w:cstheme="minorHAnsi"/>
              </w:rPr>
              <w:t>.</w:t>
            </w:r>
            <w:r w:rsidRPr="00856D94">
              <w:rPr>
                <w:rFonts w:asciiTheme="minorHAnsi" w:hAnsiTheme="minorHAnsi" w:cstheme="minorHAnsi"/>
              </w:rPr>
              <w:t>159</w:t>
            </w:r>
            <w:r w:rsidR="004C6686" w:rsidRPr="00856D94">
              <w:rPr>
                <w:rFonts w:asciiTheme="minorHAnsi" w:hAnsiTheme="minorHAnsi" w:cstheme="minorHAnsi"/>
              </w:rPr>
              <w:t>,</w:t>
            </w:r>
            <w:r w:rsidRPr="00856D94">
              <w:rPr>
                <w:rFonts w:asciiTheme="minorHAnsi" w:hAnsiTheme="minorHAnsi" w:cstheme="minorHAnsi"/>
              </w:rPr>
              <w:t>95</w:t>
            </w:r>
          </w:p>
        </w:tc>
        <w:tc>
          <w:tcPr>
            <w:tcW w:w="1438" w:type="dxa"/>
            <w:vAlign w:val="center"/>
          </w:tcPr>
          <w:p w14:paraId="02DC3EF5" w14:textId="0502C7B8"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4</w:t>
            </w:r>
            <w:r w:rsidR="004C6686" w:rsidRPr="00856D94">
              <w:rPr>
                <w:rFonts w:asciiTheme="minorHAnsi" w:hAnsiTheme="minorHAnsi" w:cstheme="minorHAnsi"/>
              </w:rPr>
              <w:t>.</w:t>
            </w:r>
            <w:r w:rsidRPr="00856D94">
              <w:rPr>
                <w:rFonts w:asciiTheme="minorHAnsi" w:hAnsiTheme="minorHAnsi" w:cstheme="minorHAnsi"/>
              </w:rPr>
              <w:t>639</w:t>
            </w:r>
            <w:r w:rsidR="004C6686" w:rsidRPr="00856D94">
              <w:rPr>
                <w:rFonts w:asciiTheme="minorHAnsi" w:hAnsiTheme="minorHAnsi" w:cstheme="minorHAnsi"/>
              </w:rPr>
              <w:t>,</w:t>
            </w:r>
            <w:r w:rsidRPr="00856D94">
              <w:rPr>
                <w:rFonts w:asciiTheme="minorHAnsi" w:hAnsiTheme="minorHAnsi" w:cstheme="minorHAnsi"/>
              </w:rPr>
              <w:t>79</w:t>
            </w:r>
          </w:p>
        </w:tc>
        <w:tc>
          <w:tcPr>
            <w:tcW w:w="1971" w:type="dxa"/>
            <w:vAlign w:val="center"/>
          </w:tcPr>
          <w:p w14:paraId="5667FD71" w14:textId="5BCAB3CC" w:rsidR="00FF1EB6" w:rsidRPr="00856D94" w:rsidRDefault="00856D94" w:rsidP="00FF1EB6">
            <w:pPr>
              <w:pStyle w:val="TableParagraph"/>
              <w:rPr>
                <w:rFonts w:asciiTheme="minorHAnsi" w:hAnsiTheme="minorHAnsi" w:cstheme="minorHAnsi"/>
                <w:sz w:val="20"/>
                <w:szCs w:val="20"/>
                <w:lang w:val="bs-Latn-BA"/>
              </w:rPr>
            </w:pPr>
            <w:r>
              <w:rPr>
                <w:rFonts w:asciiTheme="minorHAnsi" w:hAnsiTheme="minorHAnsi" w:cstheme="minorHAnsi"/>
                <w:sz w:val="20"/>
                <w:szCs w:val="20"/>
                <w:lang w:val="bs-Latn-BA"/>
              </w:rPr>
              <w:t xml:space="preserve">*) </w:t>
            </w:r>
            <w:r w:rsidR="00FF1EB6" w:rsidRPr="00856D94">
              <w:rPr>
                <w:rFonts w:asciiTheme="minorHAnsi" w:hAnsiTheme="minorHAnsi" w:cstheme="minorHAnsi"/>
                <w:sz w:val="20"/>
                <w:szCs w:val="20"/>
                <w:lang w:val="bs-Latn-BA"/>
              </w:rPr>
              <w:t>Kreditna sredstva</w:t>
            </w:r>
          </w:p>
          <w:p w14:paraId="6E72B9F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4255D289" w14:textId="77777777" w:rsidR="00FF1EB6" w:rsidRPr="00856D94" w:rsidRDefault="00FF1EB6" w:rsidP="00FF1EB6">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FF1EB6" w:rsidRPr="00856D94" w14:paraId="2CBC1535" w14:textId="77777777" w:rsidTr="004C6686">
        <w:trPr>
          <w:trHeight w:val="550"/>
        </w:trPr>
        <w:tc>
          <w:tcPr>
            <w:tcW w:w="5614" w:type="dxa"/>
            <w:gridSpan w:val="2"/>
            <w:vAlign w:val="center"/>
          </w:tcPr>
          <w:p w14:paraId="0AF68743" w14:textId="4658E9F7"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1.1.5.</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 xml:space="preserve">Promovirati izgradnju novih stambenih i nestambenih zgrada prema standardima propisanim za (nZEB) </w:t>
            </w:r>
          </w:p>
        </w:tc>
        <w:tc>
          <w:tcPr>
            <w:tcW w:w="1709" w:type="dxa"/>
            <w:gridSpan w:val="2"/>
            <w:vAlign w:val="center"/>
          </w:tcPr>
          <w:p w14:paraId="2EAFB9D5" w14:textId="42DC6246" w:rsidR="00FF1EB6" w:rsidRPr="00856D94" w:rsidRDefault="00FF1EB6" w:rsidP="00F66F86">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2678E577" w14:textId="1CA19138"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20</w:t>
            </w:r>
          </w:p>
        </w:tc>
        <w:tc>
          <w:tcPr>
            <w:tcW w:w="1687" w:type="dxa"/>
            <w:gridSpan w:val="2"/>
            <w:vAlign w:val="center"/>
          </w:tcPr>
          <w:p w14:paraId="0707CBD8" w14:textId="0926CFED"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04</w:t>
            </w:r>
          </w:p>
        </w:tc>
        <w:tc>
          <w:tcPr>
            <w:tcW w:w="1438" w:type="dxa"/>
            <w:vAlign w:val="center"/>
          </w:tcPr>
          <w:p w14:paraId="5123C721" w14:textId="69AC6BA0"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16</w:t>
            </w:r>
          </w:p>
        </w:tc>
        <w:tc>
          <w:tcPr>
            <w:tcW w:w="1971" w:type="dxa"/>
            <w:vAlign w:val="center"/>
          </w:tcPr>
          <w:p w14:paraId="649B1687"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tc>
      </w:tr>
      <w:tr w:rsidR="00FF1EB6" w:rsidRPr="00856D94" w14:paraId="53FD7FC4" w14:textId="77777777" w:rsidTr="00FF1EB6">
        <w:trPr>
          <w:trHeight w:val="550"/>
        </w:trPr>
        <w:tc>
          <w:tcPr>
            <w:tcW w:w="5614" w:type="dxa"/>
            <w:gridSpan w:val="2"/>
            <w:vAlign w:val="center"/>
          </w:tcPr>
          <w:p w14:paraId="468655C4" w14:textId="77777777" w:rsidR="00FF1EB6" w:rsidRPr="00856D94" w:rsidRDefault="00FF1EB6" w:rsidP="00FF1EB6">
            <w:pPr>
              <w:pStyle w:val="TableParagraph"/>
              <w:ind w:left="110"/>
              <w:rPr>
                <w:rFonts w:asciiTheme="minorHAnsi" w:hAnsiTheme="minorHAnsi" w:cstheme="minorHAnsi"/>
                <w:sz w:val="20"/>
                <w:szCs w:val="20"/>
                <w:lang w:val="bs-Latn-BA"/>
              </w:rPr>
            </w:pPr>
            <w:r w:rsidRPr="00856D94">
              <w:rPr>
                <w:rFonts w:asciiTheme="minorHAnsi" w:hAnsiTheme="minorHAnsi" w:cstheme="minorHAnsi"/>
                <w:color w:val="000000"/>
              </w:rPr>
              <w:t>1.1.6.</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Podsticati primjenu novih tehnologija i pametnih rješenja u sektoru zgradarstva</w:t>
            </w:r>
          </w:p>
        </w:tc>
        <w:tc>
          <w:tcPr>
            <w:tcW w:w="1709" w:type="dxa"/>
            <w:gridSpan w:val="2"/>
            <w:vAlign w:val="center"/>
          </w:tcPr>
          <w:p w14:paraId="2A950CEE" w14:textId="2C1200CE" w:rsidR="00FF1EB6" w:rsidRPr="00856D94" w:rsidRDefault="00FF1EB6" w:rsidP="00F66F86">
            <w:pPr>
              <w:pStyle w:val="TableParagraph"/>
              <w:ind w:left="490" w:right="144"/>
              <w:jc w:val="right"/>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331DE04D" w14:textId="0B820E85"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36</w:t>
            </w:r>
            <w:r w:rsidR="004C6686" w:rsidRPr="00856D94">
              <w:rPr>
                <w:rFonts w:asciiTheme="minorHAnsi" w:hAnsiTheme="minorHAnsi" w:cstheme="minorHAnsi"/>
              </w:rPr>
              <w:t>,</w:t>
            </w:r>
            <w:r w:rsidRPr="00856D94">
              <w:rPr>
                <w:rFonts w:asciiTheme="minorHAnsi" w:hAnsiTheme="minorHAnsi" w:cstheme="minorHAnsi"/>
              </w:rPr>
              <w:t>59</w:t>
            </w:r>
          </w:p>
        </w:tc>
        <w:tc>
          <w:tcPr>
            <w:tcW w:w="1687" w:type="dxa"/>
            <w:gridSpan w:val="2"/>
            <w:vAlign w:val="center"/>
          </w:tcPr>
          <w:p w14:paraId="1C32BBA6" w14:textId="4F921F12"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7</w:t>
            </w:r>
            <w:r w:rsidR="004C6686" w:rsidRPr="00856D94">
              <w:rPr>
                <w:rFonts w:asciiTheme="minorHAnsi" w:hAnsiTheme="minorHAnsi" w:cstheme="minorHAnsi"/>
              </w:rPr>
              <w:t>,</w:t>
            </w:r>
            <w:r w:rsidRPr="00856D94">
              <w:rPr>
                <w:rFonts w:asciiTheme="minorHAnsi" w:hAnsiTheme="minorHAnsi" w:cstheme="minorHAnsi"/>
              </w:rPr>
              <w:t>32</w:t>
            </w:r>
          </w:p>
        </w:tc>
        <w:tc>
          <w:tcPr>
            <w:tcW w:w="1438" w:type="dxa"/>
            <w:vAlign w:val="center"/>
          </w:tcPr>
          <w:p w14:paraId="61558254" w14:textId="39C4D24F"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29</w:t>
            </w:r>
            <w:r w:rsidR="004C6686" w:rsidRPr="00856D94">
              <w:rPr>
                <w:rFonts w:asciiTheme="minorHAnsi" w:hAnsiTheme="minorHAnsi" w:cstheme="minorHAnsi"/>
              </w:rPr>
              <w:t>,</w:t>
            </w:r>
            <w:r w:rsidRPr="00856D94">
              <w:rPr>
                <w:rFonts w:asciiTheme="minorHAnsi" w:hAnsiTheme="minorHAnsi" w:cstheme="minorHAnsi"/>
              </w:rPr>
              <w:t>27</w:t>
            </w:r>
          </w:p>
        </w:tc>
        <w:tc>
          <w:tcPr>
            <w:tcW w:w="1971" w:type="dxa"/>
          </w:tcPr>
          <w:p w14:paraId="2875C51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49176890"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2213284B" w14:textId="77777777" w:rsidR="00FF1EB6" w:rsidRPr="00856D94" w:rsidRDefault="00FF1EB6" w:rsidP="00FF1EB6">
            <w:pPr>
              <w:pStyle w:val="TableParagraph"/>
              <w:spacing w:line="219" w:lineRule="exact"/>
              <w:jc w:val="both"/>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t>Ostale donacije</w:t>
            </w:r>
          </w:p>
        </w:tc>
      </w:tr>
      <w:tr w:rsidR="00FF1EB6" w:rsidRPr="00856D94" w14:paraId="46F833B3" w14:textId="77777777" w:rsidTr="00FF1EB6">
        <w:trPr>
          <w:trHeight w:val="550"/>
        </w:trPr>
        <w:tc>
          <w:tcPr>
            <w:tcW w:w="5614" w:type="dxa"/>
            <w:gridSpan w:val="2"/>
            <w:vAlign w:val="center"/>
          </w:tcPr>
          <w:p w14:paraId="3F1B56B9"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1.1.7.</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Smanjiti energijsko siromaštvo povećanjem EE i korištenjem OIE u stambenim zgradama</w:t>
            </w:r>
          </w:p>
        </w:tc>
        <w:tc>
          <w:tcPr>
            <w:tcW w:w="1709" w:type="dxa"/>
            <w:gridSpan w:val="2"/>
            <w:vAlign w:val="center"/>
          </w:tcPr>
          <w:p w14:paraId="16DACCDA" w14:textId="2BFA809A" w:rsidR="00FF1EB6" w:rsidRPr="00856D94" w:rsidRDefault="00FF1EB6" w:rsidP="00F66F86">
            <w:pPr>
              <w:pStyle w:val="TableParagraph"/>
              <w:ind w:left="490" w:right="144"/>
              <w:rPr>
                <w:rFonts w:asciiTheme="minorHAnsi" w:hAnsiTheme="minorHAnsi" w:cstheme="minorHAnsi"/>
                <w:bCs/>
                <w:lang w:val="bs-Latn-BA"/>
              </w:rPr>
            </w:pPr>
            <w:r w:rsidRPr="00856D94">
              <w:rPr>
                <w:rFonts w:asciiTheme="minorHAnsi" w:hAnsiTheme="minorHAnsi" w:cstheme="minorHAnsi"/>
              </w:rPr>
              <w:t> </w:t>
            </w:r>
          </w:p>
        </w:tc>
        <w:tc>
          <w:tcPr>
            <w:tcW w:w="1796" w:type="dxa"/>
            <w:vAlign w:val="center"/>
          </w:tcPr>
          <w:p w14:paraId="62F19246" w14:textId="67AAEECC" w:rsidR="00FF1EB6" w:rsidRPr="00856D94" w:rsidRDefault="00FF1EB6" w:rsidP="00FF1EB6">
            <w:pPr>
              <w:pStyle w:val="TableParagraph"/>
              <w:ind w:right="96"/>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00</w:t>
            </w:r>
          </w:p>
        </w:tc>
        <w:tc>
          <w:tcPr>
            <w:tcW w:w="1687" w:type="dxa"/>
            <w:gridSpan w:val="2"/>
            <w:vAlign w:val="center"/>
          </w:tcPr>
          <w:p w14:paraId="6885616B" w14:textId="1636C845"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00</w:t>
            </w:r>
          </w:p>
        </w:tc>
        <w:tc>
          <w:tcPr>
            <w:tcW w:w="1438" w:type="dxa"/>
            <w:vAlign w:val="center"/>
          </w:tcPr>
          <w:p w14:paraId="5FF7257A" w14:textId="7967E780" w:rsidR="00FF1EB6" w:rsidRPr="00856D94" w:rsidRDefault="00FF1EB6" w:rsidP="00FF1EB6">
            <w:pPr>
              <w:pStyle w:val="TableParagraph"/>
              <w:ind w:right="91"/>
              <w:jc w:val="right"/>
              <w:rPr>
                <w:rFonts w:asciiTheme="minorHAnsi" w:hAnsiTheme="minorHAnsi" w:cstheme="minorHAnsi"/>
                <w:bCs/>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00</w:t>
            </w:r>
          </w:p>
        </w:tc>
        <w:tc>
          <w:tcPr>
            <w:tcW w:w="1971" w:type="dxa"/>
            <w:vAlign w:val="center"/>
          </w:tcPr>
          <w:p w14:paraId="2765B0D5"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033DAA5B"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6FBD29C4" w14:textId="77777777" w:rsidR="00FF1EB6" w:rsidRPr="00856D94" w:rsidRDefault="00FF1EB6" w:rsidP="00FF1EB6">
            <w:pPr>
              <w:pStyle w:val="TableParagraph"/>
              <w:spacing w:before="3"/>
              <w:ind w:right="94"/>
              <w:rPr>
                <w:rFonts w:asciiTheme="minorHAnsi" w:hAnsiTheme="minorHAnsi" w:cstheme="minorHAnsi"/>
                <w:bCs/>
                <w:sz w:val="20"/>
                <w:szCs w:val="20"/>
                <w:lang w:val="bs-Latn-BA"/>
              </w:rPr>
            </w:pPr>
            <w:r w:rsidRPr="00856D94">
              <w:rPr>
                <w:rFonts w:asciiTheme="minorHAnsi" w:hAnsiTheme="minorHAnsi" w:cstheme="minorHAnsi"/>
                <w:sz w:val="20"/>
                <w:szCs w:val="20"/>
                <w:lang w:val="bs-Latn-BA"/>
              </w:rPr>
              <w:lastRenderedPageBreak/>
              <w:t>Ostale donacije</w:t>
            </w:r>
          </w:p>
        </w:tc>
      </w:tr>
      <w:tr w:rsidR="00FF1EB6" w:rsidRPr="00856D94" w14:paraId="57B96FA8" w14:textId="77777777" w:rsidTr="00FF1EB6">
        <w:trPr>
          <w:trHeight w:val="550"/>
        </w:trPr>
        <w:tc>
          <w:tcPr>
            <w:tcW w:w="5614" w:type="dxa"/>
            <w:gridSpan w:val="2"/>
            <w:shd w:val="clear" w:color="auto" w:fill="D9D9D9" w:themeFill="background1" w:themeFillShade="D9"/>
            <w:vAlign w:val="center"/>
          </w:tcPr>
          <w:p w14:paraId="3AE42F5F" w14:textId="77777777" w:rsidR="00FF1EB6" w:rsidRPr="00856D94" w:rsidRDefault="00FF1EB6" w:rsidP="00FF1EB6">
            <w:pPr>
              <w:pStyle w:val="TableParagraph"/>
              <w:spacing w:before="20"/>
              <w:ind w:left="110"/>
              <w:rPr>
                <w:rFonts w:asciiTheme="minorHAnsi" w:hAnsiTheme="minorHAnsi" w:cstheme="minorHAnsi"/>
                <w:b/>
                <w:sz w:val="20"/>
                <w:szCs w:val="20"/>
                <w:lang w:val="bs-Latn-BA"/>
              </w:rPr>
            </w:pPr>
            <w:r w:rsidRPr="00856D94">
              <w:rPr>
                <w:rFonts w:asciiTheme="minorHAnsi" w:hAnsiTheme="minorHAnsi" w:cstheme="minorHAnsi"/>
                <w:b/>
                <w:bCs/>
                <w:color w:val="000000"/>
              </w:rPr>
              <w:lastRenderedPageBreak/>
              <w:t xml:space="preserve">1.2. Dekarbonizirati postojeći fond zgrada FBiH </w:t>
            </w:r>
          </w:p>
        </w:tc>
        <w:tc>
          <w:tcPr>
            <w:tcW w:w="1709" w:type="dxa"/>
            <w:gridSpan w:val="2"/>
            <w:shd w:val="clear" w:color="auto" w:fill="D9D9D9" w:themeFill="background1" w:themeFillShade="D9"/>
            <w:vAlign w:val="center"/>
          </w:tcPr>
          <w:p w14:paraId="5EFA2514" w14:textId="1C984DE7" w:rsidR="00FF1EB6" w:rsidRPr="00856D94" w:rsidRDefault="00FF1EB6" w:rsidP="00F66F86">
            <w:pPr>
              <w:pStyle w:val="TableParagraph"/>
              <w:spacing w:before="20"/>
              <w:ind w:left="490" w:right="144"/>
              <w:jc w:val="right"/>
              <w:rPr>
                <w:rFonts w:asciiTheme="minorHAnsi" w:hAnsiTheme="minorHAnsi" w:cstheme="minorHAnsi"/>
                <w:bCs/>
                <w:lang w:val="bs-Latn-BA"/>
              </w:rPr>
            </w:pPr>
            <w:r w:rsidRPr="00856D94">
              <w:rPr>
                <w:rFonts w:asciiTheme="minorHAnsi" w:hAnsiTheme="minorHAnsi" w:cstheme="minorHAnsi"/>
                <w:b/>
                <w:bCs/>
              </w:rPr>
              <w:t>22</w:t>
            </w:r>
            <w:r w:rsidR="004C6686" w:rsidRPr="00856D94">
              <w:rPr>
                <w:rFonts w:asciiTheme="minorHAnsi" w:hAnsiTheme="minorHAnsi" w:cstheme="minorHAnsi"/>
                <w:b/>
                <w:bCs/>
              </w:rPr>
              <w:t>,</w:t>
            </w:r>
            <w:r w:rsidRPr="00856D94">
              <w:rPr>
                <w:rFonts w:asciiTheme="minorHAnsi" w:hAnsiTheme="minorHAnsi" w:cstheme="minorHAnsi"/>
                <w:b/>
                <w:bCs/>
              </w:rPr>
              <w:t>31%</w:t>
            </w:r>
          </w:p>
        </w:tc>
        <w:tc>
          <w:tcPr>
            <w:tcW w:w="1796" w:type="dxa"/>
            <w:shd w:val="clear" w:color="auto" w:fill="D9D9D9" w:themeFill="background1" w:themeFillShade="D9"/>
            <w:vAlign w:val="center"/>
          </w:tcPr>
          <w:p w14:paraId="3D6D5ABD" w14:textId="29D5DA71" w:rsidR="00FF1EB6" w:rsidRPr="00856D94" w:rsidRDefault="00FF1EB6" w:rsidP="00FF1EB6">
            <w:pPr>
              <w:pStyle w:val="TableParagraph"/>
              <w:ind w:right="91"/>
              <w:jc w:val="right"/>
              <w:rPr>
                <w:rFonts w:asciiTheme="minorHAnsi" w:hAnsiTheme="minorHAnsi" w:cstheme="minorHAnsi"/>
              </w:rPr>
            </w:pPr>
            <w:r w:rsidRPr="00856D94">
              <w:rPr>
                <w:rFonts w:asciiTheme="minorHAnsi" w:hAnsiTheme="minorHAnsi" w:cstheme="minorHAnsi"/>
                <w:b/>
                <w:bCs/>
              </w:rPr>
              <w:t>1</w:t>
            </w:r>
            <w:r w:rsidR="004C6686" w:rsidRPr="00856D94">
              <w:rPr>
                <w:rFonts w:asciiTheme="minorHAnsi" w:hAnsiTheme="minorHAnsi" w:cstheme="minorHAnsi"/>
                <w:b/>
                <w:bCs/>
              </w:rPr>
              <w:t>.</w:t>
            </w:r>
            <w:r w:rsidRPr="00856D94">
              <w:rPr>
                <w:rFonts w:asciiTheme="minorHAnsi" w:hAnsiTheme="minorHAnsi" w:cstheme="minorHAnsi"/>
                <w:b/>
                <w:bCs/>
              </w:rPr>
              <w:t>686</w:t>
            </w:r>
            <w:r w:rsidR="004C6686" w:rsidRPr="00856D94">
              <w:rPr>
                <w:rFonts w:asciiTheme="minorHAnsi" w:hAnsiTheme="minorHAnsi" w:cstheme="minorHAnsi"/>
                <w:b/>
                <w:bCs/>
              </w:rPr>
              <w:t>,</w:t>
            </w:r>
            <w:r w:rsidRPr="00856D94">
              <w:rPr>
                <w:rFonts w:asciiTheme="minorHAnsi" w:hAnsiTheme="minorHAnsi" w:cstheme="minorHAnsi"/>
                <w:b/>
                <w:bCs/>
              </w:rPr>
              <w:t>56</w:t>
            </w:r>
          </w:p>
        </w:tc>
        <w:tc>
          <w:tcPr>
            <w:tcW w:w="1687" w:type="dxa"/>
            <w:gridSpan w:val="2"/>
            <w:shd w:val="clear" w:color="auto" w:fill="D9D9D9" w:themeFill="background1" w:themeFillShade="D9"/>
            <w:vAlign w:val="center"/>
          </w:tcPr>
          <w:p w14:paraId="273EE2C6" w14:textId="15E2F9A9" w:rsidR="00FF1EB6" w:rsidRPr="00856D94" w:rsidRDefault="00FF1EB6" w:rsidP="00FF1EB6">
            <w:pPr>
              <w:pStyle w:val="TableParagraph"/>
              <w:ind w:right="91"/>
              <w:jc w:val="right"/>
              <w:rPr>
                <w:rFonts w:asciiTheme="minorHAnsi" w:hAnsiTheme="minorHAnsi" w:cstheme="minorHAnsi"/>
              </w:rPr>
            </w:pPr>
            <w:r w:rsidRPr="00856D94">
              <w:rPr>
                <w:rFonts w:asciiTheme="minorHAnsi" w:hAnsiTheme="minorHAnsi" w:cstheme="minorHAnsi"/>
                <w:b/>
                <w:bCs/>
              </w:rPr>
              <w:t>168</w:t>
            </w:r>
            <w:r w:rsidR="004C6686" w:rsidRPr="00856D94">
              <w:rPr>
                <w:rFonts w:asciiTheme="minorHAnsi" w:hAnsiTheme="minorHAnsi" w:cstheme="minorHAnsi"/>
                <w:b/>
                <w:bCs/>
              </w:rPr>
              <w:t>,</w:t>
            </w:r>
            <w:r w:rsidRPr="00856D94">
              <w:rPr>
                <w:rFonts w:asciiTheme="minorHAnsi" w:hAnsiTheme="minorHAnsi" w:cstheme="minorHAnsi"/>
                <w:b/>
                <w:bCs/>
              </w:rPr>
              <w:t>76</w:t>
            </w:r>
          </w:p>
        </w:tc>
        <w:tc>
          <w:tcPr>
            <w:tcW w:w="1438" w:type="dxa"/>
            <w:shd w:val="clear" w:color="auto" w:fill="D9D9D9" w:themeFill="background1" w:themeFillShade="D9"/>
            <w:vAlign w:val="center"/>
          </w:tcPr>
          <w:p w14:paraId="328E7ECD" w14:textId="40659BB1" w:rsidR="00FF1EB6" w:rsidRPr="00856D94" w:rsidRDefault="00FF1EB6" w:rsidP="00FF1EB6">
            <w:pPr>
              <w:spacing w:after="0"/>
              <w:ind w:right="91"/>
              <w:jc w:val="right"/>
              <w:rPr>
                <w:rFonts w:asciiTheme="minorHAnsi" w:hAnsiTheme="minorHAnsi" w:cstheme="minorHAnsi"/>
                <w:lang w:val="hr-HR"/>
              </w:rPr>
            </w:pPr>
            <w:r w:rsidRPr="00856D94">
              <w:rPr>
                <w:rFonts w:asciiTheme="minorHAnsi" w:hAnsiTheme="minorHAnsi" w:cstheme="minorHAnsi"/>
                <w:b/>
                <w:bCs/>
              </w:rPr>
              <w:t>1</w:t>
            </w:r>
            <w:r w:rsidR="004C6686" w:rsidRPr="00856D94">
              <w:rPr>
                <w:rFonts w:asciiTheme="minorHAnsi" w:hAnsiTheme="minorHAnsi" w:cstheme="minorHAnsi"/>
                <w:b/>
                <w:bCs/>
              </w:rPr>
              <w:t>.</w:t>
            </w:r>
            <w:r w:rsidRPr="00856D94">
              <w:rPr>
                <w:rFonts w:asciiTheme="minorHAnsi" w:hAnsiTheme="minorHAnsi" w:cstheme="minorHAnsi"/>
                <w:b/>
                <w:bCs/>
              </w:rPr>
              <w:t>517</w:t>
            </w:r>
            <w:r w:rsidR="004C6686" w:rsidRPr="00856D94">
              <w:rPr>
                <w:rFonts w:asciiTheme="minorHAnsi" w:hAnsiTheme="minorHAnsi" w:cstheme="minorHAnsi"/>
                <w:b/>
                <w:bCs/>
              </w:rPr>
              <w:t>,</w:t>
            </w:r>
            <w:r w:rsidRPr="00856D94">
              <w:rPr>
                <w:rFonts w:asciiTheme="minorHAnsi" w:hAnsiTheme="minorHAnsi" w:cstheme="minorHAnsi"/>
                <w:b/>
                <w:bCs/>
              </w:rPr>
              <w:t>80</w:t>
            </w:r>
          </w:p>
        </w:tc>
        <w:tc>
          <w:tcPr>
            <w:tcW w:w="1971" w:type="dxa"/>
            <w:shd w:val="clear" w:color="auto" w:fill="D9D9D9" w:themeFill="background1" w:themeFillShade="D9"/>
            <w:vAlign w:val="center"/>
          </w:tcPr>
          <w:p w14:paraId="1FA35325" w14:textId="77777777" w:rsidR="00FF1EB6" w:rsidRPr="00856D94" w:rsidRDefault="00FF1EB6" w:rsidP="00FF1EB6">
            <w:pPr>
              <w:pStyle w:val="TableParagraph"/>
              <w:spacing w:before="20"/>
              <w:rPr>
                <w:rFonts w:asciiTheme="minorHAnsi" w:hAnsiTheme="minorHAnsi" w:cstheme="minorHAnsi"/>
                <w:bCs/>
                <w:sz w:val="20"/>
                <w:szCs w:val="20"/>
                <w:lang w:val="bs-Latn-BA"/>
              </w:rPr>
            </w:pPr>
          </w:p>
        </w:tc>
      </w:tr>
      <w:tr w:rsidR="00FF1EB6" w:rsidRPr="00856D94" w14:paraId="012E83BC" w14:textId="77777777" w:rsidTr="00FF1EB6">
        <w:trPr>
          <w:trHeight w:val="402"/>
        </w:trPr>
        <w:tc>
          <w:tcPr>
            <w:tcW w:w="5614" w:type="dxa"/>
            <w:gridSpan w:val="2"/>
            <w:shd w:val="clear" w:color="auto" w:fill="auto"/>
            <w:vAlign w:val="center"/>
          </w:tcPr>
          <w:p w14:paraId="7FFD693A" w14:textId="77777777" w:rsidR="00FF1EB6" w:rsidRPr="00856D94" w:rsidRDefault="00FF1EB6" w:rsidP="00FF1EB6">
            <w:pPr>
              <w:pStyle w:val="TableParagraph"/>
              <w:spacing w:before="15"/>
              <w:ind w:left="110"/>
              <w:rPr>
                <w:rFonts w:asciiTheme="minorHAnsi" w:hAnsiTheme="minorHAnsi" w:cstheme="minorHAnsi"/>
                <w:b/>
                <w:sz w:val="20"/>
                <w:szCs w:val="20"/>
                <w:lang w:val="bs-Latn-BA"/>
              </w:rPr>
            </w:pPr>
            <w:r w:rsidRPr="00856D94">
              <w:rPr>
                <w:rFonts w:asciiTheme="minorHAnsi" w:hAnsiTheme="minorHAnsi" w:cstheme="minorHAnsi"/>
                <w:color w:val="000000"/>
              </w:rPr>
              <w:t>1.2.1.</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Povećati udio OIE i sigurnost snabdijevanja energentima u sektoru zgradarstva</w:t>
            </w:r>
          </w:p>
        </w:tc>
        <w:tc>
          <w:tcPr>
            <w:tcW w:w="1709" w:type="dxa"/>
            <w:gridSpan w:val="2"/>
            <w:shd w:val="clear" w:color="auto" w:fill="auto"/>
            <w:vAlign w:val="center"/>
          </w:tcPr>
          <w:p w14:paraId="37BAD72C" w14:textId="051F15E6" w:rsidR="00FF1EB6" w:rsidRPr="00856D94" w:rsidRDefault="00FF1EB6" w:rsidP="00F66F86">
            <w:pPr>
              <w:pStyle w:val="TableParagraph"/>
              <w:spacing w:before="15"/>
              <w:ind w:left="758" w:right="144"/>
              <w:jc w:val="right"/>
              <w:rPr>
                <w:rFonts w:asciiTheme="minorHAnsi" w:hAnsiTheme="minorHAnsi" w:cstheme="minorHAnsi"/>
                <w:b/>
                <w:lang w:val="bs-Latn-BA"/>
              </w:rPr>
            </w:pPr>
            <w:r w:rsidRPr="00856D94">
              <w:rPr>
                <w:rFonts w:asciiTheme="minorHAnsi" w:hAnsiTheme="minorHAnsi" w:cstheme="minorHAnsi"/>
              </w:rPr>
              <w:t> </w:t>
            </w:r>
          </w:p>
        </w:tc>
        <w:tc>
          <w:tcPr>
            <w:tcW w:w="1796" w:type="dxa"/>
            <w:shd w:val="clear" w:color="auto" w:fill="auto"/>
            <w:vAlign w:val="center"/>
          </w:tcPr>
          <w:p w14:paraId="15DD8BA1" w14:textId="3C504AB3" w:rsidR="00FF1EB6" w:rsidRPr="00856D94" w:rsidRDefault="00FF1EB6" w:rsidP="00FF1EB6">
            <w:pPr>
              <w:pStyle w:val="TableParagraph"/>
              <w:spacing w:before="15"/>
              <w:ind w:right="96"/>
              <w:jc w:val="right"/>
              <w:rPr>
                <w:rFonts w:asciiTheme="minorHAnsi" w:hAnsiTheme="minorHAnsi" w:cstheme="minorHAnsi"/>
                <w:b/>
                <w:lang w:val="bs-Latn-BA"/>
              </w:rPr>
            </w:pPr>
            <w:r w:rsidRPr="00856D94">
              <w:rPr>
                <w:rFonts w:asciiTheme="minorHAnsi" w:hAnsiTheme="minorHAnsi" w:cstheme="minorHAnsi"/>
              </w:rPr>
              <w:t>1</w:t>
            </w:r>
            <w:r w:rsidR="004C6686" w:rsidRPr="00856D94">
              <w:rPr>
                <w:rFonts w:asciiTheme="minorHAnsi" w:hAnsiTheme="minorHAnsi" w:cstheme="minorHAnsi"/>
              </w:rPr>
              <w:t>,</w:t>
            </w:r>
            <w:r w:rsidRPr="00856D94">
              <w:rPr>
                <w:rFonts w:asciiTheme="minorHAnsi" w:hAnsiTheme="minorHAnsi" w:cstheme="minorHAnsi"/>
              </w:rPr>
              <w:t>00</w:t>
            </w:r>
          </w:p>
        </w:tc>
        <w:tc>
          <w:tcPr>
            <w:tcW w:w="1687" w:type="dxa"/>
            <w:gridSpan w:val="2"/>
            <w:shd w:val="clear" w:color="auto" w:fill="auto"/>
            <w:vAlign w:val="center"/>
          </w:tcPr>
          <w:p w14:paraId="6F424E64" w14:textId="3144E96B" w:rsidR="00FF1EB6" w:rsidRPr="00856D94" w:rsidRDefault="00FF1EB6" w:rsidP="00FF1EB6">
            <w:pPr>
              <w:pStyle w:val="TableParagraph"/>
              <w:spacing w:before="15"/>
              <w:ind w:right="91"/>
              <w:jc w:val="right"/>
              <w:rPr>
                <w:rFonts w:asciiTheme="minorHAnsi" w:hAnsiTheme="minorHAnsi" w:cstheme="minorHAnsi"/>
                <w:b/>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20</w:t>
            </w:r>
          </w:p>
        </w:tc>
        <w:tc>
          <w:tcPr>
            <w:tcW w:w="1438" w:type="dxa"/>
            <w:shd w:val="clear" w:color="auto" w:fill="auto"/>
            <w:vAlign w:val="center"/>
          </w:tcPr>
          <w:p w14:paraId="5DC6474A" w14:textId="253DD830" w:rsidR="00FF1EB6" w:rsidRPr="00856D94" w:rsidRDefault="00FF1EB6" w:rsidP="00FF1EB6">
            <w:pPr>
              <w:pStyle w:val="TableParagraph"/>
              <w:spacing w:before="15"/>
              <w:ind w:right="91"/>
              <w:jc w:val="right"/>
              <w:rPr>
                <w:rFonts w:asciiTheme="minorHAnsi" w:hAnsiTheme="minorHAnsi" w:cstheme="minorHAnsi"/>
                <w:b/>
                <w:lang w:val="bs-Latn-BA"/>
              </w:rPr>
            </w:pPr>
            <w:r w:rsidRPr="00856D94">
              <w:rPr>
                <w:rFonts w:asciiTheme="minorHAnsi" w:hAnsiTheme="minorHAnsi" w:cstheme="minorHAnsi"/>
              </w:rPr>
              <w:t>0</w:t>
            </w:r>
            <w:r w:rsidR="004C6686" w:rsidRPr="00856D94">
              <w:rPr>
                <w:rFonts w:asciiTheme="minorHAnsi" w:hAnsiTheme="minorHAnsi" w:cstheme="minorHAnsi"/>
              </w:rPr>
              <w:t>,</w:t>
            </w:r>
            <w:r w:rsidRPr="00856D94">
              <w:rPr>
                <w:rFonts w:asciiTheme="minorHAnsi" w:hAnsiTheme="minorHAnsi" w:cstheme="minorHAnsi"/>
              </w:rPr>
              <w:t>80</w:t>
            </w:r>
          </w:p>
        </w:tc>
        <w:tc>
          <w:tcPr>
            <w:tcW w:w="1971" w:type="dxa"/>
            <w:shd w:val="clear" w:color="auto" w:fill="auto"/>
            <w:vAlign w:val="center"/>
          </w:tcPr>
          <w:p w14:paraId="1AA9D08E" w14:textId="12172358" w:rsidR="00FF1EB6" w:rsidRPr="00856D94" w:rsidRDefault="00856D94" w:rsidP="00FF1EB6">
            <w:pPr>
              <w:pStyle w:val="TableParagraph"/>
              <w:rPr>
                <w:rFonts w:asciiTheme="minorHAnsi" w:hAnsiTheme="minorHAnsi" w:cstheme="minorHAnsi"/>
                <w:sz w:val="20"/>
                <w:szCs w:val="20"/>
                <w:lang w:val="bs-Latn-BA"/>
              </w:rPr>
            </w:pPr>
            <w:r>
              <w:rPr>
                <w:rFonts w:asciiTheme="minorHAnsi" w:hAnsiTheme="minorHAnsi" w:cstheme="minorHAnsi"/>
                <w:sz w:val="20"/>
                <w:szCs w:val="20"/>
                <w:lang w:val="bs-Latn-BA"/>
              </w:rPr>
              <w:t xml:space="preserve">*) </w:t>
            </w:r>
            <w:r w:rsidR="00FF1EB6" w:rsidRPr="00856D94">
              <w:rPr>
                <w:rFonts w:asciiTheme="minorHAnsi" w:hAnsiTheme="minorHAnsi" w:cstheme="minorHAnsi"/>
                <w:sz w:val="20"/>
                <w:szCs w:val="20"/>
                <w:lang w:val="bs-Latn-BA"/>
              </w:rPr>
              <w:t>Kreditna sredstva</w:t>
            </w:r>
          </w:p>
          <w:p w14:paraId="7FB295EC"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Ostale donacije</w:t>
            </w:r>
          </w:p>
        </w:tc>
      </w:tr>
      <w:tr w:rsidR="00FF1EB6" w:rsidRPr="00856D94" w14:paraId="0F4C6C07" w14:textId="77777777" w:rsidTr="00FF1EB6">
        <w:trPr>
          <w:trHeight w:val="550"/>
        </w:trPr>
        <w:tc>
          <w:tcPr>
            <w:tcW w:w="5614" w:type="dxa"/>
            <w:gridSpan w:val="2"/>
            <w:vAlign w:val="center"/>
          </w:tcPr>
          <w:p w14:paraId="708086A8"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1.2.2.</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Razvijati sisteme daljinskih grijanja (centralizacija i modernizacije sistema grijanja), hlađenja i ventilacije te pripreme PTV uz primjenu OIE</w:t>
            </w:r>
          </w:p>
        </w:tc>
        <w:tc>
          <w:tcPr>
            <w:tcW w:w="1709" w:type="dxa"/>
            <w:gridSpan w:val="2"/>
            <w:vAlign w:val="center"/>
          </w:tcPr>
          <w:p w14:paraId="0DBAC030" w14:textId="54C887E7" w:rsidR="00FF1EB6" w:rsidRPr="00856D94" w:rsidRDefault="00FF1EB6" w:rsidP="00F66F86">
            <w:pPr>
              <w:pStyle w:val="TableParagraph"/>
              <w:ind w:left="490" w:right="144"/>
              <w:jc w:val="right"/>
              <w:rPr>
                <w:rFonts w:asciiTheme="minorHAnsi" w:hAnsiTheme="minorHAnsi" w:cstheme="minorHAnsi"/>
                <w:lang w:val="bs-Latn-BA"/>
              </w:rPr>
            </w:pPr>
            <w:r w:rsidRPr="00856D94">
              <w:rPr>
                <w:rFonts w:asciiTheme="minorHAnsi" w:hAnsiTheme="minorHAnsi" w:cstheme="minorHAnsi"/>
              </w:rPr>
              <w:t> </w:t>
            </w:r>
          </w:p>
        </w:tc>
        <w:tc>
          <w:tcPr>
            <w:tcW w:w="1796" w:type="dxa"/>
            <w:vAlign w:val="center"/>
          </w:tcPr>
          <w:p w14:paraId="506BB8B2" w14:textId="08854D60" w:rsidR="00FF1EB6" w:rsidRPr="00856D94" w:rsidRDefault="00FF1EB6" w:rsidP="00FF1EB6">
            <w:pPr>
              <w:pStyle w:val="TableParagraph"/>
              <w:ind w:right="96"/>
              <w:jc w:val="right"/>
              <w:rPr>
                <w:rFonts w:asciiTheme="minorHAnsi" w:hAnsiTheme="minorHAnsi" w:cstheme="minorHAnsi"/>
                <w:lang w:val="bs-Latn-BA"/>
              </w:rPr>
            </w:pPr>
            <w:r w:rsidRPr="00856D94">
              <w:rPr>
                <w:rFonts w:asciiTheme="minorHAnsi" w:hAnsiTheme="minorHAnsi" w:cstheme="minorHAnsi"/>
              </w:rPr>
              <w:t>1</w:t>
            </w:r>
            <w:r w:rsidR="004C6686" w:rsidRPr="00856D94">
              <w:rPr>
                <w:rFonts w:asciiTheme="minorHAnsi" w:hAnsiTheme="minorHAnsi" w:cstheme="minorHAnsi"/>
              </w:rPr>
              <w:t>.</w:t>
            </w:r>
            <w:r w:rsidRPr="00856D94">
              <w:rPr>
                <w:rFonts w:asciiTheme="minorHAnsi" w:hAnsiTheme="minorHAnsi" w:cstheme="minorHAnsi"/>
              </w:rPr>
              <w:t>637</w:t>
            </w:r>
            <w:r w:rsidR="004C6686" w:rsidRPr="00856D94">
              <w:rPr>
                <w:rFonts w:asciiTheme="minorHAnsi" w:hAnsiTheme="minorHAnsi" w:cstheme="minorHAnsi"/>
              </w:rPr>
              <w:t>,</w:t>
            </w:r>
            <w:r w:rsidRPr="00856D94">
              <w:rPr>
                <w:rFonts w:asciiTheme="minorHAnsi" w:hAnsiTheme="minorHAnsi" w:cstheme="minorHAnsi"/>
              </w:rPr>
              <w:t>41</w:t>
            </w:r>
          </w:p>
        </w:tc>
        <w:tc>
          <w:tcPr>
            <w:tcW w:w="1687" w:type="dxa"/>
            <w:gridSpan w:val="2"/>
            <w:vAlign w:val="center"/>
          </w:tcPr>
          <w:p w14:paraId="4F995489" w14:textId="0617AEE7"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163</w:t>
            </w:r>
            <w:r w:rsidR="004C6686" w:rsidRPr="00856D94">
              <w:rPr>
                <w:rFonts w:asciiTheme="minorHAnsi" w:hAnsiTheme="minorHAnsi" w:cstheme="minorHAnsi"/>
              </w:rPr>
              <w:t>,</w:t>
            </w:r>
            <w:r w:rsidRPr="00856D94">
              <w:rPr>
                <w:rFonts w:asciiTheme="minorHAnsi" w:hAnsiTheme="minorHAnsi" w:cstheme="minorHAnsi"/>
              </w:rPr>
              <w:t>74</w:t>
            </w:r>
          </w:p>
        </w:tc>
        <w:tc>
          <w:tcPr>
            <w:tcW w:w="1438" w:type="dxa"/>
            <w:vAlign w:val="center"/>
          </w:tcPr>
          <w:p w14:paraId="484CFDBC" w14:textId="06B201A1"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1</w:t>
            </w:r>
            <w:r w:rsidR="004C6686" w:rsidRPr="00856D94">
              <w:rPr>
                <w:rFonts w:asciiTheme="minorHAnsi" w:hAnsiTheme="minorHAnsi" w:cstheme="minorHAnsi"/>
              </w:rPr>
              <w:t>.</w:t>
            </w:r>
            <w:r w:rsidRPr="00856D94">
              <w:rPr>
                <w:rFonts w:asciiTheme="minorHAnsi" w:hAnsiTheme="minorHAnsi" w:cstheme="minorHAnsi"/>
              </w:rPr>
              <w:t>473</w:t>
            </w:r>
            <w:r w:rsidR="004C6686" w:rsidRPr="00856D94">
              <w:rPr>
                <w:rFonts w:asciiTheme="minorHAnsi" w:hAnsiTheme="minorHAnsi" w:cstheme="minorHAnsi"/>
              </w:rPr>
              <w:t>,</w:t>
            </w:r>
            <w:r w:rsidRPr="00856D94">
              <w:rPr>
                <w:rFonts w:asciiTheme="minorHAnsi" w:hAnsiTheme="minorHAnsi" w:cstheme="minorHAnsi"/>
              </w:rPr>
              <w:t>67</w:t>
            </w:r>
          </w:p>
        </w:tc>
        <w:tc>
          <w:tcPr>
            <w:tcW w:w="1971" w:type="dxa"/>
            <w:vAlign w:val="center"/>
          </w:tcPr>
          <w:p w14:paraId="4CAEF9B3"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6FAE3126"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08A078F1" w14:textId="77777777" w:rsidR="00FF1EB6" w:rsidRPr="00856D94" w:rsidRDefault="00FF1EB6" w:rsidP="00FF1EB6">
            <w:pPr>
              <w:pStyle w:val="TableParagraph"/>
              <w:spacing w:before="34"/>
              <w:ind w:right="94"/>
              <w:rPr>
                <w:rFonts w:asciiTheme="minorHAnsi" w:hAnsiTheme="minorHAnsi" w:cstheme="minorHAnsi"/>
                <w:b/>
                <w:sz w:val="20"/>
                <w:szCs w:val="20"/>
                <w:lang w:val="bs-Latn-BA"/>
              </w:rPr>
            </w:pPr>
            <w:r w:rsidRPr="00856D94">
              <w:rPr>
                <w:rFonts w:asciiTheme="minorHAnsi" w:hAnsiTheme="minorHAnsi" w:cstheme="minorHAnsi"/>
                <w:sz w:val="20"/>
                <w:szCs w:val="20"/>
                <w:lang w:val="bs-Latn-BA"/>
              </w:rPr>
              <w:t>Ostale donacije</w:t>
            </w:r>
          </w:p>
        </w:tc>
      </w:tr>
      <w:tr w:rsidR="00FF1EB6" w:rsidRPr="00856D94" w14:paraId="11B7374C" w14:textId="77777777" w:rsidTr="00FF1EB6">
        <w:trPr>
          <w:trHeight w:val="550"/>
        </w:trPr>
        <w:tc>
          <w:tcPr>
            <w:tcW w:w="5614" w:type="dxa"/>
            <w:gridSpan w:val="2"/>
            <w:vAlign w:val="center"/>
          </w:tcPr>
          <w:p w14:paraId="01D8FE0C" w14:textId="77777777" w:rsidR="00FF1EB6" w:rsidRPr="00856D94" w:rsidRDefault="00FF1EB6" w:rsidP="00FF1EB6">
            <w:pPr>
              <w:pStyle w:val="TableParagraph"/>
              <w:ind w:left="110"/>
              <w:rPr>
                <w:rFonts w:asciiTheme="minorHAnsi" w:hAnsiTheme="minorHAnsi" w:cstheme="minorHAnsi"/>
                <w:b/>
                <w:sz w:val="20"/>
                <w:szCs w:val="20"/>
                <w:lang w:val="bs-Latn-BA"/>
              </w:rPr>
            </w:pPr>
            <w:r w:rsidRPr="00856D94">
              <w:rPr>
                <w:rFonts w:asciiTheme="minorHAnsi" w:hAnsiTheme="minorHAnsi" w:cstheme="minorHAnsi"/>
                <w:color w:val="000000"/>
              </w:rPr>
              <w:t>1.2.3.</w:t>
            </w:r>
            <w:r w:rsidRPr="00856D94">
              <w:rPr>
                <w:rFonts w:asciiTheme="minorHAnsi" w:hAnsiTheme="minorHAnsi" w:cstheme="minorHAnsi"/>
                <w:color w:val="000000"/>
                <w:sz w:val="14"/>
                <w:szCs w:val="14"/>
              </w:rPr>
              <w:t xml:space="preserve">       </w:t>
            </w:r>
            <w:r w:rsidRPr="00856D94">
              <w:rPr>
                <w:rFonts w:asciiTheme="minorHAnsi" w:hAnsiTheme="minorHAnsi" w:cstheme="minorHAnsi"/>
                <w:color w:val="000000"/>
              </w:rPr>
              <w:t>Unaprijediti održivost urbanih područja</w:t>
            </w:r>
          </w:p>
        </w:tc>
        <w:tc>
          <w:tcPr>
            <w:tcW w:w="1709" w:type="dxa"/>
            <w:gridSpan w:val="2"/>
            <w:vAlign w:val="center"/>
          </w:tcPr>
          <w:p w14:paraId="7C96B9FE" w14:textId="7BE6F835" w:rsidR="00FF1EB6" w:rsidRPr="00856D94" w:rsidRDefault="00FF1EB6" w:rsidP="00F66F86">
            <w:pPr>
              <w:pStyle w:val="TableParagraph"/>
              <w:ind w:left="490" w:right="144"/>
              <w:jc w:val="right"/>
              <w:rPr>
                <w:rFonts w:asciiTheme="minorHAnsi" w:hAnsiTheme="minorHAnsi" w:cstheme="minorHAnsi"/>
                <w:lang w:val="bs-Latn-BA"/>
              </w:rPr>
            </w:pPr>
            <w:r w:rsidRPr="00856D94">
              <w:rPr>
                <w:rFonts w:asciiTheme="minorHAnsi" w:hAnsiTheme="minorHAnsi" w:cstheme="minorHAnsi"/>
              </w:rPr>
              <w:t> </w:t>
            </w:r>
          </w:p>
        </w:tc>
        <w:tc>
          <w:tcPr>
            <w:tcW w:w="1796" w:type="dxa"/>
            <w:vAlign w:val="center"/>
          </w:tcPr>
          <w:p w14:paraId="3D6A48DA" w14:textId="579DFEE5" w:rsidR="00FF1EB6" w:rsidRPr="00856D94" w:rsidRDefault="00FF1EB6" w:rsidP="00FF1EB6">
            <w:pPr>
              <w:pStyle w:val="TableParagraph"/>
              <w:ind w:right="96"/>
              <w:jc w:val="right"/>
              <w:rPr>
                <w:rFonts w:asciiTheme="minorHAnsi" w:hAnsiTheme="minorHAnsi" w:cstheme="minorHAnsi"/>
                <w:lang w:val="bs-Latn-BA"/>
              </w:rPr>
            </w:pPr>
            <w:r w:rsidRPr="00856D94">
              <w:rPr>
                <w:rFonts w:asciiTheme="minorHAnsi" w:hAnsiTheme="minorHAnsi" w:cstheme="minorHAnsi"/>
              </w:rPr>
              <w:t>48</w:t>
            </w:r>
            <w:r w:rsidR="004C6686" w:rsidRPr="00856D94">
              <w:rPr>
                <w:rFonts w:asciiTheme="minorHAnsi" w:hAnsiTheme="minorHAnsi" w:cstheme="minorHAnsi"/>
              </w:rPr>
              <w:t>,</w:t>
            </w:r>
            <w:r w:rsidRPr="00856D94">
              <w:rPr>
                <w:rFonts w:asciiTheme="minorHAnsi" w:hAnsiTheme="minorHAnsi" w:cstheme="minorHAnsi"/>
              </w:rPr>
              <w:t>15</w:t>
            </w:r>
          </w:p>
        </w:tc>
        <w:tc>
          <w:tcPr>
            <w:tcW w:w="1687" w:type="dxa"/>
            <w:gridSpan w:val="2"/>
            <w:vAlign w:val="center"/>
          </w:tcPr>
          <w:p w14:paraId="31799C40" w14:textId="6EC5DED3"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4</w:t>
            </w:r>
            <w:r w:rsidR="004C6686" w:rsidRPr="00856D94">
              <w:rPr>
                <w:rFonts w:asciiTheme="minorHAnsi" w:hAnsiTheme="minorHAnsi" w:cstheme="minorHAnsi"/>
              </w:rPr>
              <w:t>,</w:t>
            </w:r>
            <w:r w:rsidRPr="00856D94">
              <w:rPr>
                <w:rFonts w:asciiTheme="minorHAnsi" w:hAnsiTheme="minorHAnsi" w:cstheme="minorHAnsi"/>
              </w:rPr>
              <w:t>81</w:t>
            </w:r>
          </w:p>
        </w:tc>
        <w:tc>
          <w:tcPr>
            <w:tcW w:w="1438" w:type="dxa"/>
            <w:vAlign w:val="center"/>
          </w:tcPr>
          <w:p w14:paraId="216C20EA" w14:textId="46B71E4F" w:rsidR="00FF1EB6" w:rsidRPr="00856D94" w:rsidRDefault="00FF1EB6" w:rsidP="00FF1EB6">
            <w:pPr>
              <w:pStyle w:val="TableParagraph"/>
              <w:ind w:right="91"/>
              <w:jc w:val="right"/>
              <w:rPr>
                <w:rFonts w:asciiTheme="minorHAnsi" w:hAnsiTheme="minorHAnsi" w:cstheme="minorHAnsi"/>
                <w:lang w:val="bs-Latn-BA"/>
              </w:rPr>
            </w:pPr>
            <w:r w:rsidRPr="00856D94">
              <w:rPr>
                <w:rFonts w:asciiTheme="minorHAnsi" w:hAnsiTheme="minorHAnsi" w:cstheme="minorHAnsi"/>
              </w:rPr>
              <w:t>43</w:t>
            </w:r>
            <w:r w:rsidR="004C6686" w:rsidRPr="00856D94">
              <w:rPr>
                <w:rFonts w:asciiTheme="minorHAnsi" w:hAnsiTheme="minorHAnsi" w:cstheme="minorHAnsi"/>
              </w:rPr>
              <w:t>,</w:t>
            </w:r>
            <w:r w:rsidRPr="00856D94">
              <w:rPr>
                <w:rFonts w:asciiTheme="minorHAnsi" w:hAnsiTheme="minorHAnsi" w:cstheme="minorHAnsi"/>
              </w:rPr>
              <w:t>33</w:t>
            </w:r>
          </w:p>
        </w:tc>
        <w:tc>
          <w:tcPr>
            <w:tcW w:w="1971" w:type="dxa"/>
            <w:vAlign w:val="center"/>
          </w:tcPr>
          <w:p w14:paraId="4C37666E"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Kreditna sredstva</w:t>
            </w:r>
          </w:p>
          <w:p w14:paraId="0461775C" w14:textId="77777777" w:rsidR="00FF1EB6" w:rsidRPr="00856D94" w:rsidRDefault="00FF1EB6" w:rsidP="00FF1EB6">
            <w:pPr>
              <w:pStyle w:val="TableParagraph"/>
              <w:rPr>
                <w:rFonts w:asciiTheme="minorHAnsi" w:hAnsiTheme="minorHAnsi" w:cstheme="minorHAnsi"/>
                <w:sz w:val="20"/>
                <w:szCs w:val="20"/>
                <w:lang w:val="bs-Latn-BA"/>
              </w:rPr>
            </w:pPr>
            <w:r w:rsidRPr="00856D94">
              <w:rPr>
                <w:rFonts w:asciiTheme="minorHAnsi" w:hAnsiTheme="minorHAnsi" w:cstheme="minorHAnsi"/>
                <w:sz w:val="20"/>
                <w:szCs w:val="20"/>
                <w:lang w:val="bs-Latn-BA"/>
              </w:rPr>
              <w:t>Sredstva EU donatora</w:t>
            </w:r>
          </w:p>
          <w:p w14:paraId="2A2CBF64" w14:textId="77777777" w:rsidR="00FF1EB6" w:rsidRPr="00856D94" w:rsidRDefault="00FF1EB6" w:rsidP="00FF1EB6">
            <w:pPr>
              <w:pStyle w:val="TableParagraph"/>
              <w:spacing w:before="34"/>
              <w:ind w:right="94"/>
              <w:rPr>
                <w:rFonts w:asciiTheme="minorHAnsi" w:hAnsiTheme="minorHAnsi" w:cstheme="minorHAnsi"/>
                <w:b/>
                <w:sz w:val="20"/>
                <w:szCs w:val="20"/>
                <w:lang w:val="bs-Latn-BA"/>
              </w:rPr>
            </w:pPr>
            <w:r w:rsidRPr="00856D94">
              <w:rPr>
                <w:rFonts w:asciiTheme="minorHAnsi" w:hAnsiTheme="minorHAnsi" w:cstheme="minorHAnsi"/>
                <w:sz w:val="20"/>
                <w:szCs w:val="20"/>
                <w:lang w:val="bs-Latn-BA"/>
              </w:rPr>
              <w:t>Ostale donacije</w:t>
            </w:r>
          </w:p>
        </w:tc>
      </w:tr>
      <w:tr w:rsidR="00FF1EB6" w:rsidRPr="00856D94" w14:paraId="7C971FB9" w14:textId="77777777" w:rsidTr="00FF1EB6">
        <w:trPr>
          <w:trHeight w:val="269"/>
        </w:trPr>
        <w:tc>
          <w:tcPr>
            <w:tcW w:w="5614" w:type="dxa"/>
            <w:gridSpan w:val="2"/>
            <w:shd w:val="clear" w:color="auto" w:fill="D9D9D9" w:themeFill="background1" w:themeFillShade="D9"/>
          </w:tcPr>
          <w:p w14:paraId="3CD11B87" w14:textId="77777777" w:rsidR="00FF1EB6" w:rsidRPr="00856D94" w:rsidRDefault="00FF1EB6" w:rsidP="00FF1EB6">
            <w:pPr>
              <w:pStyle w:val="TableParagraph"/>
              <w:ind w:left="110"/>
              <w:jc w:val="right"/>
              <w:rPr>
                <w:rFonts w:asciiTheme="minorHAnsi" w:hAnsiTheme="minorHAnsi" w:cstheme="minorHAnsi"/>
                <w:b/>
                <w:bCs/>
                <w:sz w:val="20"/>
                <w:szCs w:val="20"/>
                <w:lang w:val="bs-Latn-BA"/>
              </w:rPr>
            </w:pPr>
            <w:r w:rsidRPr="00856D94">
              <w:rPr>
                <w:rFonts w:asciiTheme="minorHAnsi" w:hAnsiTheme="minorHAnsi" w:cstheme="minorHAnsi"/>
                <w:b/>
                <w:bCs/>
                <w:sz w:val="20"/>
                <w:szCs w:val="20"/>
                <w:lang w:val="bs-Latn-BA"/>
              </w:rPr>
              <w:t>Ukupno:</w:t>
            </w:r>
          </w:p>
        </w:tc>
        <w:tc>
          <w:tcPr>
            <w:tcW w:w="1709" w:type="dxa"/>
            <w:gridSpan w:val="2"/>
            <w:shd w:val="clear" w:color="auto" w:fill="D9D9D9" w:themeFill="background1" w:themeFillShade="D9"/>
            <w:vAlign w:val="center"/>
          </w:tcPr>
          <w:p w14:paraId="3D19D75F" w14:textId="345732A1" w:rsidR="00FF1EB6" w:rsidRPr="00856D94" w:rsidRDefault="00FF1EB6" w:rsidP="00F66F86">
            <w:pPr>
              <w:pStyle w:val="TableParagraph"/>
              <w:ind w:left="110" w:right="144"/>
              <w:jc w:val="right"/>
              <w:rPr>
                <w:rFonts w:asciiTheme="minorHAnsi" w:hAnsiTheme="minorHAnsi" w:cstheme="minorHAnsi"/>
                <w:b/>
                <w:bCs/>
                <w:lang w:val="bs-Latn-BA"/>
              </w:rPr>
            </w:pPr>
            <w:r w:rsidRPr="00856D94">
              <w:rPr>
                <w:rFonts w:asciiTheme="minorHAnsi" w:hAnsiTheme="minorHAnsi" w:cstheme="minorHAnsi"/>
                <w:b/>
                <w:bCs/>
              </w:rPr>
              <w:t>100</w:t>
            </w:r>
            <w:r w:rsidR="004C6686" w:rsidRPr="00856D94">
              <w:rPr>
                <w:rFonts w:asciiTheme="minorHAnsi" w:hAnsiTheme="minorHAnsi" w:cstheme="minorHAnsi"/>
                <w:b/>
                <w:bCs/>
              </w:rPr>
              <w:t>,</w:t>
            </w:r>
            <w:r w:rsidRPr="00856D94">
              <w:rPr>
                <w:rFonts w:asciiTheme="minorHAnsi" w:hAnsiTheme="minorHAnsi" w:cstheme="minorHAnsi"/>
                <w:b/>
                <w:bCs/>
              </w:rPr>
              <w:t>00%</w:t>
            </w:r>
          </w:p>
        </w:tc>
        <w:tc>
          <w:tcPr>
            <w:tcW w:w="1796" w:type="dxa"/>
            <w:shd w:val="clear" w:color="auto" w:fill="D9D9D9" w:themeFill="background1" w:themeFillShade="D9"/>
            <w:vAlign w:val="center"/>
          </w:tcPr>
          <w:p w14:paraId="23681C5F" w14:textId="5B8F37F3" w:rsidR="00FF1EB6" w:rsidRPr="00856D94" w:rsidRDefault="00FF1EB6" w:rsidP="00FF1EB6">
            <w:pPr>
              <w:pStyle w:val="TableParagraph"/>
              <w:ind w:left="110" w:right="96"/>
              <w:jc w:val="right"/>
              <w:rPr>
                <w:rFonts w:asciiTheme="minorHAnsi" w:hAnsiTheme="minorHAnsi" w:cstheme="minorHAnsi"/>
                <w:b/>
                <w:bCs/>
              </w:rPr>
            </w:pPr>
            <w:r w:rsidRPr="00856D94">
              <w:rPr>
                <w:rFonts w:asciiTheme="minorHAnsi" w:hAnsiTheme="minorHAnsi" w:cstheme="minorHAnsi"/>
                <w:b/>
                <w:bCs/>
              </w:rPr>
              <w:t>7</w:t>
            </w:r>
            <w:r w:rsidR="004C6686" w:rsidRPr="00856D94">
              <w:rPr>
                <w:rFonts w:asciiTheme="minorHAnsi" w:hAnsiTheme="minorHAnsi" w:cstheme="minorHAnsi"/>
                <w:b/>
                <w:bCs/>
              </w:rPr>
              <w:t>.</w:t>
            </w:r>
            <w:r w:rsidRPr="00856D94">
              <w:rPr>
                <w:rFonts w:asciiTheme="minorHAnsi" w:hAnsiTheme="minorHAnsi" w:cstheme="minorHAnsi"/>
                <w:b/>
                <w:bCs/>
              </w:rPr>
              <w:t>560</w:t>
            </w:r>
            <w:r w:rsidR="004C6686" w:rsidRPr="00856D94">
              <w:rPr>
                <w:rFonts w:asciiTheme="minorHAnsi" w:hAnsiTheme="minorHAnsi" w:cstheme="minorHAnsi"/>
                <w:b/>
                <w:bCs/>
              </w:rPr>
              <w:t>,</w:t>
            </w:r>
            <w:r w:rsidRPr="00856D94">
              <w:rPr>
                <w:rFonts w:asciiTheme="minorHAnsi" w:hAnsiTheme="minorHAnsi" w:cstheme="minorHAnsi"/>
                <w:b/>
                <w:bCs/>
              </w:rPr>
              <w:t>41</w:t>
            </w:r>
          </w:p>
        </w:tc>
        <w:tc>
          <w:tcPr>
            <w:tcW w:w="1687" w:type="dxa"/>
            <w:gridSpan w:val="2"/>
            <w:shd w:val="clear" w:color="auto" w:fill="D9D9D9" w:themeFill="background1" w:themeFillShade="D9"/>
            <w:vAlign w:val="center"/>
          </w:tcPr>
          <w:p w14:paraId="6C153F93" w14:textId="78D37D40" w:rsidR="00FF1EB6" w:rsidRPr="00856D94" w:rsidRDefault="00FF1EB6" w:rsidP="00FF1EB6">
            <w:pPr>
              <w:pStyle w:val="TableParagraph"/>
              <w:ind w:left="110" w:right="91"/>
              <w:jc w:val="right"/>
              <w:rPr>
                <w:rFonts w:asciiTheme="minorHAnsi" w:hAnsiTheme="minorHAnsi" w:cstheme="minorHAnsi"/>
                <w:b/>
                <w:bCs/>
              </w:rPr>
            </w:pPr>
            <w:r w:rsidRPr="00856D94">
              <w:rPr>
                <w:rFonts w:asciiTheme="minorHAnsi" w:hAnsiTheme="minorHAnsi" w:cstheme="minorHAnsi"/>
                <w:b/>
                <w:bCs/>
              </w:rPr>
              <w:t>1</w:t>
            </w:r>
            <w:r w:rsidR="004C6686" w:rsidRPr="00856D94">
              <w:rPr>
                <w:rFonts w:asciiTheme="minorHAnsi" w:hAnsiTheme="minorHAnsi" w:cstheme="minorHAnsi"/>
                <w:b/>
                <w:bCs/>
              </w:rPr>
              <w:t>.</w:t>
            </w:r>
            <w:r w:rsidRPr="00856D94">
              <w:rPr>
                <w:rFonts w:asciiTheme="minorHAnsi" w:hAnsiTheme="minorHAnsi" w:cstheme="minorHAnsi"/>
                <w:b/>
                <w:bCs/>
              </w:rPr>
              <w:t>343</w:t>
            </w:r>
            <w:r w:rsidR="004C6686" w:rsidRPr="00856D94">
              <w:rPr>
                <w:rFonts w:asciiTheme="minorHAnsi" w:hAnsiTheme="minorHAnsi" w:cstheme="minorHAnsi"/>
                <w:b/>
                <w:bCs/>
              </w:rPr>
              <w:t>,</w:t>
            </w:r>
            <w:r w:rsidRPr="00856D94">
              <w:rPr>
                <w:rFonts w:asciiTheme="minorHAnsi" w:hAnsiTheme="minorHAnsi" w:cstheme="minorHAnsi"/>
                <w:b/>
                <w:bCs/>
              </w:rPr>
              <w:t>09</w:t>
            </w:r>
          </w:p>
        </w:tc>
        <w:tc>
          <w:tcPr>
            <w:tcW w:w="1438" w:type="dxa"/>
            <w:shd w:val="clear" w:color="auto" w:fill="D9D9D9" w:themeFill="background1" w:themeFillShade="D9"/>
            <w:vAlign w:val="center"/>
          </w:tcPr>
          <w:p w14:paraId="0634ED28" w14:textId="10557C6D" w:rsidR="00FF1EB6" w:rsidRPr="00856D94" w:rsidRDefault="00FF1EB6" w:rsidP="00FF1EB6">
            <w:pPr>
              <w:spacing w:after="0" w:line="240" w:lineRule="auto"/>
              <w:jc w:val="right"/>
              <w:rPr>
                <w:rFonts w:asciiTheme="minorHAnsi" w:hAnsiTheme="minorHAnsi" w:cstheme="minorHAnsi"/>
                <w:b/>
                <w:bCs/>
                <w:lang w:val="hr-HR"/>
              </w:rPr>
            </w:pPr>
            <w:r w:rsidRPr="00856D94">
              <w:rPr>
                <w:rFonts w:asciiTheme="minorHAnsi" w:hAnsiTheme="minorHAnsi" w:cstheme="minorHAnsi"/>
                <w:b/>
                <w:bCs/>
              </w:rPr>
              <w:t>6</w:t>
            </w:r>
            <w:r w:rsidR="004C6686" w:rsidRPr="00856D94">
              <w:rPr>
                <w:rFonts w:asciiTheme="minorHAnsi" w:hAnsiTheme="minorHAnsi" w:cstheme="minorHAnsi"/>
                <w:b/>
                <w:bCs/>
              </w:rPr>
              <w:t>.</w:t>
            </w:r>
            <w:r w:rsidRPr="00856D94">
              <w:rPr>
                <w:rFonts w:asciiTheme="minorHAnsi" w:hAnsiTheme="minorHAnsi" w:cstheme="minorHAnsi"/>
                <w:b/>
                <w:bCs/>
              </w:rPr>
              <w:t>217</w:t>
            </w:r>
            <w:r w:rsidR="004C6686" w:rsidRPr="00856D94">
              <w:rPr>
                <w:rFonts w:asciiTheme="minorHAnsi" w:hAnsiTheme="minorHAnsi" w:cstheme="minorHAnsi"/>
                <w:b/>
                <w:bCs/>
              </w:rPr>
              <w:t>,</w:t>
            </w:r>
            <w:r w:rsidRPr="00856D94">
              <w:rPr>
                <w:rFonts w:asciiTheme="minorHAnsi" w:hAnsiTheme="minorHAnsi" w:cstheme="minorHAnsi"/>
                <w:b/>
                <w:bCs/>
              </w:rPr>
              <w:t>33</w:t>
            </w:r>
          </w:p>
        </w:tc>
        <w:tc>
          <w:tcPr>
            <w:tcW w:w="1971" w:type="dxa"/>
            <w:shd w:val="clear" w:color="auto" w:fill="D9D9D9" w:themeFill="background1" w:themeFillShade="D9"/>
            <w:vAlign w:val="center"/>
          </w:tcPr>
          <w:p w14:paraId="377AC9A9" w14:textId="77777777" w:rsidR="00FF1EB6" w:rsidRPr="00856D94" w:rsidRDefault="00FF1EB6" w:rsidP="00FF1EB6">
            <w:pPr>
              <w:pStyle w:val="TableParagraph"/>
              <w:ind w:left="110" w:right="92"/>
              <w:rPr>
                <w:rFonts w:asciiTheme="minorHAnsi" w:hAnsiTheme="minorHAnsi" w:cstheme="minorHAnsi"/>
                <w:b/>
                <w:bCs/>
                <w:sz w:val="20"/>
                <w:szCs w:val="20"/>
                <w:lang w:val="bs-Latn-BA"/>
              </w:rPr>
            </w:pPr>
          </w:p>
        </w:tc>
      </w:tr>
      <w:tr w:rsidR="000937A0" w:rsidRPr="00856D94" w14:paraId="09751F11" w14:textId="77777777" w:rsidTr="00847E0C">
        <w:trPr>
          <w:trHeight w:val="629"/>
        </w:trPr>
        <w:tc>
          <w:tcPr>
            <w:tcW w:w="14215" w:type="dxa"/>
            <w:gridSpan w:val="9"/>
            <w:shd w:val="clear" w:color="auto" w:fill="auto"/>
            <w:vAlign w:val="center"/>
          </w:tcPr>
          <w:p w14:paraId="4CA8F969" w14:textId="77777777" w:rsidR="000937A0" w:rsidRPr="00856D94" w:rsidRDefault="000937A0" w:rsidP="00847E0C">
            <w:pPr>
              <w:pStyle w:val="TableParagraph"/>
              <w:ind w:left="110" w:right="92"/>
              <w:jc w:val="center"/>
              <w:rPr>
                <w:rFonts w:asciiTheme="minorHAnsi" w:hAnsiTheme="minorHAnsi" w:cstheme="minorHAnsi"/>
                <w:b/>
                <w:bCs/>
                <w:sz w:val="20"/>
                <w:szCs w:val="20"/>
                <w:lang w:val="bs-Latn-BA"/>
              </w:rPr>
            </w:pPr>
            <w:r w:rsidRPr="00856D94">
              <w:rPr>
                <w:rFonts w:asciiTheme="minorHAnsi" w:hAnsiTheme="minorHAnsi" w:cstheme="minorHAnsi"/>
                <w:b/>
                <w:bCs/>
                <w:lang w:val="bs-Latn-BA"/>
              </w:rPr>
              <w:t>PREGLED PO IZVORIMA</w:t>
            </w:r>
          </w:p>
        </w:tc>
      </w:tr>
      <w:tr w:rsidR="000937A0" w:rsidRPr="00856D94" w14:paraId="3F64A51E" w14:textId="77777777" w:rsidTr="00FF1EB6">
        <w:trPr>
          <w:trHeight w:val="152"/>
        </w:trPr>
        <w:tc>
          <w:tcPr>
            <w:tcW w:w="3443" w:type="dxa"/>
            <w:shd w:val="clear" w:color="auto" w:fill="D9D9D9" w:themeFill="background1" w:themeFillShade="D9"/>
            <w:vAlign w:val="center"/>
          </w:tcPr>
          <w:p w14:paraId="6D35948F"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Budžetska sredstva</w:t>
            </w:r>
          </w:p>
        </w:tc>
        <w:tc>
          <w:tcPr>
            <w:tcW w:w="2924" w:type="dxa"/>
            <w:gridSpan w:val="2"/>
            <w:shd w:val="clear" w:color="auto" w:fill="D9D9D9" w:themeFill="background1" w:themeFillShade="D9"/>
            <w:vAlign w:val="center"/>
          </w:tcPr>
          <w:p w14:paraId="3B91136E"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Kreditna sredstva</w:t>
            </w:r>
          </w:p>
        </w:tc>
        <w:tc>
          <w:tcPr>
            <w:tcW w:w="3924" w:type="dxa"/>
            <w:gridSpan w:val="3"/>
            <w:shd w:val="clear" w:color="auto" w:fill="D9D9D9" w:themeFill="background1" w:themeFillShade="D9"/>
            <w:vAlign w:val="center"/>
          </w:tcPr>
          <w:p w14:paraId="47A348F0"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Sredstva EU</w:t>
            </w:r>
          </w:p>
        </w:tc>
        <w:tc>
          <w:tcPr>
            <w:tcW w:w="3924" w:type="dxa"/>
            <w:gridSpan w:val="3"/>
            <w:shd w:val="clear" w:color="auto" w:fill="D9D9D9" w:themeFill="background1" w:themeFillShade="D9"/>
            <w:vAlign w:val="center"/>
          </w:tcPr>
          <w:p w14:paraId="5E320131" w14:textId="77777777" w:rsidR="000937A0" w:rsidRPr="00856D94" w:rsidRDefault="000937A0" w:rsidP="00847E0C">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lang w:val="bs-Latn-BA"/>
              </w:rPr>
              <w:t>Ostale donacije</w:t>
            </w:r>
          </w:p>
        </w:tc>
      </w:tr>
      <w:tr w:rsidR="00FF1EB6" w:rsidRPr="00856D94" w14:paraId="5582DAC4" w14:textId="77777777" w:rsidTr="00FF1EB6">
        <w:trPr>
          <w:trHeight w:val="350"/>
        </w:trPr>
        <w:tc>
          <w:tcPr>
            <w:tcW w:w="3443" w:type="dxa"/>
            <w:shd w:val="clear" w:color="auto" w:fill="auto"/>
            <w:vAlign w:val="center"/>
          </w:tcPr>
          <w:p w14:paraId="131F5475" w14:textId="2DC104C4"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1</w:t>
            </w:r>
            <w:r w:rsidR="004C6686" w:rsidRPr="00856D94">
              <w:rPr>
                <w:rFonts w:asciiTheme="minorHAnsi" w:hAnsiTheme="minorHAnsi" w:cstheme="minorHAnsi"/>
                <w:b/>
                <w:bCs/>
              </w:rPr>
              <w:t>.</w:t>
            </w:r>
            <w:r w:rsidRPr="00856D94">
              <w:rPr>
                <w:rFonts w:asciiTheme="minorHAnsi" w:hAnsiTheme="minorHAnsi" w:cstheme="minorHAnsi"/>
                <w:b/>
                <w:bCs/>
              </w:rPr>
              <w:t>343</w:t>
            </w:r>
            <w:r w:rsidR="004C6686" w:rsidRPr="00856D94">
              <w:rPr>
                <w:rFonts w:asciiTheme="minorHAnsi" w:hAnsiTheme="minorHAnsi" w:cstheme="minorHAnsi"/>
                <w:b/>
                <w:bCs/>
              </w:rPr>
              <w:t>,</w:t>
            </w:r>
            <w:r w:rsidRPr="00856D94">
              <w:rPr>
                <w:rFonts w:asciiTheme="minorHAnsi" w:hAnsiTheme="minorHAnsi" w:cstheme="minorHAnsi"/>
                <w:b/>
                <w:bCs/>
              </w:rPr>
              <w:t>09</w:t>
            </w:r>
          </w:p>
        </w:tc>
        <w:tc>
          <w:tcPr>
            <w:tcW w:w="2924" w:type="dxa"/>
            <w:gridSpan w:val="2"/>
            <w:shd w:val="clear" w:color="auto" w:fill="auto"/>
            <w:vAlign w:val="center"/>
          </w:tcPr>
          <w:p w14:paraId="33F7B6D7" w14:textId="26B74C88"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3</w:t>
            </w:r>
            <w:r w:rsidR="004C6686" w:rsidRPr="00856D94">
              <w:rPr>
                <w:rFonts w:asciiTheme="minorHAnsi" w:hAnsiTheme="minorHAnsi" w:cstheme="minorHAnsi"/>
                <w:b/>
                <w:bCs/>
              </w:rPr>
              <w:t>.</w:t>
            </w:r>
            <w:r w:rsidRPr="00856D94">
              <w:rPr>
                <w:rFonts w:asciiTheme="minorHAnsi" w:hAnsiTheme="minorHAnsi" w:cstheme="minorHAnsi"/>
                <w:b/>
                <w:bCs/>
              </w:rPr>
              <w:t>923</w:t>
            </w:r>
            <w:r w:rsidR="004C6686" w:rsidRPr="00856D94">
              <w:rPr>
                <w:rFonts w:asciiTheme="minorHAnsi" w:hAnsiTheme="minorHAnsi" w:cstheme="minorHAnsi"/>
                <w:b/>
                <w:bCs/>
              </w:rPr>
              <w:t>,</w:t>
            </w:r>
            <w:r w:rsidRPr="00856D94">
              <w:rPr>
                <w:rFonts w:asciiTheme="minorHAnsi" w:hAnsiTheme="minorHAnsi" w:cstheme="minorHAnsi"/>
                <w:b/>
                <w:bCs/>
              </w:rPr>
              <w:t>56</w:t>
            </w:r>
          </w:p>
        </w:tc>
        <w:tc>
          <w:tcPr>
            <w:tcW w:w="3924" w:type="dxa"/>
            <w:gridSpan w:val="3"/>
            <w:shd w:val="clear" w:color="auto" w:fill="auto"/>
            <w:vAlign w:val="center"/>
          </w:tcPr>
          <w:p w14:paraId="412E21A2" w14:textId="4F5C3B4E"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1</w:t>
            </w:r>
            <w:r w:rsidR="004C6686" w:rsidRPr="00856D94">
              <w:rPr>
                <w:rFonts w:asciiTheme="minorHAnsi" w:hAnsiTheme="minorHAnsi" w:cstheme="minorHAnsi"/>
                <w:b/>
                <w:bCs/>
              </w:rPr>
              <w:t>.</w:t>
            </w:r>
            <w:r w:rsidRPr="00856D94">
              <w:rPr>
                <w:rFonts w:asciiTheme="minorHAnsi" w:hAnsiTheme="minorHAnsi" w:cstheme="minorHAnsi"/>
                <w:b/>
                <w:bCs/>
              </w:rPr>
              <w:t>735</w:t>
            </w:r>
            <w:r w:rsidR="004C6686" w:rsidRPr="00856D94">
              <w:rPr>
                <w:rFonts w:asciiTheme="minorHAnsi" w:hAnsiTheme="minorHAnsi" w:cstheme="minorHAnsi"/>
                <w:b/>
                <w:bCs/>
              </w:rPr>
              <w:t>,</w:t>
            </w:r>
            <w:r w:rsidRPr="00856D94">
              <w:rPr>
                <w:rFonts w:asciiTheme="minorHAnsi" w:hAnsiTheme="minorHAnsi" w:cstheme="minorHAnsi"/>
                <w:b/>
                <w:bCs/>
              </w:rPr>
              <w:t>40</w:t>
            </w:r>
          </w:p>
        </w:tc>
        <w:tc>
          <w:tcPr>
            <w:tcW w:w="3924" w:type="dxa"/>
            <w:gridSpan w:val="3"/>
            <w:shd w:val="clear" w:color="auto" w:fill="auto"/>
            <w:vAlign w:val="center"/>
          </w:tcPr>
          <w:p w14:paraId="21CD214A" w14:textId="1F269BBD"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558</w:t>
            </w:r>
            <w:r w:rsidR="004C6686" w:rsidRPr="00856D94">
              <w:rPr>
                <w:rFonts w:asciiTheme="minorHAnsi" w:hAnsiTheme="minorHAnsi" w:cstheme="minorHAnsi"/>
                <w:b/>
                <w:bCs/>
              </w:rPr>
              <w:t>,</w:t>
            </w:r>
            <w:r w:rsidRPr="00856D94">
              <w:rPr>
                <w:rFonts w:asciiTheme="minorHAnsi" w:hAnsiTheme="minorHAnsi" w:cstheme="minorHAnsi"/>
                <w:b/>
                <w:bCs/>
              </w:rPr>
              <w:t>37</w:t>
            </w:r>
          </w:p>
        </w:tc>
      </w:tr>
      <w:tr w:rsidR="00FF1EB6" w:rsidRPr="00856D94" w14:paraId="2DD3C5F2" w14:textId="77777777" w:rsidTr="00FF1EB6">
        <w:trPr>
          <w:trHeight w:val="359"/>
        </w:trPr>
        <w:tc>
          <w:tcPr>
            <w:tcW w:w="3443" w:type="dxa"/>
            <w:shd w:val="clear" w:color="auto" w:fill="auto"/>
            <w:vAlign w:val="center"/>
          </w:tcPr>
          <w:p w14:paraId="180F649A" w14:textId="2EB8020E"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17</w:t>
            </w:r>
            <w:r w:rsidR="004C6686" w:rsidRPr="00856D94">
              <w:rPr>
                <w:rFonts w:asciiTheme="minorHAnsi" w:hAnsiTheme="minorHAnsi" w:cstheme="minorHAnsi"/>
                <w:b/>
                <w:bCs/>
              </w:rPr>
              <w:t>,</w:t>
            </w:r>
            <w:r w:rsidRPr="00856D94">
              <w:rPr>
                <w:rFonts w:asciiTheme="minorHAnsi" w:hAnsiTheme="minorHAnsi" w:cstheme="minorHAnsi"/>
                <w:b/>
                <w:bCs/>
              </w:rPr>
              <w:t>76%</w:t>
            </w:r>
          </w:p>
        </w:tc>
        <w:tc>
          <w:tcPr>
            <w:tcW w:w="2924" w:type="dxa"/>
            <w:gridSpan w:val="2"/>
            <w:shd w:val="clear" w:color="auto" w:fill="auto"/>
            <w:vAlign w:val="center"/>
          </w:tcPr>
          <w:p w14:paraId="219321CB" w14:textId="2B9AE77F"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51</w:t>
            </w:r>
            <w:r w:rsidR="004C6686" w:rsidRPr="00856D94">
              <w:rPr>
                <w:rFonts w:asciiTheme="minorHAnsi" w:hAnsiTheme="minorHAnsi" w:cstheme="minorHAnsi"/>
                <w:b/>
                <w:bCs/>
              </w:rPr>
              <w:t>,</w:t>
            </w:r>
            <w:r w:rsidRPr="00856D94">
              <w:rPr>
                <w:rFonts w:asciiTheme="minorHAnsi" w:hAnsiTheme="minorHAnsi" w:cstheme="minorHAnsi"/>
                <w:b/>
                <w:bCs/>
              </w:rPr>
              <w:t>90%</w:t>
            </w:r>
          </w:p>
        </w:tc>
        <w:tc>
          <w:tcPr>
            <w:tcW w:w="3924" w:type="dxa"/>
            <w:gridSpan w:val="3"/>
            <w:shd w:val="clear" w:color="auto" w:fill="auto"/>
            <w:vAlign w:val="center"/>
          </w:tcPr>
          <w:p w14:paraId="248424EA" w14:textId="238B222B"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22</w:t>
            </w:r>
            <w:r w:rsidR="004C6686" w:rsidRPr="00856D94">
              <w:rPr>
                <w:rFonts w:asciiTheme="minorHAnsi" w:hAnsiTheme="minorHAnsi" w:cstheme="minorHAnsi"/>
                <w:b/>
                <w:bCs/>
              </w:rPr>
              <w:t>,</w:t>
            </w:r>
            <w:r w:rsidRPr="00856D94">
              <w:rPr>
                <w:rFonts w:asciiTheme="minorHAnsi" w:hAnsiTheme="minorHAnsi" w:cstheme="minorHAnsi"/>
                <w:b/>
                <w:bCs/>
              </w:rPr>
              <w:t>95%</w:t>
            </w:r>
          </w:p>
        </w:tc>
        <w:tc>
          <w:tcPr>
            <w:tcW w:w="3924" w:type="dxa"/>
            <w:gridSpan w:val="3"/>
            <w:shd w:val="clear" w:color="auto" w:fill="auto"/>
            <w:vAlign w:val="center"/>
          </w:tcPr>
          <w:p w14:paraId="7C88F960" w14:textId="472B3022" w:rsidR="00FF1EB6" w:rsidRPr="00856D94" w:rsidRDefault="00FF1EB6" w:rsidP="00FF1EB6">
            <w:pPr>
              <w:pStyle w:val="TableParagraph"/>
              <w:ind w:left="110" w:right="92"/>
              <w:jc w:val="right"/>
              <w:rPr>
                <w:rFonts w:asciiTheme="minorHAnsi" w:hAnsiTheme="minorHAnsi" w:cstheme="minorHAnsi"/>
                <w:b/>
                <w:bCs/>
                <w:sz w:val="20"/>
                <w:szCs w:val="20"/>
                <w:lang w:val="bs-Latn-BA"/>
              </w:rPr>
            </w:pPr>
            <w:r w:rsidRPr="00856D94">
              <w:rPr>
                <w:rFonts w:asciiTheme="minorHAnsi" w:hAnsiTheme="minorHAnsi" w:cstheme="minorHAnsi"/>
                <w:b/>
                <w:bCs/>
              </w:rPr>
              <w:t>7</w:t>
            </w:r>
            <w:r w:rsidR="004C6686" w:rsidRPr="00856D94">
              <w:rPr>
                <w:rFonts w:asciiTheme="minorHAnsi" w:hAnsiTheme="minorHAnsi" w:cstheme="minorHAnsi"/>
                <w:b/>
                <w:bCs/>
              </w:rPr>
              <w:t>,</w:t>
            </w:r>
            <w:r w:rsidRPr="00856D94">
              <w:rPr>
                <w:rFonts w:asciiTheme="minorHAnsi" w:hAnsiTheme="minorHAnsi" w:cstheme="minorHAnsi"/>
                <w:b/>
                <w:bCs/>
              </w:rPr>
              <w:t>39%</w:t>
            </w:r>
          </w:p>
        </w:tc>
      </w:tr>
    </w:tbl>
    <w:p w14:paraId="06162921" w14:textId="33AB7CE5" w:rsidR="000B529C" w:rsidRPr="00856D94" w:rsidRDefault="000B529C" w:rsidP="000B529C">
      <w:pPr>
        <w:pStyle w:val="TableParagraph"/>
        <w:ind w:left="110"/>
        <w:rPr>
          <w:rFonts w:asciiTheme="minorHAnsi" w:hAnsiTheme="minorHAnsi" w:cstheme="minorHAnsi"/>
          <w:i/>
          <w:iCs/>
          <w:sz w:val="20"/>
          <w:szCs w:val="20"/>
          <w:lang w:val="bs-Latn-BA"/>
        </w:rPr>
      </w:pPr>
      <w:r>
        <w:rPr>
          <w:lang w:val="bs-Latn-BA"/>
        </w:rPr>
        <w:tab/>
      </w:r>
      <w:r w:rsidRPr="00856D94">
        <w:rPr>
          <w:i/>
          <w:iCs/>
          <w:lang w:val="bs-Latn-BA"/>
        </w:rPr>
        <w:t>*</w:t>
      </w:r>
      <w:r w:rsidR="00856D94">
        <w:rPr>
          <w:i/>
          <w:iCs/>
          <w:lang w:val="bs-Latn-BA"/>
        </w:rPr>
        <w:t xml:space="preserve">) </w:t>
      </w:r>
      <w:r w:rsidRPr="00856D94">
        <w:rPr>
          <w:rFonts w:asciiTheme="minorHAnsi" w:hAnsiTheme="minorHAnsi" w:cstheme="minorHAnsi"/>
          <w:i/>
          <w:iCs/>
          <w:sz w:val="20"/>
          <w:szCs w:val="20"/>
          <w:lang w:val="bs-Latn-BA"/>
        </w:rPr>
        <w:t>Napomena: Vlastita sredstva građana/vlasnika predviđena su u okviru Kreditnih sredstava.</w:t>
      </w:r>
    </w:p>
    <w:p w14:paraId="7504EC39" w14:textId="77777777" w:rsidR="007E4E44" w:rsidRDefault="007E4E44" w:rsidP="00840EE9">
      <w:pPr>
        <w:tabs>
          <w:tab w:val="left" w:pos="3180"/>
        </w:tabs>
        <w:rPr>
          <w:rFonts w:ascii="Arial" w:eastAsiaTheme="majorEastAsia" w:hAnsi="Arial" w:cstheme="majorBidi"/>
          <w:b/>
          <w:color w:val="00592E"/>
          <w:sz w:val="24"/>
          <w:szCs w:val="26"/>
          <w:lang w:val="bs-Latn-BA"/>
        </w:rPr>
      </w:pPr>
    </w:p>
    <w:p w14:paraId="40FC9269" w14:textId="77777777" w:rsidR="000937A0" w:rsidRDefault="000937A0" w:rsidP="000937A0">
      <w:pPr>
        <w:rPr>
          <w:rFonts w:ascii="Arial" w:eastAsiaTheme="majorEastAsia" w:hAnsi="Arial" w:cstheme="majorBidi"/>
          <w:b/>
          <w:color w:val="00592E"/>
          <w:sz w:val="24"/>
          <w:szCs w:val="26"/>
          <w:lang w:val="bs-Latn-BA"/>
        </w:rPr>
      </w:pPr>
    </w:p>
    <w:p w14:paraId="27E17C14" w14:textId="20B453B9" w:rsidR="000937A0" w:rsidRPr="000937A0" w:rsidRDefault="000937A0" w:rsidP="000937A0">
      <w:pPr>
        <w:rPr>
          <w:lang w:val="bs-Latn-BA"/>
        </w:rPr>
        <w:sectPr w:rsidR="000937A0" w:rsidRPr="000937A0" w:rsidSect="007900F2">
          <w:pgSz w:w="16840" w:h="11907" w:orient="landscape" w:code="9"/>
          <w:pgMar w:top="1440" w:right="1282" w:bottom="1440" w:left="1440" w:header="288" w:footer="288" w:gutter="0"/>
          <w:cols w:space="720"/>
          <w:titlePg/>
        </w:sectPr>
      </w:pPr>
    </w:p>
    <w:p w14:paraId="6F802D18" w14:textId="62070412" w:rsidR="000159AA" w:rsidRPr="000159AA" w:rsidRDefault="000159AA" w:rsidP="00CD4A0D">
      <w:pPr>
        <w:pStyle w:val="Heading1"/>
        <w:numPr>
          <w:ilvl w:val="0"/>
          <w:numId w:val="0"/>
        </w:numPr>
        <w:rPr>
          <w:lang w:val="bs-Latn-BA"/>
        </w:rPr>
      </w:pPr>
      <w:bookmarkStart w:id="280" w:name="_Toc134011842"/>
      <w:r w:rsidRPr="008924E0">
        <w:rPr>
          <w:lang w:val="bs-Latn-BA"/>
        </w:rPr>
        <w:lastRenderedPageBreak/>
        <w:t>ANEKS 11.</w:t>
      </w:r>
      <w:r w:rsidR="001A4D88">
        <w:rPr>
          <w:lang w:val="bs-Latn-BA"/>
        </w:rPr>
        <w:t>7</w:t>
      </w:r>
      <w:r w:rsidRPr="008924E0">
        <w:rPr>
          <w:lang w:val="bs-Latn-BA"/>
        </w:rPr>
        <w:t>.</w:t>
      </w:r>
      <w:bookmarkEnd w:id="280"/>
      <w:r w:rsidRPr="008924E0">
        <w:rPr>
          <w:lang w:val="bs-Latn-BA"/>
        </w:rPr>
        <w:t xml:space="preserve"> </w:t>
      </w:r>
    </w:p>
    <w:p w14:paraId="615AD448" w14:textId="0C38BFD1" w:rsidR="000159AA" w:rsidRDefault="00BE2552" w:rsidP="004D2CBA">
      <w:pPr>
        <w:pStyle w:val="Heading2"/>
        <w:numPr>
          <w:ilvl w:val="0"/>
          <w:numId w:val="0"/>
        </w:numPr>
        <w:rPr>
          <w:lang w:val="bs-Latn-BA"/>
        </w:rPr>
      </w:pPr>
      <w:bookmarkStart w:id="281" w:name="_Toc134011843"/>
      <w:r>
        <w:rPr>
          <w:lang w:val="bs-Latn-BA"/>
        </w:rPr>
        <w:t>Sažet pregled</w:t>
      </w:r>
      <w:r w:rsidR="00434780">
        <w:rPr>
          <w:lang w:val="bs-Latn-BA"/>
        </w:rPr>
        <w:t xml:space="preserve"> d</w:t>
      </w:r>
      <w:r w:rsidR="000159AA" w:rsidRPr="00586694">
        <w:rPr>
          <w:lang w:val="bs-Latn-BA"/>
        </w:rPr>
        <w:t>ugoročn</w:t>
      </w:r>
      <w:r>
        <w:rPr>
          <w:lang w:val="bs-Latn-BA"/>
        </w:rPr>
        <w:t>og</w:t>
      </w:r>
      <w:r w:rsidR="000159AA" w:rsidRPr="00586694">
        <w:rPr>
          <w:lang w:val="bs-Latn-BA"/>
        </w:rPr>
        <w:t xml:space="preserve"> plan</w:t>
      </w:r>
      <w:r>
        <w:rPr>
          <w:lang w:val="bs-Latn-BA"/>
        </w:rPr>
        <w:t>a</w:t>
      </w:r>
      <w:r w:rsidR="000159AA" w:rsidRPr="00586694">
        <w:rPr>
          <w:lang w:val="bs-Latn-BA"/>
        </w:rPr>
        <w:t xml:space="preserve"> </w:t>
      </w:r>
      <w:r w:rsidR="00A522CA">
        <w:rPr>
          <w:lang w:val="bs-Latn-BA"/>
        </w:rPr>
        <w:t xml:space="preserve">za </w:t>
      </w:r>
      <w:r w:rsidR="00A522CA" w:rsidRPr="00A522CA">
        <w:rPr>
          <w:lang w:val="bs-Latn-BA"/>
        </w:rPr>
        <w:t>energijski visokoefikasan i dekarboniziran fond zgrada u Federaciji Bosne i Hercegovine do 2050. godine</w:t>
      </w:r>
      <w:bookmarkEnd w:id="281"/>
      <w:r w:rsidR="00A522CA" w:rsidRPr="00A522CA">
        <w:rPr>
          <w:lang w:val="bs-Latn-BA"/>
        </w:rPr>
        <w:t xml:space="preserve"> </w:t>
      </w:r>
    </w:p>
    <w:p w14:paraId="748EB973" w14:textId="189317F5" w:rsidR="000159AA" w:rsidRDefault="000159AA" w:rsidP="000159AA">
      <w:pPr>
        <w:rPr>
          <w:lang w:val="bs-Latn-BA"/>
        </w:rPr>
      </w:pPr>
      <w:r>
        <w:rPr>
          <w:lang w:val="bs-Latn-BA"/>
        </w:rPr>
        <w:t xml:space="preserve">Dugoročni plan sa mjerama za energijsku </w:t>
      </w:r>
      <w:r w:rsidR="00142A2D">
        <w:rPr>
          <w:lang w:val="bs-Latn-BA"/>
        </w:rPr>
        <w:t>obnovu</w:t>
      </w:r>
      <w:r>
        <w:rPr>
          <w:lang w:val="bs-Latn-BA"/>
        </w:rPr>
        <w:t xml:space="preserve"> i dekarbonizaciju fonda zgrada u FBiH sastoji se od setova mjera analiziranih u prethodnim poglavljima. Očekivane uštede energije i emisije CO</w:t>
      </w:r>
      <w:r w:rsidRPr="009963AF">
        <w:rPr>
          <w:vertAlign w:val="subscript"/>
          <w:lang w:val="bs-Latn-BA"/>
        </w:rPr>
        <w:t>2</w:t>
      </w:r>
      <w:r>
        <w:rPr>
          <w:lang w:val="bs-Latn-BA"/>
        </w:rPr>
        <w:t xml:space="preserve">, te ciljevi u vezi obnovljene korisne grijane površine izračunati su za različite scenarije </w:t>
      </w:r>
      <w:r w:rsidR="00115491">
        <w:rPr>
          <w:lang w:val="bs-Latn-BA"/>
        </w:rPr>
        <w:t>obnove</w:t>
      </w:r>
      <w:r>
        <w:rPr>
          <w:lang w:val="bs-Latn-BA"/>
        </w:rPr>
        <w:t xml:space="preserve">. </w:t>
      </w:r>
      <w:r w:rsidR="00155390">
        <w:rPr>
          <w:b/>
          <w:bCs/>
          <w:lang w:val="bs-Latn-BA"/>
        </w:rPr>
        <w:t>Analizirani su scenariji</w:t>
      </w:r>
      <w:r w:rsidRPr="004D2CBA">
        <w:rPr>
          <w:b/>
          <w:bCs/>
          <w:lang w:val="bs-Latn-BA"/>
        </w:rPr>
        <w:t xml:space="preserve"> godišnje </w:t>
      </w:r>
      <w:r w:rsidR="00115491">
        <w:rPr>
          <w:b/>
          <w:bCs/>
          <w:lang w:val="bs-Latn-BA"/>
        </w:rPr>
        <w:t>obnove</w:t>
      </w:r>
      <w:r w:rsidR="00115491" w:rsidRPr="004D2CBA">
        <w:rPr>
          <w:b/>
          <w:bCs/>
          <w:lang w:val="bs-Latn-BA"/>
        </w:rPr>
        <w:t xml:space="preserve"> </w:t>
      </w:r>
      <w:r w:rsidRPr="004D2CBA">
        <w:rPr>
          <w:b/>
          <w:bCs/>
          <w:lang w:val="bs-Latn-BA"/>
        </w:rPr>
        <w:t>1,5 % korisne grijane površine stambenog sektora i 2,5 % korisne grijanje površine fonda javnih zgrada.</w:t>
      </w:r>
      <w:r>
        <w:rPr>
          <w:lang w:val="bs-Latn-BA"/>
        </w:rPr>
        <w:t xml:space="preserve"> </w:t>
      </w:r>
      <w:r w:rsidRPr="004E1F77">
        <w:rPr>
          <w:lang w:val="bs-Latn-BA"/>
        </w:rPr>
        <w:t>Za komercijalne zgrade nije moguće izvršiti procjenu energijskih karakteristika</w:t>
      </w:r>
      <w:r>
        <w:rPr>
          <w:lang w:val="bs-Latn-BA"/>
        </w:rPr>
        <w:t xml:space="preserve"> ni potencijala za uštedu</w:t>
      </w:r>
      <w:r w:rsidRPr="004E1F77">
        <w:rPr>
          <w:lang w:val="bs-Latn-BA"/>
        </w:rPr>
        <w:t>, kao ni za zg</w:t>
      </w:r>
      <w:r>
        <w:rPr>
          <w:lang w:val="bs-Latn-BA"/>
        </w:rPr>
        <w:t>r</w:t>
      </w:r>
      <w:r w:rsidRPr="004E1F77">
        <w:rPr>
          <w:lang w:val="bs-Latn-BA"/>
        </w:rPr>
        <w:t xml:space="preserve">ade sa statusom nacionalnih spomenika i zgrade </w:t>
      </w:r>
      <w:r w:rsidR="007344AF">
        <w:rPr>
          <w:lang w:val="bs-Latn-BA"/>
        </w:rPr>
        <w:t>koje koriste</w:t>
      </w:r>
      <w:r w:rsidRPr="004E1F77">
        <w:rPr>
          <w:lang w:val="bs-Latn-BA"/>
        </w:rPr>
        <w:t xml:space="preserve"> Oružan</w:t>
      </w:r>
      <w:r w:rsidR="007344AF">
        <w:rPr>
          <w:lang w:val="bs-Latn-BA"/>
        </w:rPr>
        <w:t>e</w:t>
      </w:r>
      <w:r w:rsidRPr="004E1F77">
        <w:rPr>
          <w:lang w:val="bs-Latn-BA"/>
        </w:rPr>
        <w:t xml:space="preserve"> snag</w:t>
      </w:r>
      <w:r w:rsidR="007344AF">
        <w:rPr>
          <w:lang w:val="bs-Latn-BA"/>
        </w:rPr>
        <w:t>e</w:t>
      </w:r>
      <w:r w:rsidRPr="004E1F77">
        <w:rPr>
          <w:lang w:val="bs-Latn-BA"/>
        </w:rPr>
        <w:t xml:space="preserve"> BiH. </w:t>
      </w:r>
    </w:p>
    <w:p w14:paraId="226D752E" w14:textId="1DA68B11" w:rsidR="000159AA" w:rsidRDefault="000159AA" w:rsidP="000159AA">
      <w:pPr>
        <w:rPr>
          <w:lang w:val="bs-Latn-BA"/>
        </w:rPr>
      </w:pPr>
      <w:r>
        <w:rPr>
          <w:lang w:val="bs-Latn-BA"/>
        </w:rPr>
        <w:t xml:space="preserve">Dugoročni plan integralne </w:t>
      </w:r>
      <w:r w:rsidR="00E12289">
        <w:rPr>
          <w:lang w:val="bs-Latn-BA"/>
        </w:rPr>
        <w:t>obnove</w:t>
      </w:r>
      <w:r>
        <w:rPr>
          <w:lang w:val="bs-Latn-BA"/>
        </w:rPr>
        <w:t xml:space="preserve"> je usklađen sa prioritetima i mjerama </w:t>
      </w:r>
      <w:r w:rsidR="00AB786E">
        <w:rPr>
          <w:lang w:val="bs-Latn-BA"/>
        </w:rPr>
        <w:t>definirani</w:t>
      </w:r>
      <w:r w:rsidR="00E12289">
        <w:rPr>
          <w:lang w:val="bs-Latn-BA"/>
        </w:rPr>
        <w:t>m</w:t>
      </w:r>
      <w:r>
        <w:rPr>
          <w:lang w:val="bs-Latn-BA"/>
        </w:rPr>
        <w:t xml:space="preserve"> kroz strateški cilj strategije obnove zgrada i predstavljen u narednoj tabeli.</w:t>
      </w:r>
    </w:p>
    <w:tbl>
      <w:tblPr>
        <w:tblStyle w:val="Stil"/>
        <w:tblW w:w="9277" w:type="dxa"/>
        <w:tblLayout w:type="fixed"/>
        <w:tblLook w:val="04A0" w:firstRow="1" w:lastRow="0" w:firstColumn="1" w:lastColumn="0" w:noHBand="0" w:noVBand="1"/>
      </w:tblPr>
      <w:tblGrid>
        <w:gridCol w:w="1260"/>
        <w:gridCol w:w="8017"/>
      </w:tblGrid>
      <w:tr w:rsidR="00142A2D" w:rsidRPr="001972F5" w14:paraId="4285CBF4" w14:textId="77777777" w:rsidTr="00142A2D">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260" w:type="dxa"/>
            <w:shd w:val="clear" w:color="auto" w:fill="BFBFBF" w:themeFill="background1" w:themeFillShade="BF"/>
          </w:tcPr>
          <w:p w14:paraId="1C2DE119" w14:textId="4D8ACB15" w:rsidR="00142A2D" w:rsidRPr="00142A2D" w:rsidRDefault="00142A2D" w:rsidP="000B085B">
            <w:pPr>
              <w:spacing w:after="60"/>
              <w:jc w:val="left"/>
              <w:rPr>
                <w:rFonts w:asciiTheme="minorHAnsi" w:eastAsia="Calibri" w:hAnsiTheme="minorHAnsi" w:cstheme="minorHAnsi"/>
                <w:color w:val="auto"/>
                <w:lang w:val="bs-Latn-BA"/>
              </w:rPr>
            </w:pPr>
            <w:r w:rsidRPr="00142A2D">
              <w:rPr>
                <w:rFonts w:asciiTheme="minorHAnsi" w:eastAsia="Calibri" w:hAnsiTheme="minorHAnsi" w:cstheme="minorHAnsi"/>
                <w:color w:val="auto"/>
                <w:lang w:val="bs-Latn-BA"/>
              </w:rPr>
              <w:t>Opis trenutnog stanja</w:t>
            </w:r>
          </w:p>
        </w:tc>
        <w:tc>
          <w:tcPr>
            <w:tcW w:w="8017" w:type="dxa"/>
            <w:shd w:val="clear" w:color="auto" w:fill="BFBFBF" w:themeFill="background1" w:themeFillShade="BF"/>
          </w:tcPr>
          <w:p w14:paraId="7910535E" w14:textId="5BAD0AFE" w:rsidR="00142A2D" w:rsidRPr="00142A2D" w:rsidRDefault="00142A2D" w:rsidP="000B085B">
            <w:p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lang w:val="bs-Latn-BA"/>
              </w:rPr>
            </w:pPr>
            <w:r w:rsidRPr="00142A2D">
              <w:rPr>
                <w:rFonts w:asciiTheme="minorHAnsi" w:hAnsiTheme="minorHAnsi" w:cstheme="minorHAnsi"/>
                <w:b w:val="0"/>
                <w:bCs w:val="0"/>
                <w:color w:val="auto"/>
                <w:lang w:val="bs-Latn-BA"/>
              </w:rPr>
              <w:t>Fond zgrada FBiH okarakteri</w:t>
            </w:r>
            <w:r>
              <w:rPr>
                <w:rFonts w:asciiTheme="minorHAnsi" w:hAnsiTheme="minorHAnsi" w:cstheme="minorHAnsi"/>
                <w:b w:val="0"/>
                <w:bCs w:val="0"/>
                <w:color w:val="auto"/>
                <w:lang w:val="bs-Latn-BA"/>
              </w:rPr>
              <w:t>ziran je</w:t>
            </w:r>
            <w:r w:rsidRPr="00142A2D">
              <w:rPr>
                <w:rFonts w:asciiTheme="minorHAnsi" w:hAnsiTheme="minorHAnsi" w:cstheme="minorHAnsi"/>
                <w:b w:val="0"/>
                <w:bCs w:val="0"/>
                <w:color w:val="auto"/>
                <w:lang w:val="bs-Latn-BA"/>
              </w:rPr>
              <w:t xml:space="preserve"> kao energijski neefikasan. </w:t>
            </w:r>
          </w:p>
          <w:p w14:paraId="59F78A3C" w14:textId="1858D3C4" w:rsidR="00142A2D" w:rsidRPr="00142A2D" w:rsidRDefault="00142A2D" w:rsidP="000B085B">
            <w:p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lang w:val="bs-Latn-BA"/>
              </w:rPr>
            </w:pPr>
            <w:r w:rsidRPr="00142A2D">
              <w:rPr>
                <w:rFonts w:asciiTheme="minorHAnsi" w:hAnsiTheme="minorHAnsi" w:cstheme="minorHAnsi"/>
                <w:b w:val="0"/>
                <w:bCs w:val="0"/>
                <w:color w:val="auto"/>
                <w:lang w:val="bs-Latn-BA"/>
              </w:rPr>
              <w:t xml:space="preserve">Efikasnost termotehničkih sistema </w:t>
            </w:r>
            <w:r w:rsidR="006D5DA4">
              <w:rPr>
                <w:rFonts w:asciiTheme="minorHAnsi" w:hAnsiTheme="minorHAnsi" w:cstheme="minorHAnsi"/>
                <w:b w:val="0"/>
                <w:bCs w:val="0"/>
                <w:color w:val="auto"/>
                <w:lang w:val="bs-Latn-BA"/>
              </w:rPr>
              <w:t xml:space="preserve"> je </w:t>
            </w:r>
            <w:r w:rsidRPr="00142A2D">
              <w:rPr>
                <w:rFonts w:asciiTheme="minorHAnsi" w:hAnsiTheme="minorHAnsi" w:cstheme="minorHAnsi"/>
                <w:b w:val="0"/>
                <w:bCs w:val="0"/>
                <w:color w:val="auto"/>
                <w:lang w:val="bs-Latn-BA"/>
              </w:rPr>
              <w:t xml:space="preserve">niska. </w:t>
            </w:r>
          </w:p>
          <w:p w14:paraId="15AAC05C" w14:textId="77777777" w:rsidR="006D5DA4" w:rsidRDefault="00142A2D" w:rsidP="000B085B">
            <w:p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lang w:val="bs-Latn-BA"/>
              </w:rPr>
            </w:pPr>
            <w:r w:rsidRPr="00142A2D">
              <w:rPr>
                <w:rFonts w:asciiTheme="minorHAnsi" w:hAnsiTheme="minorHAnsi" w:cstheme="minorHAnsi"/>
                <w:b w:val="0"/>
                <w:bCs w:val="0"/>
                <w:color w:val="auto"/>
                <w:lang w:val="bs-Latn-BA"/>
              </w:rPr>
              <w:t xml:space="preserve">Sistemi grijanja bazirani </w:t>
            </w:r>
            <w:r w:rsidR="006D5DA4">
              <w:rPr>
                <w:rFonts w:asciiTheme="minorHAnsi" w:hAnsiTheme="minorHAnsi" w:cstheme="minorHAnsi"/>
                <w:b w:val="0"/>
                <w:bCs w:val="0"/>
                <w:color w:val="auto"/>
                <w:lang w:val="bs-Latn-BA"/>
              </w:rPr>
              <w:t xml:space="preserve">su </w:t>
            </w:r>
            <w:r w:rsidRPr="00142A2D">
              <w:rPr>
                <w:rFonts w:asciiTheme="minorHAnsi" w:hAnsiTheme="minorHAnsi" w:cstheme="minorHAnsi"/>
                <w:b w:val="0"/>
                <w:bCs w:val="0"/>
                <w:color w:val="auto"/>
                <w:lang w:val="bs-Latn-BA"/>
              </w:rPr>
              <w:t xml:space="preserve">na potrošnji fosilnih goriva. </w:t>
            </w:r>
          </w:p>
          <w:p w14:paraId="272145F7" w14:textId="0E86815B" w:rsidR="00142A2D" w:rsidRPr="00142A2D" w:rsidRDefault="006D5DA4" w:rsidP="000B085B">
            <w:pPr>
              <w:spacing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auto"/>
                <w:lang w:val="bs-Latn-BA"/>
              </w:rPr>
            </w:pPr>
            <w:r>
              <w:rPr>
                <w:rFonts w:asciiTheme="minorHAnsi" w:hAnsiTheme="minorHAnsi" w:cstheme="minorHAnsi"/>
                <w:b w:val="0"/>
                <w:bCs w:val="0"/>
                <w:color w:val="auto"/>
                <w:lang w:val="bs-Latn-BA"/>
              </w:rPr>
              <w:t xml:space="preserve">Ugljični </w:t>
            </w:r>
            <w:r w:rsidR="00142A2D" w:rsidRPr="00142A2D">
              <w:rPr>
                <w:rFonts w:asciiTheme="minorHAnsi" w:hAnsiTheme="minorHAnsi" w:cstheme="minorHAnsi"/>
                <w:b w:val="0"/>
                <w:bCs w:val="0"/>
                <w:color w:val="auto"/>
                <w:lang w:val="bs-Latn-BA"/>
              </w:rPr>
              <w:t xml:space="preserve">otisak fonda zgrada </w:t>
            </w:r>
            <w:r w:rsidR="004667EF">
              <w:rPr>
                <w:rFonts w:asciiTheme="minorHAnsi" w:hAnsiTheme="minorHAnsi" w:cstheme="minorHAnsi"/>
                <w:b w:val="0"/>
                <w:bCs w:val="0"/>
                <w:color w:val="auto"/>
                <w:lang w:val="bs-Latn-BA"/>
              </w:rPr>
              <w:t xml:space="preserve">je </w:t>
            </w:r>
            <w:r w:rsidR="00142A2D" w:rsidRPr="00142A2D">
              <w:rPr>
                <w:rFonts w:asciiTheme="minorHAnsi" w:hAnsiTheme="minorHAnsi" w:cstheme="minorHAnsi"/>
                <w:b w:val="0"/>
                <w:bCs w:val="0"/>
                <w:color w:val="auto"/>
                <w:lang w:val="bs-Latn-BA"/>
              </w:rPr>
              <w:t>veliki.</w:t>
            </w:r>
          </w:p>
        </w:tc>
      </w:tr>
    </w:tbl>
    <w:p w14:paraId="15D80B15" w14:textId="77777777" w:rsidR="00142A2D" w:rsidRPr="00142A2D" w:rsidRDefault="00142A2D" w:rsidP="000159AA">
      <w:pPr>
        <w:rPr>
          <w:rFonts w:asciiTheme="minorHAnsi" w:hAnsiTheme="minorHAnsi" w:cstheme="minorHAnsi"/>
          <w:sz w:val="10"/>
          <w:szCs w:val="10"/>
          <w:lang w:val="bs-Latn-BA"/>
        </w:rPr>
      </w:pPr>
    </w:p>
    <w:tbl>
      <w:tblPr>
        <w:tblStyle w:val="Stil"/>
        <w:tblW w:w="9277" w:type="dxa"/>
        <w:tblLayout w:type="fixed"/>
        <w:tblLook w:val="04A0" w:firstRow="1" w:lastRow="0" w:firstColumn="1" w:lastColumn="0" w:noHBand="0" w:noVBand="1"/>
      </w:tblPr>
      <w:tblGrid>
        <w:gridCol w:w="1260"/>
        <w:gridCol w:w="8017"/>
      </w:tblGrid>
      <w:tr w:rsidR="00A778B5" w:rsidRPr="00142A2D" w14:paraId="5F7DF58E" w14:textId="77777777" w:rsidTr="00142A2D">
        <w:trPr>
          <w:cnfStyle w:val="100000000000" w:firstRow="1" w:lastRow="0" w:firstColumn="0" w:lastColumn="0" w:oddVBand="0" w:evenVBand="0" w:oddHBand="0"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1260" w:type="dxa"/>
          </w:tcPr>
          <w:p w14:paraId="677CF93F" w14:textId="6485CA6A" w:rsidR="00A778B5" w:rsidRPr="00142A2D" w:rsidDel="00A778B5" w:rsidRDefault="00A778B5" w:rsidP="004D2CBA">
            <w:pPr>
              <w:spacing w:after="60"/>
              <w:jc w:val="left"/>
              <w:rPr>
                <w:rFonts w:asciiTheme="minorHAnsi" w:eastAsia="Calibri" w:hAnsiTheme="minorHAnsi" w:cstheme="minorHAnsi"/>
                <w:bCs w:val="0"/>
                <w:i/>
                <w:iCs/>
                <w:lang w:val="bs-Latn-BA"/>
              </w:rPr>
            </w:pPr>
            <w:r w:rsidRPr="00142A2D">
              <w:rPr>
                <w:rFonts w:asciiTheme="minorHAnsi" w:eastAsia="Calibri" w:hAnsiTheme="minorHAnsi" w:cstheme="minorHAnsi"/>
                <w:lang w:val="bs-Latn-BA"/>
              </w:rPr>
              <w:t>Ciljna godina</w:t>
            </w:r>
          </w:p>
        </w:tc>
        <w:tc>
          <w:tcPr>
            <w:tcW w:w="8017" w:type="dxa"/>
          </w:tcPr>
          <w:p w14:paraId="0C6D7DC0" w14:textId="228603A9" w:rsidR="00A778B5" w:rsidRPr="00142A2D" w:rsidRDefault="00A778B5" w:rsidP="00A778B5">
            <w:pPr>
              <w:spacing w:after="60"/>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lang w:val="bs-Latn-BA"/>
              </w:rPr>
            </w:pPr>
            <w:r w:rsidRPr="00142A2D">
              <w:rPr>
                <w:rFonts w:asciiTheme="minorHAnsi" w:hAnsiTheme="minorHAnsi" w:cstheme="minorHAnsi"/>
                <w:lang w:val="bs-Latn-BA"/>
              </w:rPr>
              <w:t>Strateški ciljevi</w:t>
            </w:r>
          </w:p>
        </w:tc>
      </w:tr>
      <w:tr w:rsidR="00434780" w:rsidRPr="001972F5" w14:paraId="42284E40" w14:textId="77777777" w:rsidTr="0014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23A4593E" w14:textId="287AC093" w:rsidR="00434780" w:rsidRPr="00142A2D" w:rsidRDefault="00434780" w:rsidP="00A778B5">
            <w:pPr>
              <w:spacing w:after="60"/>
              <w:rPr>
                <w:rFonts w:asciiTheme="minorHAnsi" w:eastAsia="Calibri" w:hAnsiTheme="minorHAnsi" w:cstheme="minorHAnsi"/>
                <w:lang w:val="bs-Latn-BA"/>
              </w:rPr>
            </w:pPr>
            <w:r w:rsidRPr="00142A2D">
              <w:rPr>
                <w:rFonts w:asciiTheme="minorHAnsi" w:eastAsia="Calibri" w:hAnsiTheme="minorHAnsi" w:cstheme="minorHAnsi"/>
                <w:lang w:val="bs-Latn-BA"/>
              </w:rPr>
              <w:t>2024</w:t>
            </w:r>
          </w:p>
        </w:tc>
        <w:tc>
          <w:tcPr>
            <w:tcW w:w="8017" w:type="dxa"/>
          </w:tcPr>
          <w:p w14:paraId="51CA9E8F" w14:textId="7204827B" w:rsidR="00C46BEE" w:rsidRDefault="00C46BEE" w:rsidP="00C46BEE">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46BEE">
              <w:rPr>
                <w:rFonts w:asciiTheme="minorHAnsi" w:eastAsia="Calibri" w:hAnsiTheme="minorHAnsi" w:cstheme="minorHAnsi"/>
                <w:lang w:val="bs-Latn-BA"/>
              </w:rPr>
              <w:t>Unaprije</w:t>
            </w:r>
            <w:r>
              <w:rPr>
                <w:rFonts w:asciiTheme="minorHAnsi" w:eastAsia="Calibri" w:hAnsiTheme="minorHAnsi" w:cstheme="minorHAnsi"/>
                <w:lang w:val="bs-Latn-BA"/>
              </w:rPr>
              <w:t>đuje se</w:t>
            </w:r>
            <w:r w:rsidRPr="00C46BEE">
              <w:rPr>
                <w:rFonts w:asciiTheme="minorHAnsi" w:eastAsia="Calibri" w:hAnsiTheme="minorHAnsi" w:cstheme="minorHAnsi"/>
                <w:lang w:val="bs-Latn-BA"/>
              </w:rPr>
              <w:t xml:space="preserve"> regulatorni okvir u cilju ostvarivanja potpune harmonizacije s pravnom stečevinom EU u oblasti EE koji će omogućiti energijsku obnovu zgrada</w:t>
            </w:r>
            <w:r>
              <w:rPr>
                <w:rFonts w:asciiTheme="minorHAnsi" w:eastAsia="Calibri" w:hAnsiTheme="minorHAnsi" w:cstheme="minorHAnsi"/>
                <w:lang w:val="bs-Latn-BA"/>
              </w:rPr>
              <w:t>.</w:t>
            </w:r>
            <w:r w:rsidRPr="00C46BEE">
              <w:rPr>
                <w:rFonts w:asciiTheme="minorHAnsi" w:eastAsia="Calibri" w:hAnsiTheme="minorHAnsi" w:cstheme="minorHAnsi"/>
                <w:lang w:val="bs-Latn-BA"/>
              </w:rPr>
              <w:t xml:space="preserve"> </w:t>
            </w:r>
          </w:p>
          <w:p w14:paraId="4139AE5D" w14:textId="5F2FA6E1" w:rsidR="007344AF" w:rsidRDefault="007344AF"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p>
          <w:p w14:paraId="73952CBB" w14:textId="22736D6D"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Uspostavlja se Agencija za energijsku efikasnost u FBiH</w:t>
            </w:r>
            <w:r w:rsidR="00E12289">
              <w:rPr>
                <w:rFonts w:asciiTheme="minorHAnsi" w:eastAsia="Calibri" w:hAnsiTheme="minorHAnsi" w:cstheme="minorHAnsi"/>
                <w:lang w:val="bs-Latn-BA"/>
              </w:rPr>
              <w:t>.</w:t>
            </w:r>
            <w:r w:rsidRPr="00142A2D">
              <w:rPr>
                <w:rFonts w:asciiTheme="minorHAnsi" w:eastAsia="Calibri" w:hAnsiTheme="minorHAnsi" w:cstheme="minorHAnsi"/>
                <w:lang w:val="bs-Latn-BA"/>
              </w:rPr>
              <w:t xml:space="preserve"> </w:t>
            </w:r>
          </w:p>
          <w:p w14:paraId="3CE1E849" w14:textId="655B8053"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Usvajaju se programi i planovi energijske obnove stambenih, javnih i komercijalnih zgrada</w:t>
            </w:r>
            <w:r w:rsidR="00E12289">
              <w:rPr>
                <w:rFonts w:asciiTheme="minorHAnsi" w:eastAsia="Calibri" w:hAnsiTheme="minorHAnsi" w:cstheme="minorHAnsi"/>
                <w:lang w:val="bs-Latn-BA"/>
              </w:rPr>
              <w:t>.</w:t>
            </w:r>
          </w:p>
          <w:p w14:paraId="41991727" w14:textId="758AEF01"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Usvajaju se smjernice energijske obnove zgrada sa statusom nacionalnih spomenika na području FBiH</w:t>
            </w:r>
            <w:r w:rsidR="00E12289">
              <w:rPr>
                <w:rFonts w:asciiTheme="minorHAnsi" w:eastAsia="Calibri" w:hAnsiTheme="minorHAnsi" w:cstheme="minorHAnsi"/>
                <w:lang w:val="bs-Latn-BA"/>
              </w:rPr>
              <w:t xml:space="preserve"> i</w:t>
            </w:r>
            <w:r w:rsidRPr="00142A2D">
              <w:rPr>
                <w:rFonts w:asciiTheme="minorHAnsi" w:eastAsia="Calibri" w:hAnsiTheme="minorHAnsi" w:cstheme="minorHAnsi"/>
                <w:lang w:val="bs-Latn-BA"/>
              </w:rPr>
              <w:t xml:space="preserve"> zgrada koje imaju status zaštićene kulturne baštine na nivou svih kantona u FBiH</w:t>
            </w:r>
            <w:r w:rsidR="00E12289">
              <w:rPr>
                <w:rFonts w:asciiTheme="minorHAnsi" w:eastAsia="Calibri" w:hAnsiTheme="minorHAnsi" w:cstheme="minorHAnsi"/>
                <w:lang w:val="bs-Latn-BA"/>
              </w:rPr>
              <w:t>.</w:t>
            </w:r>
          </w:p>
          <w:p w14:paraId="291A1CD2" w14:textId="23236900"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Usvaja se program energijske obnove zgrada </w:t>
            </w:r>
            <w:r w:rsidR="00115491" w:rsidRPr="00115491">
              <w:rPr>
                <w:rFonts w:asciiTheme="minorHAnsi" w:eastAsia="Calibri" w:hAnsiTheme="minorHAnsi" w:cstheme="minorHAnsi"/>
                <w:lang w:val="bs-Latn-BA"/>
              </w:rPr>
              <w:t xml:space="preserve">koje su date na korištenje </w:t>
            </w:r>
            <w:r w:rsidRPr="00142A2D">
              <w:rPr>
                <w:rFonts w:asciiTheme="minorHAnsi" w:eastAsia="Calibri" w:hAnsiTheme="minorHAnsi" w:cstheme="minorHAnsi"/>
                <w:lang w:val="bs-Latn-BA"/>
              </w:rPr>
              <w:t>Ministarstv</w:t>
            </w:r>
            <w:r w:rsidR="00115491">
              <w:rPr>
                <w:rFonts w:asciiTheme="minorHAnsi" w:eastAsia="Calibri" w:hAnsiTheme="minorHAnsi" w:cstheme="minorHAnsi"/>
                <w:lang w:val="bs-Latn-BA"/>
              </w:rPr>
              <w:t>u</w:t>
            </w:r>
            <w:r w:rsidRPr="00142A2D">
              <w:rPr>
                <w:rFonts w:asciiTheme="minorHAnsi" w:eastAsia="Calibri" w:hAnsiTheme="minorHAnsi" w:cstheme="minorHAnsi"/>
                <w:lang w:val="bs-Latn-BA"/>
              </w:rPr>
              <w:t xml:space="preserve"> odbrane BiH</w:t>
            </w:r>
            <w:r w:rsidR="00E12289">
              <w:rPr>
                <w:rFonts w:asciiTheme="minorHAnsi" w:eastAsia="Calibri" w:hAnsiTheme="minorHAnsi" w:cstheme="minorHAnsi"/>
                <w:lang w:val="bs-Latn-BA"/>
              </w:rPr>
              <w:t>.</w:t>
            </w:r>
          </w:p>
          <w:p w14:paraId="69D05C1C" w14:textId="6DFFFCEF"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Kreira se regulatorni okvir za povećanje udjela OIE i sigurnosti snabdijevanja energentima u sektoru zgradarstva</w:t>
            </w:r>
            <w:r w:rsidR="00E12289">
              <w:rPr>
                <w:rFonts w:asciiTheme="minorHAnsi" w:eastAsia="Calibri" w:hAnsiTheme="minorHAnsi" w:cstheme="minorHAnsi"/>
                <w:lang w:val="bs-Latn-BA"/>
              </w:rPr>
              <w:t>.</w:t>
            </w:r>
          </w:p>
          <w:p w14:paraId="796A845F" w14:textId="4233D5BA"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Usvajaju se smjernice razvoja sistema daljinskih grijanja (centralizacija i modernizacije sistema grijanja), hlađenja i ventilacije te pripreme PTV uz primjenu obnovljivih izvora energije na području FBiH, za period do 2030. godine,  te donose planovi razvoja daljinskih grijanja na nivou svih kantona u FBiH</w:t>
            </w:r>
            <w:r w:rsidR="00E12289">
              <w:rPr>
                <w:rFonts w:asciiTheme="minorHAnsi" w:eastAsia="Calibri" w:hAnsiTheme="minorHAnsi" w:cstheme="minorHAnsi"/>
                <w:lang w:val="bs-Latn-BA"/>
              </w:rPr>
              <w:t>.</w:t>
            </w:r>
          </w:p>
          <w:p w14:paraId="0665276D" w14:textId="4221EA98"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Usvaja</w:t>
            </w:r>
            <w:r w:rsidR="007344AF">
              <w:rPr>
                <w:rFonts w:asciiTheme="minorHAnsi" w:eastAsia="Calibri" w:hAnsiTheme="minorHAnsi" w:cstheme="minorHAnsi"/>
                <w:lang w:val="bs-Latn-BA"/>
              </w:rPr>
              <w:t>ju</w:t>
            </w:r>
            <w:r w:rsidRPr="00142A2D">
              <w:rPr>
                <w:rFonts w:asciiTheme="minorHAnsi" w:eastAsia="Calibri" w:hAnsiTheme="minorHAnsi" w:cstheme="minorHAnsi"/>
                <w:lang w:val="bs-Latn-BA"/>
              </w:rPr>
              <w:t xml:space="preserve"> se procedur</w:t>
            </w:r>
            <w:r w:rsidR="007344AF">
              <w:rPr>
                <w:rFonts w:asciiTheme="minorHAnsi" w:eastAsia="Calibri" w:hAnsiTheme="minorHAnsi" w:cstheme="minorHAnsi"/>
                <w:lang w:val="bs-Latn-BA"/>
              </w:rPr>
              <w:t>e</w:t>
            </w:r>
            <w:r w:rsidRPr="00142A2D">
              <w:rPr>
                <w:rFonts w:asciiTheme="minorHAnsi" w:eastAsia="Calibri" w:hAnsiTheme="minorHAnsi" w:cstheme="minorHAnsi"/>
                <w:lang w:val="bs-Latn-BA"/>
              </w:rPr>
              <w:t xml:space="preserve"> i standardi za izgradnju</w:t>
            </w:r>
            <w:r w:rsidR="005D02BC">
              <w:rPr>
                <w:rFonts w:asciiTheme="minorHAnsi" w:eastAsia="Calibri" w:hAnsiTheme="minorHAnsi" w:cstheme="minorHAnsi"/>
                <w:lang w:val="bs-Latn-BA"/>
              </w:rPr>
              <w:t xml:space="preserve"> </w:t>
            </w:r>
            <w:r w:rsidRPr="00142A2D">
              <w:rPr>
                <w:rFonts w:asciiTheme="minorHAnsi" w:eastAsia="Calibri" w:hAnsiTheme="minorHAnsi" w:cstheme="minorHAnsi"/>
                <w:lang w:val="bs-Latn-BA"/>
              </w:rPr>
              <w:t>zgrada nZEB i zgrada nulte potrošnje energije te promovira izgradnja novih stambenih i nestambenih zgrada prema standardima propisanim za nZEB i zgrade nulte potrošnje energije</w:t>
            </w:r>
            <w:r w:rsidR="00E12289">
              <w:rPr>
                <w:rFonts w:asciiTheme="minorHAnsi" w:eastAsia="Calibri" w:hAnsiTheme="minorHAnsi" w:cstheme="minorHAnsi"/>
                <w:lang w:val="bs-Latn-BA"/>
              </w:rPr>
              <w:t>.</w:t>
            </w:r>
          </w:p>
          <w:p w14:paraId="71A63E43" w14:textId="2C6B35AD"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Usvaja se program suzbijanja energijskog siromaštva koje uključuje povećanje EE i korištenje obnovljivih izvora energije u stambenim zgradama za posebno ugrožene kategorije stanovništva</w:t>
            </w:r>
            <w:r w:rsidR="00E12289">
              <w:rPr>
                <w:rFonts w:asciiTheme="minorHAnsi" w:eastAsia="Calibri" w:hAnsiTheme="minorHAnsi" w:cstheme="minorHAnsi"/>
                <w:lang w:val="bs-Latn-BA"/>
              </w:rPr>
              <w:t>.</w:t>
            </w:r>
          </w:p>
          <w:p w14:paraId="11AF7CFD" w14:textId="66219527"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Uveden je sistemski pristup u rješavanju problema energijske </w:t>
            </w:r>
            <w:r w:rsidR="00115491">
              <w:rPr>
                <w:rFonts w:asciiTheme="minorHAnsi" w:eastAsia="Calibri" w:hAnsiTheme="minorHAnsi" w:cstheme="minorHAnsi"/>
                <w:lang w:val="bs-Latn-BA"/>
              </w:rPr>
              <w:t>obnove</w:t>
            </w:r>
            <w:r w:rsidR="00115491" w:rsidRPr="00142A2D">
              <w:rPr>
                <w:rFonts w:asciiTheme="minorHAnsi" w:eastAsia="Calibri" w:hAnsiTheme="minorHAnsi" w:cstheme="minorHAnsi"/>
                <w:lang w:val="bs-Latn-BA"/>
              </w:rPr>
              <w:t xml:space="preserve"> </w:t>
            </w:r>
            <w:r w:rsidRPr="00142A2D">
              <w:rPr>
                <w:rFonts w:asciiTheme="minorHAnsi" w:eastAsia="Calibri" w:hAnsiTheme="minorHAnsi" w:cstheme="minorHAnsi"/>
                <w:lang w:val="bs-Latn-BA"/>
              </w:rPr>
              <w:t>nelegalno izgrađenih zgrada na nivou svih kantona u FBiH</w:t>
            </w:r>
            <w:r w:rsidR="00E12289">
              <w:rPr>
                <w:rFonts w:asciiTheme="minorHAnsi" w:eastAsia="Calibri" w:hAnsiTheme="minorHAnsi" w:cstheme="minorHAnsi"/>
                <w:lang w:val="bs-Latn-BA"/>
              </w:rPr>
              <w:t>.</w:t>
            </w:r>
          </w:p>
          <w:p w14:paraId="145AB813" w14:textId="1EA5C851" w:rsidR="00434780"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lastRenderedPageBreak/>
              <w:t xml:space="preserve">Uspostavlja se održivi </w:t>
            </w:r>
            <w:r w:rsidR="007B690C">
              <w:rPr>
                <w:rFonts w:asciiTheme="minorHAnsi" w:eastAsia="Calibri" w:hAnsiTheme="minorHAnsi" w:cstheme="minorHAnsi"/>
                <w:lang w:val="bs-Latn-BA"/>
              </w:rPr>
              <w:t>financ</w:t>
            </w:r>
            <w:r w:rsidRPr="00142A2D">
              <w:rPr>
                <w:rFonts w:asciiTheme="minorHAnsi" w:eastAsia="Calibri" w:hAnsiTheme="minorHAnsi" w:cstheme="minorHAnsi"/>
                <w:lang w:val="bs-Latn-BA"/>
              </w:rPr>
              <w:t xml:space="preserve">ijski okvir koji omogućava podsticaj i kontinuirano </w:t>
            </w:r>
            <w:r w:rsidR="007B690C">
              <w:rPr>
                <w:rFonts w:asciiTheme="minorHAnsi" w:eastAsia="Calibri" w:hAnsiTheme="minorHAnsi" w:cstheme="minorHAnsi"/>
                <w:lang w:val="bs-Latn-BA"/>
              </w:rPr>
              <w:t>financ</w:t>
            </w:r>
            <w:r w:rsidRPr="00142A2D">
              <w:rPr>
                <w:rFonts w:asciiTheme="minorHAnsi" w:eastAsia="Calibri" w:hAnsiTheme="minorHAnsi" w:cstheme="minorHAnsi"/>
                <w:lang w:val="bs-Latn-BA"/>
              </w:rPr>
              <w:t>iranje obnove sektora zgradarstva</w:t>
            </w:r>
            <w:r w:rsidR="00E12289">
              <w:rPr>
                <w:rFonts w:asciiTheme="minorHAnsi" w:eastAsia="Calibri" w:hAnsiTheme="minorHAnsi" w:cstheme="minorHAnsi"/>
                <w:lang w:val="bs-Latn-BA"/>
              </w:rPr>
              <w:t>.</w:t>
            </w:r>
          </w:p>
          <w:p w14:paraId="05B6720C" w14:textId="21C9E254" w:rsidR="00C46BEE" w:rsidRDefault="00C46BEE"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C46BEE">
              <w:rPr>
                <w:rFonts w:asciiTheme="minorHAnsi" w:eastAsia="Calibri" w:hAnsiTheme="minorHAnsi" w:cstheme="minorHAnsi"/>
                <w:lang w:val="bs-Latn-BA"/>
              </w:rPr>
              <w:t>Jača</w:t>
            </w:r>
            <w:r>
              <w:rPr>
                <w:rFonts w:asciiTheme="minorHAnsi" w:eastAsia="Calibri" w:hAnsiTheme="minorHAnsi" w:cstheme="minorHAnsi"/>
                <w:lang w:val="bs-Latn-BA"/>
              </w:rPr>
              <w:t>ju se</w:t>
            </w:r>
            <w:r w:rsidRPr="00C46BEE">
              <w:rPr>
                <w:rFonts w:asciiTheme="minorHAnsi" w:eastAsia="Calibri" w:hAnsiTheme="minorHAnsi" w:cstheme="minorHAnsi"/>
                <w:lang w:val="bs-Latn-BA"/>
              </w:rPr>
              <w:t xml:space="preserve"> lokaln</w:t>
            </w:r>
            <w:r>
              <w:rPr>
                <w:rFonts w:asciiTheme="minorHAnsi" w:eastAsia="Calibri" w:hAnsiTheme="minorHAnsi" w:cstheme="minorHAnsi"/>
                <w:lang w:val="bs-Latn-BA"/>
              </w:rPr>
              <w:t>i</w:t>
            </w:r>
            <w:r w:rsidRPr="00C46BEE">
              <w:rPr>
                <w:rFonts w:asciiTheme="minorHAnsi" w:eastAsia="Calibri" w:hAnsiTheme="minorHAnsi" w:cstheme="minorHAnsi"/>
                <w:lang w:val="bs-Latn-BA"/>
              </w:rPr>
              <w:t xml:space="preserve"> kapacitet</w:t>
            </w:r>
            <w:r>
              <w:rPr>
                <w:rFonts w:asciiTheme="minorHAnsi" w:eastAsia="Calibri" w:hAnsiTheme="minorHAnsi" w:cstheme="minorHAnsi"/>
                <w:lang w:val="bs-Latn-BA"/>
              </w:rPr>
              <w:t>i</w:t>
            </w:r>
            <w:r w:rsidRPr="00C46BEE">
              <w:rPr>
                <w:rFonts w:asciiTheme="minorHAnsi" w:eastAsia="Calibri" w:hAnsiTheme="minorHAnsi" w:cstheme="minorHAnsi"/>
                <w:lang w:val="bs-Latn-BA"/>
              </w:rPr>
              <w:t xml:space="preserve"> građevinske operative i proizvođača opreme s ciljem stvaranja preduvjeta za efikasnu provedbu energijske obnove</w:t>
            </w:r>
            <w:r>
              <w:rPr>
                <w:rFonts w:asciiTheme="minorHAnsi" w:eastAsia="Calibri" w:hAnsiTheme="minorHAnsi" w:cstheme="minorHAnsi"/>
                <w:lang w:val="bs-Latn-BA"/>
              </w:rPr>
              <w:t>.</w:t>
            </w:r>
          </w:p>
          <w:p w14:paraId="1DBC9EC6" w14:textId="77777777" w:rsidR="00C46BEE" w:rsidRPr="00142A2D" w:rsidRDefault="00C46BEE" w:rsidP="00C46BEE">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Usvajaju se politike i mjere za promoviranje vještina i obrazovanje u građevinskom sektoru i sektoru EE, namjenjenih inženjerima, prostornim planerima i ekonomistima, s ciljem primjene novih tehnologija i pametnih rješenja u sektoru zgradarstva</w:t>
            </w:r>
            <w:r>
              <w:rPr>
                <w:rFonts w:asciiTheme="minorHAnsi" w:eastAsia="Calibri" w:hAnsiTheme="minorHAnsi" w:cstheme="minorHAnsi"/>
                <w:lang w:val="bs-Latn-BA"/>
              </w:rPr>
              <w:t>.</w:t>
            </w:r>
          </w:p>
          <w:p w14:paraId="77547349" w14:textId="2906F010"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Usvajaju se programi razvoja zelene infrastrukture u urbanim područjima i razvoja cirkularnog upravljanja prostorom i zgradama prema načelima cirkularne ekonomije</w:t>
            </w:r>
            <w:r w:rsidR="00E12289">
              <w:rPr>
                <w:rFonts w:asciiTheme="minorHAnsi" w:eastAsia="Calibri" w:hAnsiTheme="minorHAnsi" w:cstheme="minorHAnsi"/>
                <w:lang w:val="bs-Latn-BA"/>
              </w:rPr>
              <w:t>.</w:t>
            </w:r>
          </w:p>
          <w:p w14:paraId="6A8DFD14" w14:textId="5005A49A"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Godišnje se obnavlja 1,5 % korisne grijane površine stambenih zgrada</w:t>
            </w:r>
            <w:r w:rsidR="00E12289">
              <w:rPr>
                <w:rFonts w:asciiTheme="minorHAnsi" w:eastAsia="Calibri" w:hAnsiTheme="minorHAnsi" w:cstheme="minorHAnsi"/>
                <w:lang w:val="bs-Latn-BA"/>
              </w:rPr>
              <w:t>.</w:t>
            </w:r>
          </w:p>
          <w:p w14:paraId="6432DB47" w14:textId="2F4586E6"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Podstiče se energijska </w:t>
            </w:r>
            <w:r w:rsidR="00E12289">
              <w:rPr>
                <w:rFonts w:asciiTheme="minorHAnsi" w:eastAsia="Calibri" w:hAnsiTheme="minorHAnsi" w:cstheme="minorHAnsi"/>
                <w:lang w:val="bs-Latn-BA"/>
              </w:rPr>
              <w:t>obnova</w:t>
            </w:r>
            <w:r w:rsidRPr="00142A2D">
              <w:rPr>
                <w:rFonts w:asciiTheme="minorHAnsi" w:eastAsia="Calibri" w:hAnsiTheme="minorHAnsi" w:cstheme="minorHAnsi"/>
                <w:lang w:val="bs-Latn-BA"/>
              </w:rPr>
              <w:t xml:space="preserve"> zgrada kolektivnog stanovanja</w:t>
            </w:r>
            <w:r w:rsidR="00E12289">
              <w:rPr>
                <w:rFonts w:asciiTheme="minorHAnsi" w:eastAsia="Calibri" w:hAnsiTheme="minorHAnsi" w:cstheme="minorHAnsi"/>
                <w:lang w:val="bs-Latn-BA"/>
              </w:rPr>
              <w:t>.</w:t>
            </w:r>
          </w:p>
          <w:p w14:paraId="0E132C08" w14:textId="2A3207CD"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Godišnje se obnavlja 2,5 % korisne grijane površine javnih zgrada</w:t>
            </w:r>
            <w:r w:rsidR="00E12289">
              <w:rPr>
                <w:rFonts w:asciiTheme="minorHAnsi" w:eastAsia="Calibri" w:hAnsiTheme="minorHAnsi" w:cstheme="minorHAnsi"/>
                <w:lang w:val="bs-Latn-BA"/>
              </w:rPr>
              <w:t>.</w:t>
            </w:r>
          </w:p>
          <w:p w14:paraId="7800784D" w14:textId="04B13E17" w:rsidR="00E12289" w:rsidRDefault="00434780" w:rsidP="00E12289">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Energijska </w:t>
            </w:r>
            <w:r w:rsidR="00E12289">
              <w:rPr>
                <w:rFonts w:asciiTheme="minorHAnsi" w:eastAsia="Calibri" w:hAnsiTheme="minorHAnsi" w:cstheme="minorHAnsi"/>
                <w:lang w:val="bs-Latn-BA"/>
              </w:rPr>
              <w:t>obnov</w:t>
            </w:r>
            <w:r w:rsidRPr="00142A2D">
              <w:rPr>
                <w:rFonts w:asciiTheme="minorHAnsi" w:eastAsia="Calibri" w:hAnsiTheme="minorHAnsi" w:cstheme="minorHAnsi"/>
                <w:lang w:val="bs-Latn-BA"/>
              </w:rPr>
              <w:t xml:space="preserve">a ostalih kategorija zgrada se odvija prema programima energijske </w:t>
            </w:r>
            <w:r w:rsidR="00115491">
              <w:rPr>
                <w:rFonts w:asciiTheme="minorHAnsi" w:eastAsia="Calibri" w:hAnsiTheme="minorHAnsi" w:cstheme="minorHAnsi"/>
                <w:lang w:val="bs-Latn-BA"/>
              </w:rPr>
              <w:t>obnove</w:t>
            </w:r>
            <w:r w:rsidR="00E12289">
              <w:rPr>
                <w:rFonts w:asciiTheme="minorHAnsi" w:eastAsia="Calibri" w:hAnsiTheme="minorHAnsi" w:cstheme="minorHAnsi"/>
                <w:lang w:val="bs-Latn-BA"/>
              </w:rPr>
              <w:t>.</w:t>
            </w:r>
            <w:r w:rsidR="00E12289" w:rsidRPr="00142A2D">
              <w:rPr>
                <w:rFonts w:asciiTheme="minorHAnsi" w:eastAsia="Calibri" w:hAnsiTheme="minorHAnsi" w:cstheme="minorHAnsi"/>
                <w:lang w:val="bs-Latn-BA"/>
              </w:rPr>
              <w:t xml:space="preserve"> </w:t>
            </w:r>
          </w:p>
          <w:p w14:paraId="57CC20BC" w14:textId="77777777" w:rsidR="006A5B23" w:rsidRPr="00142A2D" w:rsidRDefault="006A5B23" w:rsidP="006A5B23">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Provodi se kontinuirana promocija EE u zgradarstvu i jača</w:t>
            </w:r>
            <w:r>
              <w:rPr>
                <w:rFonts w:asciiTheme="minorHAnsi" w:eastAsia="Calibri" w:hAnsiTheme="minorHAnsi" w:cstheme="minorHAnsi"/>
                <w:lang w:val="bs-Latn-BA"/>
              </w:rPr>
              <w:t>ju</w:t>
            </w:r>
            <w:r w:rsidRPr="00142A2D">
              <w:rPr>
                <w:rFonts w:asciiTheme="minorHAnsi" w:eastAsia="Calibri" w:hAnsiTheme="minorHAnsi" w:cstheme="minorHAnsi"/>
                <w:lang w:val="bs-Latn-BA"/>
              </w:rPr>
              <w:t xml:space="preserve"> institucionaln</w:t>
            </w:r>
            <w:r>
              <w:rPr>
                <w:rFonts w:asciiTheme="minorHAnsi" w:eastAsia="Calibri" w:hAnsiTheme="minorHAnsi" w:cstheme="minorHAnsi"/>
                <w:lang w:val="bs-Latn-BA"/>
              </w:rPr>
              <w:t>i</w:t>
            </w:r>
            <w:r w:rsidRPr="00142A2D">
              <w:rPr>
                <w:rFonts w:asciiTheme="minorHAnsi" w:eastAsia="Calibri" w:hAnsiTheme="minorHAnsi" w:cstheme="minorHAnsi"/>
                <w:lang w:val="bs-Latn-BA"/>
              </w:rPr>
              <w:t xml:space="preserve"> kapacitet</w:t>
            </w:r>
            <w:r>
              <w:rPr>
                <w:rFonts w:asciiTheme="minorHAnsi" w:eastAsia="Calibri" w:hAnsiTheme="minorHAnsi" w:cstheme="minorHAnsi"/>
                <w:lang w:val="bs-Latn-BA"/>
              </w:rPr>
              <w:t>i</w:t>
            </w:r>
            <w:r w:rsidRPr="00142A2D">
              <w:rPr>
                <w:rFonts w:asciiTheme="minorHAnsi" w:eastAsia="Calibri" w:hAnsiTheme="minorHAnsi" w:cstheme="minorHAnsi"/>
                <w:lang w:val="bs-Latn-BA"/>
              </w:rPr>
              <w:t xml:space="preserve"> za provođenje procesa energijske obnove zgrada</w:t>
            </w:r>
            <w:r>
              <w:rPr>
                <w:rFonts w:asciiTheme="minorHAnsi" w:eastAsia="Calibri" w:hAnsiTheme="minorHAnsi" w:cstheme="minorHAnsi"/>
                <w:lang w:val="bs-Latn-BA"/>
              </w:rPr>
              <w:t>.</w:t>
            </w:r>
          </w:p>
          <w:p w14:paraId="4106EFBF" w14:textId="451420D4" w:rsidR="00434780" w:rsidRPr="007F1ECE" w:rsidRDefault="00E12289"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lang w:val="bs-Latn-BA"/>
              </w:rPr>
            </w:pPr>
            <w:r w:rsidRPr="007F1ECE">
              <w:rPr>
                <w:rFonts w:asciiTheme="minorHAnsi" w:eastAsia="Calibri" w:hAnsiTheme="minorHAnsi" w:cstheme="minorHAnsi"/>
                <w:b/>
                <w:bCs/>
                <w:lang w:val="bs-Latn-BA"/>
              </w:rPr>
              <w:t>20% korisnika je svjesno pozitivnih učinaka integralne energijske obnove zgrada.</w:t>
            </w:r>
          </w:p>
        </w:tc>
      </w:tr>
      <w:tr w:rsidR="00A778B5" w:rsidRPr="001972F5" w14:paraId="771463A2" w14:textId="77777777" w:rsidTr="00142A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40E0EFB9" w14:textId="0F76D355" w:rsidR="00A778B5" w:rsidRPr="00142A2D" w:rsidRDefault="00E12289" w:rsidP="00A778B5">
            <w:pPr>
              <w:spacing w:after="60"/>
              <w:rPr>
                <w:rFonts w:asciiTheme="minorHAnsi" w:eastAsia="Calibri" w:hAnsiTheme="minorHAnsi" w:cstheme="minorHAnsi"/>
                <w:lang w:val="bs-Latn-BA"/>
              </w:rPr>
            </w:pPr>
            <w:r>
              <w:rPr>
                <w:rFonts w:asciiTheme="minorHAnsi" w:eastAsia="Calibri" w:hAnsiTheme="minorHAnsi" w:cstheme="minorHAnsi"/>
                <w:lang w:val="bs-Latn-BA"/>
              </w:rPr>
              <w:lastRenderedPageBreak/>
              <w:t>2030</w:t>
            </w:r>
          </w:p>
        </w:tc>
        <w:tc>
          <w:tcPr>
            <w:tcW w:w="8017" w:type="dxa"/>
          </w:tcPr>
          <w:p w14:paraId="54021F8A" w14:textId="5C9628A9" w:rsidR="00E12289" w:rsidRPr="00142A2D" w:rsidRDefault="00E12289" w:rsidP="00E12289">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Provodi se kontinuirana transpozicija ažuriranih EU direktiva  vezanih za EE u zakonodavstvo FBiH</w:t>
            </w:r>
            <w:r>
              <w:rPr>
                <w:rFonts w:asciiTheme="minorHAnsi" w:eastAsia="Calibri" w:hAnsiTheme="minorHAnsi" w:cstheme="minorHAnsi"/>
                <w:lang w:val="bs-Latn-BA"/>
              </w:rPr>
              <w:t>.</w:t>
            </w:r>
          </w:p>
          <w:p w14:paraId="3645533B" w14:textId="77777777" w:rsidR="00E12289" w:rsidRDefault="00E12289" w:rsidP="00E12289">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Kreira se okruženje za efikasno provođenje obnove zgrada u FBiH</w:t>
            </w:r>
            <w:r>
              <w:rPr>
                <w:rFonts w:asciiTheme="minorHAnsi" w:eastAsia="Calibri" w:hAnsiTheme="minorHAnsi" w:cstheme="minorHAnsi"/>
                <w:lang w:val="bs-Latn-BA"/>
              </w:rPr>
              <w:t>.</w:t>
            </w:r>
            <w:r w:rsidRPr="00142A2D">
              <w:rPr>
                <w:rFonts w:asciiTheme="minorHAnsi" w:eastAsia="Calibri" w:hAnsiTheme="minorHAnsi" w:cstheme="minorHAnsi"/>
                <w:lang w:val="bs-Latn-BA"/>
              </w:rPr>
              <w:t xml:space="preserve"> </w:t>
            </w:r>
          </w:p>
          <w:p w14:paraId="10597004" w14:textId="65382737" w:rsidR="00A778B5" w:rsidRPr="00142A2D" w:rsidRDefault="00A778B5" w:rsidP="00E12289">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Godišnje se obnavlja 1,5 % korisne grijane površine stambenih zgrada</w:t>
            </w:r>
            <w:r w:rsidR="00E12289">
              <w:rPr>
                <w:rFonts w:asciiTheme="minorHAnsi" w:eastAsia="Calibri" w:hAnsiTheme="minorHAnsi" w:cstheme="minorHAnsi"/>
                <w:lang w:val="bs-Latn-BA"/>
              </w:rPr>
              <w:t>.</w:t>
            </w:r>
          </w:p>
          <w:p w14:paraId="522AFAD5" w14:textId="1EA7AE9B"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Povećava se udio zgrada individualnog stanovanja </w:t>
            </w:r>
            <w:r w:rsidR="00115491">
              <w:rPr>
                <w:rFonts w:asciiTheme="minorHAnsi" w:eastAsia="Calibri" w:hAnsiTheme="minorHAnsi" w:cstheme="minorHAnsi"/>
                <w:lang w:val="bs-Latn-BA"/>
              </w:rPr>
              <w:t>koji se obnavlja</w:t>
            </w:r>
            <w:r w:rsidR="00E12289">
              <w:rPr>
                <w:rFonts w:asciiTheme="minorHAnsi" w:eastAsia="Calibri" w:hAnsiTheme="minorHAnsi" w:cstheme="minorHAnsi"/>
                <w:lang w:val="bs-Latn-BA"/>
              </w:rPr>
              <w:t>.</w:t>
            </w:r>
          </w:p>
          <w:p w14:paraId="55E58BC1" w14:textId="3C76E19C"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Godišnje se obnavlja 2,5 % korisne grijane površine javnih zgrada</w:t>
            </w:r>
            <w:r w:rsidR="00E12289">
              <w:rPr>
                <w:rFonts w:asciiTheme="minorHAnsi" w:eastAsia="Calibri" w:hAnsiTheme="minorHAnsi" w:cstheme="minorHAnsi"/>
                <w:lang w:val="bs-Latn-BA"/>
              </w:rPr>
              <w:t>.</w:t>
            </w:r>
          </w:p>
          <w:p w14:paraId="622F44CD" w14:textId="21E23745"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Energijska </w:t>
            </w:r>
            <w:r w:rsidR="00E12289">
              <w:rPr>
                <w:rFonts w:asciiTheme="minorHAnsi" w:eastAsia="Calibri" w:hAnsiTheme="minorHAnsi" w:cstheme="minorHAnsi"/>
                <w:lang w:val="bs-Latn-BA"/>
              </w:rPr>
              <w:t>obnova</w:t>
            </w:r>
            <w:r w:rsidRPr="00142A2D">
              <w:rPr>
                <w:rFonts w:asciiTheme="minorHAnsi" w:eastAsia="Calibri" w:hAnsiTheme="minorHAnsi" w:cstheme="minorHAnsi"/>
                <w:lang w:val="bs-Latn-BA"/>
              </w:rPr>
              <w:t xml:space="preserve"> ostalih kategorija zgrada se odvija prema programima energijske </w:t>
            </w:r>
            <w:r w:rsidR="00115491">
              <w:rPr>
                <w:rFonts w:asciiTheme="minorHAnsi" w:eastAsia="Calibri" w:hAnsiTheme="minorHAnsi" w:cstheme="minorHAnsi"/>
                <w:lang w:val="bs-Latn-BA"/>
              </w:rPr>
              <w:t>obnove</w:t>
            </w:r>
            <w:r w:rsidR="00E12289">
              <w:rPr>
                <w:rFonts w:asciiTheme="minorHAnsi" w:eastAsia="Calibri" w:hAnsiTheme="minorHAnsi" w:cstheme="minorHAnsi"/>
                <w:lang w:val="bs-Latn-BA"/>
              </w:rPr>
              <w:t>.</w:t>
            </w:r>
          </w:p>
          <w:p w14:paraId="4A6F5692" w14:textId="0D838601"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30 % stambenog fonda je priključen</w:t>
            </w:r>
            <w:r w:rsidR="00573C56">
              <w:rPr>
                <w:rFonts w:asciiTheme="minorHAnsi" w:eastAsia="Calibri" w:hAnsiTheme="minorHAnsi" w:cstheme="minorHAnsi"/>
                <w:lang w:val="bs-Latn-BA"/>
              </w:rPr>
              <w:t>o</w:t>
            </w:r>
            <w:r w:rsidRPr="00142A2D">
              <w:rPr>
                <w:rFonts w:asciiTheme="minorHAnsi" w:eastAsia="Calibri" w:hAnsiTheme="minorHAnsi" w:cstheme="minorHAnsi"/>
                <w:lang w:val="bs-Latn-BA"/>
              </w:rPr>
              <w:t xml:space="preserve"> na sisteme daljinskog grijanja</w:t>
            </w:r>
            <w:r w:rsidR="00E12289">
              <w:rPr>
                <w:rFonts w:asciiTheme="minorHAnsi" w:eastAsia="Calibri" w:hAnsiTheme="minorHAnsi" w:cstheme="minorHAnsi"/>
                <w:lang w:val="bs-Latn-BA"/>
              </w:rPr>
              <w:t>.</w:t>
            </w:r>
          </w:p>
          <w:p w14:paraId="2C5900AC" w14:textId="1D270E09"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Energijske karakteristike obnovljenih stambenih zgrada i termotehničkih sistema su visokoefikasne</w:t>
            </w:r>
            <w:r w:rsidR="00E12289">
              <w:rPr>
                <w:rFonts w:asciiTheme="minorHAnsi" w:eastAsia="Calibri" w:hAnsiTheme="minorHAnsi" w:cstheme="minorHAnsi"/>
                <w:lang w:val="bs-Latn-BA"/>
              </w:rPr>
              <w:t>.</w:t>
            </w:r>
          </w:p>
          <w:p w14:paraId="70B874C6" w14:textId="7E6F0610" w:rsidR="006A5B23" w:rsidRPr="00142A2D" w:rsidRDefault="006A5B23" w:rsidP="006A5B23">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30% zgrada koristi</w:t>
            </w:r>
            <w:r w:rsidR="005D02BC">
              <w:rPr>
                <w:rFonts w:asciiTheme="minorHAnsi" w:eastAsia="Calibri" w:hAnsiTheme="minorHAnsi" w:cstheme="minorHAnsi"/>
                <w:lang w:val="bs-Latn-BA"/>
              </w:rPr>
              <w:t xml:space="preserve"> </w:t>
            </w:r>
            <w:r w:rsidRPr="00142A2D">
              <w:rPr>
                <w:rFonts w:asciiTheme="minorHAnsi" w:eastAsia="Calibri" w:hAnsiTheme="minorHAnsi" w:cstheme="minorHAnsi"/>
                <w:lang w:val="bs-Latn-BA"/>
              </w:rPr>
              <w:t>OIE</w:t>
            </w:r>
            <w:r>
              <w:rPr>
                <w:rFonts w:asciiTheme="minorHAnsi" w:eastAsia="Calibri" w:hAnsiTheme="minorHAnsi" w:cstheme="minorHAnsi"/>
                <w:lang w:val="bs-Latn-BA"/>
              </w:rPr>
              <w:t>.</w:t>
            </w:r>
          </w:p>
          <w:p w14:paraId="023AAB3D" w14:textId="04489644" w:rsidR="00434780" w:rsidRPr="00142A2D" w:rsidRDefault="00434780" w:rsidP="00434780">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Ukupno obnovljeno  4,2 % stambenih zgrada i 26,</w:t>
            </w:r>
            <w:r w:rsidR="00362BCC">
              <w:rPr>
                <w:rFonts w:asciiTheme="minorHAnsi" w:eastAsia="Calibri" w:hAnsiTheme="minorHAnsi" w:cstheme="minorHAnsi"/>
                <w:b/>
                <w:bCs/>
                <w:lang w:val="bs-Latn-BA"/>
              </w:rPr>
              <w:t>45</w:t>
            </w:r>
            <w:r w:rsidR="00234A0D" w:rsidRPr="00142A2D">
              <w:rPr>
                <w:rFonts w:asciiTheme="minorHAnsi" w:eastAsia="Calibri" w:hAnsiTheme="minorHAnsi" w:cstheme="minorHAnsi"/>
                <w:b/>
                <w:bCs/>
                <w:lang w:val="bs-Latn-BA"/>
              </w:rPr>
              <w:t xml:space="preserve"> </w:t>
            </w:r>
            <w:r w:rsidRPr="00142A2D">
              <w:rPr>
                <w:rFonts w:asciiTheme="minorHAnsi" w:eastAsia="Calibri" w:hAnsiTheme="minorHAnsi" w:cstheme="minorHAnsi"/>
                <w:b/>
                <w:bCs/>
                <w:lang w:val="bs-Latn-BA"/>
              </w:rPr>
              <w:t>% javnih zgrada</w:t>
            </w:r>
            <w:r w:rsidR="00E12289">
              <w:rPr>
                <w:rFonts w:asciiTheme="minorHAnsi" w:eastAsia="Calibri" w:hAnsiTheme="minorHAnsi" w:cstheme="minorHAnsi"/>
                <w:b/>
                <w:bCs/>
                <w:lang w:val="bs-Latn-BA"/>
              </w:rPr>
              <w:t>.</w:t>
            </w:r>
          </w:p>
          <w:p w14:paraId="1FC7ED46" w14:textId="6FB96B51" w:rsidR="00434780" w:rsidRPr="00142A2D" w:rsidRDefault="00434780" w:rsidP="00434780">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 xml:space="preserve">Ostvarene ušteda energije primjenom mjera energijske </w:t>
            </w:r>
            <w:r w:rsidR="00E12289">
              <w:rPr>
                <w:rFonts w:asciiTheme="minorHAnsi" w:eastAsia="Calibri" w:hAnsiTheme="minorHAnsi" w:cstheme="minorHAnsi"/>
                <w:b/>
                <w:bCs/>
                <w:lang w:val="bs-Latn-BA"/>
              </w:rPr>
              <w:t>obnov</w:t>
            </w:r>
            <w:r w:rsidRPr="00142A2D">
              <w:rPr>
                <w:rFonts w:asciiTheme="minorHAnsi" w:eastAsia="Calibri" w:hAnsiTheme="minorHAnsi" w:cstheme="minorHAnsi"/>
                <w:b/>
                <w:bCs/>
                <w:lang w:val="bs-Latn-BA"/>
              </w:rPr>
              <w:t>e 1.</w:t>
            </w:r>
            <w:r w:rsidR="0096521D" w:rsidRPr="00142A2D">
              <w:rPr>
                <w:rFonts w:asciiTheme="minorHAnsi" w:eastAsia="Calibri" w:hAnsiTheme="minorHAnsi" w:cstheme="minorHAnsi"/>
                <w:b/>
                <w:bCs/>
                <w:lang w:val="bs-Latn-BA"/>
              </w:rPr>
              <w:t>20</w:t>
            </w:r>
            <w:r w:rsidR="00362BCC">
              <w:rPr>
                <w:rFonts w:asciiTheme="minorHAnsi" w:eastAsia="Calibri" w:hAnsiTheme="minorHAnsi" w:cstheme="minorHAnsi"/>
                <w:b/>
                <w:bCs/>
                <w:lang w:val="bs-Latn-BA"/>
              </w:rPr>
              <w:t>4</w:t>
            </w:r>
            <w:r w:rsidR="0096521D" w:rsidRPr="00142A2D">
              <w:rPr>
                <w:rFonts w:asciiTheme="minorHAnsi" w:eastAsia="Calibri" w:hAnsiTheme="minorHAnsi" w:cstheme="minorHAnsi"/>
                <w:b/>
                <w:bCs/>
                <w:lang w:val="bs-Latn-BA"/>
              </w:rPr>
              <w:t xml:space="preserve"> </w:t>
            </w:r>
            <w:r w:rsidRPr="00142A2D">
              <w:rPr>
                <w:rFonts w:asciiTheme="minorHAnsi" w:eastAsia="Calibri" w:hAnsiTheme="minorHAnsi" w:cstheme="minorHAnsi"/>
                <w:b/>
                <w:bCs/>
                <w:lang w:val="bs-Latn-BA"/>
              </w:rPr>
              <w:t>GWh</w:t>
            </w:r>
            <w:r w:rsidR="00E12289">
              <w:rPr>
                <w:rFonts w:asciiTheme="minorHAnsi" w:eastAsia="Calibri" w:hAnsiTheme="minorHAnsi" w:cstheme="minorHAnsi"/>
                <w:b/>
                <w:bCs/>
                <w:lang w:val="bs-Latn-BA"/>
              </w:rPr>
              <w:t>.</w:t>
            </w:r>
          </w:p>
          <w:p w14:paraId="395EF453" w14:textId="3757009B" w:rsidR="00434780" w:rsidRPr="00142A2D" w:rsidRDefault="00434780" w:rsidP="00434780">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Ostvarena ušteda emisije CO2, 1.</w:t>
            </w:r>
            <w:r w:rsidR="0096521D" w:rsidRPr="00142A2D">
              <w:rPr>
                <w:rFonts w:asciiTheme="minorHAnsi" w:eastAsia="Calibri" w:hAnsiTheme="minorHAnsi" w:cstheme="minorHAnsi"/>
                <w:b/>
                <w:bCs/>
                <w:lang w:val="bs-Latn-BA"/>
              </w:rPr>
              <w:t>3</w:t>
            </w:r>
            <w:r w:rsidR="00362BCC">
              <w:rPr>
                <w:rFonts w:asciiTheme="minorHAnsi" w:eastAsia="Calibri" w:hAnsiTheme="minorHAnsi" w:cstheme="minorHAnsi"/>
                <w:b/>
                <w:bCs/>
                <w:lang w:val="bs-Latn-BA"/>
              </w:rPr>
              <w:t>21</w:t>
            </w:r>
            <w:r w:rsidRPr="00142A2D">
              <w:rPr>
                <w:rFonts w:asciiTheme="minorHAnsi" w:eastAsia="Calibri" w:hAnsiTheme="minorHAnsi" w:cstheme="minorHAnsi"/>
                <w:b/>
                <w:bCs/>
                <w:lang w:val="bs-Latn-BA"/>
              </w:rPr>
              <w:t>∙10</w:t>
            </w:r>
            <w:r w:rsidRPr="00E12289">
              <w:rPr>
                <w:rFonts w:asciiTheme="minorHAnsi" w:eastAsia="Calibri" w:hAnsiTheme="minorHAnsi" w:cstheme="minorHAnsi"/>
                <w:b/>
                <w:bCs/>
                <w:vertAlign w:val="superscript"/>
                <w:lang w:val="bs-Latn-BA"/>
              </w:rPr>
              <w:t>3</w:t>
            </w:r>
            <w:r w:rsidR="00A522CA" w:rsidRPr="00142A2D">
              <w:rPr>
                <w:rFonts w:asciiTheme="minorHAnsi" w:eastAsia="Calibri" w:hAnsiTheme="minorHAnsi" w:cstheme="minorHAnsi"/>
                <w:b/>
                <w:bCs/>
                <w:lang w:val="bs-Latn-BA"/>
              </w:rPr>
              <w:t xml:space="preserve"> </w:t>
            </w:r>
            <w:r w:rsidRPr="00142A2D">
              <w:rPr>
                <w:rFonts w:asciiTheme="minorHAnsi" w:eastAsia="Calibri" w:hAnsiTheme="minorHAnsi" w:cstheme="minorHAnsi"/>
                <w:b/>
                <w:bCs/>
                <w:lang w:val="bs-Latn-BA"/>
              </w:rPr>
              <w:t>t/god.</w:t>
            </w:r>
          </w:p>
          <w:p w14:paraId="6D7B93F5" w14:textId="4D109E0B"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Podstiče se obnova stambenih zgrada koja rezultira niskom vrijednosti potrošnje finalne energije</w:t>
            </w:r>
            <w:r w:rsidR="006A5B23">
              <w:rPr>
                <w:rFonts w:asciiTheme="minorHAnsi" w:eastAsia="Calibri" w:hAnsiTheme="minorHAnsi" w:cstheme="minorHAnsi"/>
                <w:lang w:val="bs-Latn-BA"/>
              </w:rPr>
              <w:t>.</w:t>
            </w:r>
          </w:p>
          <w:p w14:paraId="38E8172A" w14:textId="2A318F6E"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Sve nove javne zgrade </w:t>
            </w:r>
            <w:r w:rsidR="0096521D">
              <w:rPr>
                <w:rFonts w:asciiTheme="minorHAnsi" w:eastAsia="Calibri" w:hAnsiTheme="minorHAnsi" w:cstheme="minorHAnsi"/>
                <w:lang w:val="bs-Latn-BA"/>
              </w:rPr>
              <w:t>bi trebale biti izgrađene</w:t>
            </w:r>
            <w:r w:rsidRPr="00142A2D">
              <w:rPr>
                <w:rFonts w:asciiTheme="minorHAnsi" w:eastAsia="Calibri" w:hAnsiTheme="minorHAnsi" w:cstheme="minorHAnsi"/>
                <w:lang w:val="bs-Latn-BA"/>
              </w:rPr>
              <w:t xml:space="preserve"> u skladu sa </w:t>
            </w:r>
            <w:r w:rsidR="00540A41">
              <w:rPr>
                <w:rFonts w:asciiTheme="minorHAnsi" w:eastAsia="Calibri" w:hAnsiTheme="minorHAnsi" w:cstheme="minorHAnsi"/>
                <w:lang w:val="bs-Latn-BA"/>
              </w:rPr>
              <w:t>uvjet</w:t>
            </w:r>
            <w:r w:rsidRPr="00142A2D">
              <w:rPr>
                <w:rFonts w:asciiTheme="minorHAnsi" w:eastAsia="Calibri" w:hAnsiTheme="minorHAnsi" w:cstheme="minorHAnsi"/>
                <w:lang w:val="bs-Latn-BA"/>
              </w:rPr>
              <w:t xml:space="preserve">ima nZEB, kao i sve </w:t>
            </w:r>
            <w:r w:rsidR="00115491">
              <w:rPr>
                <w:rFonts w:asciiTheme="minorHAnsi" w:eastAsia="Calibri" w:hAnsiTheme="minorHAnsi" w:cstheme="minorHAnsi"/>
                <w:lang w:val="bs-Latn-BA"/>
              </w:rPr>
              <w:t>obnovljene</w:t>
            </w:r>
            <w:r w:rsidR="00115491" w:rsidRPr="00142A2D">
              <w:rPr>
                <w:rFonts w:asciiTheme="minorHAnsi" w:eastAsia="Calibri" w:hAnsiTheme="minorHAnsi" w:cstheme="minorHAnsi"/>
                <w:lang w:val="bs-Latn-BA"/>
              </w:rPr>
              <w:t xml:space="preserve"> </w:t>
            </w:r>
            <w:r w:rsidRPr="00142A2D">
              <w:rPr>
                <w:rFonts w:asciiTheme="minorHAnsi" w:eastAsia="Calibri" w:hAnsiTheme="minorHAnsi" w:cstheme="minorHAnsi"/>
                <w:lang w:val="bs-Latn-BA"/>
              </w:rPr>
              <w:t>javne zgrade</w:t>
            </w:r>
            <w:r w:rsidR="006A5B23">
              <w:rPr>
                <w:rFonts w:asciiTheme="minorHAnsi" w:eastAsia="Calibri" w:hAnsiTheme="minorHAnsi" w:cstheme="minorHAnsi"/>
                <w:lang w:val="bs-Latn-BA"/>
              </w:rPr>
              <w:t>.</w:t>
            </w:r>
          </w:p>
          <w:p w14:paraId="4D893A89" w14:textId="5175A795" w:rsidR="00434780" w:rsidRPr="00142A2D" w:rsidRDefault="00434780"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Provodi se kontinuirana promocija EE u zgradarstvu i jača</w:t>
            </w:r>
            <w:r w:rsidR="006A5B23">
              <w:rPr>
                <w:rFonts w:asciiTheme="minorHAnsi" w:eastAsia="Calibri" w:hAnsiTheme="minorHAnsi" w:cstheme="minorHAnsi"/>
                <w:lang w:val="bs-Latn-BA"/>
              </w:rPr>
              <w:t>ju</w:t>
            </w:r>
            <w:r w:rsidRPr="00142A2D">
              <w:rPr>
                <w:rFonts w:asciiTheme="minorHAnsi" w:eastAsia="Calibri" w:hAnsiTheme="minorHAnsi" w:cstheme="minorHAnsi"/>
                <w:lang w:val="bs-Latn-BA"/>
              </w:rPr>
              <w:t xml:space="preserve"> institucionalni kapacitet</w:t>
            </w:r>
            <w:r w:rsidR="006A5B23">
              <w:rPr>
                <w:rFonts w:asciiTheme="minorHAnsi" w:eastAsia="Calibri" w:hAnsiTheme="minorHAnsi" w:cstheme="minorHAnsi"/>
                <w:lang w:val="bs-Latn-BA"/>
              </w:rPr>
              <w:t>i</w:t>
            </w:r>
            <w:r w:rsidRPr="00142A2D">
              <w:rPr>
                <w:rFonts w:asciiTheme="minorHAnsi" w:eastAsia="Calibri" w:hAnsiTheme="minorHAnsi" w:cstheme="minorHAnsi"/>
                <w:lang w:val="bs-Latn-BA"/>
              </w:rPr>
              <w:t xml:space="preserve"> za provođenje procesa energijske obnove zgrada</w:t>
            </w:r>
            <w:r w:rsidR="006A5B23">
              <w:rPr>
                <w:rFonts w:asciiTheme="minorHAnsi" w:eastAsia="Calibri" w:hAnsiTheme="minorHAnsi" w:cstheme="minorHAnsi"/>
                <w:lang w:val="bs-Latn-BA"/>
              </w:rPr>
              <w:t>.</w:t>
            </w:r>
          </w:p>
          <w:p w14:paraId="3ACD7528" w14:textId="0FC92A6C" w:rsidR="00A778B5" w:rsidRPr="00142A2D" w:rsidRDefault="00A778B5"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50% korisnika je svjesno pozitivnih učinaka integralne energijske obnove zgrada</w:t>
            </w:r>
            <w:r w:rsidR="006A5B23">
              <w:rPr>
                <w:rFonts w:asciiTheme="minorHAnsi" w:eastAsia="Calibri" w:hAnsiTheme="minorHAnsi" w:cstheme="minorHAnsi"/>
                <w:b/>
                <w:bCs/>
                <w:lang w:val="bs-Latn-BA"/>
              </w:rPr>
              <w:t>.</w:t>
            </w:r>
          </w:p>
        </w:tc>
      </w:tr>
      <w:tr w:rsidR="00A778B5" w:rsidRPr="001972F5" w14:paraId="54F1391D" w14:textId="77777777" w:rsidTr="00142A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tcPr>
          <w:p w14:paraId="185E2BD5" w14:textId="4124E4DC" w:rsidR="00A778B5" w:rsidRPr="00142A2D" w:rsidRDefault="006A5B23" w:rsidP="00A778B5">
            <w:pPr>
              <w:spacing w:after="60"/>
              <w:rPr>
                <w:rFonts w:asciiTheme="minorHAnsi" w:eastAsia="Calibri" w:hAnsiTheme="minorHAnsi" w:cstheme="minorHAnsi"/>
                <w:lang w:val="bs-Latn-BA"/>
              </w:rPr>
            </w:pPr>
            <w:r>
              <w:rPr>
                <w:rFonts w:asciiTheme="minorHAnsi" w:eastAsia="Calibri" w:hAnsiTheme="minorHAnsi" w:cstheme="minorHAnsi"/>
                <w:lang w:val="bs-Latn-BA"/>
              </w:rPr>
              <w:t>2040</w:t>
            </w:r>
          </w:p>
        </w:tc>
        <w:tc>
          <w:tcPr>
            <w:tcW w:w="8017" w:type="dxa"/>
          </w:tcPr>
          <w:p w14:paraId="4F157545" w14:textId="3F6C91AE" w:rsidR="006A5B23" w:rsidRPr="006A5B23" w:rsidRDefault="006A5B23" w:rsidP="006A5B23">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A5B23">
              <w:rPr>
                <w:rFonts w:asciiTheme="minorHAnsi" w:eastAsia="Calibri" w:hAnsiTheme="minorHAnsi" w:cstheme="minorHAnsi"/>
                <w:lang w:val="bs-Latn-BA"/>
              </w:rPr>
              <w:t>Provodi se kontinuirana transpozicija ažuriranih EU direktiva  vezanih za EE u zakonodavstvo FBiH</w:t>
            </w:r>
            <w:r>
              <w:rPr>
                <w:rFonts w:asciiTheme="minorHAnsi" w:eastAsia="Calibri" w:hAnsiTheme="minorHAnsi" w:cstheme="minorHAnsi"/>
                <w:lang w:val="bs-Latn-BA"/>
              </w:rPr>
              <w:t>.</w:t>
            </w:r>
          </w:p>
          <w:p w14:paraId="5D4BF520" w14:textId="431D9E2C" w:rsidR="006A5B23" w:rsidRDefault="006A5B23" w:rsidP="006A5B23">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6A5B23">
              <w:rPr>
                <w:rFonts w:asciiTheme="minorHAnsi" w:eastAsia="Calibri" w:hAnsiTheme="minorHAnsi" w:cstheme="minorHAnsi"/>
                <w:lang w:val="bs-Latn-BA"/>
              </w:rPr>
              <w:t>Unaprijeđuje se okruženje za efikasno provođenje obnove zgrada u FBiH</w:t>
            </w:r>
            <w:r>
              <w:rPr>
                <w:rFonts w:asciiTheme="minorHAnsi" w:eastAsia="Calibri" w:hAnsiTheme="minorHAnsi" w:cstheme="minorHAnsi"/>
                <w:lang w:val="bs-Latn-BA"/>
              </w:rPr>
              <w:t>.</w:t>
            </w:r>
          </w:p>
          <w:p w14:paraId="6FC4517C" w14:textId="6249CF48" w:rsidR="00A778B5" w:rsidRPr="00142A2D" w:rsidRDefault="00A778B5"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Godišnje se obnavlja 1,5 % korisne grijane površine stambenih zgrada</w:t>
            </w:r>
            <w:r w:rsidR="006A5B23">
              <w:rPr>
                <w:rFonts w:asciiTheme="minorHAnsi" w:eastAsia="Calibri" w:hAnsiTheme="minorHAnsi" w:cstheme="minorHAnsi"/>
                <w:lang w:val="bs-Latn-BA"/>
              </w:rPr>
              <w:t>.</w:t>
            </w:r>
          </w:p>
          <w:p w14:paraId="5976EA59" w14:textId="44A1DA11" w:rsidR="00A778B5" w:rsidRPr="00142A2D" w:rsidRDefault="00A778B5"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Godišnje se obnavlja 2,5 % korisne grijane površine javnih zgrada</w:t>
            </w:r>
            <w:r w:rsidR="006A5B23">
              <w:rPr>
                <w:rFonts w:asciiTheme="minorHAnsi" w:eastAsia="Calibri" w:hAnsiTheme="minorHAnsi" w:cstheme="minorHAnsi"/>
                <w:lang w:val="bs-Latn-BA"/>
              </w:rPr>
              <w:t>.</w:t>
            </w:r>
          </w:p>
          <w:p w14:paraId="42092C2D" w14:textId="5A158440" w:rsidR="00A778B5" w:rsidRPr="00142A2D" w:rsidRDefault="00A778B5"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lastRenderedPageBreak/>
              <w:t xml:space="preserve">Energijska </w:t>
            </w:r>
            <w:r w:rsidR="006A5B23">
              <w:rPr>
                <w:rFonts w:asciiTheme="minorHAnsi" w:eastAsia="Calibri" w:hAnsiTheme="minorHAnsi" w:cstheme="minorHAnsi"/>
                <w:lang w:val="bs-Latn-BA"/>
              </w:rPr>
              <w:t>obnova</w:t>
            </w:r>
            <w:r w:rsidRPr="00142A2D">
              <w:rPr>
                <w:rFonts w:asciiTheme="minorHAnsi" w:eastAsia="Calibri" w:hAnsiTheme="minorHAnsi" w:cstheme="minorHAnsi"/>
                <w:lang w:val="bs-Latn-BA"/>
              </w:rPr>
              <w:t xml:space="preserve"> ostalih kategorija zgrada se odvija prema programima energijske </w:t>
            </w:r>
            <w:r w:rsidR="00115491">
              <w:rPr>
                <w:rFonts w:asciiTheme="minorHAnsi" w:eastAsia="Calibri" w:hAnsiTheme="minorHAnsi" w:cstheme="minorHAnsi"/>
                <w:lang w:val="bs-Latn-BA"/>
              </w:rPr>
              <w:t>obnove</w:t>
            </w:r>
            <w:r w:rsidR="006A5B23">
              <w:rPr>
                <w:rFonts w:asciiTheme="minorHAnsi" w:eastAsia="Calibri" w:hAnsiTheme="minorHAnsi" w:cstheme="minorHAnsi"/>
                <w:lang w:val="bs-Latn-BA"/>
              </w:rPr>
              <w:t>.</w:t>
            </w:r>
          </w:p>
          <w:p w14:paraId="74F09E00" w14:textId="4A582A01" w:rsidR="00A778B5" w:rsidRPr="00142A2D" w:rsidRDefault="00A778B5"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Poveća</w:t>
            </w:r>
            <w:r w:rsidR="007344AF">
              <w:rPr>
                <w:rFonts w:asciiTheme="minorHAnsi" w:eastAsia="Calibri" w:hAnsiTheme="minorHAnsi" w:cstheme="minorHAnsi"/>
                <w:lang w:val="bs-Latn-BA"/>
              </w:rPr>
              <w:t>va se udio</w:t>
            </w:r>
            <w:r w:rsidRPr="00142A2D">
              <w:rPr>
                <w:rFonts w:asciiTheme="minorHAnsi" w:eastAsia="Calibri" w:hAnsiTheme="minorHAnsi" w:cstheme="minorHAnsi"/>
                <w:lang w:val="bs-Latn-BA"/>
              </w:rPr>
              <w:t xml:space="preserve"> stambenog fonda  priključenog na sisteme daljinskog grijanja</w:t>
            </w:r>
            <w:r w:rsidR="006A5B23">
              <w:rPr>
                <w:rFonts w:asciiTheme="minorHAnsi" w:eastAsia="Calibri" w:hAnsiTheme="minorHAnsi" w:cstheme="minorHAnsi"/>
                <w:lang w:val="bs-Latn-BA"/>
              </w:rPr>
              <w:t>.</w:t>
            </w:r>
          </w:p>
          <w:p w14:paraId="4DEA562B" w14:textId="4892332C" w:rsidR="00A778B5" w:rsidRPr="00142A2D" w:rsidRDefault="00A778B5"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Energijske karakteristike obnovljenih stambenih zgrada i termotehničkih sistema su visokoefikasne</w:t>
            </w:r>
            <w:r w:rsidR="006A5B23">
              <w:rPr>
                <w:rFonts w:asciiTheme="minorHAnsi" w:eastAsia="Calibri" w:hAnsiTheme="minorHAnsi" w:cstheme="minorHAnsi"/>
                <w:lang w:val="bs-Latn-BA"/>
              </w:rPr>
              <w:t>.</w:t>
            </w:r>
          </w:p>
          <w:p w14:paraId="6A9BE0DD" w14:textId="3350474C" w:rsidR="0096521D" w:rsidRPr="00142A2D" w:rsidRDefault="0096521D" w:rsidP="0096521D">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Sve nove javne zgrade </w:t>
            </w:r>
            <w:r>
              <w:rPr>
                <w:rFonts w:asciiTheme="minorHAnsi" w:eastAsia="Calibri" w:hAnsiTheme="minorHAnsi" w:cstheme="minorHAnsi"/>
                <w:lang w:val="bs-Latn-BA"/>
              </w:rPr>
              <w:t>bi trebale biti izgrađene</w:t>
            </w:r>
            <w:r w:rsidRPr="00142A2D">
              <w:rPr>
                <w:rFonts w:asciiTheme="minorHAnsi" w:eastAsia="Calibri" w:hAnsiTheme="minorHAnsi" w:cstheme="minorHAnsi"/>
                <w:lang w:val="bs-Latn-BA"/>
              </w:rPr>
              <w:t xml:space="preserve"> u skladu sa </w:t>
            </w:r>
            <w:r w:rsidR="00540A41">
              <w:rPr>
                <w:rFonts w:asciiTheme="minorHAnsi" w:eastAsia="Calibri" w:hAnsiTheme="minorHAnsi" w:cstheme="minorHAnsi"/>
                <w:lang w:val="bs-Latn-BA"/>
              </w:rPr>
              <w:t>uvjet</w:t>
            </w:r>
            <w:r w:rsidRPr="00142A2D">
              <w:rPr>
                <w:rFonts w:asciiTheme="minorHAnsi" w:eastAsia="Calibri" w:hAnsiTheme="minorHAnsi" w:cstheme="minorHAnsi"/>
                <w:lang w:val="bs-Latn-BA"/>
              </w:rPr>
              <w:t xml:space="preserve">ima nZEB, kao i sve </w:t>
            </w:r>
            <w:r>
              <w:rPr>
                <w:rFonts w:asciiTheme="minorHAnsi" w:eastAsia="Calibri" w:hAnsiTheme="minorHAnsi" w:cstheme="minorHAnsi"/>
                <w:lang w:val="bs-Latn-BA"/>
              </w:rPr>
              <w:t>obnovljene</w:t>
            </w:r>
            <w:r w:rsidRPr="00142A2D">
              <w:rPr>
                <w:rFonts w:asciiTheme="minorHAnsi" w:eastAsia="Calibri" w:hAnsiTheme="minorHAnsi" w:cstheme="minorHAnsi"/>
                <w:lang w:val="bs-Latn-BA"/>
              </w:rPr>
              <w:t xml:space="preserve"> javne zgrade</w:t>
            </w:r>
            <w:r>
              <w:rPr>
                <w:rFonts w:asciiTheme="minorHAnsi" w:eastAsia="Calibri" w:hAnsiTheme="minorHAnsi" w:cstheme="minorHAnsi"/>
                <w:lang w:val="bs-Latn-BA"/>
              </w:rPr>
              <w:t>.</w:t>
            </w:r>
          </w:p>
          <w:p w14:paraId="2ED2AE32" w14:textId="4B0CCCDF" w:rsidR="00637F87" w:rsidRPr="00142A2D" w:rsidRDefault="00A522CA"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 xml:space="preserve">70 </w:t>
            </w:r>
            <w:r w:rsidR="00637F87" w:rsidRPr="00142A2D">
              <w:rPr>
                <w:rFonts w:asciiTheme="minorHAnsi" w:eastAsia="Calibri" w:hAnsiTheme="minorHAnsi" w:cstheme="minorHAnsi"/>
                <w:lang w:val="bs-Latn-BA"/>
              </w:rPr>
              <w:t>% zgrada koristi  OIE</w:t>
            </w:r>
            <w:r w:rsidR="006A5B23">
              <w:rPr>
                <w:rFonts w:asciiTheme="minorHAnsi" w:eastAsia="Calibri" w:hAnsiTheme="minorHAnsi" w:cstheme="minorHAnsi"/>
                <w:lang w:val="bs-Latn-BA"/>
              </w:rPr>
              <w:t>.</w:t>
            </w:r>
          </w:p>
          <w:p w14:paraId="5819BAC8" w14:textId="26176EBC"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 xml:space="preserve">Ukupno obnovljeno  12 % stambenih zgrada i </w:t>
            </w:r>
            <w:r w:rsidR="00362BCC">
              <w:rPr>
                <w:rFonts w:asciiTheme="minorHAnsi" w:eastAsia="Calibri" w:hAnsiTheme="minorHAnsi" w:cstheme="minorHAnsi"/>
                <w:b/>
                <w:bCs/>
                <w:lang w:val="bs-Latn-BA"/>
              </w:rPr>
              <w:t>47,24</w:t>
            </w:r>
            <w:r w:rsidRPr="00142A2D">
              <w:rPr>
                <w:rFonts w:asciiTheme="minorHAnsi" w:eastAsia="Calibri" w:hAnsiTheme="minorHAnsi" w:cstheme="minorHAnsi"/>
                <w:b/>
                <w:bCs/>
                <w:lang w:val="bs-Latn-BA"/>
              </w:rPr>
              <w:t xml:space="preserve"> % javnih zgrada</w:t>
            </w:r>
            <w:r w:rsidR="006A5B23">
              <w:rPr>
                <w:rFonts w:asciiTheme="minorHAnsi" w:eastAsia="Calibri" w:hAnsiTheme="minorHAnsi" w:cstheme="minorHAnsi"/>
                <w:b/>
                <w:bCs/>
                <w:lang w:val="bs-Latn-BA"/>
              </w:rPr>
              <w:t>.</w:t>
            </w:r>
          </w:p>
          <w:p w14:paraId="6E1F77C0" w14:textId="517C55CF"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 xml:space="preserve">Ostvarene ušteda energije primjenom mjera energijske </w:t>
            </w:r>
            <w:r w:rsidR="00115491">
              <w:rPr>
                <w:rFonts w:asciiTheme="minorHAnsi" w:eastAsia="Calibri" w:hAnsiTheme="minorHAnsi" w:cstheme="minorHAnsi"/>
                <w:b/>
                <w:bCs/>
                <w:lang w:val="bs-Latn-BA"/>
              </w:rPr>
              <w:t>obnove</w:t>
            </w:r>
            <w:r w:rsidR="00115491" w:rsidRPr="00142A2D">
              <w:rPr>
                <w:rFonts w:asciiTheme="minorHAnsi" w:eastAsia="Calibri" w:hAnsiTheme="minorHAnsi" w:cstheme="minorHAnsi"/>
                <w:b/>
                <w:bCs/>
                <w:lang w:val="bs-Latn-BA"/>
              </w:rPr>
              <w:t xml:space="preserve"> </w:t>
            </w:r>
            <w:r w:rsidRPr="00142A2D">
              <w:rPr>
                <w:rFonts w:asciiTheme="minorHAnsi" w:eastAsia="Calibri" w:hAnsiTheme="minorHAnsi" w:cstheme="minorHAnsi"/>
                <w:b/>
                <w:bCs/>
                <w:lang w:val="bs-Latn-BA"/>
              </w:rPr>
              <w:t>2.</w:t>
            </w:r>
            <w:r w:rsidR="0096521D" w:rsidRPr="00142A2D">
              <w:rPr>
                <w:rFonts w:asciiTheme="minorHAnsi" w:eastAsia="Calibri" w:hAnsiTheme="minorHAnsi" w:cstheme="minorHAnsi"/>
                <w:b/>
                <w:bCs/>
                <w:lang w:val="bs-Latn-BA"/>
              </w:rPr>
              <w:t>70</w:t>
            </w:r>
            <w:r w:rsidR="00362BCC">
              <w:rPr>
                <w:rFonts w:asciiTheme="minorHAnsi" w:eastAsia="Calibri" w:hAnsiTheme="minorHAnsi" w:cstheme="minorHAnsi"/>
                <w:b/>
                <w:bCs/>
                <w:lang w:val="bs-Latn-BA"/>
              </w:rPr>
              <w:t>8</w:t>
            </w:r>
            <w:r w:rsidR="0096521D" w:rsidRPr="00142A2D">
              <w:rPr>
                <w:rFonts w:asciiTheme="minorHAnsi" w:eastAsia="Calibri" w:hAnsiTheme="minorHAnsi" w:cstheme="minorHAnsi"/>
                <w:b/>
                <w:bCs/>
                <w:lang w:val="bs-Latn-BA"/>
              </w:rPr>
              <w:t xml:space="preserve"> </w:t>
            </w:r>
            <w:r w:rsidRPr="00142A2D">
              <w:rPr>
                <w:rFonts w:asciiTheme="minorHAnsi" w:eastAsia="Calibri" w:hAnsiTheme="minorHAnsi" w:cstheme="minorHAnsi"/>
                <w:b/>
                <w:bCs/>
                <w:lang w:val="bs-Latn-BA"/>
              </w:rPr>
              <w:t>GWh</w:t>
            </w:r>
            <w:r w:rsidR="006A5B23">
              <w:rPr>
                <w:rFonts w:asciiTheme="minorHAnsi" w:eastAsia="Calibri" w:hAnsiTheme="minorHAnsi" w:cstheme="minorHAnsi"/>
                <w:b/>
                <w:bCs/>
                <w:lang w:val="bs-Latn-BA"/>
              </w:rPr>
              <w:t>.</w:t>
            </w:r>
          </w:p>
          <w:p w14:paraId="425EE220" w14:textId="29F4B40D"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Ostvarena ušteda emisije CO</w:t>
            </w:r>
            <w:r w:rsidRPr="00142A2D">
              <w:rPr>
                <w:rFonts w:asciiTheme="minorHAnsi" w:eastAsia="Calibri" w:hAnsiTheme="minorHAnsi" w:cstheme="minorHAnsi"/>
                <w:b/>
                <w:bCs/>
                <w:vertAlign w:val="subscript"/>
                <w:lang w:val="bs-Latn-BA"/>
              </w:rPr>
              <w:t>2</w:t>
            </w:r>
            <w:r w:rsidRPr="00142A2D">
              <w:rPr>
                <w:rFonts w:asciiTheme="minorHAnsi" w:eastAsia="Calibri" w:hAnsiTheme="minorHAnsi" w:cstheme="minorHAnsi"/>
                <w:b/>
                <w:bCs/>
                <w:lang w:val="bs-Latn-BA"/>
              </w:rPr>
              <w:t>, 1.7</w:t>
            </w:r>
            <w:r w:rsidR="00362BCC">
              <w:rPr>
                <w:rFonts w:asciiTheme="minorHAnsi" w:eastAsia="Calibri" w:hAnsiTheme="minorHAnsi" w:cstheme="minorHAnsi"/>
                <w:b/>
                <w:bCs/>
                <w:lang w:val="bs-Latn-BA"/>
              </w:rPr>
              <w:t>80</w:t>
            </w:r>
            <w:r w:rsidRPr="00142A2D">
              <w:rPr>
                <w:rFonts w:asciiTheme="minorHAnsi" w:eastAsia="Calibri" w:hAnsiTheme="minorHAnsi" w:cstheme="minorHAnsi"/>
                <w:b/>
                <w:bCs/>
                <w:lang w:val="bs-Latn-BA"/>
              </w:rPr>
              <w:t>∙10</w:t>
            </w:r>
            <w:r w:rsidRPr="00142A2D">
              <w:rPr>
                <w:rFonts w:asciiTheme="minorHAnsi" w:eastAsia="Calibri" w:hAnsiTheme="minorHAnsi" w:cstheme="minorHAnsi"/>
                <w:b/>
                <w:bCs/>
                <w:vertAlign w:val="superscript"/>
                <w:lang w:val="bs-Latn-BA"/>
              </w:rPr>
              <w:t>3</w:t>
            </w:r>
            <w:r w:rsidR="006A5B23">
              <w:rPr>
                <w:rFonts w:asciiTheme="minorHAnsi" w:eastAsia="Calibri" w:hAnsiTheme="minorHAnsi" w:cstheme="minorHAnsi"/>
                <w:b/>
                <w:bCs/>
                <w:vertAlign w:val="superscript"/>
                <w:lang w:val="bs-Latn-BA"/>
              </w:rPr>
              <w:t xml:space="preserve"> </w:t>
            </w:r>
            <w:r w:rsidRPr="00142A2D">
              <w:rPr>
                <w:rFonts w:asciiTheme="minorHAnsi" w:eastAsia="Calibri" w:hAnsiTheme="minorHAnsi" w:cstheme="minorHAnsi"/>
                <w:b/>
                <w:bCs/>
                <w:lang w:val="bs-Latn-BA"/>
              </w:rPr>
              <w:t>t/god.</w:t>
            </w:r>
          </w:p>
          <w:p w14:paraId="7D69753C" w14:textId="5F1E2AA1" w:rsidR="00434780" w:rsidRPr="00142A2D" w:rsidRDefault="00434780"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Provodi se kontinuirana promocija EE u zgradarstvu i jača</w:t>
            </w:r>
            <w:r w:rsidR="006A5B23">
              <w:rPr>
                <w:rFonts w:asciiTheme="minorHAnsi" w:eastAsia="Calibri" w:hAnsiTheme="minorHAnsi" w:cstheme="minorHAnsi"/>
                <w:lang w:val="bs-Latn-BA"/>
              </w:rPr>
              <w:t>ju</w:t>
            </w:r>
            <w:r w:rsidRPr="00142A2D">
              <w:rPr>
                <w:rFonts w:asciiTheme="minorHAnsi" w:eastAsia="Calibri" w:hAnsiTheme="minorHAnsi" w:cstheme="minorHAnsi"/>
                <w:lang w:val="bs-Latn-BA"/>
              </w:rPr>
              <w:t xml:space="preserve"> institucionalni kapacitet</w:t>
            </w:r>
            <w:r w:rsidR="006A5B23">
              <w:rPr>
                <w:rFonts w:asciiTheme="minorHAnsi" w:eastAsia="Calibri" w:hAnsiTheme="minorHAnsi" w:cstheme="minorHAnsi"/>
                <w:lang w:val="bs-Latn-BA"/>
              </w:rPr>
              <w:t>i</w:t>
            </w:r>
            <w:r w:rsidRPr="00142A2D">
              <w:rPr>
                <w:rFonts w:asciiTheme="minorHAnsi" w:eastAsia="Calibri" w:hAnsiTheme="minorHAnsi" w:cstheme="minorHAnsi"/>
                <w:lang w:val="bs-Latn-BA"/>
              </w:rPr>
              <w:t xml:space="preserve"> za provođenje procesa energijske obnove zgrada</w:t>
            </w:r>
            <w:r w:rsidR="006A5B23">
              <w:rPr>
                <w:rFonts w:asciiTheme="minorHAnsi" w:eastAsia="Calibri" w:hAnsiTheme="minorHAnsi" w:cstheme="minorHAnsi"/>
                <w:lang w:val="bs-Latn-BA"/>
              </w:rPr>
              <w:t>.</w:t>
            </w:r>
          </w:p>
          <w:p w14:paraId="26458AF9" w14:textId="168FB80C" w:rsidR="00A778B5" w:rsidRPr="00142A2D" w:rsidRDefault="00A778B5" w:rsidP="00A778B5">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95% korisnika je svjesno pozitivnih učinaka integralne energijske obnove zgrada</w:t>
            </w:r>
          </w:p>
        </w:tc>
      </w:tr>
      <w:tr w:rsidR="00EB0EE4" w:rsidRPr="001972F5" w14:paraId="4FB4F3D9" w14:textId="77777777" w:rsidTr="00142A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0" w:type="dxa"/>
            <w:vMerge w:val="restart"/>
          </w:tcPr>
          <w:p w14:paraId="0AD51F9B" w14:textId="77777777" w:rsidR="00EB0EE4" w:rsidRPr="00142A2D" w:rsidRDefault="00EB0EE4" w:rsidP="00A778B5">
            <w:pPr>
              <w:spacing w:after="60"/>
              <w:rPr>
                <w:rFonts w:asciiTheme="minorHAnsi" w:eastAsia="Calibri" w:hAnsiTheme="minorHAnsi" w:cstheme="minorHAnsi"/>
                <w:b w:val="0"/>
                <w:bCs w:val="0"/>
                <w:lang w:val="bs-Latn-BA"/>
              </w:rPr>
            </w:pPr>
            <w:r w:rsidRPr="00142A2D">
              <w:rPr>
                <w:rFonts w:asciiTheme="minorHAnsi" w:eastAsia="Calibri" w:hAnsiTheme="minorHAnsi" w:cstheme="minorHAnsi"/>
                <w:lang w:val="bs-Latn-BA"/>
              </w:rPr>
              <w:lastRenderedPageBreak/>
              <w:t xml:space="preserve">2050. </w:t>
            </w:r>
          </w:p>
          <w:p w14:paraId="4528F263" w14:textId="021515BB" w:rsidR="00EB0EE4" w:rsidRPr="00142A2D" w:rsidRDefault="00EB0EE4" w:rsidP="00434780">
            <w:pPr>
              <w:spacing w:after="60"/>
              <w:rPr>
                <w:rFonts w:asciiTheme="minorHAnsi" w:eastAsia="Calibri" w:hAnsiTheme="minorHAnsi" w:cstheme="minorHAnsi"/>
                <w:lang w:val="bs-Latn-BA"/>
              </w:rPr>
            </w:pPr>
          </w:p>
        </w:tc>
        <w:tc>
          <w:tcPr>
            <w:tcW w:w="8017" w:type="dxa"/>
          </w:tcPr>
          <w:p w14:paraId="39DE649A" w14:textId="23565AC0" w:rsidR="00EB0EE4" w:rsidRPr="00142A2D" w:rsidRDefault="00EB0EE4" w:rsidP="00434780">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Provodi se kontinuirana transpozicija ažuriranih EU direktiva  vezanih za EE u zakonodavstvo FBiH</w:t>
            </w:r>
            <w:r w:rsidR="006A5B23">
              <w:rPr>
                <w:rFonts w:asciiTheme="minorHAnsi" w:eastAsia="Calibri" w:hAnsiTheme="minorHAnsi" w:cstheme="minorHAnsi"/>
                <w:lang w:val="bs-Latn-BA"/>
              </w:rPr>
              <w:t>.</w:t>
            </w:r>
          </w:p>
          <w:p w14:paraId="636DCBB9" w14:textId="42E43FAE" w:rsidR="00EB0EE4" w:rsidRPr="00142A2D" w:rsidRDefault="00EB0EE4" w:rsidP="00434780">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Unaprijeđuje se okruženje za efikasno provođenje obnove zgrada u FBiH</w:t>
            </w:r>
            <w:r w:rsidR="006A5B23">
              <w:rPr>
                <w:rFonts w:asciiTheme="minorHAnsi" w:eastAsia="Calibri" w:hAnsiTheme="minorHAnsi" w:cstheme="minorHAnsi"/>
                <w:lang w:val="bs-Latn-BA"/>
              </w:rPr>
              <w:t>.</w:t>
            </w:r>
          </w:p>
          <w:p w14:paraId="000117E0" w14:textId="496BDE70" w:rsidR="00637F87" w:rsidRPr="00142A2D" w:rsidRDefault="00A522CA" w:rsidP="00637F87">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100</w:t>
            </w:r>
            <w:r w:rsidR="00637F87" w:rsidRPr="00142A2D">
              <w:rPr>
                <w:rFonts w:asciiTheme="minorHAnsi" w:eastAsia="Calibri" w:hAnsiTheme="minorHAnsi" w:cstheme="minorHAnsi"/>
                <w:lang w:val="bs-Latn-BA"/>
              </w:rPr>
              <w:t>% zgrada koristi  OIE</w:t>
            </w:r>
            <w:r w:rsidR="006A5B23">
              <w:rPr>
                <w:rFonts w:asciiTheme="minorHAnsi" w:eastAsia="Calibri" w:hAnsiTheme="minorHAnsi" w:cstheme="minorHAnsi"/>
                <w:lang w:val="bs-Latn-BA"/>
              </w:rPr>
              <w:t>.</w:t>
            </w:r>
          </w:p>
          <w:p w14:paraId="4EE7AC89" w14:textId="2BAC2600" w:rsidR="00EB0EE4" w:rsidRPr="00142A2D" w:rsidRDefault="00EB0EE4"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 xml:space="preserve">Ukupno obnovljeno  17,9 % stambenih zgrada i </w:t>
            </w:r>
            <w:r w:rsidR="009511FC">
              <w:rPr>
                <w:rFonts w:asciiTheme="minorHAnsi" w:eastAsia="Calibri" w:hAnsiTheme="minorHAnsi" w:cstheme="minorHAnsi"/>
                <w:b/>
                <w:bCs/>
                <w:lang w:val="bs-Latn-BA"/>
              </w:rPr>
              <w:t>65,50</w:t>
            </w:r>
            <w:r w:rsidRPr="00142A2D">
              <w:rPr>
                <w:rFonts w:asciiTheme="minorHAnsi" w:eastAsia="Calibri" w:hAnsiTheme="minorHAnsi" w:cstheme="minorHAnsi"/>
                <w:b/>
                <w:bCs/>
                <w:lang w:val="bs-Latn-BA"/>
              </w:rPr>
              <w:t xml:space="preserve"> % javnih zgrada</w:t>
            </w:r>
            <w:r w:rsidR="006A5B23">
              <w:rPr>
                <w:rFonts w:asciiTheme="minorHAnsi" w:eastAsia="Calibri" w:hAnsiTheme="minorHAnsi" w:cstheme="minorHAnsi"/>
                <w:b/>
                <w:bCs/>
                <w:lang w:val="bs-Latn-BA"/>
              </w:rPr>
              <w:t>.</w:t>
            </w:r>
          </w:p>
          <w:p w14:paraId="762C7F50" w14:textId="0E88AB5B" w:rsidR="00EB0EE4" w:rsidRPr="00142A2D" w:rsidRDefault="00EB0EE4"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 xml:space="preserve">Ostvarene ušteda energije primjenom mjera energijske </w:t>
            </w:r>
            <w:r w:rsidR="00115491">
              <w:rPr>
                <w:rFonts w:asciiTheme="minorHAnsi" w:eastAsia="Calibri" w:hAnsiTheme="minorHAnsi" w:cstheme="minorHAnsi"/>
                <w:b/>
                <w:bCs/>
                <w:lang w:val="bs-Latn-BA"/>
              </w:rPr>
              <w:t>obnove</w:t>
            </w:r>
            <w:r w:rsidR="00115491" w:rsidRPr="00142A2D">
              <w:rPr>
                <w:rFonts w:asciiTheme="minorHAnsi" w:eastAsia="Calibri" w:hAnsiTheme="minorHAnsi" w:cstheme="minorHAnsi"/>
                <w:b/>
                <w:bCs/>
                <w:lang w:val="bs-Latn-BA"/>
              </w:rPr>
              <w:t xml:space="preserve"> </w:t>
            </w:r>
            <w:r w:rsidRPr="00142A2D">
              <w:rPr>
                <w:rFonts w:asciiTheme="minorHAnsi" w:eastAsia="Calibri" w:hAnsiTheme="minorHAnsi" w:cstheme="minorHAnsi"/>
                <w:b/>
                <w:bCs/>
                <w:lang w:val="bs-Latn-BA"/>
              </w:rPr>
              <w:t>4.</w:t>
            </w:r>
            <w:r w:rsidR="0096521D" w:rsidRPr="00142A2D">
              <w:rPr>
                <w:rFonts w:asciiTheme="minorHAnsi" w:eastAsia="Calibri" w:hAnsiTheme="minorHAnsi" w:cstheme="minorHAnsi"/>
                <w:b/>
                <w:bCs/>
                <w:lang w:val="bs-Latn-BA"/>
              </w:rPr>
              <w:t>3</w:t>
            </w:r>
            <w:r w:rsidR="00362BCC">
              <w:rPr>
                <w:rFonts w:asciiTheme="minorHAnsi" w:eastAsia="Calibri" w:hAnsiTheme="minorHAnsi" w:cstheme="minorHAnsi"/>
                <w:b/>
                <w:bCs/>
                <w:lang w:val="bs-Latn-BA"/>
              </w:rPr>
              <w:t>73</w:t>
            </w:r>
            <w:r w:rsidR="0096521D" w:rsidRPr="00142A2D">
              <w:rPr>
                <w:rFonts w:asciiTheme="minorHAnsi" w:eastAsia="Calibri" w:hAnsiTheme="minorHAnsi" w:cstheme="minorHAnsi"/>
                <w:b/>
                <w:bCs/>
                <w:lang w:val="bs-Latn-BA"/>
              </w:rPr>
              <w:t xml:space="preserve"> </w:t>
            </w:r>
            <w:r w:rsidRPr="00142A2D">
              <w:rPr>
                <w:rFonts w:asciiTheme="minorHAnsi" w:eastAsia="Calibri" w:hAnsiTheme="minorHAnsi" w:cstheme="minorHAnsi"/>
                <w:b/>
                <w:bCs/>
                <w:lang w:val="bs-Latn-BA"/>
              </w:rPr>
              <w:t>GWh</w:t>
            </w:r>
            <w:r w:rsidR="006A5B23">
              <w:rPr>
                <w:rFonts w:asciiTheme="minorHAnsi" w:eastAsia="Calibri" w:hAnsiTheme="minorHAnsi" w:cstheme="minorHAnsi"/>
                <w:b/>
                <w:bCs/>
                <w:lang w:val="bs-Latn-BA"/>
              </w:rPr>
              <w:t>.</w:t>
            </w:r>
          </w:p>
          <w:p w14:paraId="241D1421" w14:textId="2C2281D3" w:rsidR="00EB0EE4" w:rsidRPr="00142A2D" w:rsidRDefault="00EB0EE4" w:rsidP="00A778B5">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b/>
                <w:bCs/>
                <w:lang w:val="bs-Latn-BA"/>
              </w:rPr>
            </w:pPr>
            <w:r w:rsidRPr="00142A2D">
              <w:rPr>
                <w:rFonts w:asciiTheme="minorHAnsi" w:eastAsia="Calibri" w:hAnsiTheme="minorHAnsi" w:cstheme="minorHAnsi"/>
                <w:b/>
                <w:bCs/>
                <w:lang w:val="bs-Latn-BA"/>
              </w:rPr>
              <w:t>Ostvarena ušteda emisije CO</w:t>
            </w:r>
            <w:r w:rsidRPr="00142A2D">
              <w:rPr>
                <w:rFonts w:asciiTheme="minorHAnsi" w:eastAsia="Calibri" w:hAnsiTheme="minorHAnsi" w:cstheme="minorHAnsi"/>
                <w:b/>
                <w:bCs/>
                <w:vertAlign w:val="subscript"/>
                <w:lang w:val="bs-Latn-BA"/>
              </w:rPr>
              <w:t>2</w:t>
            </w:r>
            <w:r w:rsidRPr="00142A2D">
              <w:rPr>
                <w:rFonts w:asciiTheme="minorHAnsi" w:eastAsia="Calibri" w:hAnsiTheme="minorHAnsi" w:cstheme="minorHAnsi"/>
                <w:b/>
                <w:bCs/>
                <w:lang w:val="bs-Latn-BA"/>
              </w:rPr>
              <w:t>, 1.</w:t>
            </w:r>
            <w:r w:rsidR="0096521D" w:rsidRPr="00142A2D">
              <w:rPr>
                <w:rFonts w:asciiTheme="minorHAnsi" w:eastAsia="Calibri" w:hAnsiTheme="minorHAnsi" w:cstheme="minorHAnsi"/>
                <w:b/>
                <w:bCs/>
                <w:lang w:val="bs-Latn-BA"/>
              </w:rPr>
              <w:t>91</w:t>
            </w:r>
            <w:r w:rsidR="00362BCC">
              <w:rPr>
                <w:rFonts w:asciiTheme="minorHAnsi" w:eastAsia="Calibri" w:hAnsiTheme="minorHAnsi" w:cstheme="minorHAnsi"/>
                <w:b/>
                <w:bCs/>
                <w:lang w:val="bs-Latn-BA"/>
              </w:rPr>
              <w:t>3</w:t>
            </w:r>
            <w:r w:rsidRPr="00142A2D">
              <w:rPr>
                <w:rFonts w:asciiTheme="minorHAnsi" w:eastAsia="Calibri" w:hAnsiTheme="minorHAnsi" w:cstheme="minorHAnsi"/>
                <w:b/>
                <w:bCs/>
                <w:lang w:val="bs-Latn-BA"/>
              </w:rPr>
              <w:t>∙10</w:t>
            </w:r>
            <w:r w:rsidRPr="00142A2D">
              <w:rPr>
                <w:rFonts w:asciiTheme="minorHAnsi" w:eastAsia="Calibri" w:hAnsiTheme="minorHAnsi" w:cstheme="minorHAnsi"/>
                <w:b/>
                <w:bCs/>
                <w:vertAlign w:val="superscript"/>
                <w:lang w:val="bs-Latn-BA"/>
              </w:rPr>
              <w:t>3</w:t>
            </w:r>
            <w:r w:rsidR="006A5B23">
              <w:rPr>
                <w:rFonts w:asciiTheme="minorHAnsi" w:eastAsia="Calibri" w:hAnsiTheme="minorHAnsi" w:cstheme="minorHAnsi"/>
                <w:b/>
                <w:bCs/>
                <w:vertAlign w:val="superscript"/>
                <w:lang w:val="bs-Latn-BA"/>
              </w:rPr>
              <w:t xml:space="preserve"> </w:t>
            </w:r>
            <w:r w:rsidRPr="00142A2D">
              <w:rPr>
                <w:rFonts w:asciiTheme="minorHAnsi" w:eastAsia="Calibri" w:hAnsiTheme="minorHAnsi" w:cstheme="minorHAnsi"/>
                <w:b/>
                <w:bCs/>
                <w:lang w:val="bs-Latn-BA"/>
              </w:rPr>
              <w:t xml:space="preserve">t/god. </w:t>
            </w:r>
          </w:p>
          <w:p w14:paraId="36345EBF" w14:textId="0FC59ACA" w:rsidR="00EB0EE4" w:rsidRPr="00142A2D" w:rsidRDefault="00EB0EE4" w:rsidP="00434780">
            <w:pPr>
              <w:spacing w:after="60"/>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theme="minorHAnsi"/>
                <w:lang w:val="bs-Latn-BA"/>
              </w:rPr>
            </w:pPr>
            <w:r w:rsidRPr="00142A2D">
              <w:rPr>
                <w:rFonts w:asciiTheme="minorHAnsi" w:eastAsia="Calibri" w:hAnsiTheme="minorHAnsi" w:cstheme="minorHAnsi"/>
                <w:lang w:val="bs-Latn-BA"/>
              </w:rPr>
              <w:t>Provodi se kontinuirana promocija EE u zgradarstvu i jačanje institucionalnih kapaciteta za provođenje procesa energijske obnove zgrada</w:t>
            </w:r>
            <w:r w:rsidR="006A5B23">
              <w:rPr>
                <w:rFonts w:asciiTheme="minorHAnsi" w:eastAsia="Calibri" w:hAnsiTheme="minorHAnsi" w:cstheme="minorHAnsi"/>
                <w:lang w:val="bs-Latn-BA"/>
              </w:rPr>
              <w:t>.</w:t>
            </w:r>
          </w:p>
          <w:p w14:paraId="0A99F767" w14:textId="2ACFEB29" w:rsidR="00EB0EE4" w:rsidRPr="00142A2D" w:rsidRDefault="00EB0EE4" w:rsidP="00A778B5">
            <w:pPr>
              <w:pStyle w:val="Defaul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
                <w:bCs/>
                <w:sz w:val="22"/>
                <w:szCs w:val="22"/>
              </w:rPr>
            </w:pPr>
            <w:r w:rsidRPr="00142A2D">
              <w:rPr>
                <w:rFonts w:asciiTheme="minorHAnsi" w:eastAsia="Calibri" w:hAnsiTheme="minorHAnsi" w:cstheme="minorHAnsi"/>
                <w:b/>
                <w:bCs/>
                <w:sz w:val="22"/>
                <w:szCs w:val="22"/>
                <w:lang w:eastAsia="ja-JP"/>
              </w:rPr>
              <w:t>100% korisnika je svjesno pozitivnih učinaka integralne energijske obnove zgrada</w:t>
            </w:r>
            <w:r w:rsidR="006A5B23">
              <w:rPr>
                <w:rFonts w:asciiTheme="minorHAnsi" w:eastAsia="Calibri" w:hAnsiTheme="minorHAnsi" w:cstheme="minorHAnsi"/>
                <w:b/>
                <w:bCs/>
                <w:sz w:val="22"/>
                <w:szCs w:val="22"/>
                <w:lang w:eastAsia="ja-JP"/>
              </w:rPr>
              <w:t>.</w:t>
            </w:r>
            <w:r w:rsidRPr="00142A2D">
              <w:rPr>
                <w:rFonts w:asciiTheme="minorHAnsi" w:hAnsiTheme="minorHAnsi" w:cstheme="minorHAnsi"/>
                <w:b/>
                <w:bCs/>
                <w:sz w:val="22"/>
                <w:szCs w:val="22"/>
              </w:rPr>
              <w:t xml:space="preserve"> </w:t>
            </w:r>
          </w:p>
        </w:tc>
      </w:tr>
      <w:tr w:rsidR="00EB0EE4" w:rsidRPr="001972F5" w14:paraId="301B08A4" w14:textId="77777777" w:rsidTr="004667EF">
        <w:trPr>
          <w:cnfStyle w:val="000000100000" w:firstRow="0" w:lastRow="0" w:firstColumn="0" w:lastColumn="0" w:oddVBand="0" w:evenVBand="0" w:oddHBand="1" w:evenHBand="0" w:firstRowFirstColumn="0" w:firstRowLastColumn="0" w:lastRowFirstColumn="0" w:lastRowLastColumn="0"/>
          <w:trHeight w:val="659"/>
        </w:trPr>
        <w:tc>
          <w:tcPr>
            <w:cnfStyle w:val="001000000000" w:firstRow="0" w:lastRow="0" w:firstColumn="1" w:lastColumn="0" w:oddVBand="0" w:evenVBand="0" w:oddHBand="0" w:evenHBand="0" w:firstRowFirstColumn="0" w:firstRowLastColumn="0" w:lastRowFirstColumn="0" w:lastRowLastColumn="0"/>
            <w:tcW w:w="1260" w:type="dxa"/>
            <w:vMerge/>
            <w:shd w:val="clear" w:color="auto" w:fill="005837"/>
          </w:tcPr>
          <w:p w14:paraId="1A2B5D77" w14:textId="2E83A170" w:rsidR="00EB0EE4" w:rsidRPr="00142A2D" w:rsidRDefault="00EB0EE4" w:rsidP="00434780">
            <w:pPr>
              <w:spacing w:after="60"/>
              <w:rPr>
                <w:rFonts w:asciiTheme="minorHAnsi" w:eastAsia="Calibri" w:hAnsiTheme="minorHAnsi" w:cstheme="minorHAnsi"/>
                <w:b w:val="0"/>
                <w:bCs w:val="0"/>
                <w:color w:val="FFFFFF"/>
                <w:lang w:val="bs-Latn-BA"/>
              </w:rPr>
            </w:pPr>
          </w:p>
        </w:tc>
        <w:tc>
          <w:tcPr>
            <w:tcW w:w="8017" w:type="dxa"/>
            <w:shd w:val="clear" w:color="auto" w:fill="BFBFBF" w:themeFill="background1" w:themeFillShade="BF"/>
            <w:vAlign w:val="center"/>
          </w:tcPr>
          <w:p w14:paraId="6BFBA5F8" w14:textId="5E488D76" w:rsidR="00EB0EE4" w:rsidRPr="00142A2D" w:rsidRDefault="00A522CA" w:rsidP="00434780">
            <w:pPr>
              <w:spacing w:after="6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
                <w:bCs/>
                <w:color w:val="FFFFFF"/>
                <w:lang w:val="bs-Latn-BA"/>
              </w:rPr>
            </w:pPr>
            <w:r w:rsidRPr="00142A2D">
              <w:rPr>
                <w:rFonts w:asciiTheme="minorHAnsi" w:eastAsia="Calibri" w:hAnsiTheme="minorHAnsi" w:cstheme="minorHAnsi"/>
                <w:b/>
                <w:bCs/>
                <w:color w:val="auto"/>
                <w:lang w:val="bs-Latn-BA"/>
              </w:rPr>
              <w:t>F</w:t>
            </w:r>
            <w:r w:rsidR="00EB0EE4" w:rsidRPr="00142A2D">
              <w:rPr>
                <w:rFonts w:asciiTheme="minorHAnsi" w:eastAsia="Calibri" w:hAnsiTheme="minorHAnsi" w:cstheme="minorHAnsi"/>
                <w:b/>
                <w:bCs/>
                <w:color w:val="auto"/>
                <w:lang w:val="bs-Latn-BA"/>
              </w:rPr>
              <w:t xml:space="preserve">ond </w:t>
            </w:r>
            <w:r w:rsidRPr="00142A2D">
              <w:rPr>
                <w:rFonts w:asciiTheme="minorHAnsi" w:eastAsia="Calibri" w:hAnsiTheme="minorHAnsi" w:cstheme="minorHAnsi"/>
                <w:b/>
                <w:bCs/>
                <w:color w:val="auto"/>
                <w:lang w:val="bs-Latn-BA"/>
              </w:rPr>
              <w:t xml:space="preserve">zgrada </w:t>
            </w:r>
            <w:r w:rsidR="00ED3A1C" w:rsidRPr="00142A2D">
              <w:rPr>
                <w:rFonts w:asciiTheme="minorHAnsi" w:eastAsia="Calibri" w:hAnsiTheme="minorHAnsi" w:cstheme="minorHAnsi"/>
                <w:b/>
                <w:bCs/>
                <w:color w:val="auto"/>
                <w:lang w:val="bs-Latn-BA"/>
              </w:rPr>
              <w:t xml:space="preserve">u FBiH </w:t>
            </w:r>
            <w:r w:rsidR="00EB0EE4" w:rsidRPr="00142A2D">
              <w:rPr>
                <w:rFonts w:asciiTheme="minorHAnsi" w:eastAsia="Calibri" w:hAnsiTheme="minorHAnsi" w:cstheme="minorHAnsi"/>
                <w:b/>
                <w:bCs/>
                <w:color w:val="auto"/>
                <w:lang w:val="bs-Latn-BA"/>
              </w:rPr>
              <w:t>je visokoefikasan i dekarboniziran</w:t>
            </w:r>
            <w:r w:rsidR="004667EF">
              <w:rPr>
                <w:rFonts w:asciiTheme="minorHAnsi" w:eastAsia="Calibri" w:hAnsiTheme="minorHAnsi" w:cstheme="minorHAnsi"/>
                <w:b/>
                <w:bCs/>
                <w:color w:val="auto"/>
                <w:lang w:val="bs-Latn-BA"/>
              </w:rPr>
              <w:t>.</w:t>
            </w:r>
          </w:p>
        </w:tc>
      </w:tr>
    </w:tbl>
    <w:p w14:paraId="182744A3" w14:textId="77777777" w:rsidR="000159AA" w:rsidRPr="001972F5" w:rsidRDefault="000159AA" w:rsidP="000159AA">
      <w:pPr>
        <w:shd w:val="clear" w:color="auto" w:fill="FFFFFF"/>
        <w:spacing w:after="0" w:line="240" w:lineRule="auto"/>
        <w:jc w:val="left"/>
        <w:rPr>
          <w:rFonts w:asciiTheme="minorHAnsi" w:eastAsia="Times New Roman" w:hAnsiTheme="minorHAnsi" w:cstheme="minorHAnsi"/>
          <w:color w:val="222222"/>
          <w:lang w:val="bs-Latn-BA" w:eastAsia="en-GB"/>
        </w:rPr>
      </w:pPr>
    </w:p>
    <w:p w14:paraId="33FE4165" w14:textId="4234010D" w:rsidR="00622BCA" w:rsidRDefault="00622BCA">
      <w:pPr>
        <w:rPr>
          <w:lang w:val="bs-Latn-BA"/>
        </w:rPr>
      </w:pPr>
    </w:p>
    <w:sectPr w:rsidR="00622BCA">
      <w:pgSz w:w="11907" w:h="16840"/>
      <w:pgMar w:top="1276" w:right="1440" w:bottom="1440" w:left="1440" w:header="284" w:footer="2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68062" w14:textId="77777777" w:rsidR="00552995" w:rsidRDefault="00552995">
      <w:pPr>
        <w:spacing w:after="0" w:line="240" w:lineRule="auto"/>
      </w:pPr>
      <w:r>
        <w:separator/>
      </w:r>
    </w:p>
  </w:endnote>
  <w:endnote w:type="continuationSeparator" w:id="0">
    <w:p w14:paraId="244F5084" w14:textId="77777777" w:rsidR="00552995" w:rsidRDefault="00552995">
      <w:pPr>
        <w:spacing w:after="0" w:line="240" w:lineRule="auto"/>
      </w:pPr>
      <w:r>
        <w:continuationSeparator/>
      </w:r>
    </w:p>
  </w:endnote>
  <w:endnote w:type="continuationNotice" w:id="1">
    <w:p w14:paraId="0DC3101D" w14:textId="77777777" w:rsidR="00552995" w:rsidRDefault="005529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Corbe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panose1 w:val="00000000000000000000"/>
    <w:charset w:val="80"/>
    <w:family w:val="roman"/>
    <w:notTrueType/>
    <w:pitch w:val="default"/>
  </w:font>
  <w:font w:name="Univers">
    <w:charset w:val="00"/>
    <w:family w:val="swiss"/>
    <w:pitch w:val="variable"/>
    <w:sig w:usb0="80000287" w:usb1="00000000" w:usb2="00000000" w:usb3="00000000" w:csb0="0000000F" w:csb1="00000000"/>
  </w:font>
  <w:font w:name="Optima">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Helvetica Neue">
    <w:altName w:val="Arial"/>
    <w:charset w:val="00"/>
    <w:family w:val="auto"/>
    <w:pitch w:val="default"/>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5300370"/>
      <w:docPartObj>
        <w:docPartGallery w:val="Page Numbers (Bottom of Page)"/>
        <w:docPartUnique/>
      </w:docPartObj>
    </w:sdtPr>
    <w:sdtEndPr>
      <w:rPr>
        <w:noProof/>
      </w:rPr>
    </w:sdtEndPr>
    <w:sdtContent>
      <w:p w14:paraId="1B9B5B6E" w14:textId="5C7FF2CA" w:rsidR="00EA76A9" w:rsidRDefault="00EA76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764597" w14:textId="77777777" w:rsidR="00055321" w:rsidRDefault="0005532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ABBD3" w14:textId="77777777" w:rsidR="00552995" w:rsidRDefault="00552995">
      <w:pPr>
        <w:spacing w:after="0" w:line="240" w:lineRule="auto"/>
      </w:pPr>
      <w:r>
        <w:separator/>
      </w:r>
    </w:p>
  </w:footnote>
  <w:footnote w:type="continuationSeparator" w:id="0">
    <w:p w14:paraId="532F3FAA" w14:textId="77777777" w:rsidR="00552995" w:rsidRDefault="00552995">
      <w:pPr>
        <w:spacing w:after="0" w:line="240" w:lineRule="auto"/>
      </w:pPr>
      <w:r>
        <w:continuationSeparator/>
      </w:r>
    </w:p>
  </w:footnote>
  <w:footnote w:type="continuationNotice" w:id="1">
    <w:p w14:paraId="5D6A4151" w14:textId="77777777" w:rsidR="00552995" w:rsidRDefault="00552995">
      <w:pPr>
        <w:spacing w:after="0" w:line="240" w:lineRule="auto"/>
      </w:pPr>
    </w:p>
  </w:footnote>
  <w:footnote w:id="2">
    <w:p w14:paraId="321F8777" w14:textId="77777777" w:rsidR="00055321" w:rsidRDefault="00740D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BiH – </w:t>
      </w:r>
      <w:proofErr w:type="spellStart"/>
      <w:r>
        <w:rPr>
          <w:color w:val="000000"/>
          <w:sz w:val="20"/>
          <w:szCs w:val="20"/>
        </w:rPr>
        <w:t>Međunarodni</w:t>
      </w:r>
      <w:proofErr w:type="spellEnd"/>
      <w:r>
        <w:rPr>
          <w:color w:val="000000"/>
          <w:sz w:val="20"/>
          <w:szCs w:val="20"/>
        </w:rPr>
        <w:t xml:space="preserve"> </w:t>
      </w:r>
      <w:proofErr w:type="spellStart"/>
      <w:r>
        <w:rPr>
          <w:color w:val="000000"/>
          <w:sz w:val="20"/>
          <w:szCs w:val="20"/>
        </w:rPr>
        <w:t>ugovori</w:t>
      </w:r>
      <w:proofErr w:type="spellEnd"/>
      <w:r>
        <w:rPr>
          <w:color w:val="000000"/>
          <w:sz w:val="20"/>
          <w:szCs w:val="20"/>
        </w:rPr>
        <w:t xml:space="preserve">, </w:t>
      </w:r>
      <w:proofErr w:type="spellStart"/>
      <w:r>
        <w:rPr>
          <w:color w:val="000000"/>
          <w:sz w:val="20"/>
          <w:szCs w:val="20"/>
        </w:rPr>
        <w:t>broj</w:t>
      </w:r>
      <w:proofErr w:type="spellEnd"/>
      <w:r>
        <w:rPr>
          <w:color w:val="000000"/>
          <w:sz w:val="20"/>
          <w:szCs w:val="20"/>
        </w:rPr>
        <w:t xml:space="preserve"> 9/06</w:t>
      </w:r>
    </w:p>
  </w:footnote>
  <w:footnote w:id="3">
    <w:p w14:paraId="7E9C9FEB" w14:textId="77777777" w:rsidR="00055321" w:rsidRDefault="00740D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Član</w:t>
      </w:r>
      <w:proofErr w:type="spellEnd"/>
      <w:r>
        <w:rPr>
          <w:color w:val="000000"/>
          <w:sz w:val="20"/>
          <w:szCs w:val="20"/>
        </w:rPr>
        <w:t xml:space="preserve"> 2.1 (d) i </w:t>
      </w:r>
      <w:proofErr w:type="spellStart"/>
      <w:r>
        <w:rPr>
          <w:color w:val="000000"/>
          <w:sz w:val="20"/>
          <w:szCs w:val="20"/>
        </w:rPr>
        <w:t>član</w:t>
      </w:r>
      <w:proofErr w:type="spellEnd"/>
      <w:r>
        <w:rPr>
          <w:color w:val="000000"/>
          <w:sz w:val="20"/>
          <w:szCs w:val="20"/>
        </w:rPr>
        <w:t xml:space="preserve"> 35 </w:t>
      </w:r>
      <w:proofErr w:type="spellStart"/>
      <w:r>
        <w:rPr>
          <w:color w:val="000000"/>
          <w:sz w:val="20"/>
          <w:szCs w:val="20"/>
        </w:rPr>
        <w:t>Ugovora</w:t>
      </w:r>
      <w:proofErr w:type="spellEnd"/>
      <w:r>
        <w:rPr>
          <w:color w:val="000000"/>
          <w:sz w:val="20"/>
          <w:szCs w:val="20"/>
        </w:rPr>
        <w:t xml:space="preserve"> o </w:t>
      </w:r>
      <w:proofErr w:type="spellStart"/>
      <w:r>
        <w:rPr>
          <w:color w:val="000000"/>
          <w:sz w:val="20"/>
          <w:szCs w:val="20"/>
        </w:rPr>
        <w:t>osnivanju</w:t>
      </w:r>
      <w:proofErr w:type="spellEnd"/>
      <w:r>
        <w:rPr>
          <w:color w:val="000000"/>
          <w:sz w:val="20"/>
          <w:szCs w:val="20"/>
        </w:rPr>
        <w:t xml:space="preserve"> </w:t>
      </w:r>
      <w:proofErr w:type="spellStart"/>
      <w:r>
        <w:rPr>
          <w:color w:val="000000"/>
          <w:sz w:val="20"/>
          <w:szCs w:val="20"/>
        </w:rPr>
        <w:t>Energetske</w:t>
      </w:r>
      <w:proofErr w:type="spellEnd"/>
      <w:r>
        <w:rPr>
          <w:color w:val="000000"/>
          <w:sz w:val="20"/>
          <w:szCs w:val="20"/>
        </w:rPr>
        <w:t xml:space="preserve"> </w:t>
      </w:r>
      <w:proofErr w:type="spellStart"/>
      <w:r>
        <w:rPr>
          <w:color w:val="000000"/>
          <w:sz w:val="20"/>
          <w:szCs w:val="20"/>
        </w:rPr>
        <w:t>zajednice</w:t>
      </w:r>
      <w:proofErr w:type="spellEnd"/>
      <w:r>
        <w:rPr>
          <w:color w:val="000000"/>
          <w:sz w:val="20"/>
          <w:szCs w:val="20"/>
        </w:rPr>
        <w:t>.</w:t>
      </w:r>
    </w:p>
  </w:footnote>
  <w:footnote w:id="4">
    <w:p w14:paraId="59AFE358" w14:textId="77777777" w:rsidR="00055321" w:rsidRDefault="00740D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BiH", br. 5/03, 42/03, 26/04, 42/04, 45/06, 88/07, 35/09, 59/09, 103/09, 87/12, 6/13, 19/16 i 83/17</w:t>
      </w:r>
    </w:p>
  </w:footnote>
  <w:footnote w:id="5">
    <w:p w14:paraId="727B34C5" w14:textId="77777777" w:rsidR="0005460F" w:rsidRDefault="0005460F" w:rsidP="0005460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Službene</w:t>
      </w:r>
      <w:proofErr w:type="spellEnd"/>
      <w:r>
        <w:rPr>
          <w:color w:val="000000"/>
          <w:sz w:val="20"/>
          <w:szCs w:val="20"/>
        </w:rPr>
        <w:t xml:space="preserve"> novine </w:t>
      </w:r>
      <w:proofErr w:type="gramStart"/>
      <w:r>
        <w:rPr>
          <w:color w:val="000000"/>
          <w:sz w:val="20"/>
          <w:szCs w:val="20"/>
        </w:rPr>
        <w:t>FBiH</w:t>
      </w:r>
      <w:r>
        <w:rPr>
          <w:color w:val="333333"/>
          <w:lang w:val="bs-Latn-BA"/>
        </w:rPr>
        <w:t>“</w:t>
      </w:r>
      <w:r>
        <w:rPr>
          <w:color w:val="000000"/>
          <w:sz w:val="20"/>
          <w:szCs w:val="20"/>
        </w:rPr>
        <w:t xml:space="preserve"> br.</w:t>
      </w:r>
      <w:proofErr w:type="gramEnd"/>
      <w:r>
        <w:rPr>
          <w:color w:val="000000"/>
          <w:sz w:val="20"/>
          <w:szCs w:val="20"/>
        </w:rPr>
        <w:t xml:space="preserve"> 57/21</w:t>
      </w:r>
    </w:p>
  </w:footnote>
  <w:footnote w:id="6">
    <w:p w14:paraId="7BA46FC2" w14:textId="77777777" w:rsidR="0005460F" w:rsidRDefault="0005460F" w:rsidP="0005460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Službene</w:t>
      </w:r>
      <w:proofErr w:type="spellEnd"/>
      <w:r>
        <w:rPr>
          <w:color w:val="000000"/>
          <w:sz w:val="20"/>
          <w:szCs w:val="20"/>
        </w:rPr>
        <w:t xml:space="preserve"> novine </w:t>
      </w:r>
      <w:proofErr w:type="gramStart"/>
      <w:r>
        <w:rPr>
          <w:color w:val="000000"/>
          <w:sz w:val="20"/>
          <w:szCs w:val="20"/>
        </w:rPr>
        <w:t>FBiH</w:t>
      </w:r>
      <w:r>
        <w:rPr>
          <w:color w:val="333333"/>
          <w:lang w:val="bs-Latn-BA"/>
        </w:rPr>
        <w:t>“</w:t>
      </w:r>
      <w:r>
        <w:rPr>
          <w:color w:val="000000"/>
          <w:sz w:val="20"/>
          <w:szCs w:val="20"/>
        </w:rPr>
        <w:t xml:space="preserve"> br.</w:t>
      </w:r>
      <w:proofErr w:type="gramEnd"/>
      <w:r>
        <w:rPr>
          <w:color w:val="000000"/>
          <w:sz w:val="20"/>
          <w:szCs w:val="20"/>
        </w:rPr>
        <w:t xml:space="preserve"> 74/19</w:t>
      </w:r>
    </w:p>
  </w:footnote>
  <w:footnote w:id="7">
    <w:p w14:paraId="6D664380" w14:textId="77777777" w:rsidR="00055321" w:rsidRDefault="00740D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w:t>
      </w:r>
      <w:proofErr w:type="spellStart"/>
      <w:r>
        <w:rPr>
          <w:color w:val="000000"/>
          <w:sz w:val="20"/>
          <w:szCs w:val="20"/>
        </w:rPr>
        <w:t>Bosne</w:t>
      </w:r>
      <w:proofErr w:type="spellEnd"/>
      <w:r>
        <w:rPr>
          <w:color w:val="000000"/>
          <w:sz w:val="20"/>
          <w:szCs w:val="20"/>
        </w:rPr>
        <w:t xml:space="preserve"> i </w:t>
      </w:r>
      <w:proofErr w:type="spellStart"/>
      <w:r>
        <w:rPr>
          <w:color w:val="000000"/>
          <w:sz w:val="20"/>
          <w:szCs w:val="20"/>
        </w:rPr>
        <w:t>Hercegovine</w:t>
      </w:r>
      <w:proofErr w:type="spellEnd"/>
      <w:r>
        <w:rPr>
          <w:color w:val="000000"/>
          <w:sz w:val="20"/>
          <w:szCs w:val="20"/>
        </w:rPr>
        <w:t xml:space="preserve">, </w:t>
      </w:r>
      <w:proofErr w:type="spellStart"/>
      <w:r>
        <w:rPr>
          <w:color w:val="000000"/>
          <w:sz w:val="20"/>
          <w:szCs w:val="20"/>
        </w:rPr>
        <w:t>broj</w:t>
      </w:r>
      <w:proofErr w:type="spellEnd"/>
      <w:r>
        <w:rPr>
          <w:color w:val="000000"/>
          <w:sz w:val="20"/>
          <w:szCs w:val="20"/>
        </w:rPr>
        <w:t>: 19/00</w:t>
      </w:r>
    </w:p>
  </w:footnote>
  <w:footnote w:id="8">
    <w:p w14:paraId="0738899A" w14:textId="77777777" w:rsidR="00055321" w:rsidRDefault="00740D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w:t>
      </w:r>
      <w:proofErr w:type="spellStart"/>
      <w:r>
        <w:rPr>
          <w:color w:val="000000"/>
          <w:sz w:val="20"/>
          <w:szCs w:val="20"/>
        </w:rPr>
        <w:t>Bosne</w:t>
      </w:r>
      <w:proofErr w:type="spellEnd"/>
      <w:r>
        <w:rPr>
          <w:color w:val="000000"/>
          <w:sz w:val="20"/>
          <w:szCs w:val="20"/>
        </w:rPr>
        <w:t xml:space="preserve"> i </w:t>
      </w:r>
      <w:proofErr w:type="spellStart"/>
      <w:r>
        <w:rPr>
          <w:color w:val="000000"/>
          <w:sz w:val="20"/>
          <w:szCs w:val="20"/>
        </w:rPr>
        <w:t>Hercegovine</w:t>
      </w:r>
      <w:proofErr w:type="spellEnd"/>
      <w:r>
        <w:rPr>
          <w:color w:val="000000"/>
          <w:sz w:val="20"/>
          <w:szCs w:val="20"/>
        </w:rPr>
        <w:t xml:space="preserve"> – </w:t>
      </w:r>
      <w:proofErr w:type="spellStart"/>
      <w:r>
        <w:rPr>
          <w:color w:val="000000"/>
          <w:sz w:val="20"/>
          <w:szCs w:val="20"/>
        </w:rPr>
        <w:t>Međunarodni</w:t>
      </w:r>
      <w:proofErr w:type="spellEnd"/>
      <w:r>
        <w:rPr>
          <w:color w:val="000000"/>
          <w:sz w:val="20"/>
          <w:szCs w:val="20"/>
        </w:rPr>
        <w:t xml:space="preserve"> </w:t>
      </w:r>
      <w:proofErr w:type="spellStart"/>
      <w:r>
        <w:rPr>
          <w:color w:val="000000"/>
          <w:sz w:val="20"/>
          <w:szCs w:val="20"/>
        </w:rPr>
        <w:t>ugovori</w:t>
      </w:r>
      <w:proofErr w:type="spellEnd"/>
      <w:r>
        <w:rPr>
          <w:color w:val="000000"/>
          <w:sz w:val="20"/>
          <w:szCs w:val="20"/>
        </w:rPr>
        <w:t>, br. 3/08</w:t>
      </w:r>
    </w:p>
  </w:footnote>
  <w:footnote w:id="9">
    <w:p w14:paraId="1F03956A" w14:textId="77777777" w:rsidR="00055321" w:rsidRDefault="00740D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BiH – </w:t>
      </w:r>
      <w:proofErr w:type="spellStart"/>
      <w:r>
        <w:rPr>
          <w:color w:val="000000"/>
          <w:sz w:val="20"/>
          <w:szCs w:val="20"/>
        </w:rPr>
        <w:t>Međunarodni</w:t>
      </w:r>
      <w:proofErr w:type="spellEnd"/>
      <w:r>
        <w:rPr>
          <w:color w:val="000000"/>
          <w:sz w:val="20"/>
          <w:szCs w:val="20"/>
        </w:rPr>
        <w:t xml:space="preserve"> </w:t>
      </w:r>
      <w:proofErr w:type="spellStart"/>
      <w:r>
        <w:rPr>
          <w:color w:val="000000"/>
          <w:sz w:val="20"/>
          <w:szCs w:val="20"/>
        </w:rPr>
        <w:t>ugovori</w:t>
      </w:r>
      <w:proofErr w:type="spellEnd"/>
      <w:r>
        <w:rPr>
          <w:color w:val="000000"/>
          <w:sz w:val="20"/>
          <w:szCs w:val="20"/>
        </w:rPr>
        <w:t>, br. 1/17</w:t>
      </w:r>
    </w:p>
  </w:footnote>
  <w:footnote w:id="10">
    <w:p w14:paraId="6787CD63" w14:textId="77777777" w:rsidR="00055321" w:rsidRDefault="00740D4F">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Agenda </w:t>
      </w:r>
      <w:proofErr w:type="spellStart"/>
      <w:r>
        <w:rPr>
          <w:color w:val="000000"/>
          <w:sz w:val="20"/>
          <w:szCs w:val="20"/>
        </w:rPr>
        <w:t>održivog</w:t>
      </w:r>
      <w:proofErr w:type="spellEnd"/>
      <w:r>
        <w:rPr>
          <w:color w:val="000000"/>
          <w:sz w:val="20"/>
          <w:szCs w:val="20"/>
        </w:rPr>
        <w:t xml:space="preserve"> razvoja 2030 - A/RES/70/1 – Transforming our world: the 2030 Agenda for Sustainable Developmenthttps://www.un.org/en/development/desa/population/migration/generalassembly/docs/globalcompact/A_RES_70_1_E.pdf</w:t>
      </w:r>
    </w:p>
  </w:footnote>
  <w:footnote w:id="11">
    <w:p w14:paraId="5FDF2C8C" w14:textId="77777777" w:rsidR="00055321" w:rsidRDefault="00740D4F">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1">
        <w:r>
          <w:rPr>
            <w:color w:val="0563C1"/>
            <w:sz w:val="20"/>
            <w:szCs w:val="20"/>
            <w:u w:val="single"/>
          </w:rPr>
          <w:t>https://zamisli2030.ba/wp-content/uploads/2019/12/Okvir-za-realizaciju-Ciljeva-odrzivog-razvoja-u-BiH-latinica.pdf</w:t>
        </w:r>
      </w:hyperlink>
      <w:r>
        <w:rPr>
          <w:color w:val="000000"/>
          <w:sz w:val="20"/>
          <w:szCs w:val="20"/>
        </w:rPr>
        <w:t xml:space="preserve"> </w:t>
      </w:r>
    </w:p>
  </w:footnote>
  <w:footnote w:id="12">
    <w:p w14:paraId="4B199154" w14:textId="77777777" w:rsidR="00055321" w:rsidRDefault="00740D4F">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Zelena</w:t>
      </w:r>
      <w:proofErr w:type="spellEnd"/>
      <w:r>
        <w:rPr>
          <w:color w:val="000000"/>
          <w:sz w:val="20"/>
          <w:szCs w:val="20"/>
        </w:rPr>
        <w:t xml:space="preserve"> agenda za </w:t>
      </w:r>
      <w:proofErr w:type="spellStart"/>
      <w:r>
        <w:rPr>
          <w:color w:val="000000"/>
          <w:sz w:val="20"/>
          <w:szCs w:val="20"/>
        </w:rPr>
        <w:t>Zapadni</w:t>
      </w:r>
      <w:proofErr w:type="spellEnd"/>
      <w:r>
        <w:rPr>
          <w:color w:val="000000"/>
          <w:sz w:val="20"/>
          <w:szCs w:val="20"/>
        </w:rPr>
        <w:t xml:space="preserve"> Balkan </w:t>
      </w:r>
    </w:p>
    <w:p w14:paraId="2EE9151D" w14:textId="77777777" w:rsidR="00055321" w:rsidRDefault="00000000">
      <w:pPr>
        <w:pBdr>
          <w:top w:val="nil"/>
          <w:left w:val="nil"/>
          <w:bottom w:val="nil"/>
          <w:right w:val="nil"/>
          <w:between w:val="nil"/>
        </w:pBdr>
        <w:spacing w:after="0" w:line="240" w:lineRule="auto"/>
        <w:jc w:val="left"/>
        <w:rPr>
          <w:color w:val="000000"/>
          <w:sz w:val="20"/>
          <w:szCs w:val="20"/>
        </w:rPr>
      </w:pPr>
      <w:hyperlink r:id="rId2">
        <w:r w:rsidR="00740D4F">
          <w:rPr>
            <w:color w:val="0563C1"/>
            <w:sz w:val="20"/>
            <w:szCs w:val="20"/>
            <w:u w:val="single"/>
          </w:rPr>
          <w:t>https://eur-lex.europa.eu/legal-content/EN/TXT/?uri=CELEX%3A52020SC0223</w:t>
        </w:r>
      </w:hyperlink>
      <w:r w:rsidR="00740D4F">
        <w:rPr>
          <w:color w:val="000000"/>
          <w:sz w:val="20"/>
          <w:szCs w:val="20"/>
        </w:rPr>
        <w:t xml:space="preserve"> </w:t>
      </w:r>
    </w:p>
  </w:footnote>
  <w:footnote w:id="13">
    <w:p w14:paraId="6E628390" w14:textId="77777777" w:rsidR="00055321" w:rsidRDefault="00740D4F">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Sistematizacija</w:t>
      </w:r>
      <w:proofErr w:type="spellEnd"/>
      <w:r>
        <w:rPr>
          <w:color w:val="000000"/>
          <w:sz w:val="20"/>
          <w:szCs w:val="20"/>
        </w:rPr>
        <w:t xml:space="preserve"> </w:t>
      </w:r>
      <w:proofErr w:type="spellStart"/>
      <w:r>
        <w:rPr>
          <w:color w:val="000000"/>
          <w:sz w:val="20"/>
          <w:szCs w:val="20"/>
        </w:rPr>
        <w:t>zgrada</w:t>
      </w:r>
      <w:proofErr w:type="spellEnd"/>
      <w:r>
        <w:rPr>
          <w:color w:val="000000"/>
          <w:sz w:val="20"/>
          <w:szCs w:val="20"/>
        </w:rPr>
        <w:t xml:space="preserve"> </w:t>
      </w:r>
      <w:proofErr w:type="spellStart"/>
      <w:r>
        <w:rPr>
          <w:color w:val="000000"/>
          <w:sz w:val="20"/>
          <w:szCs w:val="20"/>
        </w:rPr>
        <w:t>primijenjena</w:t>
      </w:r>
      <w:proofErr w:type="spellEnd"/>
      <w:r>
        <w:rPr>
          <w:color w:val="000000"/>
          <w:sz w:val="20"/>
          <w:szCs w:val="20"/>
        </w:rPr>
        <w:t xml:space="preserve"> u </w:t>
      </w:r>
      <w:proofErr w:type="spellStart"/>
      <w:r>
        <w:rPr>
          <w:color w:val="000000"/>
          <w:sz w:val="20"/>
          <w:szCs w:val="20"/>
        </w:rPr>
        <w:t>projektu</w:t>
      </w:r>
      <w:proofErr w:type="spellEnd"/>
      <w:r>
        <w:rPr>
          <w:color w:val="000000"/>
          <w:sz w:val="20"/>
          <w:szCs w:val="20"/>
        </w:rPr>
        <w:t xml:space="preserve"> </w:t>
      </w:r>
      <w:proofErr w:type="spellStart"/>
      <w:r>
        <w:rPr>
          <w:color w:val="000000"/>
          <w:sz w:val="20"/>
          <w:szCs w:val="20"/>
        </w:rPr>
        <w:t>Tipologija</w:t>
      </w:r>
      <w:proofErr w:type="spellEnd"/>
      <w:r>
        <w:rPr>
          <w:color w:val="000000"/>
          <w:sz w:val="20"/>
          <w:szCs w:val="20"/>
        </w:rPr>
        <w:t xml:space="preserve"> </w:t>
      </w:r>
      <w:proofErr w:type="spellStart"/>
      <w:r>
        <w:rPr>
          <w:color w:val="000000"/>
          <w:sz w:val="20"/>
          <w:szCs w:val="20"/>
        </w:rPr>
        <w:t>stambenih</w:t>
      </w:r>
      <w:proofErr w:type="spellEnd"/>
      <w:r>
        <w:rPr>
          <w:color w:val="000000"/>
          <w:sz w:val="20"/>
          <w:szCs w:val="20"/>
        </w:rPr>
        <w:t xml:space="preserve"> </w:t>
      </w:r>
      <w:proofErr w:type="spellStart"/>
      <w:r>
        <w:rPr>
          <w:color w:val="000000"/>
          <w:sz w:val="20"/>
          <w:szCs w:val="20"/>
        </w:rPr>
        <w:t>zgrada</w:t>
      </w:r>
      <w:proofErr w:type="spellEnd"/>
      <w:r>
        <w:rPr>
          <w:color w:val="000000"/>
          <w:sz w:val="20"/>
          <w:szCs w:val="20"/>
        </w:rPr>
        <w:t xml:space="preserve"> BiH </w:t>
      </w:r>
      <w:proofErr w:type="spellStart"/>
      <w:r>
        <w:rPr>
          <w:color w:val="000000"/>
          <w:sz w:val="20"/>
          <w:szCs w:val="20"/>
        </w:rPr>
        <w:t>predstavlja</w:t>
      </w:r>
      <w:proofErr w:type="spellEnd"/>
      <w:r>
        <w:rPr>
          <w:color w:val="000000"/>
          <w:sz w:val="20"/>
          <w:szCs w:val="20"/>
        </w:rPr>
        <w:t xml:space="preserve"> </w:t>
      </w:r>
      <w:proofErr w:type="spellStart"/>
      <w:r>
        <w:rPr>
          <w:color w:val="000000"/>
          <w:sz w:val="20"/>
          <w:szCs w:val="20"/>
        </w:rPr>
        <w:t>sistematizaciju</w:t>
      </w:r>
      <w:proofErr w:type="spellEnd"/>
      <w:r>
        <w:rPr>
          <w:color w:val="000000"/>
          <w:sz w:val="20"/>
          <w:szCs w:val="20"/>
        </w:rPr>
        <w:t xml:space="preserve"> </w:t>
      </w:r>
      <w:proofErr w:type="spellStart"/>
      <w:r>
        <w:rPr>
          <w:color w:val="000000"/>
          <w:sz w:val="20"/>
          <w:szCs w:val="20"/>
        </w:rPr>
        <w:t>iz</w:t>
      </w:r>
      <w:proofErr w:type="spellEnd"/>
      <w:r>
        <w:rPr>
          <w:color w:val="000000"/>
          <w:sz w:val="20"/>
          <w:szCs w:val="20"/>
        </w:rPr>
        <w:t xml:space="preserve"> </w:t>
      </w:r>
      <w:proofErr w:type="spellStart"/>
      <w:r>
        <w:rPr>
          <w:color w:val="000000"/>
          <w:sz w:val="20"/>
          <w:szCs w:val="20"/>
        </w:rPr>
        <w:t>projekta</w:t>
      </w:r>
      <w:proofErr w:type="spellEnd"/>
      <w:r>
        <w:rPr>
          <w:color w:val="000000"/>
          <w:sz w:val="20"/>
          <w:szCs w:val="20"/>
        </w:rPr>
        <w:t xml:space="preserve"> TABULA </w:t>
      </w:r>
      <w:proofErr w:type="spellStart"/>
      <w:r>
        <w:rPr>
          <w:color w:val="000000"/>
          <w:sz w:val="20"/>
          <w:szCs w:val="20"/>
        </w:rPr>
        <w:t>koja</w:t>
      </w:r>
      <w:proofErr w:type="spellEnd"/>
      <w:r>
        <w:rPr>
          <w:color w:val="000000"/>
          <w:sz w:val="20"/>
          <w:szCs w:val="20"/>
        </w:rPr>
        <w:t xml:space="preserve"> je </w:t>
      </w:r>
      <w:proofErr w:type="spellStart"/>
      <w:r>
        <w:rPr>
          <w:color w:val="000000"/>
          <w:sz w:val="20"/>
          <w:szCs w:val="20"/>
        </w:rPr>
        <w:t>prilagođena</w:t>
      </w:r>
      <w:proofErr w:type="spellEnd"/>
      <w:r>
        <w:rPr>
          <w:color w:val="000000"/>
          <w:sz w:val="20"/>
          <w:szCs w:val="20"/>
        </w:rPr>
        <w:t xml:space="preserve"> </w:t>
      </w:r>
      <w:proofErr w:type="spellStart"/>
      <w:r>
        <w:rPr>
          <w:color w:val="000000"/>
          <w:sz w:val="20"/>
          <w:szCs w:val="20"/>
        </w:rPr>
        <w:t>lokalnim</w:t>
      </w:r>
      <w:proofErr w:type="spellEnd"/>
      <w:r>
        <w:rPr>
          <w:color w:val="000000"/>
          <w:sz w:val="20"/>
          <w:szCs w:val="20"/>
        </w:rPr>
        <w:t xml:space="preserve"> </w:t>
      </w:r>
      <w:proofErr w:type="spellStart"/>
      <w:r>
        <w:rPr>
          <w:color w:val="000000"/>
          <w:sz w:val="20"/>
          <w:szCs w:val="20"/>
        </w:rPr>
        <w:t>uvjetima</w:t>
      </w:r>
      <w:proofErr w:type="spellEnd"/>
    </w:p>
  </w:footnote>
  <w:footnote w:id="14">
    <w:p w14:paraId="545E231F" w14:textId="458FEA62" w:rsidR="00055321" w:rsidRDefault="00740D4F">
      <w:pPr>
        <w:spacing w:after="120" w:line="240" w:lineRule="auto"/>
      </w:pPr>
      <w:r>
        <w:rPr>
          <w:rStyle w:val="FootnoteReference"/>
        </w:rPr>
        <w:footnoteRef/>
      </w:r>
      <w:r>
        <w:rPr>
          <w:sz w:val="20"/>
          <w:szCs w:val="20"/>
        </w:rPr>
        <w:t xml:space="preserve"> </w:t>
      </w:r>
      <w:proofErr w:type="spellStart"/>
      <w:r>
        <w:rPr>
          <w:sz w:val="20"/>
          <w:szCs w:val="20"/>
        </w:rPr>
        <w:t>Integrirani</w:t>
      </w:r>
      <w:proofErr w:type="spellEnd"/>
      <w:r>
        <w:rPr>
          <w:sz w:val="20"/>
          <w:szCs w:val="20"/>
        </w:rPr>
        <w:t xml:space="preserve"> </w:t>
      </w:r>
      <w:proofErr w:type="spellStart"/>
      <w:r>
        <w:rPr>
          <w:sz w:val="20"/>
          <w:szCs w:val="20"/>
        </w:rPr>
        <w:t>energetski</w:t>
      </w:r>
      <w:proofErr w:type="spellEnd"/>
      <w:r>
        <w:rPr>
          <w:sz w:val="20"/>
          <w:szCs w:val="20"/>
        </w:rPr>
        <w:t xml:space="preserve"> i </w:t>
      </w:r>
      <w:proofErr w:type="spellStart"/>
      <w:r>
        <w:rPr>
          <w:sz w:val="20"/>
          <w:szCs w:val="20"/>
        </w:rPr>
        <w:t>klimatski</w:t>
      </w:r>
      <w:proofErr w:type="spellEnd"/>
      <w:r>
        <w:rPr>
          <w:sz w:val="20"/>
          <w:szCs w:val="20"/>
        </w:rPr>
        <w:t xml:space="preserve"> plan za BiH do 2030</w:t>
      </w:r>
      <w:r w:rsidR="0027011A">
        <w:rPr>
          <w:sz w:val="20"/>
          <w:szCs w:val="20"/>
        </w:rPr>
        <w:t>.</w:t>
      </w:r>
      <w:r>
        <w:rPr>
          <w:sz w:val="20"/>
          <w:szCs w:val="20"/>
        </w:rPr>
        <w:t xml:space="preserve"> (National Energy and Climate Plan -NECP 2030</w:t>
      </w:r>
      <w:r w:rsidR="0027011A">
        <w:rPr>
          <w:sz w:val="20"/>
          <w:szCs w:val="20"/>
        </w:rPr>
        <w:t>.</w:t>
      </w:r>
      <w:r>
        <w:rPr>
          <w:sz w:val="20"/>
          <w:szCs w:val="20"/>
        </w:rPr>
        <w:t>) -</w:t>
      </w:r>
      <w:proofErr w:type="spellStart"/>
      <w:r>
        <w:rPr>
          <w:sz w:val="20"/>
          <w:szCs w:val="20"/>
        </w:rPr>
        <w:t>nacrt</w:t>
      </w:r>
      <w:proofErr w:type="spellEnd"/>
    </w:p>
  </w:footnote>
  <w:footnote w:id="15">
    <w:p w14:paraId="2746B9BF" w14:textId="7F4159A4" w:rsidR="00055321" w:rsidRDefault="00740D4F">
      <w:pPr>
        <w:spacing w:after="0" w:line="240" w:lineRule="auto"/>
      </w:pPr>
      <w:r>
        <w:rPr>
          <w:rStyle w:val="FootnoteReference"/>
        </w:rPr>
        <w:footnoteRef/>
      </w:r>
      <w:r>
        <w:t xml:space="preserve"> </w:t>
      </w:r>
      <w:r w:rsidR="00327108" w:rsidRPr="00327108">
        <w:rPr>
          <w:sz w:val="20"/>
          <w:szCs w:val="20"/>
        </w:rPr>
        <w:t>Long-range Energy Alternatives Planning System (LEAP)</w:t>
      </w:r>
      <w:r w:rsidR="00327108">
        <w:rPr>
          <w:sz w:val="20"/>
          <w:szCs w:val="20"/>
        </w:rPr>
        <w:t xml:space="preserve"> </w:t>
      </w:r>
      <w:r>
        <w:rPr>
          <w:sz w:val="20"/>
          <w:szCs w:val="20"/>
        </w:rPr>
        <w:t xml:space="preserve">–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energetskih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god.</w:t>
      </w:r>
      <w:r>
        <w:t xml:space="preserve"> </w:t>
      </w:r>
    </w:p>
  </w:footnote>
  <w:footnote w:id="16">
    <w:p w14:paraId="5F509400" w14:textId="77777777" w:rsidR="00055321" w:rsidRDefault="00740D4F">
      <w:pPr>
        <w:spacing w:after="0" w:line="240" w:lineRule="auto"/>
      </w:pPr>
      <w:r>
        <w:rPr>
          <w:rStyle w:val="FootnoteReference"/>
        </w:rPr>
        <w:footnoteRef/>
      </w:r>
      <w:r>
        <w:t xml:space="preserve"> </w:t>
      </w:r>
      <w:r>
        <w:rPr>
          <w:sz w:val="20"/>
          <w:szCs w:val="20"/>
        </w:rPr>
        <w:t xml:space="preserve">Long range alternative planning </w:t>
      </w:r>
      <w:r w:rsidR="00993FEC">
        <w:rPr>
          <w:sz w:val="20"/>
          <w:szCs w:val="20"/>
        </w:rPr>
        <w:t xml:space="preserve">(LEAP) </w:t>
      </w:r>
      <w:r>
        <w:rPr>
          <w:sz w:val="20"/>
          <w:szCs w:val="20"/>
        </w:rPr>
        <w:t xml:space="preserve">–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energetskih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god.</w:t>
      </w:r>
      <w:r>
        <w:t xml:space="preserve"> </w:t>
      </w:r>
    </w:p>
  </w:footnote>
  <w:footnote w:id="17">
    <w:p w14:paraId="0A564BC5" w14:textId="171EBBA3" w:rsidR="00055321" w:rsidRDefault="00740D4F" w:rsidP="00D27600">
      <w:pPr>
        <w:rPr>
          <w:b/>
        </w:rPr>
      </w:pPr>
      <w:r>
        <w:rPr>
          <w:rStyle w:val="FootnoteReference"/>
        </w:rPr>
        <w:footnoteRef/>
      </w:r>
      <w:proofErr w:type="spellStart"/>
      <w:r>
        <w:t>Pravilnik</w:t>
      </w:r>
      <w:proofErr w:type="spellEnd"/>
      <w:r>
        <w:t xml:space="preserve"> o </w:t>
      </w:r>
      <w:proofErr w:type="spellStart"/>
      <w:r>
        <w:t>minimalnim</w:t>
      </w:r>
      <w:proofErr w:type="spellEnd"/>
      <w:r>
        <w:t xml:space="preserve"> </w:t>
      </w:r>
      <w:proofErr w:type="spellStart"/>
      <w:r>
        <w:t>zahtjevima</w:t>
      </w:r>
      <w:proofErr w:type="spellEnd"/>
      <w:r>
        <w:t xml:space="preserve"> za </w:t>
      </w:r>
      <w:proofErr w:type="spellStart"/>
      <w:r>
        <w:t>energijskim</w:t>
      </w:r>
      <w:proofErr w:type="spellEnd"/>
      <w:r>
        <w:t xml:space="preserve"> </w:t>
      </w:r>
      <w:proofErr w:type="spellStart"/>
      <w:r>
        <w:t>karakteristikama</w:t>
      </w:r>
      <w:proofErr w:type="spellEnd"/>
      <w:r>
        <w:t xml:space="preserve"> </w:t>
      </w:r>
      <w:proofErr w:type="spellStart"/>
      <w:r>
        <w:t>zgrada</w:t>
      </w:r>
      <w:proofErr w:type="spellEnd"/>
      <w:r>
        <w:t xml:space="preserve"> (</w:t>
      </w:r>
      <w:r w:rsidR="00E55907">
        <w:t>“</w:t>
      </w:r>
      <w:proofErr w:type="spellStart"/>
      <w:r>
        <w:t>Službene</w:t>
      </w:r>
      <w:proofErr w:type="spellEnd"/>
      <w:r>
        <w:t xml:space="preserve"> novine F </w:t>
      </w:r>
      <w:proofErr w:type="gramStart"/>
      <w:r>
        <w:t>BiH</w:t>
      </w:r>
      <w:r w:rsidR="003E414D">
        <w:rPr>
          <w:color w:val="333333"/>
          <w:lang w:val="bs-Latn-BA"/>
        </w:rPr>
        <w:t>“</w:t>
      </w:r>
      <w:proofErr w:type="gramEnd"/>
      <w:r>
        <w:t xml:space="preserve">, </w:t>
      </w:r>
      <w:proofErr w:type="spellStart"/>
      <w:r>
        <w:t>broj</w:t>
      </w:r>
      <w:proofErr w:type="spellEnd"/>
      <w:r>
        <w:t xml:space="preserve"> 81/19)</w:t>
      </w:r>
    </w:p>
  </w:footnote>
  <w:footnote w:id="18">
    <w:p w14:paraId="2BA56EE7" w14:textId="4EA91CD7" w:rsidR="00055321" w:rsidRDefault="00740D4F">
      <w:r>
        <w:rPr>
          <w:rStyle w:val="FootnoteReference"/>
        </w:rPr>
        <w:footnoteRef/>
      </w:r>
      <w:proofErr w:type="spellStart"/>
      <w:r w:rsidRPr="00771E4B">
        <w:rPr>
          <w:sz w:val="20"/>
          <w:szCs w:val="20"/>
        </w:rPr>
        <w:t>Pravilnik</w:t>
      </w:r>
      <w:proofErr w:type="spellEnd"/>
      <w:r w:rsidRPr="00771E4B">
        <w:rPr>
          <w:sz w:val="20"/>
          <w:szCs w:val="20"/>
        </w:rPr>
        <w:t xml:space="preserve"> o </w:t>
      </w:r>
      <w:proofErr w:type="spellStart"/>
      <w:r w:rsidRPr="00771E4B">
        <w:rPr>
          <w:sz w:val="20"/>
          <w:szCs w:val="20"/>
        </w:rPr>
        <w:t>minimalnim</w:t>
      </w:r>
      <w:proofErr w:type="spellEnd"/>
      <w:r w:rsidRPr="00771E4B">
        <w:rPr>
          <w:sz w:val="20"/>
          <w:szCs w:val="20"/>
        </w:rPr>
        <w:t xml:space="preserve"> </w:t>
      </w:r>
      <w:proofErr w:type="spellStart"/>
      <w:r w:rsidRPr="00771E4B">
        <w:rPr>
          <w:sz w:val="20"/>
          <w:szCs w:val="20"/>
        </w:rPr>
        <w:t>zahtjevima</w:t>
      </w:r>
      <w:proofErr w:type="spellEnd"/>
      <w:r w:rsidRPr="00771E4B">
        <w:rPr>
          <w:sz w:val="20"/>
          <w:szCs w:val="20"/>
        </w:rPr>
        <w:t xml:space="preserve"> za </w:t>
      </w:r>
      <w:proofErr w:type="spellStart"/>
      <w:r w:rsidRPr="00771E4B">
        <w:rPr>
          <w:sz w:val="20"/>
          <w:szCs w:val="20"/>
        </w:rPr>
        <w:t>energijskim</w:t>
      </w:r>
      <w:proofErr w:type="spellEnd"/>
      <w:r w:rsidRPr="00771E4B">
        <w:rPr>
          <w:sz w:val="20"/>
          <w:szCs w:val="20"/>
        </w:rPr>
        <w:t xml:space="preserve"> </w:t>
      </w:r>
      <w:proofErr w:type="spellStart"/>
      <w:r w:rsidRPr="00771E4B">
        <w:rPr>
          <w:sz w:val="20"/>
          <w:szCs w:val="20"/>
        </w:rPr>
        <w:t>karakteristikama</w:t>
      </w:r>
      <w:proofErr w:type="spellEnd"/>
      <w:r w:rsidRPr="00771E4B">
        <w:rPr>
          <w:sz w:val="20"/>
          <w:szCs w:val="20"/>
        </w:rPr>
        <w:t xml:space="preserve"> </w:t>
      </w:r>
      <w:proofErr w:type="spellStart"/>
      <w:r w:rsidRPr="00771E4B">
        <w:rPr>
          <w:sz w:val="20"/>
          <w:szCs w:val="20"/>
        </w:rPr>
        <w:t>zgrada</w:t>
      </w:r>
      <w:proofErr w:type="spellEnd"/>
      <w:r w:rsidRPr="00771E4B">
        <w:rPr>
          <w:sz w:val="20"/>
          <w:szCs w:val="20"/>
        </w:rPr>
        <w:t xml:space="preserve"> (</w:t>
      </w:r>
      <w:r w:rsidR="00E55907">
        <w:rPr>
          <w:sz w:val="20"/>
          <w:szCs w:val="20"/>
        </w:rPr>
        <w:t>“</w:t>
      </w:r>
      <w:proofErr w:type="spellStart"/>
      <w:r w:rsidRPr="00771E4B">
        <w:rPr>
          <w:sz w:val="20"/>
          <w:szCs w:val="20"/>
        </w:rPr>
        <w:t>Službene</w:t>
      </w:r>
      <w:proofErr w:type="spellEnd"/>
      <w:r w:rsidRPr="00771E4B">
        <w:rPr>
          <w:sz w:val="20"/>
          <w:szCs w:val="20"/>
        </w:rPr>
        <w:t xml:space="preserve"> novine F </w:t>
      </w:r>
      <w:proofErr w:type="gramStart"/>
      <w:r w:rsidRPr="00771E4B">
        <w:rPr>
          <w:sz w:val="20"/>
          <w:szCs w:val="20"/>
        </w:rPr>
        <w:t>BiH</w:t>
      </w:r>
      <w:r w:rsidR="003E414D">
        <w:rPr>
          <w:color w:val="333333"/>
          <w:lang w:val="bs-Latn-BA"/>
        </w:rPr>
        <w:t>“</w:t>
      </w:r>
      <w:proofErr w:type="gramEnd"/>
      <w:r w:rsidRPr="00771E4B">
        <w:rPr>
          <w:sz w:val="20"/>
          <w:szCs w:val="20"/>
        </w:rPr>
        <w:t xml:space="preserve">, </w:t>
      </w:r>
      <w:proofErr w:type="spellStart"/>
      <w:r w:rsidRPr="00771E4B">
        <w:rPr>
          <w:sz w:val="20"/>
          <w:szCs w:val="20"/>
        </w:rPr>
        <w:t>broj</w:t>
      </w:r>
      <w:proofErr w:type="spellEnd"/>
      <w:r w:rsidRPr="00771E4B">
        <w:rPr>
          <w:sz w:val="20"/>
          <w:szCs w:val="20"/>
        </w:rPr>
        <w:t xml:space="preserve"> 81/19)</w:t>
      </w:r>
    </w:p>
    <w:p w14:paraId="049C5F73" w14:textId="77777777" w:rsidR="00055321" w:rsidRDefault="00055321">
      <w:pPr>
        <w:tabs>
          <w:tab w:val="left" w:pos="4962"/>
        </w:tabs>
        <w:spacing w:after="0" w:line="240" w:lineRule="auto"/>
        <w:rPr>
          <w:b/>
        </w:rPr>
      </w:pPr>
    </w:p>
  </w:footnote>
  <w:footnote w:id="19">
    <w:p w14:paraId="1889AC7D" w14:textId="0FE29EA3" w:rsidR="00067BD8" w:rsidRPr="00067BD8" w:rsidRDefault="00067BD8" w:rsidP="00067BD8">
      <w:pPr>
        <w:pStyle w:val="FootnoteText"/>
        <w:jc w:val="left"/>
        <w:rPr>
          <w:lang w:val="en-GB"/>
        </w:rPr>
      </w:pPr>
      <w:r>
        <w:rPr>
          <w:rStyle w:val="FootnoteReference"/>
        </w:rPr>
        <w:footnoteRef/>
      </w:r>
      <w:r>
        <w:t xml:space="preserve"> </w:t>
      </w:r>
      <w:hyperlink r:id="rId3" w:history="1">
        <w:r w:rsidRPr="007918EA">
          <w:rPr>
            <w:rStyle w:val="Hyperlink"/>
          </w:rPr>
          <w:t>https://globalabc.org/sites/default/files/inline-files/2020%20Buildings%20GSR_FULL%20REPORT.pdf?rel=outbound</w:t>
        </w:r>
      </w:hyperlink>
      <w:r>
        <w:t xml:space="preserve"> </w:t>
      </w:r>
    </w:p>
  </w:footnote>
  <w:footnote w:id="20">
    <w:p w14:paraId="386A6962" w14:textId="0918F333" w:rsidR="005107C6" w:rsidRDefault="005107C6" w:rsidP="005107C6">
      <w:pPr>
        <w:spacing w:after="0" w:line="240" w:lineRule="auto"/>
      </w:pPr>
      <w:r>
        <w:rPr>
          <w:rStyle w:val="FootnoteReference"/>
        </w:rPr>
        <w:footnoteRef/>
      </w:r>
      <w:r>
        <w:t xml:space="preserve"> </w:t>
      </w:r>
      <w:r w:rsidR="00A367A5" w:rsidRPr="00A367A5">
        <w:rPr>
          <w:sz w:val="20"/>
          <w:szCs w:val="20"/>
        </w:rPr>
        <w:t>Long-range Energy Alternatives Planning System (LEAP)</w:t>
      </w:r>
      <w:r>
        <w:rPr>
          <w:sz w:val="20"/>
          <w:szCs w:val="20"/>
        </w:rPr>
        <w:t xml:space="preserve"> –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energijskih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w:t>
      </w:r>
      <w:r w:rsidR="00884261">
        <w:rPr>
          <w:sz w:val="20"/>
          <w:szCs w:val="20"/>
        </w:rPr>
        <w:t>20</w:t>
      </w:r>
      <w:r>
        <w:rPr>
          <w:sz w:val="20"/>
          <w:szCs w:val="20"/>
        </w:rPr>
        <w:t>. god.</w:t>
      </w:r>
      <w:r>
        <w:t xml:space="preserve"> </w:t>
      </w:r>
    </w:p>
  </w:footnote>
  <w:footnote w:id="21">
    <w:p w14:paraId="49252B2D" w14:textId="77777777" w:rsidR="002D43CA" w:rsidRPr="00966EF4" w:rsidRDefault="002D43CA" w:rsidP="002D43CA">
      <w:pPr>
        <w:pStyle w:val="Nazivprojekta"/>
        <w:jc w:val="both"/>
        <w:rPr>
          <w:i/>
          <w:iCs/>
          <w:color w:val="auto"/>
          <w:szCs w:val="20"/>
          <w:lang w:val="bs-Latn-BA"/>
        </w:rPr>
      </w:pPr>
      <w:r w:rsidRPr="00966EF4">
        <w:rPr>
          <w:rStyle w:val="FootnoteReference"/>
          <w:szCs w:val="20"/>
        </w:rPr>
        <w:footnoteRef/>
      </w:r>
      <w:r w:rsidRPr="00966EF4">
        <w:rPr>
          <w:szCs w:val="20"/>
        </w:rPr>
        <w:t xml:space="preserve"> </w:t>
      </w:r>
      <w:r w:rsidRPr="00966EF4">
        <w:rPr>
          <w:color w:val="auto"/>
          <w:szCs w:val="20"/>
          <w:lang w:val="bs-Latn-BA"/>
        </w:rPr>
        <w:t>Gorazd Bučar, Normativi i cijene u graditeljstvu. Sveučilište u Rijeci, 2003.</w:t>
      </w:r>
    </w:p>
  </w:footnote>
  <w:footnote w:id="22">
    <w:p w14:paraId="31F62787" w14:textId="53B83873" w:rsidR="002D43CA" w:rsidRPr="001972F5" w:rsidRDefault="002D43CA" w:rsidP="002D43CA">
      <w:pPr>
        <w:spacing w:after="0" w:line="240" w:lineRule="auto"/>
        <w:rPr>
          <w:lang w:val="bs-Latn-BA"/>
        </w:rPr>
      </w:pPr>
      <w:r>
        <w:rPr>
          <w:rStyle w:val="FootnoteReference"/>
        </w:rPr>
        <w:footnoteRef/>
      </w:r>
      <w:r w:rsidRPr="001972F5">
        <w:rPr>
          <w:lang w:val="bs-Latn-BA"/>
        </w:rPr>
        <w:t xml:space="preserve"> </w:t>
      </w:r>
      <w:r w:rsidR="00A11755" w:rsidRPr="001972F5">
        <w:rPr>
          <w:sz w:val="20"/>
          <w:szCs w:val="20"/>
          <w:lang w:val="bs-Latn-BA"/>
        </w:rPr>
        <w:t>Long-range Energy Alternatives Planning System (LEAP)</w:t>
      </w:r>
      <w:r w:rsidRPr="001972F5">
        <w:rPr>
          <w:sz w:val="20"/>
          <w:szCs w:val="20"/>
          <w:lang w:val="bs-Latn-BA"/>
        </w:rPr>
        <w:t>– softver za planiranje energetskih bilansa korišten tokom izrade Integralne strategije obnove zgrada u BiH, 2019. god.</w:t>
      </w:r>
      <w:r w:rsidRPr="001972F5">
        <w:rPr>
          <w:lang w:val="bs-Latn-BA"/>
        </w:rPr>
        <w:t xml:space="preserve"> </w:t>
      </w:r>
    </w:p>
  </w:footnote>
  <w:footnote w:id="23">
    <w:p w14:paraId="4B573923" w14:textId="77777777" w:rsidR="002D43CA" w:rsidRPr="001972F5" w:rsidRDefault="002D43CA" w:rsidP="002D43CA">
      <w:pPr>
        <w:pBdr>
          <w:top w:val="nil"/>
          <w:left w:val="nil"/>
          <w:bottom w:val="nil"/>
          <w:right w:val="nil"/>
          <w:between w:val="nil"/>
        </w:pBdr>
        <w:spacing w:after="0" w:line="240" w:lineRule="auto"/>
        <w:rPr>
          <w:color w:val="000000"/>
          <w:sz w:val="20"/>
          <w:szCs w:val="20"/>
          <w:lang w:val="bs-Latn-BA"/>
        </w:rPr>
      </w:pPr>
      <w:r>
        <w:rPr>
          <w:rStyle w:val="FootnoteReference"/>
        </w:rPr>
        <w:footnoteRef/>
      </w:r>
      <w:r w:rsidRPr="001972F5">
        <w:rPr>
          <w:color w:val="000000"/>
          <w:sz w:val="20"/>
          <w:szCs w:val="20"/>
          <w:lang w:val="bs-Latn-BA"/>
        </w:rPr>
        <w:t xml:space="preserve"> </w:t>
      </w:r>
      <w:hyperlink r:id="rId4">
        <w:r w:rsidRPr="001972F5">
          <w:rPr>
            <w:color w:val="0563C1"/>
            <w:sz w:val="20"/>
            <w:szCs w:val="20"/>
            <w:u w:val="single"/>
            <w:lang w:val="bs-Latn-BA"/>
          </w:rPr>
          <w:t>https://fmeri.gov.ba/media/1988/operativni-plan-ee-fbihdocx.pdf</w:t>
        </w:r>
      </w:hyperlink>
      <w:r w:rsidRPr="001972F5">
        <w:rPr>
          <w:color w:val="000000"/>
          <w:sz w:val="20"/>
          <w:szCs w:val="20"/>
          <w:lang w:val="bs-Latn-BA"/>
        </w:rPr>
        <w:t xml:space="preserve"> </w:t>
      </w:r>
    </w:p>
  </w:footnote>
  <w:footnote w:id="24">
    <w:p w14:paraId="6C37DE69" w14:textId="77777777" w:rsidR="002D43CA" w:rsidRPr="001972F5" w:rsidRDefault="002D43CA" w:rsidP="002D43CA">
      <w:pPr>
        <w:pBdr>
          <w:top w:val="nil"/>
          <w:left w:val="nil"/>
          <w:bottom w:val="nil"/>
          <w:right w:val="nil"/>
          <w:between w:val="nil"/>
        </w:pBdr>
        <w:spacing w:after="0" w:line="240" w:lineRule="auto"/>
        <w:rPr>
          <w:color w:val="000000"/>
          <w:sz w:val="20"/>
          <w:szCs w:val="20"/>
          <w:lang w:val="bs-Latn-BA"/>
        </w:rPr>
      </w:pPr>
      <w:r>
        <w:rPr>
          <w:rStyle w:val="FootnoteReference"/>
        </w:rPr>
        <w:footnoteRef/>
      </w:r>
      <w:r w:rsidRPr="001972F5">
        <w:rPr>
          <w:color w:val="000000"/>
          <w:sz w:val="20"/>
          <w:szCs w:val="20"/>
          <w:lang w:val="bs-Latn-BA"/>
        </w:rPr>
        <w:t xml:space="preserve"> </w:t>
      </w:r>
      <w:hyperlink r:id="rId5">
        <w:r w:rsidRPr="001972F5">
          <w:rPr>
            <w:color w:val="0563C1"/>
            <w:sz w:val="20"/>
            <w:szCs w:val="20"/>
            <w:u w:val="single"/>
            <w:lang w:val="bs-Latn-BA"/>
          </w:rPr>
          <w:t>https://fmpu.gov.ba/projekti/beep/</w:t>
        </w:r>
      </w:hyperlink>
      <w:r w:rsidRPr="001972F5">
        <w:rPr>
          <w:color w:val="000000"/>
          <w:sz w:val="20"/>
          <w:szCs w:val="20"/>
          <w:lang w:val="bs-Latn-BA"/>
        </w:rPr>
        <w:t xml:space="preserve"> </w:t>
      </w:r>
    </w:p>
  </w:footnote>
  <w:footnote w:id="25">
    <w:p w14:paraId="3C5EEB74" w14:textId="5D5A6779" w:rsidR="00613662" w:rsidRDefault="00613662" w:rsidP="00613662">
      <w:pPr>
        <w:spacing w:after="0" w:line="240" w:lineRule="auto"/>
      </w:pPr>
      <w:r>
        <w:rPr>
          <w:rStyle w:val="FootnoteReference"/>
        </w:rPr>
        <w:footnoteRef/>
      </w:r>
      <w:r>
        <w:t xml:space="preserve"> </w:t>
      </w:r>
      <w:r w:rsidR="00CE3A51" w:rsidRPr="00CE3A51">
        <w:rPr>
          <w:sz w:val="20"/>
          <w:szCs w:val="20"/>
        </w:rPr>
        <w:t>Long-range Energy Alternatives Planning System (LEAP)</w:t>
      </w:r>
      <w:r>
        <w:rPr>
          <w:sz w:val="20"/>
          <w:szCs w:val="20"/>
        </w:rPr>
        <w:t xml:space="preserve">–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energetskih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god.</w:t>
      </w:r>
      <w:r>
        <w:t xml:space="preserve"> </w:t>
      </w:r>
    </w:p>
  </w:footnote>
  <w:footnote w:id="26">
    <w:p w14:paraId="4B01C126" w14:textId="77777777" w:rsidR="00607C8A" w:rsidRDefault="00607C8A" w:rsidP="00607C8A">
      <w:pPr>
        <w:pBdr>
          <w:top w:val="nil"/>
          <w:left w:val="nil"/>
          <w:bottom w:val="nil"/>
          <w:right w:val="nil"/>
          <w:between w:val="nil"/>
        </w:pBdr>
        <w:spacing w:after="0" w:line="240" w:lineRule="auto"/>
        <w:rPr>
          <w:rFonts w:eastAsia="Calibri"/>
          <w:color w:val="000000"/>
        </w:rPr>
      </w:pPr>
      <w:r>
        <w:rPr>
          <w:rStyle w:val="FootnoteReference"/>
        </w:rPr>
        <w:footnoteRef/>
      </w:r>
      <w:r>
        <w:rPr>
          <w:rFonts w:eastAsia="Calibri"/>
          <w:color w:val="7B7D81"/>
          <w:sz w:val="20"/>
          <w:szCs w:val="20"/>
        </w:rPr>
        <w:t xml:space="preserve"> </w:t>
      </w:r>
      <w:r>
        <w:rPr>
          <w:rFonts w:eastAsia="Calibri"/>
          <w:color w:val="000000"/>
          <w:sz w:val="20"/>
          <w:szCs w:val="20"/>
        </w:rPr>
        <w:t xml:space="preserve">Analiza </w:t>
      </w:r>
      <w:proofErr w:type="spellStart"/>
      <w:r>
        <w:rPr>
          <w:rFonts w:eastAsia="Calibri"/>
          <w:color w:val="000000"/>
          <w:sz w:val="20"/>
          <w:szCs w:val="20"/>
        </w:rPr>
        <w:t>kapaciteta</w:t>
      </w:r>
      <w:proofErr w:type="spellEnd"/>
      <w:r>
        <w:rPr>
          <w:rFonts w:eastAsia="Calibri"/>
          <w:color w:val="000000"/>
          <w:sz w:val="20"/>
          <w:szCs w:val="20"/>
        </w:rPr>
        <w:t xml:space="preserve"> </w:t>
      </w:r>
      <w:proofErr w:type="spellStart"/>
      <w:r>
        <w:rPr>
          <w:rFonts w:eastAsia="Calibri"/>
          <w:color w:val="000000"/>
          <w:sz w:val="20"/>
          <w:szCs w:val="20"/>
        </w:rPr>
        <w:t>privatnog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za </w:t>
      </w:r>
      <w:proofErr w:type="spellStart"/>
      <w:r>
        <w:rPr>
          <w:rFonts w:eastAsia="Calibri"/>
          <w:color w:val="000000"/>
          <w:sz w:val="20"/>
          <w:szCs w:val="20"/>
        </w:rPr>
        <w:t>provođenje</w:t>
      </w:r>
      <w:proofErr w:type="spellEnd"/>
      <w:r>
        <w:rPr>
          <w:rFonts w:eastAsia="Calibri"/>
          <w:color w:val="000000"/>
          <w:sz w:val="20"/>
          <w:szCs w:val="20"/>
        </w:rPr>
        <w:t xml:space="preserve"> </w:t>
      </w:r>
      <w:proofErr w:type="spellStart"/>
      <w:r>
        <w:rPr>
          <w:rFonts w:eastAsia="Calibri"/>
          <w:color w:val="000000"/>
          <w:sz w:val="20"/>
          <w:szCs w:val="20"/>
        </w:rPr>
        <w:t>strategije</w:t>
      </w:r>
      <w:proofErr w:type="spellEnd"/>
      <w:r>
        <w:rPr>
          <w:rFonts w:eastAsia="Calibri"/>
          <w:color w:val="000000"/>
          <w:sz w:val="20"/>
          <w:szCs w:val="20"/>
        </w:rPr>
        <w:t xml:space="preserve"> </w:t>
      </w:r>
      <w:proofErr w:type="spellStart"/>
      <w:r>
        <w:rPr>
          <w:rFonts w:eastAsia="Calibri"/>
          <w:color w:val="000000"/>
          <w:sz w:val="20"/>
          <w:szCs w:val="20"/>
        </w:rPr>
        <w:t>obnove</w:t>
      </w:r>
      <w:proofErr w:type="spellEnd"/>
      <w:r>
        <w:rPr>
          <w:rFonts w:eastAsia="Calibri"/>
          <w:color w:val="000000"/>
          <w:sz w:val="20"/>
          <w:szCs w:val="20"/>
        </w:rPr>
        <w:t xml:space="preserve"> </w:t>
      </w:r>
      <w:proofErr w:type="spellStart"/>
      <w:r>
        <w:rPr>
          <w:rFonts w:eastAsia="Calibri"/>
          <w:color w:val="000000"/>
          <w:sz w:val="20"/>
          <w:szCs w:val="20"/>
        </w:rPr>
        <w:t>zgrada</w:t>
      </w:r>
      <w:proofErr w:type="spellEnd"/>
      <w:r>
        <w:rPr>
          <w:rFonts w:eastAsia="Calibri"/>
          <w:color w:val="000000"/>
          <w:sz w:val="20"/>
          <w:szCs w:val="20"/>
        </w:rPr>
        <w:t xml:space="preserve"> u </w:t>
      </w:r>
      <w:proofErr w:type="spellStart"/>
      <w:r>
        <w:rPr>
          <w:rFonts w:eastAsia="Calibri"/>
          <w:color w:val="000000"/>
          <w:sz w:val="20"/>
          <w:szCs w:val="20"/>
        </w:rPr>
        <w:t>u</w:t>
      </w:r>
      <w:proofErr w:type="spellEnd"/>
      <w:r>
        <w:rPr>
          <w:rFonts w:eastAsia="Calibri"/>
          <w:color w:val="000000"/>
          <w:sz w:val="20"/>
          <w:szCs w:val="20"/>
        </w:rPr>
        <w:t xml:space="preserve">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w:t>
      </w:r>
      <w:proofErr w:type="spellStart"/>
      <w:r>
        <w:rPr>
          <w:rFonts w:eastAsia="Calibri"/>
          <w:color w:val="000000"/>
          <w:sz w:val="20"/>
          <w:szCs w:val="20"/>
        </w:rPr>
        <w:t>Dekarbonizacija</w:t>
      </w:r>
      <w:proofErr w:type="spellEnd"/>
      <w:r>
        <w:rPr>
          <w:rFonts w:eastAsia="Calibri"/>
          <w:color w:val="000000"/>
          <w:sz w:val="20"/>
          <w:szCs w:val="20"/>
        </w:rPr>
        <w:t xml:space="preserve"> </w:t>
      </w:r>
      <w:proofErr w:type="spellStart"/>
      <w:r>
        <w:rPr>
          <w:rFonts w:eastAsia="Calibri"/>
          <w:color w:val="000000"/>
          <w:sz w:val="20"/>
          <w:szCs w:val="20"/>
        </w:rPr>
        <w:t>energetskog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w:t>
      </w:r>
      <w:proofErr w:type="spellStart"/>
      <w:r>
        <w:rPr>
          <w:rFonts w:eastAsia="Calibri"/>
          <w:color w:val="000000"/>
          <w:sz w:val="20"/>
          <w:szCs w:val="20"/>
        </w:rPr>
        <w:t>DecES</w:t>
      </w:r>
      <w:proofErr w:type="spellEnd"/>
      <w:r>
        <w:rPr>
          <w:rFonts w:eastAsia="Calibri"/>
          <w:color w:val="000000"/>
          <w:sz w:val="20"/>
          <w:szCs w:val="20"/>
        </w:rPr>
        <w:t xml:space="preserve">) u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(BiH) Deutsche Gesellschaft für </w:t>
      </w:r>
      <w:proofErr w:type="spellStart"/>
      <w:r>
        <w:rPr>
          <w:rFonts w:eastAsia="Calibri"/>
          <w:color w:val="000000"/>
          <w:sz w:val="20"/>
          <w:szCs w:val="20"/>
        </w:rPr>
        <w:t>Internationale</w:t>
      </w:r>
      <w:proofErr w:type="spellEnd"/>
      <w:r>
        <w:rPr>
          <w:rFonts w:eastAsia="Calibri"/>
          <w:color w:val="000000"/>
          <w:sz w:val="20"/>
          <w:szCs w:val="20"/>
        </w:rPr>
        <w:t xml:space="preserve"> </w:t>
      </w:r>
      <w:proofErr w:type="spellStart"/>
      <w:r>
        <w:rPr>
          <w:rFonts w:eastAsia="Calibri"/>
          <w:color w:val="000000"/>
          <w:sz w:val="20"/>
          <w:szCs w:val="20"/>
        </w:rPr>
        <w:t>Zusammenarbeit</w:t>
      </w:r>
      <w:proofErr w:type="spellEnd"/>
      <w:r>
        <w:rPr>
          <w:rFonts w:eastAsia="Calibri"/>
          <w:color w:val="000000"/>
          <w:sz w:val="20"/>
          <w:szCs w:val="20"/>
        </w:rPr>
        <w:t xml:space="preserve"> (GIZ) GmbH, 2020. god.</w:t>
      </w:r>
    </w:p>
  </w:footnote>
  <w:footnote w:id="27">
    <w:p w14:paraId="1D5BB802" w14:textId="77777777" w:rsidR="00607C8A" w:rsidRDefault="00607C8A" w:rsidP="00607C8A">
      <w:pPr>
        <w:pBdr>
          <w:top w:val="nil"/>
          <w:left w:val="nil"/>
          <w:bottom w:val="nil"/>
          <w:right w:val="nil"/>
          <w:between w:val="nil"/>
        </w:pBdr>
        <w:spacing w:after="0" w:line="240" w:lineRule="auto"/>
        <w:rPr>
          <w:rFonts w:eastAsia="Calibri"/>
          <w:color w:val="000000"/>
          <w:sz w:val="20"/>
          <w:szCs w:val="20"/>
        </w:rPr>
      </w:pPr>
      <w:r>
        <w:rPr>
          <w:rStyle w:val="FootnoteReference"/>
        </w:rPr>
        <w:footnoteRef/>
      </w:r>
      <w:r>
        <w:rPr>
          <w:rFonts w:eastAsia="Calibri"/>
          <w:color w:val="7B7D81"/>
          <w:sz w:val="20"/>
          <w:szCs w:val="20"/>
        </w:rPr>
        <w:t xml:space="preserve"> </w:t>
      </w:r>
      <w:proofErr w:type="spellStart"/>
      <w:r>
        <w:rPr>
          <w:rFonts w:eastAsia="Calibri"/>
          <w:color w:val="000000"/>
          <w:sz w:val="20"/>
          <w:szCs w:val="20"/>
        </w:rPr>
        <w:t>Kadrić</w:t>
      </w:r>
      <w:proofErr w:type="spellEnd"/>
      <w:r>
        <w:rPr>
          <w:rFonts w:eastAsia="Calibri"/>
          <w:color w:val="000000"/>
          <w:sz w:val="20"/>
          <w:szCs w:val="20"/>
        </w:rPr>
        <w:t xml:space="preserve"> et. </w:t>
      </w:r>
      <w:proofErr w:type="gramStart"/>
      <w:r>
        <w:rPr>
          <w:rFonts w:eastAsia="Calibri"/>
          <w:color w:val="000000"/>
          <w:sz w:val="20"/>
          <w:szCs w:val="20"/>
        </w:rPr>
        <w:t>al ,Cost</w:t>
      </w:r>
      <w:proofErr w:type="gramEnd"/>
      <w:r>
        <w:rPr>
          <w:rFonts w:eastAsia="Calibri"/>
          <w:color w:val="000000"/>
          <w:sz w:val="20"/>
          <w:szCs w:val="20"/>
        </w:rPr>
        <w:t xml:space="preserve">-related analysis of implementing energy-efficient retrofit measures in the residential building sector of a middle-income country – A case study of Bosnia and Herzegovina, Energy and Buildings, </w:t>
      </w:r>
    </w:p>
    <w:p w14:paraId="62AED91A" w14:textId="77777777" w:rsidR="00607C8A" w:rsidRDefault="00607C8A" w:rsidP="00607C8A">
      <w:pPr>
        <w:pBdr>
          <w:top w:val="nil"/>
          <w:left w:val="nil"/>
          <w:bottom w:val="nil"/>
          <w:right w:val="nil"/>
          <w:between w:val="nil"/>
        </w:pBdr>
        <w:spacing w:after="0" w:line="240" w:lineRule="auto"/>
        <w:rPr>
          <w:rFonts w:eastAsia="Calibri"/>
          <w:color w:val="000000"/>
        </w:rPr>
      </w:pPr>
      <w:r>
        <w:rPr>
          <w:rFonts w:eastAsia="Calibri"/>
          <w:color w:val="000000"/>
          <w:sz w:val="20"/>
          <w:szCs w:val="20"/>
        </w:rPr>
        <w:t>Volume 257, 2022, 111765, ISSN 0378-</w:t>
      </w:r>
      <w:proofErr w:type="gramStart"/>
      <w:r>
        <w:rPr>
          <w:rFonts w:eastAsia="Calibri"/>
          <w:color w:val="000000"/>
          <w:sz w:val="20"/>
          <w:szCs w:val="20"/>
        </w:rPr>
        <w:t>7788,https://doi.org/10.1016/j.enbuild.2021.111765</w:t>
      </w:r>
      <w:proofErr w:type="gramEnd"/>
      <w:r>
        <w:rPr>
          <w:rFonts w:eastAsia="Calibri"/>
          <w:color w:val="000000"/>
          <w:sz w:val="20"/>
          <w:szCs w:val="20"/>
        </w:rPr>
        <w:t>.</w:t>
      </w:r>
    </w:p>
  </w:footnote>
  <w:footnote w:id="28">
    <w:p w14:paraId="68CB9302" w14:textId="704062AC" w:rsidR="00607C8A" w:rsidRDefault="00607C8A" w:rsidP="00607C8A">
      <w:pPr>
        <w:spacing w:after="0" w:line="240" w:lineRule="auto"/>
      </w:pPr>
      <w:r>
        <w:rPr>
          <w:rStyle w:val="FootnoteReference"/>
        </w:rPr>
        <w:footnoteRef/>
      </w:r>
      <w:r>
        <w:t xml:space="preserve"> </w:t>
      </w:r>
      <w:r w:rsidR="004A48C8" w:rsidRPr="004A48C8">
        <w:rPr>
          <w:sz w:val="20"/>
          <w:szCs w:val="20"/>
        </w:rPr>
        <w:t>Long-range Energy Alternatives Planning System (LEAP)</w:t>
      </w:r>
      <w:r>
        <w:rPr>
          <w:sz w:val="20"/>
          <w:szCs w:val="20"/>
        </w:rPr>
        <w:t xml:space="preserve">–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energetskih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god.</w:t>
      </w:r>
      <w:r>
        <w:t xml:space="preserve"> </w:t>
      </w:r>
    </w:p>
  </w:footnote>
  <w:footnote w:id="29">
    <w:p w14:paraId="318FE569" w14:textId="77777777" w:rsidR="006F579C" w:rsidRDefault="006F579C" w:rsidP="006F579C">
      <w:pPr>
        <w:pBdr>
          <w:top w:val="nil"/>
          <w:left w:val="nil"/>
          <w:bottom w:val="nil"/>
          <w:right w:val="nil"/>
          <w:between w:val="nil"/>
        </w:pBdr>
        <w:spacing w:after="0" w:line="240" w:lineRule="auto"/>
        <w:rPr>
          <w:rFonts w:eastAsia="Calibri"/>
          <w:color w:val="000000"/>
        </w:rPr>
      </w:pPr>
      <w:r>
        <w:rPr>
          <w:rStyle w:val="FootnoteReference"/>
        </w:rPr>
        <w:footnoteRef/>
      </w:r>
      <w:r>
        <w:rPr>
          <w:rFonts w:eastAsia="Calibri"/>
          <w:color w:val="7B7D81"/>
          <w:sz w:val="20"/>
          <w:szCs w:val="20"/>
        </w:rPr>
        <w:t xml:space="preserve"> </w:t>
      </w:r>
      <w:r>
        <w:rPr>
          <w:rFonts w:eastAsia="Calibri"/>
          <w:color w:val="000000"/>
          <w:sz w:val="20"/>
          <w:szCs w:val="20"/>
        </w:rPr>
        <w:t xml:space="preserve">Analiza </w:t>
      </w:r>
      <w:proofErr w:type="spellStart"/>
      <w:r>
        <w:rPr>
          <w:rFonts w:eastAsia="Calibri"/>
          <w:color w:val="000000"/>
          <w:sz w:val="20"/>
          <w:szCs w:val="20"/>
        </w:rPr>
        <w:t>kapaciteta</w:t>
      </w:r>
      <w:proofErr w:type="spellEnd"/>
      <w:r>
        <w:rPr>
          <w:rFonts w:eastAsia="Calibri"/>
          <w:color w:val="000000"/>
          <w:sz w:val="20"/>
          <w:szCs w:val="20"/>
        </w:rPr>
        <w:t xml:space="preserve"> </w:t>
      </w:r>
      <w:proofErr w:type="spellStart"/>
      <w:r>
        <w:rPr>
          <w:rFonts w:eastAsia="Calibri"/>
          <w:color w:val="000000"/>
          <w:sz w:val="20"/>
          <w:szCs w:val="20"/>
        </w:rPr>
        <w:t>privatnog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za </w:t>
      </w:r>
      <w:proofErr w:type="spellStart"/>
      <w:r>
        <w:rPr>
          <w:rFonts w:eastAsia="Calibri"/>
          <w:color w:val="000000"/>
          <w:sz w:val="20"/>
          <w:szCs w:val="20"/>
        </w:rPr>
        <w:t>provođenje</w:t>
      </w:r>
      <w:proofErr w:type="spellEnd"/>
      <w:r>
        <w:rPr>
          <w:rFonts w:eastAsia="Calibri"/>
          <w:color w:val="000000"/>
          <w:sz w:val="20"/>
          <w:szCs w:val="20"/>
        </w:rPr>
        <w:t xml:space="preserve"> </w:t>
      </w:r>
      <w:proofErr w:type="spellStart"/>
      <w:r>
        <w:rPr>
          <w:rFonts w:eastAsia="Calibri"/>
          <w:color w:val="000000"/>
          <w:sz w:val="20"/>
          <w:szCs w:val="20"/>
        </w:rPr>
        <w:t>strategije</w:t>
      </w:r>
      <w:proofErr w:type="spellEnd"/>
      <w:r>
        <w:rPr>
          <w:rFonts w:eastAsia="Calibri"/>
          <w:color w:val="000000"/>
          <w:sz w:val="20"/>
          <w:szCs w:val="20"/>
        </w:rPr>
        <w:t xml:space="preserve"> </w:t>
      </w:r>
      <w:proofErr w:type="spellStart"/>
      <w:r>
        <w:rPr>
          <w:rFonts w:eastAsia="Calibri"/>
          <w:color w:val="000000"/>
          <w:sz w:val="20"/>
          <w:szCs w:val="20"/>
        </w:rPr>
        <w:t>obnove</w:t>
      </w:r>
      <w:proofErr w:type="spellEnd"/>
      <w:r>
        <w:rPr>
          <w:rFonts w:eastAsia="Calibri"/>
          <w:color w:val="000000"/>
          <w:sz w:val="20"/>
          <w:szCs w:val="20"/>
        </w:rPr>
        <w:t xml:space="preserve"> </w:t>
      </w:r>
      <w:proofErr w:type="spellStart"/>
      <w:r>
        <w:rPr>
          <w:rFonts w:eastAsia="Calibri"/>
          <w:color w:val="000000"/>
          <w:sz w:val="20"/>
          <w:szCs w:val="20"/>
        </w:rPr>
        <w:t>zgrada</w:t>
      </w:r>
      <w:proofErr w:type="spellEnd"/>
      <w:r>
        <w:rPr>
          <w:rFonts w:eastAsia="Calibri"/>
          <w:color w:val="000000"/>
          <w:sz w:val="20"/>
          <w:szCs w:val="20"/>
        </w:rPr>
        <w:t xml:space="preserve"> u </w:t>
      </w:r>
      <w:proofErr w:type="spellStart"/>
      <w:r>
        <w:rPr>
          <w:rFonts w:eastAsia="Calibri"/>
          <w:color w:val="000000"/>
          <w:sz w:val="20"/>
          <w:szCs w:val="20"/>
        </w:rPr>
        <w:t>u</w:t>
      </w:r>
      <w:proofErr w:type="spellEnd"/>
      <w:r>
        <w:rPr>
          <w:rFonts w:eastAsia="Calibri"/>
          <w:color w:val="000000"/>
          <w:sz w:val="20"/>
          <w:szCs w:val="20"/>
        </w:rPr>
        <w:t xml:space="preserve">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w:t>
      </w:r>
      <w:proofErr w:type="spellStart"/>
      <w:r>
        <w:rPr>
          <w:rFonts w:eastAsia="Calibri"/>
          <w:color w:val="000000"/>
          <w:sz w:val="20"/>
          <w:szCs w:val="20"/>
        </w:rPr>
        <w:t>Dekarbonizacija</w:t>
      </w:r>
      <w:proofErr w:type="spellEnd"/>
      <w:r>
        <w:rPr>
          <w:rFonts w:eastAsia="Calibri"/>
          <w:color w:val="000000"/>
          <w:sz w:val="20"/>
          <w:szCs w:val="20"/>
        </w:rPr>
        <w:t xml:space="preserve"> </w:t>
      </w:r>
      <w:proofErr w:type="spellStart"/>
      <w:r>
        <w:rPr>
          <w:rFonts w:eastAsia="Calibri"/>
          <w:color w:val="000000"/>
          <w:sz w:val="20"/>
          <w:szCs w:val="20"/>
        </w:rPr>
        <w:t>energetskog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w:t>
      </w:r>
      <w:proofErr w:type="spellStart"/>
      <w:r>
        <w:rPr>
          <w:rFonts w:eastAsia="Calibri"/>
          <w:color w:val="000000"/>
          <w:sz w:val="20"/>
          <w:szCs w:val="20"/>
        </w:rPr>
        <w:t>DecES</w:t>
      </w:r>
      <w:proofErr w:type="spellEnd"/>
      <w:r>
        <w:rPr>
          <w:rFonts w:eastAsia="Calibri"/>
          <w:color w:val="000000"/>
          <w:sz w:val="20"/>
          <w:szCs w:val="20"/>
        </w:rPr>
        <w:t xml:space="preserve">) u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(BiH) Deutsche Gesellschaft für </w:t>
      </w:r>
      <w:proofErr w:type="spellStart"/>
      <w:r>
        <w:rPr>
          <w:rFonts w:eastAsia="Calibri"/>
          <w:color w:val="000000"/>
          <w:sz w:val="20"/>
          <w:szCs w:val="20"/>
        </w:rPr>
        <w:t>Internationale</w:t>
      </w:r>
      <w:proofErr w:type="spellEnd"/>
      <w:r>
        <w:rPr>
          <w:rFonts w:eastAsia="Calibri"/>
          <w:color w:val="000000"/>
          <w:sz w:val="20"/>
          <w:szCs w:val="20"/>
        </w:rPr>
        <w:t xml:space="preserve"> </w:t>
      </w:r>
      <w:proofErr w:type="spellStart"/>
      <w:r>
        <w:rPr>
          <w:rFonts w:eastAsia="Calibri"/>
          <w:color w:val="000000"/>
          <w:sz w:val="20"/>
          <w:szCs w:val="20"/>
        </w:rPr>
        <w:t>Zusammenarbeit</w:t>
      </w:r>
      <w:proofErr w:type="spellEnd"/>
      <w:r>
        <w:rPr>
          <w:rFonts w:eastAsia="Calibri"/>
          <w:color w:val="000000"/>
          <w:sz w:val="20"/>
          <w:szCs w:val="20"/>
        </w:rPr>
        <w:t xml:space="preserve"> (GIZ) GmbH, 2020. god.</w:t>
      </w:r>
    </w:p>
  </w:footnote>
  <w:footnote w:id="30">
    <w:p w14:paraId="7860AC4E" w14:textId="77777777" w:rsidR="006F579C" w:rsidRDefault="006F579C" w:rsidP="006F579C">
      <w:pPr>
        <w:pBdr>
          <w:top w:val="nil"/>
          <w:left w:val="nil"/>
          <w:bottom w:val="nil"/>
          <w:right w:val="nil"/>
          <w:between w:val="nil"/>
        </w:pBdr>
        <w:spacing w:after="0" w:line="240" w:lineRule="auto"/>
        <w:rPr>
          <w:rFonts w:eastAsia="Calibri"/>
          <w:color w:val="000000"/>
          <w:sz w:val="20"/>
          <w:szCs w:val="20"/>
        </w:rPr>
      </w:pPr>
      <w:r>
        <w:rPr>
          <w:rStyle w:val="FootnoteReference"/>
        </w:rPr>
        <w:footnoteRef/>
      </w:r>
      <w:r>
        <w:rPr>
          <w:rFonts w:eastAsia="Calibri"/>
          <w:color w:val="7B7D81"/>
          <w:sz w:val="20"/>
          <w:szCs w:val="20"/>
        </w:rPr>
        <w:t xml:space="preserve"> </w:t>
      </w:r>
      <w:proofErr w:type="spellStart"/>
      <w:r>
        <w:rPr>
          <w:rFonts w:eastAsia="Calibri"/>
          <w:color w:val="000000"/>
          <w:sz w:val="20"/>
          <w:szCs w:val="20"/>
        </w:rPr>
        <w:t>Kadrić</w:t>
      </w:r>
      <w:proofErr w:type="spellEnd"/>
      <w:r>
        <w:rPr>
          <w:rFonts w:eastAsia="Calibri"/>
          <w:color w:val="000000"/>
          <w:sz w:val="20"/>
          <w:szCs w:val="20"/>
        </w:rPr>
        <w:t xml:space="preserve"> et. </w:t>
      </w:r>
      <w:proofErr w:type="gramStart"/>
      <w:r>
        <w:rPr>
          <w:rFonts w:eastAsia="Calibri"/>
          <w:color w:val="000000"/>
          <w:sz w:val="20"/>
          <w:szCs w:val="20"/>
        </w:rPr>
        <w:t>al ,Cost</w:t>
      </w:r>
      <w:proofErr w:type="gramEnd"/>
      <w:r>
        <w:rPr>
          <w:rFonts w:eastAsia="Calibri"/>
          <w:color w:val="000000"/>
          <w:sz w:val="20"/>
          <w:szCs w:val="20"/>
        </w:rPr>
        <w:t xml:space="preserve">-related analysis of implementing energy-efficient retrofit measures in the residential building sector of a middle-income country – A case study of Bosnia and Herzegovina, Energy and Buildings, </w:t>
      </w:r>
    </w:p>
    <w:p w14:paraId="2FBF3143" w14:textId="77777777" w:rsidR="006F579C" w:rsidRDefault="006F579C" w:rsidP="006F579C">
      <w:pPr>
        <w:pBdr>
          <w:top w:val="nil"/>
          <w:left w:val="nil"/>
          <w:bottom w:val="nil"/>
          <w:right w:val="nil"/>
          <w:between w:val="nil"/>
        </w:pBdr>
        <w:spacing w:after="0" w:line="240" w:lineRule="auto"/>
        <w:rPr>
          <w:rFonts w:eastAsia="Calibri"/>
          <w:color w:val="000000"/>
        </w:rPr>
      </w:pPr>
      <w:r>
        <w:rPr>
          <w:rFonts w:eastAsia="Calibri"/>
          <w:color w:val="000000"/>
          <w:sz w:val="20"/>
          <w:szCs w:val="20"/>
        </w:rPr>
        <w:t>Volume 257, 2022, 111765, ISSN 0378-</w:t>
      </w:r>
      <w:proofErr w:type="gramStart"/>
      <w:r>
        <w:rPr>
          <w:rFonts w:eastAsia="Calibri"/>
          <w:color w:val="000000"/>
          <w:sz w:val="20"/>
          <w:szCs w:val="20"/>
        </w:rPr>
        <w:t>7788,https://doi.org/10.1016/j.enbuild.2021.111765</w:t>
      </w:r>
      <w:proofErr w:type="gramEnd"/>
      <w:r>
        <w:rPr>
          <w:rFonts w:eastAsia="Calibri"/>
          <w:color w:val="000000"/>
          <w:sz w:val="20"/>
          <w:szCs w:val="20"/>
        </w:rPr>
        <w:t>.</w:t>
      </w:r>
    </w:p>
  </w:footnote>
  <w:footnote w:id="31">
    <w:p w14:paraId="3F0576C5" w14:textId="77777777" w:rsidR="003E7E69" w:rsidRDefault="003E7E69" w:rsidP="003E7E69">
      <w:pPr>
        <w:pBdr>
          <w:top w:val="nil"/>
          <w:left w:val="nil"/>
          <w:bottom w:val="nil"/>
          <w:right w:val="nil"/>
          <w:between w:val="nil"/>
        </w:pBdr>
        <w:spacing w:after="0" w:line="240" w:lineRule="auto"/>
        <w:rPr>
          <w:rFonts w:eastAsia="Calibri"/>
          <w:color w:val="000000"/>
        </w:rPr>
      </w:pPr>
      <w:r>
        <w:rPr>
          <w:rStyle w:val="FootnoteReference"/>
        </w:rPr>
        <w:footnoteRef/>
      </w:r>
      <w:r>
        <w:rPr>
          <w:rFonts w:eastAsia="Calibri"/>
          <w:color w:val="7B7D81"/>
          <w:sz w:val="20"/>
          <w:szCs w:val="20"/>
        </w:rPr>
        <w:t xml:space="preserve"> </w:t>
      </w:r>
      <w:r>
        <w:rPr>
          <w:rFonts w:eastAsia="Calibri"/>
          <w:color w:val="000000"/>
          <w:sz w:val="20"/>
          <w:szCs w:val="20"/>
        </w:rPr>
        <w:t xml:space="preserve">Analiza </w:t>
      </w:r>
      <w:proofErr w:type="spellStart"/>
      <w:r>
        <w:rPr>
          <w:rFonts w:eastAsia="Calibri"/>
          <w:color w:val="000000"/>
          <w:sz w:val="20"/>
          <w:szCs w:val="20"/>
        </w:rPr>
        <w:t>kapaciteta</w:t>
      </w:r>
      <w:proofErr w:type="spellEnd"/>
      <w:r>
        <w:rPr>
          <w:rFonts w:eastAsia="Calibri"/>
          <w:color w:val="000000"/>
          <w:sz w:val="20"/>
          <w:szCs w:val="20"/>
        </w:rPr>
        <w:t xml:space="preserve"> </w:t>
      </w:r>
      <w:proofErr w:type="spellStart"/>
      <w:r>
        <w:rPr>
          <w:rFonts w:eastAsia="Calibri"/>
          <w:color w:val="000000"/>
          <w:sz w:val="20"/>
          <w:szCs w:val="20"/>
        </w:rPr>
        <w:t>privatnog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za </w:t>
      </w:r>
      <w:proofErr w:type="spellStart"/>
      <w:r>
        <w:rPr>
          <w:rFonts w:eastAsia="Calibri"/>
          <w:color w:val="000000"/>
          <w:sz w:val="20"/>
          <w:szCs w:val="20"/>
        </w:rPr>
        <w:t>provođenje</w:t>
      </w:r>
      <w:proofErr w:type="spellEnd"/>
      <w:r>
        <w:rPr>
          <w:rFonts w:eastAsia="Calibri"/>
          <w:color w:val="000000"/>
          <w:sz w:val="20"/>
          <w:szCs w:val="20"/>
        </w:rPr>
        <w:t xml:space="preserve"> </w:t>
      </w:r>
      <w:proofErr w:type="spellStart"/>
      <w:r>
        <w:rPr>
          <w:rFonts w:eastAsia="Calibri"/>
          <w:color w:val="000000"/>
          <w:sz w:val="20"/>
          <w:szCs w:val="20"/>
        </w:rPr>
        <w:t>strategije</w:t>
      </w:r>
      <w:proofErr w:type="spellEnd"/>
      <w:r>
        <w:rPr>
          <w:rFonts w:eastAsia="Calibri"/>
          <w:color w:val="000000"/>
          <w:sz w:val="20"/>
          <w:szCs w:val="20"/>
        </w:rPr>
        <w:t xml:space="preserve"> </w:t>
      </w:r>
      <w:proofErr w:type="spellStart"/>
      <w:r>
        <w:rPr>
          <w:rFonts w:eastAsia="Calibri"/>
          <w:color w:val="000000"/>
          <w:sz w:val="20"/>
          <w:szCs w:val="20"/>
        </w:rPr>
        <w:t>obnove</w:t>
      </w:r>
      <w:proofErr w:type="spellEnd"/>
      <w:r>
        <w:rPr>
          <w:rFonts w:eastAsia="Calibri"/>
          <w:color w:val="000000"/>
          <w:sz w:val="20"/>
          <w:szCs w:val="20"/>
        </w:rPr>
        <w:t xml:space="preserve"> </w:t>
      </w:r>
      <w:proofErr w:type="spellStart"/>
      <w:r>
        <w:rPr>
          <w:rFonts w:eastAsia="Calibri"/>
          <w:color w:val="000000"/>
          <w:sz w:val="20"/>
          <w:szCs w:val="20"/>
        </w:rPr>
        <w:t>zgrada</w:t>
      </w:r>
      <w:proofErr w:type="spellEnd"/>
      <w:r>
        <w:rPr>
          <w:rFonts w:eastAsia="Calibri"/>
          <w:color w:val="000000"/>
          <w:sz w:val="20"/>
          <w:szCs w:val="20"/>
        </w:rPr>
        <w:t xml:space="preserve"> u </w:t>
      </w:r>
      <w:proofErr w:type="spellStart"/>
      <w:r>
        <w:rPr>
          <w:rFonts w:eastAsia="Calibri"/>
          <w:color w:val="000000"/>
          <w:sz w:val="20"/>
          <w:szCs w:val="20"/>
        </w:rPr>
        <w:t>u</w:t>
      </w:r>
      <w:proofErr w:type="spellEnd"/>
      <w:r>
        <w:rPr>
          <w:rFonts w:eastAsia="Calibri"/>
          <w:color w:val="000000"/>
          <w:sz w:val="20"/>
          <w:szCs w:val="20"/>
        </w:rPr>
        <w:t xml:space="preserve">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w:t>
      </w:r>
      <w:proofErr w:type="spellStart"/>
      <w:r>
        <w:rPr>
          <w:rFonts w:eastAsia="Calibri"/>
          <w:color w:val="000000"/>
          <w:sz w:val="20"/>
          <w:szCs w:val="20"/>
        </w:rPr>
        <w:t>Dekarbonizacija</w:t>
      </w:r>
      <w:proofErr w:type="spellEnd"/>
      <w:r>
        <w:rPr>
          <w:rFonts w:eastAsia="Calibri"/>
          <w:color w:val="000000"/>
          <w:sz w:val="20"/>
          <w:szCs w:val="20"/>
        </w:rPr>
        <w:t xml:space="preserve"> </w:t>
      </w:r>
      <w:proofErr w:type="spellStart"/>
      <w:r>
        <w:rPr>
          <w:rFonts w:eastAsia="Calibri"/>
          <w:color w:val="000000"/>
          <w:sz w:val="20"/>
          <w:szCs w:val="20"/>
        </w:rPr>
        <w:t>energetskog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w:t>
      </w:r>
      <w:proofErr w:type="spellStart"/>
      <w:r>
        <w:rPr>
          <w:rFonts w:eastAsia="Calibri"/>
          <w:color w:val="000000"/>
          <w:sz w:val="20"/>
          <w:szCs w:val="20"/>
        </w:rPr>
        <w:t>DecES</w:t>
      </w:r>
      <w:proofErr w:type="spellEnd"/>
      <w:r>
        <w:rPr>
          <w:rFonts w:eastAsia="Calibri"/>
          <w:color w:val="000000"/>
          <w:sz w:val="20"/>
          <w:szCs w:val="20"/>
        </w:rPr>
        <w:t xml:space="preserve">) u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(BiH) Deutsche Gesellschaft für </w:t>
      </w:r>
      <w:proofErr w:type="spellStart"/>
      <w:r>
        <w:rPr>
          <w:rFonts w:eastAsia="Calibri"/>
          <w:color w:val="000000"/>
          <w:sz w:val="20"/>
          <w:szCs w:val="20"/>
        </w:rPr>
        <w:t>Internationale</w:t>
      </w:r>
      <w:proofErr w:type="spellEnd"/>
      <w:r>
        <w:rPr>
          <w:rFonts w:eastAsia="Calibri"/>
          <w:color w:val="000000"/>
          <w:sz w:val="20"/>
          <w:szCs w:val="20"/>
        </w:rPr>
        <w:t xml:space="preserve"> </w:t>
      </w:r>
      <w:proofErr w:type="spellStart"/>
      <w:r>
        <w:rPr>
          <w:rFonts w:eastAsia="Calibri"/>
          <w:color w:val="000000"/>
          <w:sz w:val="20"/>
          <w:szCs w:val="20"/>
        </w:rPr>
        <w:t>Zusammenarbeit</w:t>
      </w:r>
      <w:proofErr w:type="spellEnd"/>
      <w:r>
        <w:rPr>
          <w:rFonts w:eastAsia="Calibri"/>
          <w:color w:val="000000"/>
          <w:sz w:val="20"/>
          <w:szCs w:val="20"/>
        </w:rPr>
        <w:t xml:space="preserve"> (GIZ) GmbH, 2020. god.</w:t>
      </w:r>
    </w:p>
  </w:footnote>
  <w:footnote w:id="32">
    <w:p w14:paraId="5469B1A1" w14:textId="55AEE7C2" w:rsidR="00F155B9" w:rsidRPr="00BE6B03" w:rsidRDefault="00F155B9">
      <w:pPr>
        <w:pStyle w:val="FootnoteText"/>
        <w:rPr>
          <w:lang w:val="en-GB"/>
        </w:rPr>
      </w:pPr>
      <w:r>
        <w:rPr>
          <w:rStyle w:val="FootnoteReference"/>
        </w:rPr>
        <w:footnoteRef/>
      </w:r>
      <w:r>
        <w:t xml:space="preserve"> </w:t>
      </w:r>
      <w:hyperlink r:id="rId6">
        <w:r>
          <w:rPr>
            <w:color w:val="0563C1"/>
            <w:u w:val="single"/>
          </w:rPr>
          <w:t>https://fmeri.gov.ba/media/1988/operativni-plan-ee-fbihdocx.pdf</w:t>
        </w:r>
      </w:hyperlink>
    </w:p>
  </w:footnote>
  <w:footnote w:id="33">
    <w:p w14:paraId="7B1A7776" w14:textId="0234A470" w:rsidR="007626FF" w:rsidRPr="00A379F3" w:rsidRDefault="007626FF" w:rsidP="00A379F3">
      <w:pPr>
        <w:spacing w:after="0"/>
      </w:pPr>
      <w:r>
        <w:rPr>
          <w:rStyle w:val="FootnoteReference"/>
        </w:rPr>
        <w:footnoteRef/>
      </w:r>
      <w:proofErr w:type="spellStart"/>
      <w:r w:rsidRPr="00771E4B">
        <w:rPr>
          <w:sz w:val="20"/>
          <w:szCs w:val="20"/>
        </w:rPr>
        <w:t>Pravilnik</w:t>
      </w:r>
      <w:proofErr w:type="spellEnd"/>
      <w:r w:rsidRPr="00771E4B">
        <w:rPr>
          <w:sz w:val="20"/>
          <w:szCs w:val="20"/>
        </w:rPr>
        <w:t xml:space="preserve"> o </w:t>
      </w:r>
      <w:proofErr w:type="spellStart"/>
      <w:r w:rsidRPr="00771E4B">
        <w:rPr>
          <w:sz w:val="20"/>
          <w:szCs w:val="20"/>
        </w:rPr>
        <w:t>minimalnim</w:t>
      </w:r>
      <w:proofErr w:type="spellEnd"/>
      <w:r w:rsidRPr="00771E4B">
        <w:rPr>
          <w:sz w:val="20"/>
          <w:szCs w:val="20"/>
        </w:rPr>
        <w:t xml:space="preserve"> </w:t>
      </w:r>
      <w:proofErr w:type="spellStart"/>
      <w:r w:rsidRPr="00771E4B">
        <w:rPr>
          <w:sz w:val="20"/>
          <w:szCs w:val="20"/>
        </w:rPr>
        <w:t>zahtjevima</w:t>
      </w:r>
      <w:proofErr w:type="spellEnd"/>
      <w:r w:rsidRPr="00771E4B">
        <w:rPr>
          <w:sz w:val="20"/>
          <w:szCs w:val="20"/>
        </w:rPr>
        <w:t xml:space="preserve"> za </w:t>
      </w:r>
      <w:proofErr w:type="spellStart"/>
      <w:r w:rsidRPr="00771E4B">
        <w:rPr>
          <w:sz w:val="20"/>
          <w:szCs w:val="20"/>
        </w:rPr>
        <w:t>energijskim</w:t>
      </w:r>
      <w:proofErr w:type="spellEnd"/>
      <w:r w:rsidRPr="00771E4B">
        <w:rPr>
          <w:sz w:val="20"/>
          <w:szCs w:val="20"/>
        </w:rPr>
        <w:t xml:space="preserve"> </w:t>
      </w:r>
      <w:proofErr w:type="spellStart"/>
      <w:r w:rsidRPr="00771E4B">
        <w:rPr>
          <w:sz w:val="20"/>
          <w:szCs w:val="20"/>
        </w:rPr>
        <w:t>karakteristikama</w:t>
      </w:r>
      <w:proofErr w:type="spellEnd"/>
      <w:r w:rsidRPr="00771E4B">
        <w:rPr>
          <w:sz w:val="20"/>
          <w:szCs w:val="20"/>
        </w:rPr>
        <w:t xml:space="preserve"> </w:t>
      </w:r>
      <w:proofErr w:type="spellStart"/>
      <w:r w:rsidRPr="00771E4B">
        <w:rPr>
          <w:sz w:val="20"/>
          <w:szCs w:val="20"/>
        </w:rPr>
        <w:t>zgrada</w:t>
      </w:r>
      <w:proofErr w:type="spellEnd"/>
      <w:r w:rsidRPr="00771E4B">
        <w:rPr>
          <w:sz w:val="20"/>
          <w:szCs w:val="20"/>
        </w:rPr>
        <w:t xml:space="preserve"> (</w:t>
      </w:r>
      <w:r>
        <w:rPr>
          <w:sz w:val="20"/>
          <w:szCs w:val="20"/>
        </w:rPr>
        <w:t>“</w:t>
      </w:r>
      <w:proofErr w:type="spellStart"/>
      <w:r w:rsidRPr="00771E4B">
        <w:rPr>
          <w:sz w:val="20"/>
          <w:szCs w:val="20"/>
        </w:rPr>
        <w:t>Službene</w:t>
      </w:r>
      <w:proofErr w:type="spellEnd"/>
      <w:r w:rsidRPr="00771E4B">
        <w:rPr>
          <w:sz w:val="20"/>
          <w:szCs w:val="20"/>
        </w:rPr>
        <w:t xml:space="preserve"> novine F </w:t>
      </w:r>
      <w:proofErr w:type="gramStart"/>
      <w:r w:rsidRPr="00771E4B">
        <w:rPr>
          <w:sz w:val="20"/>
          <w:szCs w:val="20"/>
        </w:rPr>
        <w:t>BiH</w:t>
      </w:r>
      <w:r>
        <w:rPr>
          <w:color w:val="333333"/>
          <w:lang w:val="bs-Latn-BA"/>
        </w:rPr>
        <w:t>“</w:t>
      </w:r>
      <w:proofErr w:type="gramEnd"/>
      <w:r w:rsidRPr="00771E4B">
        <w:rPr>
          <w:sz w:val="20"/>
          <w:szCs w:val="20"/>
        </w:rPr>
        <w:t xml:space="preserve">, </w:t>
      </w:r>
      <w:proofErr w:type="spellStart"/>
      <w:r w:rsidRPr="00771E4B">
        <w:rPr>
          <w:sz w:val="20"/>
          <w:szCs w:val="20"/>
        </w:rPr>
        <w:t>broj</w:t>
      </w:r>
      <w:proofErr w:type="spellEnd"/>
      <w:r w:rsidRPr="00771E4B">
        <w:rPr>
          <w:sz w:val="20"/>
          <w:szCs w:val="20"/>
        </w:rPr>
        <w:t xml:space="preserve"> 81/19)</w:t>
      </w:r>
    </w:p>
  </w:footnote>
  <w:footnote w:id="34">
    <w:p w14:paraId="1956FBF7" w14:textId="77777777" w:rsidR="009D6B1F" w:rsidRDefault="009D6B1F" w:rsidP="00A379F3">
      <w:pPr>
        <w:spacing w:after="0"/>
      </w:pPr>
      <w:r>
        <w:rPr>
          <w:rStyle w:val="FootnoteReference"/>
        </w:rPr>
        <w:footnoteRef/>
      </w:r>
      <w:proofErr w:type="spellStart"/>
      <w:r w:rsidRPr="00771E4B">
        <w:rPr>
          <w:sz w:val="20"/>
          <w:szCs w:val="20"/>
        </w:rPr>
        <w:t>Pravilnik</w:t>
      </w:r>
      <w:proofErr w:type="spellEnd"/>
      <w:r w:rsidRPr="00771E4B">
        <w:rPr>
          <w:sz w:val="20"/>
          <w:szCs w:val="20"/>
        </w:rPr>
        <w:t xml:space="preserve"> o </w:t>
      </w:r>
      <w:proofErr w:type="spellStart"/>
      <w:r w:rsidRPr="00771E4B">
        <w:rPr>
          <w:sz w:val="20"/>
          <w:szCs w:val="20"/>
        </w:rPr>
        <w:t>minimalnim</w:t>
      </w:r>
      <w:proofErr w:type="spellEnd"/>
      <w:r w:rsidRPr="00771E4B">
        <w:rPr>
          <w:sz w:val="20"/>
          <w:szCs w:val="20"/>
        </w:rPr>
        <w:t xml:space="preserve"> </w:t>
      </w:r>
      <w:proofErr w:type="spellStart"/>
      <w:r w:rsidRPr="00771E4B">
        <w:rPr>
          <w:sz w:val="20"/>
          <w:szCs w:val="20"/>
        </w:rPr>
        <w:t>zahtjevima</w:t>
      </w:r>
      <w:proofErr w:type="spellEnd"/>
      <w:r w:rsidRPr="00771E4B">
        <w:rPr>
          <w:sz w:val="20"/>
          <w:szCs w:val="20"/>
        </w:rPr>
        <w:t xml:space="preserve"> za </w:t>
      </w:r>
      <w:proofErr w:type="spellStart"/>
      <w:r w:rsidRPr="00771E4B">
        <w:rPr>
          <w:sz w:val="20"/>
          <w:szCs w:val="20"/>
        </w:rPr>
        <w:t>energijskim</w:t>
      </w:r>
      <w:proofErr w:type="spellEnd"/>
      <w:r w:rsidRPr="00771E4B">
        <w:rPr>
          <w:sz w:val="20"/>
          <w:szCs w:val="20"/>
        </w:rPr>
        <w:t xml:space="preserve"> </w:t>
      </w:r>
      <w:proofErr w:type="spellStart"/>
      <w:r w:rsidRPr="00771E4B">
        <w:rPr>
          <w:sz w:val="20"/>
          <w:szCs w:val="20"/>
        </w:rPr>
        <w:t>karakteristikama</w:t>
      </w:r>
      <w:proofErr w:type="spellEnd"/>
      <w:r w:rsidRPr="00771E4B">
        <w:rPr>
          <w:sz w:val="20"/>
          <w:szCs w:val="20"/>
        </w:rPr>
        <w:t xml:space="preserve"> </w:t>
      </w:r>
      <w:proofErr w:type="spellStart"/>
      <w:r w:rsidRPr="00771E4B">
        <w:rPr>
          <w:sz w:val="20"/>
          <w:szCs w:val="20"/>
        </w:rPr>
        <w:t>zgrada</w:t>
      </w:r>
      <w:proofErr w:type="spellEnd"/>
      <w:r w:rsidRPr="00771E4B">
        <w:rPr>
          <w:sz w:val="20"/>
          <w:szCs w:val="20"/>
        </w:rPr>
        <w:t xml:space="preserve"> (</w:t>
      </w:r>
      <w:r>
        <w:rPr>
          <w:sz w:val="20"/>
          <w:szCs w:val="20"/>
        </w:rPr>
        <w:t>“</w:t>
      </w:r>
      <w:proofErr w:type="spellStart"/>
      <w:r w:rsidRPr="00771E4B">
        <w:rPr>
          <w:sz w:val="20"/>
          <w:szCs w:val="20"/>
        </w:rPr>
        <w:t>Službene</w:t>
      </w:r>
      <w:proofErr w:type="spellEnd"/>
      <w:r w:rsidRPr="00771E4B">
        <w:rPr>
          <w:sz w:val="20"/>
          <w:szCs w:val="20"/>
        </w:rPr>
        <w:t xml:space="preserve"> novine F </w:t>
      </w:r>
      <w:proofErr w:type="gramStart"/>
      <w:r w:rsidRPr="00771E4B">
        <w:rPr>
          <w:sz w:val="20"/>
          <w:szCs w:val="20"/>
        </w:rPr>
        <w:t>BiH</w:t>
      </w:r>
      <w:r>
        <w:rPr>
          <w:color w:val="333333"/>
          <w:lang w:val="bs-Latn-BA"/>
        </w:rPr>
        <w:t>“</w:t>
      </w:r>
      <w:proofErr w:type="gramEnd"/>
      <w:r w:rsidRPr="00771E4B">
        <w:rPr>
          <w:sz w:val="20"/>
          <w:szCs w:val="20"/>
        </w:rPr>
        <w:t xml:space="preserve">, </w:t>
      </w:r>
      <w:proofErr w:type="spellStart"/>
      <w:r w:rsidRPr="00771E4B">
        <w:rPr>
          <w:sz w:val="20"/>
          <w:szCs w:val="20"/>
        </w:rPr>
        <w:t>broj</w:t>
      </w:r>
      <w:proofErr w:type="spellEnd"/>
      <w:r w:rsidRPr="00771E4B">
        <w:rPr>
          <w:sz w:val="20"/>
          <w:szCs w:val="20"/>
        </w:rPr>
        <w:t xml:space="preserve"> 81/19)</w:t>
      </w:r>
    </w:p>
    <w:p w14:paraId="390CFA36" w14:textId="77777777" w:rsidR="009D6B1F" w:rsidRDefault="009D6B1F" w:rsidP="009D6B1F">
      <w:pPr>
        <w:tabs>
          <w:tab w:val="left" w:pos="4962"/>
        </w:tabs>
        <w:spacing w:after="0" w:line="240" w:lineRule="auto"/>
        <w:rPr>
          <w:b/>
        </w:rPr>
      </w:pPr>
    </w:p>
  </w:footnote>
  <w:footnote w:id="35">
    <w:p w14:paraId="74C0D203" w14:textId="77777777" w:rsidR="006F579C" w:rsidRDefault="006F579C" w:rsidP="006F579C">
      <w:pPr>
        <w:spacing w:after="0" w:line="240" w:lineRule="auto"/>
      </w:pPr>
      <w:r>
        <w:rPr>
          <w:rStyle w:val="FootnoteReference"/>
        </w:rPr>
        <w:footnoteRef/>
      </w:r>
      <w:r>
        <w:t xml:space="preserve"> </w:t>
      </w:r>
      <w:r>
        <w:rPr>
          <w:sz w:val="20"/>
          <w:szCs w:val="20"/>
        </w:rPr>
        <w:t xml:space="preserve">Long range alternative planning –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energetskih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2022. god.</w:t>
      </w:r>
      <w:r>
        <w:t xml:space="preserve"> </w:t>
      </w:r>
    </w:p>
  </w:footnote>
  <w:footnote w:id="36">
    <w:p w14:paraId="2445AE9C" w14:textId="77777777" w:rsidR="006F579C" w:rsidRDefault="006F579C" w:rsidP="006F579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7">
        <w:r>
          <w:rPr>
            <w:color w:val="0563C1"/>
            <w:sz w:val="20"/>
            <w:szCs w:val="20"/>
            <w:u w:val="single"/>
          </w:rPr>
          <w:t>https://fmpu.gov.ba/projekti/beep/</w:t>
        </w:r>
      </w:hyperlink>
      <w:r>
        <w:rPr>
          <w:color w:val="000000"/>
          <w:sz w:val="20"/>
          <w:szCs w:val="20"/>
        </w:rPr>
        <w:t xml:space="preserve"> </w:t>
      </w:r>
    </w:p>
  </w:footnote>
  <w:footnote w:id="37">
    <w:p w14:paraId="66B6CBD2" w14:textId="77777777" w:rsidR="00CC5B2C" w:rsidRDefault="00CC5B2C" w:rsidP="00CC5B2C">
      <w:pPr>
        <w:pBdr>
          <w:top w:val="nil"/>
          <w:left w:val="nil"/>
          <w:bottom w:val="nil"/>
          <w:right w:val="nil"/>
          <w:between w:val="nil"/>
        </w:pBdr>
        <w:spacing w:after="0" w:line="240" w:lineRule="auto"/>
        <w:rPr>
          <w:rFonts w:eastAsia="Calibri"/>
          <w:color w:val="000000"/>
        </w:rPr>
      </w:pPr>
      <w:r>
        <w:rPr>
          <w:rStyle w:val="FootnoteReference"/>
        </w:rPr>
        <w:footnoteRef/>
      </w:r>
      <w:r>
        <w:rPr>
          <w:rFonts w:eastAsia="Calibri"/>
          <w:color w:val="7B7D81"/>
          <w:sz w:val="20"/>
          <w:szCs w:val="20"/>
        </w:rPr>
        <w:t xml:space="preserve"> </w:t>
      </w:r>
      <w:r>
        <w:rPr>
          <w:rFonts w:eastAsia="Calibri"/>
          <w:color w:val="000000"/>
          <w:sz w:val="20"/>
          <w:szCs w:val="20"/>
        </w:rPr>
        <w:t xml:space="preserve">Analiza </w:t>
      </w:r>
      <w:proofErr w:type="spellStart"/>
      <w:r>
        <w:rPr>
          <w:rFonts w:eastAsia="Calibri"/>
          <w:color w:val="000000"/>
          <w:sz w:val="20"/>
          <w:szCs w:val="20"/>
        </w:rPr>
        <w:t>kapaciteta</w:t>
      </w:r>
      <w:proofErr w:type="spellEnd"/>
      <w:r>
        <w:rPr>
          <w:rFonts w:eastAsia="Calibri"/>
          <w:color w:val="000000"/>
          <w:sz w:val="20"/>
          <w:szCs w:val="20"/>
        </w:rPr>
        <w:t xml:space="preserve"> </w:t>
      </w:r>
      <w:proofErr w:type="spellStart"/>
      <w:r>
        <w:rPr>
          <w:rFonts w:eastAsia="Calibri"/>
          <w:color w:val="000000"/>
          <w:sz w:val="20"/>
          <w:szCs w:val="20"/>
        </w:rPr>
        <w:t>privatnog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za </w:t>
      </w:r>
      <w:proofErr w:type="spellStart"/>
      <w:r>
        <w:rPr>
          <w:rFonts w:eastAsia="Calibri"/>
          <w:color w:val="000000"/>
          <w:sz w:val="20"/>
          <w:szCs w:val="20"/>
        </w:rPr>
        <w:t>provođenje</w:t>
      </w:r>
      <w:proofErr w:type="spellEnd"/>
      <w:r>
        <w:rPr>
          <w:rFonts w:eastAsia="Calibri"/>
          <w:color w:val="000000"/>
          <w:sz w:val="20"/>
          <w:szCs w:val="20"/>
        </w:rPr>
        <w:t xml:space="preserve"> </w:t>
      </w:r>
      <w:proofErr w:type="spellStart"/>
      <w:r>
        <w:rPr>
          <w:rFonts w:eastAsia="Calibri"/>
          <w:color w:val="000000"/>
          <w:sz w:val="20"/>
          <w:szCs w:val="20"/>
        </w:rPr>
        <w:t>strategije</w:t>
      </w:r>
      <w:proofErr w:type="spellEnd"/>
      <w:r>
        <w:rPr>
          <w:rFonts w:eastAsia="Calibri"/>
          <w:color w:val="000000"/>
          <w:sz w:val="20"/>
          <w:szCs w:val="20"/>
        </w:rPr>
        <w:t xml:space="preserve"> </w:t>
      </w:r>
      <w:proofErr w:type="spellStart"/>
      <w:r>
        <w:rPr>
          <w:rFonts w:eastAsia="Calibri"/>
          <w:color w:val="000000"/>
          <w:sz w:val="20"/>
          <w:szCs w:val="20"/>
        </w:rPr>
        <w:t>obnove</w:t>
      </w:r>
      <w:proofErr w:type="spellEnd"/>
      <w:r>
        <w:rPr>
          <w:rFonts w:eastAsia="Calibri"/>
          <w:color w:val="000000"/>
          <w:sz w:val="20"/>
          <w:szCs w:val="20"/>
        </w:rPr>
        <w:t xml:space="preserve"> </w:t>
      </w:r>
      <w:proofErr w:type="spellStart"/>
      <w:r>
        <w:rPr>
          <w:rFonts w:eastAsia="Calibri"/>
          <w:color w:val="000000"/>
          <w:sz w:val="20"/>
          <w:szCs w:val="20"/>
        </w:rPr>
        <w:t>zgrada</w:t>
      </w:r>
      <w:proofErr w:type="spellEnd"/>
      <w:r>
        <w:rPr>
          <w:rFonts w:eastAsia="Calibri"/>
          <w:color w:val="000000"/>
          <w:sz w:val="20"/>
          <w:szCs w:val="20"/>
        </w:rPr>
        <w:t xml:space="preserve"> u </w:t>
      </w:r>
      <w:proofErr w:type="spellStart"/>
      <w:r>
        <w:rPr>
          <w:rFonts w:eastAsia="Calibri"/>
          <w:color w:val="000000"/>
          <w:sz w:val="20"/>
          <w:szCs w:val="20"/>
        </w:rPr>
        <w:t>u</w:t>
      </w:r>
      <w:proofErr w:type="spellEnd"/>
      <w:r>
        <w:rPr>
          <w:rFonts w:eastAsia="Calibri"/>
          <w:color w:val="000000"/>
          <w:sz w:val="20"/>
          <w:szCs w:val="20"/>
        </w:rPr>
        <w:t xml:space="preserve">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w:t>
      </w:r>
      <w:proofErr w:type="spellStart"/>
      <w:r>
        <w:rPr>
          <w:rFonts w:eastAsia="Calibri"/>
          <w:color w:val="000000"/>
          <w:sz w:val="20"/>
          <w:szCs w:val="20"/>
        </w:rPr>
        <w:t>Dekarbonizacija</w:t>
      </w:r>
      <w:proofErr w:type="spellEnd"/>
      <w:r>
        <w:rPr>
          <w:rFonts w:eastAsia="Calibri"/>
          <w:color w:val="000000"/>
          <w:sz w:val="20"/>
          <w:szCs w:val="20"/>
        </w:rPr>
        <w:t xml:space="preserve"> </w:t>
      </w:r>
      <w:proofErr w:type="spellStart"/>
      <w:r>
        <w:rPr>
          <w:rFonts w:eastAsia="Calibri"/>
          <w:color w:val="000000"/>
          <w:sz w:val="20"/>
          <w:szCs w:val="20"/>
        </w:rPr>
        <w:t>energetskog</w:t>
      </w:r>
      <w:proofErr w:type="spellEnd"/>
      <w:r>
        <w:rPr>
          <w:rFonts w:eastAsia="Calibri"/>
          <w:color w:val="000000"/>
          <w:sz w:val="20"/>
          <w:szCs w:val="20"/>
        </w:rPr>
        <w:t xml:space="preserve"> </w:t>
      </w:r>
      <w:proofErr w:type="spellStart"/>
      <w:r>
        <w:rPr>
          <w:rFonts w:eastAsia="Calibri"/>
          <w:color w:val="000000"/>
          <w:sz w:val="20"/>
          <w:szCs w:val="20"/>
        </w:rPr>
        <w:t>sektora</w:t>
      </w:r>
      <w:proofErr w:type="spellEnd"/>
      <w:r>
        <w:rPr>
          <w:rFonts w:eastAsia="Calibri"/>
          <w:color w:val="000000"/>
          <w:sz w:val="20"/>
          <w:szCs w:val="20"/>
        </w:rPr>
        <w:t xml:space="preserve"> (</w:t>
      </w:r>
      <w:proofErr w:type="spellStart"/>
      <w:r>
        <w:rPr>
          <w:rFonts w:eastAsia="Calibri"/>
          <w:color w:val="000000"/>
          <w:sz w:val="20"/>
          <w:szCs w:val="20"/>
        </w:rPr>
        <w:t>DecES</w:t>
      </w:r>
      <w:proofErr w:type="spellEnd"/>
      <w:r>
        <w:rPr>
          <w:rFonts w:eastAsia="Calibri"/>
          <w:color w:val="000000"/>
          <w:sz w:val="20"/>
          <w:szCs w:val="20"/>
        </w:rPr>
        <w:t xml:space="preserve">) u </w:t>
      </w:r>
      <w:proofErr w:type="spellStart"/>
      <w:r>
        <w:rPr>
          <w:rFonts w:eastAsia="Calibri"/>
          <w:color w:val="000000"/>
          <w:sz w:val="20"/>
          <w:szCs w:val="20"/>
        </w:rPr>
        <w:t>Bosni</w:t>
      </w:r>
      <w:proofErr w:type="spellEnd"/>
      <w:r>
        <w:rPr>
          <w:rFonts w:eastAsia="Calibri"/>
          <w:color w:val="000000"/>
          <w:sz w:val="20"/>
          <w:szCs w:val="20"/>
        </w:rPr>
        <w:t xml:space="preserve"> i </w:t>
      </w:r>
      <w:proofErr w:type="spellStart"/>
      <w:r>
        <w:rPr>
          <w:rFonts w:eastAsia="Calibri"/>
          <w:color w:val="000000"/>
          <w:sz w:val="20"/>
          <w:szCs w:val="20"/>
        </w:rPr>
        <w:t>Hercegovini</w:t>
      </w:r>
      <w:proofErr w:type="spellEnd"/>
      <w:r>
        <w:rPr>
          <w:rFonts w:eastAsia="Calibri"/>
          <w:color w:val="000000"/>
          <w:sz w:val="20"/>
          <w:szCs w:val="20"/>
        </w:rPr>
        <w:t xml:space="preserve"> (BiH) Deutsche Gesellschaft für </w:t>
      </w:r>
      <w:proofErr w:type="spellStart"/>
      <w:r>
        <w:rPr>
          <w:rFonts w:eastAsia="Calibri"/>
          <w:color w:val="000000"/>
          <w:sz w:val="20"/>
          <w:szCs w:val="20"/>
        </w:rPr>
        <w:t>Internationale</w:t>
      </w:r>
      <w:proofErr w:type="spellEnd"/>
      <w:r>
        <w:rPr>
          <w:rFonts w:eastAsia="Calibri"/>
          <w:color w:val="000000"/>
          <w:sz w:val="20"/>
          <w:szCs w:val="20"/>
        </w:rPr>
        <w:t xml:space="preserve"> </w:t>
      </w:r>
      <w:proofErr w:type="spellStart"/>
      <w:r>
        <w:rPr>
          <w:rFonts w:eastAsia="Calibri"/>
          <w:color w:val="000000"/>
          <w:sz w:val="20"/>
          <w:szCs w:val="20"/>
        </w:rPr>
        <w:t>Zusammenarbeit</w:t>
      </w:r>
      <w:proofErr w:type="spellEnd"/>
      <w:r>
        <w:rPr>
          <w:rFonts w:eastAsia="Calibri"/>
          <w:color w:val="000000"/>
          <w:sz w:val="20"/>
          <w:szCs w:val="20"/>
        </w:rPr>
        <w:t xml:space="preserve"> (GIZ) GmbH, 2020. god.</w:t>
      </w:r>
    </w:p>
  </w:footnote>
  <w:footnote w:id="38">
    <w:p w14:paraId="11655910" w14:textId="711658E4" w:rsidR="006F579C" w:rsidRDefault="006F579C" w:rsidP="006F579C">
      <w:pPr>
        <w:spacing w:after="0" w:line="240" w:lineRule="auto"/>
      </w:pPr>
      <w:r>
        <w:rPr>
          <w:rStyle w:val="FootnoteReference"/>
        </w:rPr>
        <w:footnoteRef/>
      </w:r>
      <w:r>
        <w:t xml:space="preserve"> </w:t>
      </w:r>
      <w:r w:rsidR="0097014D" w:rsidRPr="0097014D">
        <w:rPr>
          <w:sz w:val="20"/>
          <w:szCs w:val="20"/>
        </w:rPr>
        <w:t>Long-range Energy Alternatives Planning System (LEAP)</w:t>
      </w:r>
      <w:r>
        <w:rPr>
          <w:sz w:val="20"/>
          <w:szCs w:val="20"/>
        </w:rPr>
        <w:t xml:space="preserve">–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w:t>
      </w:r>
      <w:r w:rsidR="0091757B">
        <w:rPr>
          <w:sz w:val="20"/>
          <w:szCs w:val="20"/>
        </w:rPr>
        <w:t>ij</w:t>
      </w:r>
      <w:r>
        <w:rPr>
          <w:sz w:val="20"/>
          <w:szCs w:val="20"/>
        </w:rPr>
        <w: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god.</w:t>
      </w:r>
      <w:r>
        <w:t xml:space="preserve"> </w:t>
      </w:r>
    </w:p>
  </w:footnote>
  <w:footnote w:id="39">
    <w:p w14:paraId="3B530C6D" w14:textId="77777777" w:rsidR="00A77633" w:rsidRDefault="00A77633" w:rsidP="00A77633">
      <w:pPr>
        <w:pStyle w:val="Kansilehtiotsikko"/>
        <w:rPr>
          <w:rFonts w:ascii="Times New Roman" w:hAnsi="Times New Roman" w:cs="Times New Roman"/>
          <w:sz w:val="20"/>
          <w:szCs w:val="20"/>
          <w:u w:val="words"/>
        </w:rPr>
      </w:pPr>
      <w:r w:rsidRPr="002D63EF">
        <w:rPr>
          <w:rStyle w:val="FootnoteReference"/>
          <w:rFonts w:asciiTheme="minorHAnsi" w:eastAsiaTheme="majorEastAsia" w:hAnsiTheme="minorHAnsi" w:cstheme="minorHAnsi"/>
          <w:color w:val="auto"/>
          <w:sz w:val="22"/>
          <w:szCs w:val="36"/>
        </w:rPr>
        <w:footnoteRef/>
      </w:r>
      <w:r w:rsidRPr="00F4242E">
        <w:rPr>
          <w:rFonts w:asciiTheme="minorHAnsi" w:hAnsiTheme="minorHAnsi" w:cstheme="minorHAnsi"/>
          <w:b w:val="0"/>
          <w:color w:val="auto"/>
          <w:sz w:val="20"/>
          <w:szCs w:val="20"/>
        </w:rPr>
        <w:t xml:space="preserve"> </w:t>
      </w:r>
      <w:r>
        <w:rPr>
          <w:rFonts w:ascii="Calibri" w:eastAsia="Calibri" w:hAnsi="Calibri" w:cs="Times New Roman"/>
          <w:b w:val="0"/>
          <w:bCs w:val="0"/>
          <w:color w:val="auto"/>
          <w:spacing w:val="0"/>
          <w:kern w:val="0"/>
          <w:sz w:val="20"/>
          <w:szCs w:val="20"/>
          <w:lang w:val="bs-Latn-BA"/>
        </w:rPr>
        <w:t xml:space="preserve">District Heating Sector Background Analysis in Bosnia and Herzegovina, </w:t>
      </w:r>
      <w:r>
        <w:rPr>
          <w:rFonts w:ascii="Calibri" w:eastAsia="Calibri" w:hAnsi="Calibri" w:cs="Times New Roman"/>
          <w:b w:val="0"/>
          <w:bCs w:val="0"/>
          <w:color w:val="auto"/>
          <w:spacing w:val="0"/>
          <w:kern w:val="0"/>
          <w:sz w:val="20"/>
          <w:szCs w:val="20"/>
          <w:u w:val="words"/>
          <w:lang w:val="bs-Latn-BA"/>
        </w:rPr>
        <w:t>World Bank, 2015</w:t>
      </w:r>
    </w:p>
  </w:footnote>
  <w:footnote w:id="40">
    <w:p w14:paraId="30AD2B03"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hyperlink r:id="rId8" w:history="1">
        <w:r w:rsidRPr="00A91431">
          <w:rPr>
            <w:rStyle w:val="Hyperlink"/>
            <w:sz w:val="20"/>
            <w:szCs w:val="20"/>
          </w:rPr>
          <w:t>https://fmeri.gov.ba/media/1359/okvirna_energetska_strategija_fbih_radna_verzija.pdf</w:t>
        </w:r>
      </w:hyperlink>
      <w:r>
        <w:rPr>
          <w:color w:val="000000"/>
          <w:sz w:val="20"/>
          <w:szCs w:val="20"/>
        </w:rPr>
        <w:t xml:space="preserve"> </w:t>
      </w:r>
    </w:p>
  </w:footnote>
  <w:footnote w:id="41">
    <w:p w14:paraId="7E57E9FA"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9">
        <w:proofErr w:type="spellStart"/>
        <w:r>
          <w:rPr>
            <w:color w:val="0563C1"/>
            <w:sz w:val="20"/>
            <w:szCs w:val="20"/>
            <w:u w:val="single"/>
          </w:rPr>
          <w:t>Strategija</w:t>
        </w:r>
        <w:proofErr w:type="spellEnd"/>
        <w:r>
          <w:rPr>
            <w:color w:val="0563C1"/>
            <w:sz w:val="20"/>
            <w:szCs w:val="20"/>
            <w:u w:val="single"/>
          </w:rPr>
          <w:t xml:space="preserve"> razvoja FBiH 2021.-</w:t>
        </w:r>
        <w:proofErr w:type="gramStart"/>
        <w:r>
          <w:rPr>
            <w:color w:val="0563C1"/>
            <w:sz w:val="20"/>
            <w:szCs w:val="20"/>
            <w:u w:val="single"/>
          </w:rPr>
          <w:t>2027..</w:t>
        </w:r>
        <w:proofErr w:type="gramEnd"/>
        <w:r>
          <w:rPr>
            <w:color w:val="0563C1"/>
            <w:sz w:val="20"/>
            <w:szCs w:val="20"/>
            <w:u w:val="single"/>
          </w:rPr>
          <w:t>pdf (fzzpr.gov.ba)</w:t>
        </w:r>
      </w:hyperlink>
    </w:p>
  </w:footnote>
  <w:footnote w:id="42">
    <w:p w14:paraId="0DB81E80"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hyperlink r:id="rId10">
        <w:r>
          <w:rPr>
            <w:color w:val="0563C1"/>
            <w:sz w:val="20"/>
            <w:szCs w:val="20"/>
            <w:u w:val="single"/>
          </w:rPr>
          <w:t>https://zamisli2030.ba/bs/okvir-ciljeva-odrzivog-razvoja-u-bih/</w:t>
        </w:r>
      </w:hyperlink>
    </w:p>
  </w:footnote>
  <w:footnote w:id="43">
    <w:p w14:paraId="6B76BF95"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11">
        <w:r>
          <w:rPr>
            <w:color w:val="0563C1"/>
            <w:sz w:val="20"/>
            <w:szCs w:val="20"/>
            <w:u w:val="single"/>
          </w:rPr>
          <w:t>green_agenda_for_the_western_balkans_en.pdf (europa.eu)</w:t>
        </w:r>
      </w:hyperlink>
    </w:p>
  </w:footnote>
  <w:footnote w:id="44">
    <w:p w14:paraId="45A0A1FA" w14:textId="77777777" w:rsidR="00C75FEE" w:rsidRPr="005648B9" w:rsidRDefault="00C75FEE" w:rsidP="00C75FEE">
      <w:pPr>
        <w:pStyle w:val="FootnoteText"/>
        <w:rPr>
          <w:lang w:val="en-GB"/>
        </w:rPr>
      </w:pPr>
      <w:r>
        <w:rPr>
          <w:rStyle w:val="FootnoteReference"/>
        </w:rPr>
        <w:footnoteRef/>
      </w:r>
      <w:r>
        <w:t xml:space="preserve"> </w:t>
      </w:r>
      <w:hyperlink r:id="rId12" w:history="1">
        <w:r w:rsidRPr="009F0DB2">
          <w:rPr>
            <w:rStyle w:val="Hyperlink"/>
          </w:rPr>
          <w:t>https://www.rcc.int/docs/543/common-regional-market-action-plan</w:t>
        </w:r>
      </w:hyperlink>
      <w:r>
        <w:t xml:space="preserve"> </w:t>
      </w:r>
    </w:p>
  </w:footnote>
  <w:footnote w:id="45">
    <w:p w14:paraId="3E72CE8F"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13">
        <w:r>
          <w:rPr>
            <w:color w:val="0563C1"/>
            <w:sz w:val="20"/>
            <w:szCs w:val="20"/>
            <w:u w:val="single"/>
          </w:rPr>
          <w:t>http://www.unfccc.ba/site/publikacije/spkp.pdf</w:t>
        </w:r>
      </w:hyperlink>
    </w:p>
  </w:footnote>
  <w:footnote w:id="46">
    <w:p w14:paraId="556B1C83"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14">
        <w:r>
          <w:rPr>
            <w:color w:val="0563C1"/>
            <w:sz w:val="20"/>
            <w:szCs w:val="20"/>
            <w:u w:val="single"/>
          </w:rPr>
          <w:t>http://www.unfccc.ba/site/upload/PDF_dokumenti/NDC%20BiH_novembar%202020.pdf</w:t>
        </w:r>
      </w:hyperlink>
    </w:p>
  </w:footnote>
  <w:footnote w:id="47">
    <w:p w14:paraId="0931C242"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hyperlink r:id="rId15">
        <w:r>
          <w:rPr>
            <w:color w:val="0563C1"/>
            <w:sz w:val="20"/>
            <w:szCs w:val="20"/>
            <w:u w:val="single"/>
          </w:rPr>
          <w:t>https://www.fmoit.gov.ba/upload/file/2020/Eday/Federalna%20strategija%20za%C5%A1tite%20okoli%C5%A1a%202022-2032..pdf</w:t>
        </w:r>
      </w:hyperlink>
      <w:r>
        <w:rPr>
          <w:color w:val="000000"/>
          <w:sz w:val="20"/>
          <w:szCs w:val="20"/>
        </w:rPr>
        <w:t xml:space="preserve"> </w:t>
      </w:r>
    </w:p>
  </w:footnote>
  <w:footnote w:id="48">
    <w:p w14:paraId="54F60A55" w14:textId="77777777" w:rsidR="00C75FEE" w:rsidRDefault="00C75FEE" w:rsidP="00C75FEE">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Agenda </w:t>
      </w:r>
      <w:proofErr w:type="spellStart"/>
      <w:r>
        <w:rPr>
          <w:color w:val="000000"/>
          <w:sz w:val="20"/>
          <w:szCs w:val="20"/>
        </w:rPr>
        <w:t>održivog</w:t>
      </w:r>
      <w:proofErr w:type="spellEnd"/>
      <w:r>
        <w:rPr>
          <w:color w:val="000000"/>
          <w:sz w:val="20"/>
          <w:szCs w:val="20"/>
        </w:rPr>
        <w:t xml:space="preserve"> razvoja 2030 - A/RES/70/1 – Transforming our world: the 2030 Agenda for Sustainable Developmenthttps://www.un.org/en/development/desa/population/migration/generalassembly/docs/globalcompact/A_RES_70_1_E.pdf</w:t>
      </w:r>
    </w:p>
  </w:footnote>
  <w:footnote w:id="49">
    <w:p w14:paraId="7DF74D18"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16">
        <w:r>
          <w:rPr>
            <w:color w:val="0563C1"/>
            <w:sz w:val="20"/>
            <w:szCs w:val="20"/>
            <w:u w:val="single"/>
          </w:rPr>
          <w:t>https://zamisli2030.ba/wp-content/uploads/2019/12/Okvir-za-realizaciju-Ciljeva-odrzivog-razvoja-u-BiH-latinica.pdf</w:t>
        </w:r>
      </w:hyperlink>
      <w:r>
        <w:rPr>
          <w:color w:val="000000"/>
          <w:sz w:val="20"/>
          <w:szCs w:val="20"/>
        </w:rPr>
        <w:t xml:space="preserve"> </w:t>
      </w:r>
    </w:p>
  </w:footnote>
  <w:footnote w:id="50">
    <w:p w14:paraId="13559958"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Zelena</w:t>
      </w:r>
      <w:proofErr w:type="spellEnd"/>
      <w:r>
        <w:rPr>
          <w:color w:val="000000"/>
          <w:sz w:val="20"/>
          <w:szCs w:val="20"/>
        </w:rPr>
        <w:t xml:space="preserve"> agenda za </w:t>
      </w:r>
      <w:proofErr w:type="spellStart"/>
      <w:r>
        <w:rPr>
          <w:color w:val="000000"/>
          <w:sz w:val="20"/>
          <w:szCs w:val="20"/>
        </w:rPr>
        <w:t>Zapadni</w:t>
      </w:r>
      <w:proofErr w:type="spellEnd"/>
      <w:r>
        <w:rPr>
          <w:color w:val="000000"/>
          <w:sz w:val="20"/>
          <w:szCs w:val="20"/>
        </w:rPr>
        <w:t xml:space="preserve"> Balkan </w:t>
      </w:r>
    </w:p>
    <w:p w14:paraId="55E86FC0" w14:textId="77777777" w:rsidR="00C75FEE" w:rsidRDefault="00000000" w:rsidP="00C75FEE">
      <w:pPr>
        <w:pBdr>
          <w:top w:val="nil"/>
          <w:left w:val="nil"/>
          <w:bottom w:val="nil"/>
          <w:right w:val="nil"/>
          <w:between w:val="nil"/>
        </w:pBdr>
        <w:spacing w:after="0" w:line="240" w:lineRule="auto"/>
        <w:jc w:val="left"/>
        <w:rPr>
          <w:color w:val="000000"/>
          <w:sz w:val="20"/>
          <w:szCs w:val="20"/>
        </w:rPr>
      </w:pPr>
      <w:hyperlink r:id="rId17">
        <w:r w:rsidR="00C75FEE">
          <w:rPr>
            <w:color w:val="0563C1"/>
            <w:sz w:val="20"/>
            <w:szCs w:val="20"/>
            <w:u w:val="single"/>
          </w:rPr>
          <w:t>https://eur-lex.europa.eu/legal-content/EN/TXT/?uri=CELEX%3A52020SC0223</w:t>
        </w:r>
      </w:hyperlink>
      <w:r w:rsidR="00C75FEE">
        <w:rPr>
          <w:color w:val="000000"/>
          <w:sz w:val="20"/>
          <w:szCs w:val="20"/>
        </w:rPr>
        <w:t xml:space="preserve"> </w:t>
      </w:r>
    </w:p>
  </w:footnote>
  <w:footnote w:id="51">
    <w:p w14:paraId="51140E16" w14:textId="61A2D86B"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Direktiva</w:t>
      </w:r>
      <w:proofErr w:type="spellEnd"/>
      <w:r>
        <w:rPr>
          <w:color w:val="000000"/>
          <w:sz w:val="20"/>
          <w:szCs w:val="20"/>
        </w:rPr>
        <w:t xml:space="preserve"> 2010/31/EU o </w:t>
      </w:r>
      <w:proofErr w:type="spellStart"/>
      <w:r w:rsidR="0091757B">
        <w:rPr>
          <w:color w:val="000000"/>
          <w:sz w:val="20"/>
          <w:szCs w:val="20"/>
        </w:rPr>
        <w:t>energij</w:t>
      </w:r>
      <w:r>
        <w:rPr>
          <w:color w:val="000000"/>
          <w:sz w:val="20"/>
          <w:szCs w:val="20"/>
        </w:rPr>
        <w:t>skim</w:t>
      </w:r>
      <w:proofErr w:type="spellEnd"/>
      <w:r>
        <w:rPr>
          <w:color w:val="000000"/>
          <w:sz w:val="20"/>
          <w:szCs w:val="20"/>
        </w:rPr>
        <w:t xml:space="preserve"> </w:t>
      </w:r>
      <w:proofErr w:type="spellStart"/>
      <w:r>
        <w:rPr>
          <w:color w:val="000000"/>
          <w:sz w:val="20"/>
          <w:szCs w:val="20"/>
        </w:rPr>
        <w:t>svojstvima</w:t>
      </w:r>
      <w:proofErr w:type="spellEnd"/>
      <w:r>
        <w:rPr>
          <w:color w:val="000000"/>
          <w:sz w:val="20"/>
          <w:szCs w:val="20"/>
        </w:rPr>
        <w:t xml:space="preserve"> </w:t>
      </w:r>
      <w:proofErr w:type="spellStart"/>
      <w:r>
        <w:rPr>
          <w:color w:val="000000"/>
          <w:sz w:val="20"/>
          <w:szCs w:val="20"/>
        </w:rPr>
        <w:t>zgrada</w:t>
      </w:r>
      <w:proofErr w:type="spellEnd"/>
    </w:p>
    <w:p w14:paraId="096D4D12"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color w:val="000000"/>
          <w:sz w:val="20"/>
          <w:szCs w:val="20"/>
        </w:rPr>
        <w:t xml:space="preserve"> </w:t>
      </w:r>
      <w:hyperlink r:id="rId18">
        <w:r>
          <w:rPr>
            <w:color w:val="0563C1"/>
            <w:sz w:val="20"/>
            <w:szCs w:val="20"/>
            <w:u w:val="single"/>
          </w:rPr>
          <w:t>https://eur-lex.europa.eu/legal-content/HR/TXT/?uri=CELEX%3A32010L0031</w:t>
        </w:r>
      </w:hyperlink>
      <w:r>
        <w:rPr>
          <w:color w:val="000000"/>
          <w:sz w:val="20"/>
          <w:szCs w:val="20"/>
        </w:rPr>
        <w:t xml:space="preserve"> </w:t>
      </w:r>
    </w:p>
  </w:footnote>
  <w:footnote w:id="52">
    <w:p w14:paraId="41324E4E" w14:textId="77777777" w:rsidR="00C75FEE" w:rsidRDefault="00C75FEE" w:rsidP="00C75FEE">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19">
        <w:r>
          <w:rPr>
            <w:color w:val="0563C1"/>
            <w:sz w:val="20"/>
            <w:szCs w:val="20"/>
            <w:u w:val="single"/>
          </w:rPr>
          <w:t>https://www.energy-community.org/legal/acquis/LFs.html</w:t>
        </w:r>
      </w:hyperlink>
      <w:r>
        <w:rPr>
          <w:color w:val="000000"/>
          <w:sz w:val="20"/>
          <w:szCs w:val="20"/>
        </w:rPr>
        <w:t xml:space="preserve"> </w:t>
      </w:r>
    </w:p>
  </w:footnote>
  <w:footnote w:id="53">
    <w:p w14:paraId="6B8FEE51"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w:t>
      </w:r>
      <w:proofErr w:type="spellStart"/>
      <w:r>
        <w:rPr>
          <w:color w:val="000000"/>
          <w:sz w:val="20"/>
          <w:szCs w:val="20"/>
        </w:rPr>
        <w:t>Bosne</w:t>
      </w:r>
      <w:proofErr w:type="spellEnd"/>
      <w:r>
        <w:rPr>
          <w:color w:val="000000"/>
          <w:sz w:val="20"/>
          <w:szCs w:val="20"/>
        </w:rPr>
        <w:t xml:space="preserve"> i </w:t>
      </w:r>
      <w:proofErr w:type="spellStart"/>
      <w:r>
        <w:rPr>
          <w:color w:val="000000"/>
          <w:sz w:val="20"/>
          <w:szCs w:val="20"/>
        </w:rPr>
        <w:t>Hercegovine</w:t>
      </w:r>
      <w:proofErr w:type="spellEnd"/>
      <w:r>
        <w:rPr>
          <w:color w:val="000000"/>
          <w:sz w:val="20"/>
          <w:szCs w:val="20"/>
        </w:rPr>
        <w:t xml:space="preserve">, </w:t>
      </w:r>
      <w:proofErr w:type="spellStart"/>
      <w:r>
        <w:rPr>
          <w:color w:val="000000"/>
          <w:sz w:val="20"/>
          <w:szCs w:val="20"/>
        </w:rPr>
        <w:t>broj</w:t>
      </w:r>
      <w:proofErr w:type="spellEnd"/>
      <w:r>
        <w:rPr>
          <w:color w:val="000000"/>
          <w:sz w:val="20"/>
          <w:szCs w:val="20"/>
        </w:rPr>
        <w:t>: 19/00</w:t>
      </w:r>
    </w:p>
  </w:footnote>
  <w:footnote w:id="54">
    <w:p w14:paraId="0BB677C4"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w:t>
      </w:r>
      <w:proofErr w:type="spellStart"/>
      <w:r>
        <w:rPr>
          <w:color w:val="000000"/>
          <w:sz w:val="20"/>
          <w:szCs w:val="20"/>
        </w:rPr>
        <w:t>Bosne</w:t>
      </w:r>
      <w:proofErr w:type="spellEnd"/>
      <w:r>
        <w:rPr>
          <w:color w:val="000000"/>
          <w:sz w:val="20"/>
          <w:szCs w:val="20"/>
        </w:rPr>
        <w:t xml:space="preserve"> i </w:t>
      </w:r>
      <w:proofErr w:type="spellStart"/>
      <w:r>
        <w:rPr>
          <w:color w:val="000000"/>
          <w:sz w:val="20"/>
          <w:szCs w:val="20"/>
        </w:rPr>
        <w:t>Hercegovine</w:t>
      </w:r>
      <w:proofErr w:type="spellEnd"/>
      <w:r>
        <w:rPr>
          <w:color w:val="000000"/>
          <w:sz w:val="20"/>
          <w:szCs w:val="20"/>
        </w:rPr>
        <w:t xml:space="preserve"> – </w:t>
      </w:r>
      <w:proofErr w:type="spellStart"/>
      <w:r>
        <w:rPr>
          <w:color w:val="000000"/>
          <w:sz w:val="20"/>
          <w:szCs w:val="20"/>
        </w:rPr>
        <w:t>Međunarodni</w:t>
      </w:r>
      <w:proofErr w:type="spellEnd"/>
      <w:r>
        <w:rPr>
          <w:color w:val="000000"/>
          <w:sz w:val="20"/>
          <w:szCs w:val="20"/>
        </w:rPr>
        <w:t xml:space="preserve"> </w:t>
      </w:r>
      <w:proofErr w:type="spellStart"/>
      <w:r>
        <w:rPr>
          <w:color w:val="000000"/>
          <w:sz w:val="20"/>
          <w:szCs w:val="20"/>
        </w:rPr>
        <w:t>ugovori</w:t>
      </w:r>
      <w:proofErr w:type="spellEnd"/>
      <w:r>
        <w:rPr>
          <w:color w:val="000000"/>
          <w:sz w:val="20"/>
          <w:szCs w:val="20"/>
        </w:rPr>
        <w:t>, br. 3/08</w:t>
      </w:r>
    </w:p>
  </w:footnote>
  <w:footnote w:id="55">
    <w:p w14:paraId="721D41B0"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BiH – </w:t>
      </w:r>
      <w:proofErr w:type="spellStart"/>
      <w:r>
        <w:rPr>
          <w:color w:val="000000"/>
          <w:sz w:val="20"/>
          <w:szCs w:val="20"/>
        </w:rPr>
        <w:t>Međunarodni</w:t>
      </w:r>
      <w:proofErr w:type="spellEnd"/>
      <w:r>
        <w:rPr>
          <w:color w:val="000000"/>
          <w:sz w:val="20"/>
          <w:szCs w:val="20"/>
        </w:rPr>
        <w:t xml:space="preserve"> </w:t>
      </w:r>
      <w:proofErr w:type="spellStart"/>
      <w:r>
        <w:rPr>
          <w:color w:val="000000"/>
          <w:sz w:val="20"/>
          <w:szCs w:val="20"/>
        </w:rPr>
        <w:t>ugovori</w:t>
      </w:r>
      <w:proofErr w:type="spellEnd"/>
      <w:r>
        <w:rPr>
          <w:color w:val="000000"/>
          <w:sz w:val="20"/>
          <w:szCs w:val="20"/>
        </w:rPr>
        <w:t>, br. 1/17</w:t>
      </w:r>
    </w:p>
  </w:footnote>
  <w:footnote w:id="56">
    <w:p w14:paraId="676DF293" w14:textId="77777777" w:rsidR="00CF7A3C" w:rsidRDefault="00CF7A3C" w:rsidP="00CF7A3C">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Style w:val="FootnoteReference"/>
        </w:rPr>
        <w:footnoteRef/>
      </w:r>
      <w:r>
        <w:rPr>
          <w:color w:val="000000"/>
          <w:sz w:val="20"/>
          <w:szCs w:val="20"/>
        </w:rPr>
        <w:t xml:space="preserve"> Agenda </w:t>
      </w:r>
      <w:proofErr w:type="spellStart"/>
      <w:r>
        <w:rPr>
          <w:color w:val="000000"/>
          <w:sz w:val="20"/>
          <w:szCs w:val="20"/>
        </w:rPr>
        <w:t>održivog</w:t>
      </w:r>
      <w:proofErr w:type="spellEnd"/>
      <w:r>
        <w:rPr>
          <w:color w:val="000000"/>
          <w:sz w:val="20"/>
          <w:szCs w:val="20"/>
        </w:rPr>
        <w:t xml:space="preserve"> razvoja 2030 - A/RES/70/1 – Transforming our world: the 2030 Agenda for Sustainable Developmenthttps://www.un.org/en/development/desa/population/migration/generalassembly/docs/globalcompact/A_RES_70_1_E.pdf</w:t>
      </w:r>
    </w:p>
  </w:footnote>
  <w:footnote w:id="57">
    <w:p w14:paraId="7FFFD222"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20">
        <w:r>
          <w:rPr>
            <w:color w:val="0563C1"/>
            <w:sz w:val="20"/>
            <w:szCs w:val="20"/>
            <w:u w:val="single"/>
          </w:rPr>
          <w:t>https://zamisli2030.ba/wp-content/uploads/2019/12/Okvir-za-realizaciju-Ciljeva-odrzivog-razvoja-u-BiH-latinica.pdf</w:t>
        </w:r>
      </w:hyperlink>
      <w:r>
        <w:rPr>
          <w:color w:val="000000"/>
          <w:sz w:val="20"/>
          <w:szCs w:val="20"/>
        </w:rPr>
        <w:t xml:space="preserve"> </w:t>
      </w:r>
    </w:p>
  </w:footnote>
  <w:footnote w:id="58">
    <w:p w14:paraId="142D4F4D" w14:textId="77777777" w:rsidR="00CF7A3C" w:rsidRDefault="00CF7A3C" w:rsidP="00CF7A3C">
      <w:pPr>
        <w:spacing w:after="0"/>
        <w:jc w:val="left"/>
        <w:rPr>
          <w:rFonts w:ascii="Times New Roman" w:eastAsia="Times New Roman" w:hAnsi="Times New Roman" w:cs="Times New Roman"/>
          <w:sz w:val="20"/>
          <w:szCs w:val="20"/>
        </w:rPr>
      </w:pPr>
      <w:r>
        <w:rPr>
          <w:rStyle w:val="FootnoteReference"/>
        </w:rPr>
        <w:footnoteRef/>
      </w:r>
      <w:r>
        <w:rPr>
          <w:sz w:val="20"/>
          <w:szCs w:val="20"/>
        </w:rPr>
        <w:t xml:space="preserve"> Communication From The Commission To The European Parliament, The Council, The European Economic And Social Committee And The Committee Of The Regions: A Renovation Wave for Europe - greening our buildings, creating jobs, improving lives {</w:t>
      </w:r>
      <w:proofErr w:type="gramStart"/>
      <w:r>
        <w:rPr>
          <w:sz w:val="20"/>
          <w:szCs w:val="20"/>
        </w:rPr>
        <w:t>SWD(</w:t>
      </w:r>
      <w:proofErr w:type="gramEnd"/>
      <w:r>
        <w:rPr>
          <w:sz w:val="20"/>
          <w:szCs w:val="20"/>
        </w:rPr>
        <w:t>2020) 550 final}</w:t>
      </w:r>
    </w:p>
  </w:footnote>
  <w:footnote w:id="59">
    <w:p w14:paraId="2947F4A5"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21">
        <w:r>
          <w:rPr>
            <w:color w:val="000000"/>
            <w:sz w:val="20"/>
            <w:szCs w:val="20"/>
          </w:rPr>
          <w:t>https://ec.europa.eu/clima/policies/strategies/2030_en</w:t>
        </w:r>
      </w:hyperlink>
      <w:r>
        <w:rPr>
          <w:color w:val="000000"/>
          <w:sz w:val="20"/>
          <w:szCs w:val="20"/>
        </w:rPr>
        <w:t xml:space="preserve"> </w:t>
      </w:r>
    </w:p>
  </w:footnote>
  <w:footnote w:id="60">
    <w:p w14:paraId="48813635"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Europski</w:t>
      </w:r>
      <w:proofErr w:type="spellEnd"/>
      <w:r>
        <w:rPr>
          <w:color w:val="000000"/>
          <w:sz w:val="20"/>
          <w:szCs w:val="20"/>
        </w:rPr>
        <w:t xml:space="preserve"> </w:t>
      </w:r>
      <w:proofErr w:type="spellStart"/>
      <w:r>
        <w:rPr>
          <w:color w:val="000000"/>
          <w:sz w:val="20"/>
          <w:szCs w:val="20"/>
        </w:rPr>
        <w:t>Zeleni</w:t>
      </w:r>
      <w:proofErr w:type="spellEnd"/>
      <w:r>
        <w:rPr>
          <w:color w:val="000000"/>
          <w:sz w:val="20"/>
          <w:szCs w:val="20"/>
        </w:rPr>
        <w:t xml:space="preserve"> plan </w:t>
      </w:r>
      <w:hyperlink r:id="rId22">
        <w:r>
          <w:rPr>
            <w:color w:val="0563C1"/>
            <w:sz w:val="20"/>
            <w:szCs w:val="20"/>
            <w:u w:val="single"/>
          </w:rPr>
          <w:t>https://eur-lex.europa.eu/legal-content/EN/TXT/?qid=1588580774040&amp;uri=CELEX:52019DC0640</w:t>
        </w:r>
      </w:hyperlink>
      <w:r>
        <w:rPr>
          <w:color w:val="000000"/>
          <w:sz w:val="20"/>
          <w:szCs w:val="20"/>
        </w:rPr>
        <w:t xml:space="preserve"> </w:t>
      </w:r>
    </w:p>
  </w:footnote>
  <w:footnote w:id="61">
    <w:p w14:paraId="2009680C"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Zelena</w:t>
      </w:r>
      <w:proofErr w:type="spellEnd"/>
      <w:r>
        <w:rPr>
          <w:color w:val="000000"/>
          <w:sz w:val="20"/>
          <w:szCs w:val="20"/>
        </w:rPr>
        <w:t xml:space="preserve"> agenda za </w:t>
      </w:r>
      <w:proofErr w:type="spellStart"/>
      <w:r>
        <w:rPr>
          <w:color w:val="000000"/>
          <w:sz w:val="20"/>
          <w:szCs w:val="20"/>
        </w:rPr>
        <w:t>Zapadni</w:t>
      </w:r>
      <w:proofErr w:type="spellEnd"/>
      <w:r>
        <w:rPr>
          <w:color w:val="000000"/>
          <w:sz w:val="20"/>
          <w:szCs w:val="20"/>
        </w:rPr>
        <w:t xml:space="preserve"> Balkan </w:t>
      </w:r>
    </w:p>
    <w:p w14:paraId="23E95134" w14:textId="77777777" w:rsidR="00CF7A3C" w:rsidRDefault="00000000" w:rsidP="00CF7A3C">
      <w:pPr>
        <w:pBdr>
          <w:top w:val="nil"/>
          <w:left w:val="nil"/>
          <w:bottom w:val="nil"/>
          <w:right w:val="nil"/>
          <w:between w:val="nil"/>
        </w:pBdr>
        <w:spacing w:after="0" w:line="240" w:lineRule="auto"/>
        <w:jc w:val="left"/>
        <w:rPr>
          <w:color w:val="000000"/>
          <w:sz w:val="20"/>
          <w:szCs w:val="20"/>
        </w:rPr>
      </w:pPr>
      <w:hyperlink r:id="rId23">
        <w:r w:rsidR="00CF7A3C">
          <w:rPr>
            <w:color w:val="0563C1"/>
            <w:sz w:val="20"/>
            <w:szCs w:val="20"/>
            <w:u w:val="single"/>
          </w:rPr>
          <w:t>https://eur-lex.europa.eu/legal-content/EN/TXT/?uri=CELEX%3A52020SC0223</w:t>
        </w:r>
      </w:hyperlink>
      <w:r w:rsidR="00CF7A3C">
        <w:rPr>
          <w:color w:val="000000"/>
          <w:sz w:val="20"/>
          <w:szCs w:val="20"/>
        </w:rPr>
        <w:t xml:space="preserve"> </w:t>
      </w:r>
    </w:p>
  </w:footnote>
  <w:footnote w:id="62">
    <w:p w14:paraId="48DCFE40" w14:textId="4DB2EE2B" w:rsidR="00CF7A3C" w:rsidRPr="001972F5" w:rsidRDefault="00CF7A3C" w:rsidP="00CF7A3C">
      <w:pPr>
        <w:pBdr>
          <w:top w:val="nil"/>
          <w:left w:val="nil"/>
          <w:bottom w:val="nil"/>
          <w:right w:val="nil"/>
          <w:between w:val="nil"/>
        </w:pBdr>
        <w:spacing w:after="0" w:line="240" w:lineRule="auto"/>
        <w:jc w:val="left"/>
        <w:rPr>
          <w:color w:val="000000"/>
          <w:sz w:val="20"/>
          <w:szCs w:val="20"/>
          <w:lang w:val="fi-FI"/>
        </w:rPr>
      </w:pPr>
      <w:r>
        <w:rPr>
          <w:rStyle w:val="FootnoteReference"/>
        </w:rPr>
        <w:footnoteRef/>
      </w:r>
      <w:r w:rsidRPr="001972F5">
        <w:rPr>
          <w:color w:val="000000"/>
          <w:sz w:val="20"/>
          <w:szCs w:val="20"/>
          <w:lang w:val="fi-FI"/>
        </w:rPr>
        <w:t xml:space="preserve"> </w:t>
      </w:r>
      <w:r w:rsidRPr="001972F5">
        <w:rPr>
          <w:color w:val="000000"/>
          <w:sz w:val="20"/>
          <w:szCs w:val="20"/>
          <w:lang w:val="fi-FI"/>
        </w:rPr>
        <w:t xml:space="preserve">Direktiva 2010/31/EU o </w:t>
      </w:r>
      <w:r w:rsidR="0091757B" w:rsidRPr="001972F5">
        <w:rPr>
          <w:color w:val="000000"/>
          <w:sz w:val="20"/>
          <w:szCs w:val="20"/>
          <w:lang w:val="fi-FI"/>
        </w:rPr>
        <w:t>energij</w:t>
      </w:r>
      <w:r w:rsidRPr="001972F5">
        <w:rPr>
          <w:color w:val="000000"/>
          <w:sz w:val="20"/>
          <w:szCs w:val="20"/>
          <w:lang w:val="fi-FI"/>
        </w:rPr>
        <w:t>skim svojstvima zgrada</w:t>
      </w:r>
    </w:p>
    <w:p w14:paraId="6112A63A" w14:textId="77777777" w:rsidR="00CF7A3C" w:rsidRPr="001972F5" w:rsidRDefault="00CF7A3C" w:rsidP="00CF7A3C">
      <w:pPr>
        <w:pBdr>
          <w:top w:val="nil"/>
          <w:left w:val="nil"/>
          <w:bottom w:val="nil"/>
          <w:right w:val="nil"/>
          <w:between w:val="nil"/>
        </w:pBdr>
        <w:spacing w:after="0" w:line="240" w:lineRule="auto"/>
        <w:jc w:val="left"/>
        <w:rPr>
          <w:color w:val="000000"/>
          <w:sz w:val="20"/>
          <w:szCs w:val="20"/>
          <w:lang w:val="fi-FI"/>
        </w:rPr>
      </w:pPr>
      <w:r w:rsidRPr="001972F5">
        <w:rPr>
          <w:color w:val="000000"/>
          <w:sz w:val="20"/>
          <w:szCs w:val="20"/>
          <w:lang w:val="fi-FI"/>
        </w:rPr>
        <w:t xml:space="preserve"> </w:t>
      </w:r>
      <w:hyperlink r:id="rId24">
        <w:r w:rsidRPr="001972F5">
          <w:rPr>
            <w:color w:val="0563C1"/>
            <w:sz w:val="20"/>
            <w:szCs w:val="20"/>
            <w:u w:val="single"/>
            <w:lang w:val="fi-FI"/>
          </w:rPr>
          <w:t>https://eur-lex.europa.eu/legal-content/HR/TXT/?uri=CELEX%3A32010L0031</w:t>
        </w:r>
      </w:hyperlink>
      <w:r w:rsidRPr="001972F5">
        <w:rPr>
          <w:color w:val="000000"/>
          <w:sz w:val="20"/>
          <w:szCs w:val="20"/>
          <w:lang w:val="fi-FI"/>
        </w:rPr>
        <w:t xml:space="preserve"> </w:t>
      </w:r>
    </w:p>
  </w:footnote>
  <w:footnote w:id="63">
    <w:p w14:paraId="237FFC21" w14:textId="77777777" w:rsidR="00CF7A3C" w:rsidRPr="001972F5" w:rsidRDefault="00CF7A3C" w:rsidP="00CF7A3C">
      <w:pPr>
        <w:pBdr>
          <w:top w:val="nil"/>
          <w:left w:val="nil"/>
          <w:bottom w:val="nil"/>
          <w:right w:val="nil"/>
          <w:between w:val="nil"/>
        </w:pBdr>
        <w:spacing w:after="0" w:line="240" w:lineRule="auto"/>
        <w:jc w:val="left"/>
        <w:rPr>
          <w:color w:val="000000"/>
          <w:sz w:val="20"/>
          <w:szCs w:val="20"/>
          <w:lang w:val="fi-FI"/>
        </w:rPr>
      </w:pPr>
      <w:r>
        <w:rPr>
          <w:rStyle w:val="FootnoteReference"/>
        </w:rPr>
        <w:footnoteRef/>
      </w:r>
      <w:r w:rsidRPr="001972F5">
        <w:rPr>
          <w:color w:val="000000"/>
          <w:sz w:val="20"/>
          <w:szCs w:val="20"/>
          <w:lang w:val="fi-FI"/>
        </w:rPr>
        <w:t xml:space="preserve"> </w:t>
      </w:r>
      <w:hyperlink r:id="rId25">
        <w:r w:rsidRPr="001972F5">
          <w:rPr>
            <w:color w:val="0563C1"/>
            <w:sz w:val="20"/>
            <w:szCs w:val="20"/>
            <w:u w:val="single"/>
            <w:lang w:val="fi-FI"/>
          </w:rPr>
          <w:t>https://www.energy-community.org/legal/acquis/LFs.html</w:t>
        </w:r>
      </w:hyperlink>
      <w:r w:rsidRPr="001972F5">
        <w:rPr>
          <w:color w:val="000000"/>
          <w:sz w:val="20"/>
          <w:szCs w:val="20"/>
          <w:lang w:val="fi-FI"/>
        </w:rPr>
        <w:t xml:space="preserve"> </w:t>
      </w:r>
    </w:p>
  </w:footnote>
  <w:footnote w:id="64">
    <w:p w14:paraId="7FF83788"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5</w:t>
      </w:r>
      <w:r>
        <w:rPr>
          <w:color w:val="000000"/>
          <w:sz w:val="20"/>
          <w:szCs w:val="20"/>
          <w:vertAlign w:val="superscript"/>
        </w:rPr>
        <w:t>th</w:t>
      </w:r>
      <w:r>
        <w:rPr>
          <w:color w:val="000000"/>
          <w:sz w:val="20"/>
          <w:szCs w:val="20"/>
        </w:rPr>
        <w:t xml:space="preserve"> Annual Report on EED, BiH</w:t>
      </w:r>
    </w:p>
  </w:footnote>
  <w:footnote w:id="65">
    <w:p w14:paraId="7077496D"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The Energy Community Legal Framework - 4.3 Edition, 2022</w:t>
      </w:r>
    </w:p>
  </w:footnote>
  <w:footnote w:id="66">
    <w:p w14:paraId="2B48BF87" w14:textId="54C479A9"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Službene</w:t>
      </w:r>
      <w:proofErr w:type="spellEnd"/>
      <w:r>
        <w:rPr>
          <w:color w:val="000000"/>
          <w:sz w:val="20"/>
          <w:szCs w:val="20"/>
        </w:rPr>
        <w:t xml:space="preserve"> novine </w:t>
      </w:r>
      <w:proofErr w:type="gramStart"/>
      <w:r>
        <w:rPr>
          <w:color w:val="000000"/>
          <w:sz w:val="20"/>
          <w:szCs w:val="20"/>
        </w:rPr>
        <w:t>FBiH</w:t>
      </w:r>
      <w:r>
        <w:rPr>
          <w:color w:val="333333"/>
          <w:lang w:val="bs-Latn-BA"/>
        </w:rPr>
        <w:t>“</w:t>
      </w:r>
      <w:proofErr w:type="gramEnd"/>
      <w:r>
        <w:rPr>
          <w:color w:val="000000"/>
          <w:sz w:val="20"/>
          <w:szCs w:val="20"/>
        </w:rPr>
        <w:t xml:space="preserve">, </w:t>
      </w:r>
      <w:proofErr w:type="spellStart"/>
      <w:r>
        <w:rPr>
          <w:color w:val="000000"/>
          <w:sz w:val="20"/>
          <w:szCs w:val="20"/>
        </w:rPr>
        <w:t>broj</w:t>
      </w:r>
      <w:proofErr w:type="spellEnd"/>
      <w:r>
        <w:rPr>
          <w:color w:val="000000"/>
          <w:sz w:val="20"/>
          <w:szCs w:val="20"/>
        </w:rPr>
        <w:t xml:space="preserve"> 58/02, 19/03, 38/05, 2/06, 8/06, 61/06, 52/09, 80/10 i 48/11</w:t>
      </w:r>
    </w:p>
  </w:footnote>
  <w:footnote w:id="67">
    <w:p w14:paraId="20E86B4C" w14:textId="77777777" w:rsidR="00CF7A3C" w:rsidRPr="00264D04" w:rsidRDefault="00CF7A3C" w:rsidP="00CF7A3C">
      <w:pPr>
        <w:pStyle w:val="FootnoteText"/>
        <w:rPr>
          <w:lang w:val="bs-Latn-BA"/>
        </w:rPr>
      </w:pPr>
      <w:r>
        <w:rPr>
          <w:rStyle w:val="FootnoteReference"/>
        </w:rPr>
        <w:footnoteRef/>
      </w:r>
      <w:r>
        <w:t xml:space="preserve"> </w:t>
      </w:r>
      <w:r w:rsidRPr="00264D04">
        <w:t>https://www.paragraf.ba/propisi/fbih/zakon-o-obligacionim-odnosima.html</w:t>
      </w:r>
    </w:p>
  </w:footnote>
  <w:footnote w:id="68">
    <w:p w14:paraId="0F690081" w14:textId="77777777" w:rsidR="00CF7A3C" w:rsidRPr="00264D04" w:rsidRDefault="00CF7A3C" w:rsidP="00CF7A3C">
      <w:pPr>
        <w:pStyle w:val="FootnoteText"/>
        <w:rPr>
          <w:lang w:val="bs-Latn-BA"/>
        </w:rPr>
      </w:pPr>
      <w:r>
        <w:rPr>
          <w:rStyle w:val="FootnoteReference"/>
        </w:rPr>
        <w:footnoteRef/>
      </w:r>
      <w:r w:rsidRPr="001972F5">
        <w:rPr>
          <w:lang w:val="bs-Latn-BA"/>
        </w:rPr>
        <w:t xml:space="preserve"> </w:t>
      </w:r>
      <w:r w:rsidRPr="001972F5">
        <w:rPr>
          <w:lang w:val="bs-Latn-BA"/>
        </w:rPr>
        <w:t>https://advokat-prnjavorac.com/zakoni/Zakon_o_stvarnim_pravima_FBiH.pdf</w:t>
      </w:r>
    </w:p>
  </w:footnote>
  <w:footnote w:id="69">
    <w:p w14:paraId="4A4509B0" w14:textId="77777777" w:rsidR="00CF7A3C" w:rsidRPr="001972F5" w:rsidRDefault="00CF7A3C" w:rsidP="00CF7A3C">
      <w:pPr>
        <w:pBdr>
          <w:top w:val="nil"/>
          <w:left w:val="nil"/>
          <w:bottom w:val="nil"/>
          <w:right w:val="nil"/>
          <w:between w:val="nil"/>
        </w:pBdr>
        <w:spacing w:after="0" w:line="240" w:lineRule="auto"/>
        <w:jc w:val="left"/>
        <w:rPr>
          <w:color w:val="000000"/>
          <w:sz w:val="20"/>
          <w:szCs w:val="20"/>
          <w:lang w:val="bs-Latn-BA"/>
        </w:rPr>
      </w:pPr>
      <w:r>
        <w:rPr>
          <w:rStyle w:val="FootnoteReference"/>
        </w:rPr>
        <w:footnoteRef/>
      </w:r>
      <w:r w:rsidRPr="001972F5">
        <w:rPr>
          <w:color w:val="000000"/>
          <w:sz w:val="20"/>
          <w:szCs w:val="20"/>
          <w:lang w:val="bs-Latn-BA"/>
        </w:rPr>
        <w:t xml:space="preserve"> </w:t>
      </w:r>
      <w:r w:rsidRPr="001972F5">
        <w:rPr>
          <w:color w:val="000000"/>
          <w:sz w:val="20"/>
          <w:szCs w:val="20"/>
          <w:lang w:val="bs-Latn-BA"/>
        </w:rPr>
        <w:t>https://fmpu.gov.ba/wp-content/uploads/2020/07/Zakon-o-prostornom-planiranju-i-koris%CC%8Ctenju-zemljis%CC%8Cta-na-nivou-Federacije-Bosne-i-Hercegovine-SNFBiH-br-2-06-72-07-32-08-4-10-13-10-i-45-10.pdf</w:t>
      </w:r>
    </w:p>
  </w:footnote>
  <w:footnote w:id="70">
    <w:p w14:paraId="559180F3"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6">
        <w:proofErr w:type="spellStart"/>
        <w:r>
          <w:rPr>
            <w:color w:val="0563C1"/>
            <w:sz w:val="20"/>
            <w:szCs w:val="20"/>
            <w:u w:val="single"/>
          </w:rPr>
          <w:t>Zakoni</w:t>
        </w:r>
        <w:proofErr w:type="spellEnd"/>
        <w:r>
          <w:rPr>
            <w:color w:val="0563C1"/>
            <w:sz w:val="20"/>
            <w:szCs w:val="20"/>
            <w:u w:val="single"/>
          </w:rPr>
          <w:t xml:space="preserve"> | Federalno ministarstvo prostornog uređenja (fmpu.gov.ba)</w:t>
        </w:r>
      </w:hyperlink>
    </w:p>
  </w:footnote>
  <w:footnote w:id="71">
    <w:p w14:paraId="4A0CC637"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27">
        <w:r>
          <w:rPr>
            <w:color w:val="0563C1"/>
            <w:sz w:val="20"/>
            <w:szCs w:val="20"/>
            <w:u w:val="single"/>
          </w:rPr>
          <w:t>https://iseefbih.ba/</w:t>
        </w:r>
      </w:hyperlink>
      <w:r>
        <w:rPr>
          <w:color w:val="000000"/>
          <w:sz w:val="20"/>
          <w:szCs w:val="20"/>
        </w:rPr>
        <w:t xml:space="preserve"> </w:t>
      </w:r>
    </w:p>
  </w:footnote>
  <w:footnote w:id="72">
    <w:p w14:paraId="671D00F2"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Sl. novine FBiH 66/2013</w:t>
      </w:r>
    </w:p>
  </w:footnote>
  <w:footnote w:id="73">
    <w:p w14:paraId="5EBA435E" w14:textId="77777777" w:rsidR="00CF7A3C" w:rsidRPr="001972F5" w:rsidRDefault="00CF7A3C" w:rsidP="00CF7A3C">
      <w:pPr>
        <w:spacing w:after="0"/>
        <w:rPr>
          <w:sz w:val="20"/>
          <w:szCs w:val="20"/>
          <w:lang w:val="fi-FI"/>
        </w:rPr>
      </w:pPr>
      <w:r>
        <w:rPr>
          <w:rStyle w:val="FootnoteReference"/>
        </w:rPr>
        <w:footnoteRef/>
      </w:r>
      <w:r w:rsidRPr="001972F5">
        <w:rPr>
          <w:sz w:val="20"/>
          <w:szCs w:val="20"/>
          <w:lang w:val="fi-FI"/>
        </w:rPr>
        <w:t xml:space="preserve"> </w:t>
      </w:r>
      <w:r w:rsidRPr="001972F5">
        <w:rPr>
          <w:sz w:val="20"/>
          <w:szCs w:val="20"/>
          <w:lang w:val="fi-FI"/>
        </w:rPr>
        <w:t xml:space="preserve">Član 9 EPBD </w:t>
      </w:r>
      <w:r w:rsidR="00000000">
        <w:fldChar w:fldCharType="begin"/>
      </w:r>
      <w:r w:rsidR="00000000" w:rsidRPr="001972F5">
        <w:rPr>
          <w:lang w:val="fi-FI"/>
        </w:rPr>
        <w:instrText>HYPERLINK "https://www.energy-community.org/legal/acquis/LFs.html" \h</w:instrText>
      </w:r>
      <w:r w:rsidR="00000000">
        <w:fldChar w:fldCharType="separate"/>
      </w:r>
      <w:r w:rsidRPr="001972F5">
        <w:rPr>
          <w:color w:val="0563C1"/>
          <w:sz w:val="20"/>
          <w:szCs w:val="20"/>
          <w:u w:val="single"/>
          <w:lang w:val="fi-FI"/>
        </w:rPr>
        <w:t>https://www.energy-community.org/legal/acquis/LFs.html</w:t>
      </w:r>
      <w:r w:rsidR="00000000">
        <w:rPr>
          <w:color w:val="0563C1"/>
          <w:sz w:val="20"/>
          <w:szCs w:val="20"/>
          <w:u w:val="single"/>
        </w:rPr>
        <w:fldChar w:fldCharType="end"/>
      </w:r>
      <w:r w:rsidRPr="001972F5">
        <w:rPr>
          <w:sz w:val="20"/>
          <w:szCs w:val="20"/>
          <w:lang w:val="fi-FI"/>
        </w:rPr>
        <w:t xml:space="preserve"> </w:t>
      </w:r>
    </w:p>
  </w:footnote>
  <w:footnote w:id="74">
    <w:p w14:paraId="2AB745DD" w14:textId="77777777" w:rsidR="00CF7A3C" w:rsidRDefault="00CF7A3C" w:rsidP="00CF7A3C">
      <w:pPr>
        <w:spacing w:after="0"/>
        <w:rPr>
          <w:sz w:val="20"/>
          <w:szCs w:val="20"/>
        </w:rPr>
      </w:pPr>
      <w:r>
        <w:rPr>
          <w:rStyle w:val="FootnoteReference"/>
        </w:rPr>
        <w:footnoteRef/>
      </w:r>
      <w:r>
        <w:rPr>
          <w:sz w:val="20"/>
          <w:szCs w:val="20"/>
        </w:rPr>
        <w:t xml:space="preserve"> </w:t>
      </w:r>
      <w:proofErr w:type="spellStart"/>
      <w:r>
        <w:rPr>
          <w:sz w:val="20"/>
          <w:szCs w:val="20"/>
        </w:rPr>
        <w:t>Odluka</w:t>
      </w:r>
      <w:proofErr w:type="spellEnd"/>
      <w:r>
        <w:rPr>
          <w:sz w:val="20"/>
          <w:szCs w:val="20"/>
        </w:rPr>
        <w:t xml:space="preserve"> </w:t>
      </w:r>
      <w:proofErr w:type="spellStart"/>
      <w:r>
        <w:rPr>
          <w:sz w:val="20"/>
          <w:szCs w:val="20"/>
        </w:rPr>
        <w:t>Ministarskog</w:t>
      </w:r>
      <w:proofErr w:type="spellEnd"/>
      <w:r>
        <w:rPr>
          <w:sz w:val="20"/>
          <w:szCs w:val="20"/>
        </w:rPr>
        <w:t xml:space="preserve"> </w:t>
      </w:r>
      <w:proofErr w:type="spellStart"/>
      <w:r>
        <w:rPr>
          <w:sz w:val="20"/>
          <w:szCs w:val="20"/>
        </w:rPr>
        <w:t>Vijeća</w:t>
      </w:r>
      <w:proofErr w:type="spellEnd"/>
      <w:r>
        <w:rPr>
          <w:sz w:val="20"/>
          <w:szCs w:val="20"/>
        </w:rPr>
        <w:t xml:space="preserve"> </w:t>
      </w:r>
      <w:proofErr w:type="spellStart"/>
      <w:r>
        <w:rPr>
          <w:sz w:val="20"/>
          <w:szCs w:val="20"/>
        </w:rPr>
        <w:t>Energetske</w:t>
      </w:r>
      <w:proofErr w:type="spellEnd"/>
      <w:r>
        <w:rPr>
          <w:sz w:val="20"/>
          <w:szCs w:val="20"/>
        </w:rPr>
        <w:t xml:space="preserve"> </w:t>
      </w:r>
      <w:proofErr w:type="spellStart"/>
      <w:r>
        <w:rPr>
          <w:sz w:val="20"/>
          <w:szCs w:val="20"/>
        </w:rPr>
        <w:t>zajednice</w:t>
      </w:r>
      <w:proofErr w:type="spellEnd"/>
      <w:r>
        <w:rPr>
          <w:sz w:val="20"/>
          <w:szCs w:val="20"/>
        </w:rPr>
        <w:t xml:space="preserve"> 2010/02/MC-</w:t>
      </w:r>
      <w:proofErr w:type="spellStart"/>
      <w:r>
        <w:rPr>
          <w:sz w:val="20"/>
          <w:szCs w:val="20"/>
        </w:rPr>
        <w:t>EnC</w:t>
      </w:r>
      <w:proofErr w:type="spellEnd"/>
      <w:r>
        <w:rPr>
          <w:sz w:val="20"/>
          <w:szCs w:val="20"/>
        </w:rPr>
        <w:t xml:space="preserve"> od </w:t>
      </w:r>
      <w:proofErr w:type="spellStart"/>
      <w:r>
        <w:rPr>
          <w:sz w:val="20"/>
          <w:szCs w:val="20"/>
        </w:rPr>
        <w:t>septembra</w:t>
      </w:r>
      <w:proofErr w:type="spellEnd"/>
      <w:r>
        <w:rPr>
          <w:sz w:val="20"/>
          <w:szCs w:val="20"/>
        </w:rPr>
        <w:t xml:space="preserve"> 2010. </w:t>
      </w:r>
      <w:proofErr w:type="spellStart"/>
      <w:r>
        <w:rPr>
          <w:sz w:val="20"/>
          <w:szCs w:val="20"/>
        </w:rPr>
        <w:t>godine</w:t>
      </w:r>
      <w:proofErr w:type="spellEnd"/>
      <w:r>
        <w:rPr>
          <w:sz w:val="20"/>
          <w:szCs w:val="20"/>
        </w:rPr>
        <w:t xml:space="preserve"> </w:t>
      </w:r>
      <w:hyperlink r:id="rId28" w:history="1">
        <w:r w:rsidRPr="005165DF">
          <w:rPr>
            <w:rStyle w:val="Hyperlink"/>
            <w:sz w:val="20"/>
            <w:szCs w:val="20"/>
          </w:rPr>
          <w:t>www.energy-community.org</w:t>
        </w:r>
      </w:hyperlink>
      <w:r>
        <w:rPr>
          <w:sz w:val="20"/>
          <w:szCs w:val="20"/>
        </w:rPr>
        <w:t xml:space="preserve"> </w:t>
      </w:r>
    </w:p>
  </w:footnote>
  <w:footnote w:id="75">
    <w:p w14:paraId="54000B85" w14:textId="77777777" w:rsidR="00CF7A3C" w:rsidRPr="001972F5" w:rsidRDefault="00CF7A3C" w:rsidP="00CF7A3C">
      <w:pPr>
        <w:spacing w:after="0"/>
        <w:rPr>
          <w:rFonts w:ascii="Times New Roman" w:eastAsia="Times New Roman" w:hAnsi="Times New Roman" w:cs="Times New Roman"/>
          <w:lang w:val="fi-FI"/>
        </w:rPr>
      </w:pPr>
      <w:r>
        <w:rPr>
          <w:rStyle w:val="FootnoteReference"/>
        </w:rPr>
        <w:footnoteRef/>
      </w:r>
      <w:r w:rsidRPr="001972F5">
        <w:rPr>
          <w:sz w:val="20"/>
          <w:szCs w:val="20"/>
          <w:lang w:val="fi-FI"/>
        </w:rPr>
        <w:t xml:space="preserve"> </w:t>
      </w:r>
      <w:r w:rsidRPr="001972F5">
        <w:rPr>
          <w:sz w:val="20"/>
          <w:szCs w:val="20"/>
          <w:lang w:val="fi-FI"/>
        </w:rPr>
        <w:t>Član 9 Odluke MV 2010/02/MC-EnC</w:t>
      </w:r>
    </w:p>
  </w:footnote>
  <w:footnote w:id="76">
    <w:p w14:paraId="20C6DE29" w14:textId="77777777" w:rsidR="00CF7A3C" w:rsidRPr="001972F5" w:rsidRDefault="00CF7A3C" w:rsidP="00CF7A3C">
      <w:pPr>
        <w:pBdr>
          <w:top w:val="nil"/>
          <w:left w:val="nil"/>
          <w:bottom w:val="nil"/>
          <w:right w:val="nil"/>
          <w:between w:val="nil"/>
        </w:pBdr>
        <w:spacing w:after="0" w:line="240" w:lineRule="auto"/>
        <w:jc w:val="left"/>
        <w:rPr>
          <w:color w:val="000000"/>
          <w:sz w:val="20"/>
          <w:szCs w:val="20"/>
          <w:lang w:val="fi-FI"/>
        </w:rPr>
      </w:pPr>
      <w:r>
        <w:rPr>
          <w:rStyle w:val="FootnoteReference"/>
        </w:rPr>
        <w:footnoteRef/>
      </w:r>
      <w:hyperlink r:id="rId29">
        <w:r w:rsidRPr="001972F5">
          <w:rPr>
            <w:color w:val="0563C1"/>
            <w:sz w:val="20"/>
            <w:szCs w:val="20"/>
            <w:u w:val="single"/>
            <w:lang w:val="fi-FI"/>
          </w:rPr>
          <w:t>https://fmeri.gov.ba/media/1819/okvirna_energetska_strategija_bosne_i_hercegovine_do_2035_bih_finalna.pdf</w:t>
        </w:r>
      </w:hyperlink>
      <w:r w:rsidRPr="001972F5">
        <w:rPr>
          <w:color w:val="000000"/>
          <w:sz w:val="20"/>
          <w:szCs w:val="20"/>
          <w:lang w:val="fi-FI"/>
        </w:rPr>
        <w:t xml:space="preserve"> </w:t>
      </w:r>
    </w:p>
  </w:footnote>
  <w:footnote w:id="77">
    <w:p w14:paraId="08459381" w14:textId="77777777" w:rsidR="00CF7A3C" w:rsidRPr="001972F5" w:rsidRDefault="00CF7A3C" w:rsidP="00CF7A3C">
      <w:pPr>
        <w:pBdr>
          <w:top w:val="nil"/>
          <w:left w:val="nil"/>
          <w:bottom w:val="nil"/>
          <w:right w:val="nil"/>
          <w:between w:val="nil"/>
        </w:pBdr>
        <w:spacing w:after="0" w:line="240" w:lineRule="auto"/>
        <w:rPr>
          <w:color w:val="000000"/>
          <w:sz w:val="20"/>
          <w:szCs w:val="20"/>
          <w:lang w:val="fi-FI"/>
        </w:rPr>
      </w:pPr>
      <w:r>
        <w:rPr>
          <w:rStyle w:val="FootnoteReference"/>
        </w:rPr>
        <w:footnoteRef/>
      </w:r>
      <w:r w:rsidRPr="001972F5">
        <w:rPr>
          <w:color w:val="000000"/>
          <w:sz w:val="20"/>
          <w:szCs w:val="20"/>
          <w:lang w:val="fi-FI"/>
        </w:rPr>
        <w:t xml:space="preserve"> </w:t>
      </w:r>
      <w:hyperlink r:id="rId30">
        <w:r w:rsidRPr="001972F5">
          <w:rPr>
            <w:color w:val="0563C1"/>
            <w:sz w:val="20"/>
            <w:szCs w:val="20"/>
            <w:u w:val="single"/>
            <w:lang w:val="fi-FI"/>
          </w:rPr>
          <w:t>eeapf-bih-2019_2021.pdf (fmeri.gov.ba)</w:t>
        </w:r>
      </w:hyperlink>
    </w:p>
  </w:footnote>
  <w:footnote w:id="78">
    <w:p w14:paraId="70386FB6" w14:textId="77777777" w:rsidR="00CF7A3C" w:rsidRPr="001972F5" w:rsidRDefault="00CF7A3C" w:rsidP="00CF7A3C">
      <w:pPr>
        <w:pBdr>
          <w:top w:val="nil"/>
          <w:left w:val="nil"/>
          <w:bottom w:val="nil"/>
          <w:right w:val="nil"/>
          <w:between w:val="nil"/>
        </w:pBdr>
        <w:spacing w:after="0" w:line="240" w:lineRule="auto"/>
        <w:jc w:val="left"/>
        <w:rPr>
          <w:color w:val="000000"/>
          <w:sz w:val="20"/>
          <w:szCs w:val="20"/>
          <w:lang w:val="fi-FI"/>
        </w:rPr>
      </w:pPr>
      <w:r>
        <w:rPr>
          <w:rStyle w:val="FootnoteReference"/>
        </w:rPr>
        <w:footnoteRef/>
      </w:r>
      <w:r w:rsidRPr="001972F5">
        <w:rPr>
          <w:color w:val="000000"/>
          <w:sz w:val="20"/>
          <w:szCs w:val="20"/>
          <w:lang w:val="fi-FI"/>
        </w:rPr>
        <w:t xml:space="preserve"> </w:t>
      </w:r>
      <w:hyperlink r:id="rId31">
        <w:r w:rsidRPr="001972F5">
          <w:rPr>
            <w:color w:val="0563C1"/>
            <w:sz w:val="20"/>
            <w:szCs w:val="20"/>
            <w:u w:val="single"/>
            <w:lang w:val="fi-FI"/>
          </w:rPr>
          <w:t>https://fmeri.gov.ba/media/1988/operativni-plan-ee-fbihdocx.pdf</w:t>
        </w:r>
      </w:hyperlink>
      <w:r w:rsidRPr="001972F5">
        <w:rPr>
          <w:color w:val="000000"/>
          <w:sz w:val="20"/>
          <w:szCs w:val="20"/>
          <w:lang w:val="fi-FI"/>
        </w:rPr>
        <w:t xml:space="preserve"> </w:t>
      </w:r>
    </w:p>
  </w:footnote>
  <w:footnote w:id="79">
    <w:p w14:paraId="40228DA2" w14:textId="77777777" w:rsidR="00CF7A3C" w:rsidRPr="001972F5" w:rsidRDefault="00CF7A3C" w:rsidP="00CF7A3C">
      <w:pPr>
        <w:pBdr>
          <w:top w:val="nil"/>
          <w:left w:val="nil"/>
          <w:bottom w:val="nil"/>
          <w:right w:val="nil"/>
          <w:between w:val="nil"/>
        </w:pBdr>
        <w:spacing w:after="0" w:line="240" w:lineRule="auto"/>
        <w:jc w:val="left"/>
        <w:rPr>
          <w:color w:val="000000"/>
          <w:sz w:val="20"/>
          <w:szCs w:val="20"/>
          <w:lang w:val="fi-FI"/>
        </w:rPr>
      </w:pPr>
      <w:r>
        <w:rPr>
          <w:rStyle w:val="FootnoteReference"/>
        </w:rPr>
        <w:footnoteRef/>
      </w:r>
      <w:r w:rsidRPr="001972F5">
        <w:rPr>
          <w:color w:val="000000"/>
          <w:sz w:val="20"/>
          <w:szCs w:val="20"/>
          <w:lang w:val="fi-FI"/>
        </w:rPr>
        <w:t xml:space="preserve"> </w:t>
      </w:r>
      <w:hyperlink r:id="rId32">
        <w:r w:rsidRPr="001972F5">
          <w:rPr>
            <w:color w:val="0563C1"/>
            <w:sz w:val="20"/>
            <w:szCs w:val="20"/>
            <w:u w:val="single"/>
            <w:lang w:val="fi-FI"/>
          </w:rPr>
          <w:t>Strategija razvoja FBiH 2021.-2027..pdf (fzzpr.gov.ba)</w:t>
        </w:r>
      </w:hyperlink>
    </w:p>
  </w:footnote>
  <w:footnote w:id="80">
    <w:p w14:paraId="08A044B7" w14:textId="77777777" w:rsidR="00CF7A3C" w:rsidRPr="001972F5" w:rsidRDefault="00CF7A3C" w:rsidP="00CF7A3C">
      <w:pPr>
        <w:pBdr>
          <w:top w:val="nil"/>
          <w:left w:val="nil"/>
          <w:bottom w:val="nil"/>
          <w:right w:val="nil"/>
          <w:between w:val="nil"/>
        </w:pBdr>
        <w:spacing w:after="0" w:line="240" w:lineRule="auto"/>
        <w:jc w:val="left"/>
        <w:rPr>
          <w:color w:val="000000"/>
          <w:sz w:val="20"/>
          <w:szCs w:val="20"/>
          <w:lang w:val="fi-FI"/>
        </w:rPr>
      </w:pPr>
      <w:r>
        <w:rPr>
          <w:rStyle w:val="FootnoteReference"/>
        </w:rPr>
        <w:footnoteRef/>
      </w:r>
      <w:hyperlink r:id="rId33">
        <w:r w:rsidRPr="001972F5">
          <w:rPr>
            <w:color w:val="0563C1"/>
            <w:sz w:val="20"/>
            <w:szCs w:val="20"/>
            <w:u w:val="single"/>
            <w:lang w:val="fi-FI"/>
          </w:rPr>
          <w:t>https://zamisli2030.ba/bs/okvir-ciljeva-odrzivog-razvoja-u-bih/</w:t>
        </w:r>
      </w:hyperlink>
    </w:p>
  </w:footnote>
  <w:footnote w:id="81">
    <w:p w14:paraId="0778D130"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34">
        <w:r>
          <w:rPr>
            <w:color w:val="0563C1"/>
            <w:sz w:val="20"/>
            <w:szCs w:val="20"/>
            <w:u w:val="single"/>
          </w:rPr>
          <w:t>green_agenda_for_the_western_balkans_en.pdf (europa.eu)</w:t>
        </w:r>
      </w:hyperlink>
    </w:p>
  </w:footnote>
  <w:footnote w:id="82">
    <w:p w14:paraId="40FDD476"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35">
        <w:r>
          <w:rPr>
            <w:color w:val="0563C1"/>
            <w:sz w:val="20"/>
            <w:szCs w:val="20"/>
            <w:u w:val="single"/>
          </w:rPr>
          <w:t>http://www.unfccc.ba/site/publikacije/spkp.pdf</w:t>
        </w:r>
      </w:hyperlink>
    </w:p>
  </w:footnote>
  <w:footnote w:id="83">
    <w:p w14:paraId="64CC8B48"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36">
        <w:r>
          <w:rPr>
            <w:color w:val="0563C1"/>
            <w:sz w:val="20"/>
            <w:szCs w:val="20"/>
            <w:u w:val="single"/>
          </w:rPr>
          <w:t>http://www.unfccc.ba/site/upload/PDF_dokumenti/NDC%20BiH_novembar%202020.pdf</w:t>
        </w:r>
      </w:hyperlink>
    </w:p>
  </w:footnote>
  <w:footnote w:id="84">
    <w:p w14:paraId="16082FE3"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7">
        <w:r>
          <w:rPr>
            <w:color w:val="0563C1"/>
            <w:sz w:val="20"/>
            <w:szCs w:val="20"/>
            <w:u w:val="single"/>
          </w:rPr>
          <w:t>http://ppipo.bdbih.gov.ba/data/dokumenti/pdf/NDC_BiH_Mapa_puta_i_akcijski_plan_Nacrt-april_2020.pdf</w:t>
        </w:r>
      </w:hyperlink>
    </w:p>
  </w:footnote>
  <w:footnote w:id="85">
    <w:p w14:paraId="5321CC10"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hyperlink r:id="rId38">
        <w:r>
          <w:rPr>
            <w:color w:val="0563C1"/>
            <w:sz w:val="20"/>
            <w:szCs w:val="20"/>
            <w:u w:val="single"/>
          </w:rPr>
          <w:t>https://www.fmoit.gov.ba/upload/file/2020/Eday/Federalna%20strategija%20za%C5%A1tite%20okoli%C5%A1a%202022-2032..pdf</w:t>
        </w:r>
      </w:hyperlink>
      <w:r>
        <w:rPr>
          <w:color w:val="000000"/>
          <w:sz w:val="20"/>
          <w:szCs w:val="20"/>
        </w:rPr>
        <w:t xml:space="preserve"> </w:t>
      </w:r>
    </w:p>
  </w:footnote>
  <w:footnote w:id="86">
    <w:p w14:paraId="529E6F48"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39">
        <w:r>
          <w:rPr>
            <w:color w:val="0563C1"/>
            <w:sz w:val="20"/>
            <w:szCs w:val="20"/>
            <w:u w:val="single"/>
          </w:rPr>
          <w:t xml:space="preserve">GED Project | United Nations Development </w:t>
        </w:r>
        <w:proofErr w:type="spellStart"/>
        <w:r>
          <w:rPr>
            <w:color w:val="0563C1"/>
            <w:sz w:val="20"/>
            <w:szCs w:val="20"/>
            <w:u w:val="single"/>
          </w:rPr>
          <w:t>Programme</w:t>
        </w:r>
        <w:proofErr w:type="spellEnd"/>
        <w:r>
          <w:rPr>
            <w:color w:val="0563C1"/>
            <w:sz w:val="20"/>
            <w:szCs w:val="20"/>
            <w:u w:val="single"/>
          </w:rPr>
          <w:t xml:space="preserve"> (undp.org)</w:t>
        </w:r>
      </w:hyperlink>
    </w:p>
  </w:footnote>
  <w:footnote w:id="87">
    <w:p w14:paraId="23200575"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0">
        <w:r>
          <w:rPr>
            <w:color w:val="0563C1"/>
            <w:sz w:val="20"/>
            <w:szCs w:val="20"/>
            <w:u w:val="single"/>
          </w:rPr>
          <w:t>https://www.undp.org/bosnia-herzegovina/projects/scaling-investment-low-carbon-public-buildings</w:t>
        </w:r>
      </w:hyperlink>
      <w:r>
        <w:rPr>
          <w:color w:val="000000"/>
          <w:sz w:val="20"/>
          <w:szCs w:val="20"/>
        </w:rPr>
        <w:t xml:space="preserve"> </w:t>
      </w:r>
    </w:p>
  </w:footnote>
  <w:footnote w:id="88">
    <w:p w14:paraId="1E7E2D5A"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1">
        <w:proofErr w:type="spellStart"/>
        <w:r>
          <w:rPr>
            <w:color w:val="0563C1"/>
            <w:sz w:val="20"/>
            <w:szCs w:val="20"/>
            <w:u w:val="single"/>
          </w:rPr>
          <w:t>Švedska</w:t>
        </w:r>
        <w:proofErr w:type="spellEnd"/>
        <w:r>
          <w:rPr>
            <w:color w:val="0563C1"/>
            <w:sz w:val="20"/>
            <w:szCs w:val="20"/>
            <w:u w:val="single"/>
          </w:rPr>
          <w:t xml:space="preserve"> </w:t>
        </w:r>
        <w:proofErr w:type="spellStart"/>
        <w:r>
          <w:rPr>
            <w:color w:val="0563C1"/>
            <w:sz w:val="20"/>
            <w:szCs w:val="20"/>
            <w:u w:val="single"/>
          </w:rPr>
          <w:t>osigurala</w:t>
        </w:r>
        <w:proofErr w:type="spellEnd"/>
        <w:r>
          <w:rPr>
            <w:color w:val="0563C1"/>
            <w:sz w:val="20"/>
            <w:szCs w:val="20"/>
            <w:u w:val="single"/>
          </w:rPr>
          <w:t xml:space="preserve"> 14 </w:t>
        </w:r>
        <w:proofErr w:type="spellStart"/>
        <w:r>
          <w:rPr>
            <w:color w:val="0563C1"/>
            <w:sz w:val="20"/>
            <w:szCs w:val="20"/>
            <w:u w:val="single"/>
          </w:rPr>
          <w:t>miliona</w:t>
        </w:r>
        <w:proofErr w:type="spellEnd"/>
        <w:r>
          <w:rPr>
            <w:color w:val="0563C1"/>
            <w:sz w:val="20"/>
            <w:szCs w:val="20"/>
            <w:u w:val="single"/>
          </w:rPr>
          <w:t xml:space="preserve"> KM za </w:t>
        </w:r>
        <w:proofErr w:type="spellStart"/>
        <w:r>
          <w:rPr>
            <w:color w:val="0563C1"/>
            <w:sz w:val="20"/>
            <w:szCs w:val="20"/>
            <w:u w:val="single"/>
          </w:rPr>
          <w:t>povećanje</w:t>
        </w:r>
        <w:proofErr w:type="spellEnd"/>
        <w:r>
          <w:rPr>
            <w:color w:val="0563C1"/>
            <w:sz w:val="20"/>
            <w:szCs w:val="20"/>
            <w:u w:val="single"/>
          </w:rPr>
          <w:t xml:space="preserve"> </w:t>
        </w:r>
        <w:proofErr w:type="spellStart"/>
        <w:r>
          <w:rPr>
            <w:color w:val="0563C1"/>
            <w:sz w:val="20"/>
            <w:szCs w:val="20"/>
            <w:u w:val="single"/>
          </w:rPr>
          <w:t>energijske</w:t>
        </w:r>
        <w:proofErr w:type="spellEnd"/>
        <w:r>
          <w:rPr>
            <w:color w:val="0563C1"/>
            <w:sz w:val="20"/>
            <w:szCs w:val="20"/>
            <w:u w:val="single"/>
          </w:rPr>
          <w:t xml:space="preserve"> </w:t>
        </w:r>
        <w:proofErr w:type="spellStart"/>
        <w:r>
          <w:rPr>
            <w:color w:val="0563C1"/>
            <w:sz w:val="20"/>
            <w:szCs w:val="20"/>
            <w:u w:val="single"/>
          </w:rPr>
          <w:t>efikasnosti</w:t>
        </w:r>
        <w:proofErr w:type="spellEnd"/>
        <w:r>
          <w:rPr>
            <w:color w:val="0563C1"/>
            <w:sz w:val="20"/>
            <w:szCs w:val="20"/>
            <w:u w:val="single"/>
          </w:rPr>
          <w:t xml:space="preserve"> u </w:t>
        </w:r>
        <w:proofErr w:type="spellStart"/>
        <w:r>
          <w:rPr>
            <w:color w:val="0563C1"/>
            <w:sz w:val="20"/>
            <w:szCs w:val="20"/>
            <w:u w:val="single"/>
          </w:rPr>
          <w:t>javnom</w:t>
        </w:r>
        <w:proofErr w:type="spellEnd"/>
        <w:r>
          <w:rPr>
            <w:color w:val="0563C1"/>
            <w:sz w:val="20"/>
            <w:szCs w:val="20"/>
            <w:u w:val="single"/>
          </w:rPr>
          <w:t xml:space="preserve"> i </w:t>
        </w:r>
        <w:proofErr w:type="spellStart"/>
        <w:r>
          <w:rPr>
            <w:color w:val="0563C1"/>
            <w:sz w:val="20"/>
            <w:szCs w:val="20"/>
            <w:u w:val="single"/>
          </w:rPr>
          <w:t>stambenom</w:t>
        </w:r>
        <w:proofErr w:type="spellEnd"/>
        <w:r>
          <w:rPr>
            <w:color w:val="0563C1"/>
            <w:sz w:val="20"/>
            <w:szCs w:val="20"/>
            <w:u w:val="single"/>
          </w:rPr>
          <w:t xml:space="preserve"> </w:t>
        </w:r>
        <w:proofErr w:type="spellStart"/>
        <w:r>
          <w:rPr>
            <w:color w:val="0563C1"/>
            <w:sz w:val="20"/>
            <w:szCs w:val="20"/>
            <w:u w:val="single"/>
          </w:rPr>
          <w:t>sektoru</w:t>
        </w:r>
        <w:proofErr w:type="spellEnd"/>
        <w:r>
          <w:rPr>
            <w:color w:val="0563C1"/>
            <w:sz w:val="20"/>
            <w:szCs w:val="20"/>
            <w:u w:val="single"/>
          </w:rPr>
          <w:t xml:space="preserve"> u </w:t>
        </w:r>
        <w:proofErr w:type="spellStart"/>
        <w:r>
          <w:rPr>
            <w:color w:val="0563C1"/>
            <w:sz w:val="20"/>
            <w:szCs w:val="20"/>
            <w:u w:val="single"/>
          </w:rPr>
          <w:t>Bosni</w:t>
        </w:r>
        <w:proofErr w:type="spellEnd"/>
        <w:r>
          <w:rPr>
            <w:color w:val="0563C1"/>
            <w:sz w:val="20"/>
            <w:szCs w:val="20"/>
            <w:u w:val="single"/>
          </w:rPr>
          <w:t xml:space="preserve"> i </w:t>
        </w:r>
        <w:proofErr w:type="spellStart"/>
        <w:r>
          <w:rPr>
            <w:color w:val="0563C1"/>
            <w:sz w:val="20"/>
            <w:szCs w:val="20"/>
            <w:u w:val="single"/>
          </w:rPr>
          <w:t>Hercegovini</w:t>
        </w:r>
        <w:proofErr w:type="spellEnd"/>
        <w:r>
          <w:rPr>
            <w:color w:val="0563C1"/>
            <w:sz w:val="20"/>
            <w:szCs w:val="20"/>
            <w:u w:val="single"/>
          </w:rPr>
          <w:t xml:space="preserve"> | United Nations Development </w:t>
        </w:r>
        <w:proofErr w:type="spellStart"/>
        <w:r>
          <w:rPr>
            <w:color w:val="0563C1"/>
            <w:sz w:val="20"/>
            <w:szCs w:val="20"/>
            <w:u w:val="single"/>
          </w:rPr>
          <w:t>Programme</w:t>
        </w:r>
        <w:proofErr w:type="spellEnd"/>
        <w:r>
          <w:rPr>
            <w:color w:val="0563C1"/>
            <w:sz w:val="20"/>
            <w:szCs w:val="20"/>
            <w:u w:val="single"/>
          </w:rPr>
          <w:t xml:space="preserve"> (undp.org)</w:t>
        </w:r>
      </w:hyperlink>
    </w:p>
  </w:footnote>
  <w:footnote w:id="89">
    <w:p w14:paraId="699E92FC"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2">
        <w:r>
          <w:rPr>
            <w:color w:val="0563C1"/>
            <w:sz w:val="20"/>
            <w:szCs w:val="20"/>
            <w:u w:val="single"/>
          </w:rPr>
          <w:t>https://fmpu.gov.ba/projekti/beep/</w:t>
        </w:r>
      </w:hyperlink>
      <w:r>
        <w:rPr>
          <w:color w:val="000000"/>
          <w:sz w:val="20"/>
          <w:szCs w:val="20"/>
        </w:rPr>
        <w:t xml:space="preserve"> </w:t>
      </w:r>
    </w:p>
  </w:footnote>
  <w:footnote w:id="90">
    <w:p w14:paraId="0379BDB8"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3">
        <w:r>
          <w:rPr>
            <w:color w:val="0563C1"/>
            <w:sz w:val="20"/>
            <w:szCs w:val="20"/>
            <w:u w:val="single"/>
          </w:rPr>
          <w:t>https://www.unionbank.ba/revolving-fond-fonda-za-zastitu-okolisa-federacije-bosne-i-hercegovine</w:t>
        </w:r>
      </w:hyperlink>
      <w:r>
        <w:rPr>
          <w:color w:val="000000"/>
          <w:sz w:val="20"/>
          <w:szCs w:val="20"/>
        </w:rPr>
        <w:t xml:space="preserve"> </w:t>
      </w:r>
    </w:p>
  </w:footnote>
  <w:footnote w:id="91">
    <w:p w14:paraId="706FEC18"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4">
        <w:r>
          <w:rPr>
            <w:color w:val="0563C1"/>
            <w:sz w:val="20"/>
            <w:szCs w:val="20"/>
            <w:u w:val="single"/>
          </w:rPr>
          <w:t>KFW | Federalno ministarstvo prostornog uređenja (fmpu.gov.ba)</w:t>
        </w:r>
      </w:hyperlink>
    </w:p>
  </w:footnote>
  <w:footnote w:id="92">
    <w:p w14:paraId="10C15406"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45">
        <w:r>
          <w:rPr>
            <w:color w:val="0563C1"/>
            <w:sz w:val="20"/>
            <w:szCs w:val="20"/>
            <w:u w:val="single"/>
          </w:rPr>
          <w:t>http://www.centar.ba/novost/16144/zajednicki-projekt-bbi-banke-i-opcine-centar-na-smanjenju-zagadenosti-u-sarajevu</w:t>
        </w:r>
      </w:hyperlink>
      <w:r>
        <w:rPr>
          <w:color w:val="000000"/>
          <w:sz w:val="20"/>
          <w:szCs w:val="20"/>
        </w:rPr>
        <w:t xml:space="preserve"> </w:t>
      </w:r>
    </w:p>
  </w:footnote>
  <w:footnote w:id="93">
    <w:p w14:paraId="63C13508"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6">
        <w:r>
          <w:rPr>
            <w:color w:val="0563C1"/>
            <w:sz w:val="20"/>
            <w:szCs w:val="20"/>
            <w:u w:val="single"/>
          </w:rPr>
          <w:t>https://serda.ba/bs/projekti/model-poboljsanja-energetske-efikasnosti-u-zgradarstvu-na-podrucju-kantona-sarajevo/20</w:t>
        </w:r>
      </w:hyperlink>
      <w:r>
        <w:rPr>
          <w:color w:val="000000"/>
          <w:sz w:val="20"/>
          <w:szCs w:val="20"/>
        </w:rPr>
        <w:t xml:space="preserve"> </w:t>
      </w:r>
    </w:p>
  </w:footnote>
  <w:footnote w:id="94">
    <w:p w14:paraId="061C5F5B"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7">
        <w:r>
          <w:rPr>
            <w:color w:val="0563C1"/>
            <w:sz w:val="20"/>
            <w:szCs w:val="20"/>
            <w:u w:val="single"/>
          </w:rPr>
          <w:t>http://ebrdgeff.com/</w:t>
        </w:r>
      </w:hyperlink>
      <w:r>
        <w:rPr>
          <w:color w:val="000000"/>
          <w:sz w:val="20"/>
          <w:szCs w:val="20"/>
        </w:rPr>
        <w:t xml:space="preserve"> </w:t>
      </w:r>
    </w:p>
  </w:footnote>
  <w:footnote w:id="95">
    <w:p w14:paraId="0982EBAC"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48">
        <w:r>
          <w:rPr>
            <w:color w:val="0563C1"/>
            <w:sz w:val="20"/>
            <w:szCs w:val="20"/>
            <w:u w:val="single"/>
          </w:rPr>
          <w:t>https://balkangreenenergynews.com/kfw-signs-eur-18-5-million-financing-agreement-with-raiffeisen-to-fund-energy-efficiency-projects/</w:t>
        </w:r>
      </w:hyperlink>
      <w:r>
        <w:rPr>
          <w:color w:val="000000"/>
          <w:sz w:val="20"/>
          <w:szCs w:val="20"/>
        </w:rPr>
        <w:t xml:space="preserve"> </w:t>
      </w:r>
    </w:p>
  </w:footnote>
  <w:footnote w:id="96">
    <w:p w14:paraId="7E97CF24"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49">
        <w:r>
          <w:rPr>
            <w:color w:val="0563C1"/>
            <w:sz w:val="20"/>
            <w:szCs w:val="20"/>
            <w:u w:val="single"/>
          </w:rPr>
          <w:t>www.ggf.lu/portfolio</w:t>
        </w:r>
      </w:hyperlink>
      <w:r>
        <w:rPr>
          <w:color w:val="000000"/>
          <w:sz w:val="20"/>
          <w:szCs w:val="20"/>
        </w:rPr>
        <w:t xml:space="preserve"> </w:t>
      </w:r>
    </w:p>
  </w:footnote>
  <w:footnote w:id="97">
    <w:p w14:paraId="20F297FC"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0">
        <w:r>
          <w:rPr>
            <w:color w:val="0563C1"/>
            <w:sz w:val="20"/>
            <w:szCs w:val="20"/>
            <w:u w:val="single"/>
          </w:rPr>
          <w:t>https://ebrdgeff.com/ba/</w:t>
        </w:r>
      </w:hyperlink>
    </w:p>
  </w:footnote>
  <w:footnote w:id="98">
    <w:p w14:paraId="15BD546C"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1">
        <w:r>
          <w:rPr>
            <w:color w:val="0563C1"/>
            <w:sz w:val="20"/>
            <w:szCs w:val="20"/>
            <w:u w:val="single"/>
          </w:rPr>
          <w:t>https://raiffeisenbank.ba/vijesti/povrat-novca-do-20-od-iznosa-raiffeisen-kredita-za-energetsku-efikasnost</w:t>
        </w:r>
      </w:hyperlink>
      <w:r>
        <w:rPr>
          <w:color w:val="000000"/>
          <w:sz w:val="20"/>
          <w:szCs w:val="20"/>
        </w:rPr>
        <w:t xml:space="preserve"> </w:t>
      </w:r>
    </w:p>
  </w:footnote>
  <w:footnote w:id="99">
    <w:p w14:paraId="1B5C7DB7" w14:textId="77777777" w:rsidR="00CF7A3C" w:rsidRDefault="00CF7A3C" w:rsidP="00CF7A3C">
      <w:pPr>
        <w:pBdr>
          <w:top w:val="nil"/>
          <w:left w:val="nil"/>
          <w:bottom w:val="nil"/>
          <w:right w:val="nil"/>
          <w:between w:val="nil"/>
        </w:pBdr>
        <w:spacing w:after="0" w:line="240" w:lineRule="auto"/>
        <w:jc w:val="left"/>
        <w:rPr>
          <w:color w:val="000000"/>
          <w:sz w:val="20"/>
          <w:szCs w:val="20"/>
        </w:rPr>
      </w:pPr>
      <w:r>
        <w:rPr>
          <w:rStyle w:val="FootnoteReference"/>
        </w:rPr>
        <w:footnoteRef/>
      </w:r>
      <w:r>
        <w:rPr>
          <w:color w:val="000000"/>
          <w:sz w:val="20"/>
          <w:szCs w:val="20"/>
        </w:rPr>
        <w:t xml:space="preserve"> </w:t>
      </w:r>
      <w:hyperlink r:id="rId52" w:history="1">
        <w:r w:rsidRPr="00B20EC8">
          <w:rPr>
            <w:rStyle w:val="Hyperlink"/>
            <w:sz w:val="20"/>
            <w:szCs w:val="20"/>
          </w:rPr>
          <w:t>http://www.mvteo.gov.ba/attachments/bs_Home/Ostale_stranice/Energetika/Ostali_dokumenti/12052022 Okvir_za_finansiranje_projekata_i_mjera_EE_za_ulaganja_u_javne_zgrade_institucija_BIH.pdf</w:t>
        </w:r>
      </w:hyperlink>
      <w:r>
        <w:rPr>
          <w:color w:val="000000"/>
          <w:sz w:val="20"/>
          <w:szCs w:val="20"/>
        </w:rPr>
        <w:t xml:space="preserve"> </w:t>
      </w:r>
    </w:p>
  </w:footnote>
  <w:footnote w:id="100">
    <w:p w14:paraId="464F9E16"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Službeni</w:t>
      </w:r>
      <w:proofErr w:type="spellEnd"/>
      <w:r>
        <w:rPr>
          <w:color w:val="000000"/>
          <w:sz w:val="20"/>
          <w:szCs w:val="20"/>
        </w:rPr>
        <w:t xml:space="preserve"> </w:t>
      </w:r>
      <w:proofErr w:type="spellStart"/>
      <w:r>
        <w:rPr>
          <w:color w:val="000000"/>
          <w:sz w:val="20"/>
          <w:szCs w:val="20"/>
        </w:rPr>
        <w:t>glasnik</w:t>
      </w:r>
      <w:proofErr w:type="spellEnd"/>
      <w:r>
        <w:rPr>
          <w:color w:val="000000"/>
          <w:sz w:val="20"/>
          <w:szCs w:val="20"/>
        </w:rPr>
        <w:t xml:space="preserve"> BiH, </w:t>
      </w:r>
      <w:proofErr w:type="spellStart"/>
      <w:r>
        <w:rPr>
          <w:color w:val="000000"/>
          <w:sz w:val="20"/>
          <w:szCs w:val="20"/>
        </w:rPr>
        <w:t>broj</w:t>
      </w:r>
      <w:proofErr w:type="spellEnd"/>
      <w:r>
        <w:rPr>
          <w:color w:val="000000"/>
          <w:sz w:val="20"/>
          <w:szCs w:val="20"/>
        </w:rPr>
        <w:t xml:space="preserve"> 48/19 </w:t>
      </w:r>
    </w:p>
  </w:footnote>
  <w:footnote w:id="101">
    <w:p w14:paraId="77708C34"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hyperlink r:id="rId53">
        <w:r>
          <w:rPr>
            <w:color w:val="0563C1"/>
            <w:sz w:val="20"/>
            <w:szCs w:val="20"/>
            <w:u w:val="single"/>
          </w:rPr>
          <w:t>https://fmeri.gov.ba/media/1988/operativni-plan-ee-fbihdocx.pdf</w:t>
        </w:r>
      </w:hyperlink>
      <w:r>
        <w:rPr>
          <w:color w:val="000000"/>
          <w:sz w:val="20"/>
          <w:szCs w:val="20"/>
        </w:rPr>
        <w:t xml:space="preserve"> </w:t>
      </w:r>
    </w:p>
  </w:footnote>
  <w:footnote w:id="102">
    <w:p w14:paraId="33BF9B68" w14:textId="77777777" w:rsidR="00CF7A3C" w:rsidRDefault="00CF7A3C" w:rsidP="00CF7A3C">
      <w:pPr>
        <w:rPr>
          <w:sz w:val="20"/>
          <w:szCs w:val="20"/>
        </w:rPr>
      </w:pPr>
      <w:r>
        <w:rPr>
          <w:rStyle w:val="FootnoteReference"/>
        </w:rPr>
        <w:footnoteRef/>
      </w:r>
      <w:r>
        <w:rPr>
          <w:sz w:val="20"/>
          <w:szCs w:val="20"/>
        </w:rPr>
        <w:t xml:space="preserve"> </w:t>
      </w:r>
      <w:hyperlink r:id="rId54">
        <w:r>
          <w:rPr>
            <w:color w:val="0563C1"/>
            <w:sz w:val="20"/>
            <w:szCs w:val="20"/>
            <w:u w:val="single"/>
          </w:rPr>
          <w:t>https://ebrdgeff.com/ba/</w:t>
        </w:r>
      </w:hyperlink>
      <w:r>
        <w:rPr>
          <w:sz w:val="20"/>
          <w:szCs w:val="20"/>
        </w:rPr>
        <w:t xml:space="preserve"> </w:t>
      </w:r>
    </w:p>
  </w:footnote>
  <w:footnote w:id="103">
    <w:p w14:paraId="58B9A9A4" w14:textId="77777777" w:rsidR="00CF7A3C" w:rsidRDefault="00CF7A3C" w:rsidP="00CF7A3C">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proofErr w:type="spellStart"/>
      <w:r>
        <w:rPr>
          <w:color w:val="000000"/>
          <w:sz w:val="20"/>
          <w:szCs w:val="20"/>
        </w:rPr>
        <w:t>Sistematizacija</w:t>
      </w:r>
      <w:proofErr w:type="spellEnd"/>
      <w:r>
        <w:rPr>
          <w:color w:val="000000"/>
          <w:sz w:val="20"/>
          <w:szCs w:val="20"/>
        </w:rPr>
        <w:t xml:space="preserve"> </w:t>
      </w:r>
      <w:proofErr w:type="spellStart"/>
      <w:r>
        <w:rPr>
          <w:color w:val="000000"/>
          <w:sz w:val="20"/>
          <w:szCs w:val="20"/>
        </w:rPr>
        <w:t>zgrada</w:t>
      </w:r>
      <w:proofErr w:type="spellEnd"/>
      <w:r>
        <w:rPr>
          <w:color w:val="000000"/>
          <w:sz w:val="20"/>
          <w:szCs w:val="20"/>
        </w:rPr>
        <w:t xml:space="preserve"> </w:t>
      </w:r>
      <w:proofErr w:type="spellStart"/>
      <w:r>
        <w:rPr>
          <w:color w:val="000000"/>
          <w:sz w:val="20"/>
          <w:szCs w:val="20"/>
        </w:rPr>
        <w:t>primijenjena</w:t>
      </w:r>
      <w:proofErr w:type="spellEnd"/>
      <w:r>
        <w:rPr>
          <w:color w:val="000000"/>
          <w:sz w:val="20"/>
          <w:szCs w:val="20"/>
        </w:rPr>
        <w:t xml:space="preserve"> u </w:t>
      </w:r>
      <w:proofErr w:type="spellStart"/>
      <w:r>
        <w:rPr>
          <w:color w:val="000000"/>
          <w:sz w:val="20"/>
          <w:szCs w:val="20"/>
        </w:rPr>
        <w:t>projektu</w:t>
      </w:r>
      <w:proofErr w:type="spellEnd"/>
      <w:r>
        <w:rPr>
          <w:color w:val="000000"/>
          <w:sz w:val="20"/>
          <w:szCs w:val="20"/>
        </w:rPr>
        <w:t xml:space="preserve"> </w:t>
      </w:r>
      <w:proofErr w:type="spellStart"/>
      <w:r>
        <w:rPr>
          <w:color w:val="000000"/>
          <w:sz w:val="20"/>
          <w:szCs w:val="20"/>
        </w:rPr>
        <w:t>Tipologija</w:t>
      </w:r>
      <w:proofErr w:type="spellEnd"/>
      <w:r>
        <w:rPr>
          <w:color w:val="000000"/>
          <w:sz w:val="20"/>
          <w:szCs w:val="20"/>
        </w:rPr>
        <w:t xml:space="preserve"> </w:t>
      </w:r>
      <w:proofErr w:type="spellStart"/>
      <w:r>
        <w:rPr>
          <w:color w:val="000000"/>
          <w:sz w:val="20"/>
          <w:szCs w:val="20"/>
        </w:rPr>
        <w:t>stambenih</w:t>
      </w:r>
      <w:proofErr w:type="spellEnd"/>
      <w:r>
        <w:rPr>
          <w:color w:val="000000"/>
          <w:sz w:val="20"/>
          <w:szCs w:val="20"/>
        </w:rPr>
        <w:t xml:space="preserve"> </w:t>
      </w:r>
      <w:proofErr w:type="spellStart"/>
      <w:r>
        <w:rPr>
          <w:color w:val="000000"/>
          <w:sz w:val="20"/>
          <w:szCs w:val="20"/>
        </w:rPr>
        <w:t>zgrada</w:t>
      </w:r>
      <w:proofErr w:type="spellEnd"/>
      <w:r>
        <w:rPr>
          <w:color w:val="000000"/>
          <w:sz w:val="20"/>
          <w:szCs w:val="20"/>
        </w:rPr>
        <w:t xml:space="preserve"> BiH </w:t>
      </w:r>
      <w:proofErr w:type="spellStart"/>
      <w:r>
        <w:rPr>
          <w:color w:val="000000"/>
          <w:sz w:val="20"/>
          <w:szCs w:val="20"/>
        </w:rPr>
        <w:t>predstavlja</w:t>
      </w:r>
      <w:proofErr w:type="spellEnd"/>
      <w:r>
        <w:rPr>
          <w:color w:val="000000"/>
          <w:sz w:val="20"/>
          <w:szCs w:val="20"/>
        </w:rPr>
        <w:t xml:space="preserve"> </w:t>
      </w:r>
      <w:proofErr w:type="spellStart"/>
      <w:r>
        <w:rPr>
          <w:color w:val="000000"/>
          <w:sz w:val="20"/>
          <w:szCs w:val="20"/>
        </w:rPr>
        <w:t>sistematizaciju</w:t>
      </w:r>
      <w:proofErr w:type="spellEnd"/>
      <w:r>
        <w:rPr>
          <w:color w:val="000000"/>
          <w:sz w:val="20"/>
          <w:szCs w:val="20"/>
        </w:rPr>
        <w:t xml:space="preserve"> </w:t>
      </w:r>
      <w:proofErr w:type="spellStart"/>
      <w:r>
        <w:rPr>
          <w:color w:val="000000"/>
          <w:sz w:val="20"/>
          <w:szCs w:val="20"/>
        </w:rPr>
        <w:t>iz</w:t>
      </w:r>
      <w:proofErr w:type="spellEnd"/>
      <w:r>
        <w:rPr>
          <w:color w:val="000000"/>
          <w:sz w:val="20"/>
          <w:szCs w:val="20"/>
        </w:rPr>
        <w:t xml:space="preserve"> </w:t>
      </w:r>
      <w:proofErr w:type="spellStart"/>
      <w:r>
        <w:rPr>
          <w:color w:val="000000"/>
          <w:sz w:val="20"/>
          <w:szCs w:val="20"/>
        </w:rPr>
        <w:t>projekta</w:t>
      </w:r>
      <w:proofErr w:type="spellEnd"/>
      <w:r>
        <w:rPr>
          <w:color w:val="000000"/>
          <w:sz w:val="20"/>
          <w:szCs w:val="20"/>
        </w:rPr>
        <w:t xml:space="preserve"> TABULA </w:t>
      </w:r>
      <w:proofErr w:type="spellStart"/>
      <w:r>
        <w:rPr>
          <w:color w:val="000000"/>
          <w:sz w:val="20"/>
          <w:szCs w:val="20"/>
        </w:rPr>
        <w:t>koja</w:t>
      </w:r>
      <w:proofErr w:type="spellEnd"/>
      <w:r>
        <w:rPr>
          <w:color w:val="000000"/>
          <w:sz w:val="20"/>
          <w:szCs w:val="20"/>
        </w:rPr>
        <w:t xml:space="preserve"> je </w:t>
      </w:r>
      <w:proofErr w:type="spellStart"/>
      <w:r>
        <w:rPr>
          <w:color w:val="000000"/>
          <w:sz w:val="20"/>
          <w:szCs w:val="20"/>
        </w:rPr>
        <w:t>prilagođena</w:t>
      </w:r>
      <w:proofErr w:type="spellEnd"/>
      <w:r>
        <w:rPr>
          <w:color w:val="000000"/>
          <w:sz w:val="20"/>
          <w:szCs w:val="20"/>
        </w:rPr>
        <w:t xml:space="preserve"> </w:t>
      </w:r>
      <w:proofErr w:type="spellStart"/>
      <w:r>
        <w:rPr>
          <w:color w:val="000000"/>
          <w:sz w:val="20"/>
          <w:szCs w:val="20"/>
        </w:rPr>
        <w:t>lokalnim</w:t>
      </w:r>
      <w:proofErr w:type="spellEnd"/>
      <w:r>
        <w:rPr>
          <w:color w:val="000000"/>
          <w:sz w:val="20"/>
          <w:szCs w:val="20"/>
        </w:rPr>
        <w:t xml:space="preserve"> </w:t>
      </w:r>
      <w:proofErr w:type="spellStart"/>
      <w:r>
        <w:rPr>
          <w:color w:val="000000"/>
          <w:sz w:val="20"/>
          <w:szCs w:val="20"/>
        </w:rPr>
        <w:t>uvjetima</w:t>
      </w:r>
      <w:proofErr w:type="spellEnd"/>
    </w:p>
  </w:footnote>
  <w:footnote w:id="104">
    <w:p w14:paraId="65ADCFA5" w14:textId="77777777" w:rsidR="00CF7A3C" w:rsidRDefault="00CF7A3C" w:rsidP="00CF7A3C">
      <w:pPr>
        <w:spacing w:after="120" w:line="240" w:lineRule="auto"/>
      </w:pPr>
      <w:r>
        <w:rPr>
          <w:rStyle w:val="FootnoteReference"/>
        </w:rPr>
        <w:footnoteRef/>
      </w:r>
      <w:r>
        <w:rPr>
          <w:sz w:val="20"/>
          <w:szCs w:val="20"/>
        </w:rPr>
        <w:t xml:space="preserve"> </w:t>
      </w:r>
      <w:proofErr w:type="spellStart"/>
      <w:r>
        <w:rPr>
          <w:sz w:val="20"/>
          <w:szCs w:val="20"/>
        </w:rPr>
        <w:t>Integrirani</w:t>
      </w:r>
      <w:proofErr w:type="spellEnd"/>
      <w:r>
        <w:rPr>
          <w:sz w:val="20"/>
          <w:szCs w:val="20"/>
        </w:rPr>
        <w:t xml:space="preserve"> </w:t>
      </w:r>
      <w:proofErr w:type="spellStart"/>
      <w:r>
        <w:rPr>
          <w:sz w:val="20"/>
          <w:szCs w:val="20"/>
        </w:rPr>
        <w:t>energetski</w:t>
      </w:r>
      <w:proofErr w:type="spellEnd"/>
      <w:r>
        <w:rPr>
          <w:sz w:val="20"/>
          <w:szCs w:val="20"/>
        </w:rPr>
        <w:t xml:space="preserve"> i </w:t>
      </w:r>
      <w:proofErr w:type="spellStart"/>
      <w:r>
        <w:rPr>
          <w:sz w:val="20"/>
          <w:szCs w:val="20"/>
        </w:rPr>
        <w:t>klimatski</w:t>
      </w:r>
      <w:proofErr w:type="spellEnd"/>
      <w:r>
        <w:rPr>
          <w:sz w:val="20"/>
          <w:szCs w:val="20"/>
        </w:rPr>
        <w:t xml:space="preserve"> plan za BiH do 2030. (National Energy and Climate Plan -NECP 2030.) -</w:t>
      </w:r>
      <w:proofErr w:type="spellStart"/>
      <w:r>
        <w:rPr>
          <w:sz w:val="20"/>
          <w:szCs w:val="20"/>
        </w:rPr>
        <w:t>nacrt</w:t>
      </w:r>
      <w:proofErr w:type="spellEnd"/>
    </w:p>
  </w:footnote>
  <w:footnote w:id="105">
    <w:p w14:paraId="5803C954" w14:textId="77777777" w:rsidR="00CF7A3C" w:rsidRPr="00993FEC" w:rsidRDefault="00CF7A3C" w:rsidP="00CF7A3C">
      <w:pPr>
        <w:pBdr>
          <w:top w:val="nil"/>
          <w:left w:val="nil"/>
          <w:bottom w:val="nil"/>
          <w:right w:val="nil"/>
          <w:between w:val="nil"/>
        </w:pBdr>
        <w:spacing w:after="0" w:line="240" w:lineRule="auto"/>
        <w:rPr>
          <w:color w:val="000000"/>
          <w:sz w:val="20"/>
          <w:szCs w:val="20"/>
          <w:lang w:val="hr-BA"/>
        </w:rPr>
      </w:pPr>
      <w:r w:rsidRPr="00993FEC">
        <w:rPr>
          <w:rStyle w:val="FootnoteReference"/>
          <w:lang w:val="hr-BA"/>
        </w:rPr>
        <w:footnoteRef/>
      </w:r>
      <w:r w:rsidRPr="00993FEC">
        <w:rPr>
          <w:color w:val="000000"/>
          <w:sz w:val="20"/>
          <w:szCs w:val="20"/>
          <w:lang w:val="hr-BA"/>
        </w:rPr>
        <w:t xml:space="preserve"> </w:t>
      </w:r>
      <w:r w:rsidRPr="00993FEC">
        <w:rPr>
          <w:color w:val="000000"/>
          <w:sz w:val="20"/>
          <w:szCs w:val="20"/>
          <w:lang w:val="hr-BA"/>
        </w:rPr>
        <w:t>Za analizu je korištena metodologija razvijena od strane Instituta za stanovanje i okoliš IWU iz Darmstadta u okviru europskog međunarodnog istraživačkog projekta TABULA/EPISCOPE. Bosna i Hercegovina je 21. zemlja u Europi koja je iskoristila TABULA metodologiju kao osnovu za razradu tipologije stambenog sektora u BiH, uz potporu projekta GIZ Energy Efficiency Consultancy</w:t>
      </w:r>
    </w:p>
  </w:footnote>
  <w:footnote w:id="106">
    <w:p w14:paraId="244F73EF" w14:textId="77777777" w:rsidR="00CF7A3C" w:rsidRPr="00993FEC" w:rsidRDefault="00CF7A3C" w:rsidP="00CF7A3C">
      <w:pPr>
        <w:spacing w:after="0" w:line="240" w:lineRule="auto"/>
        <w:rPr>
          <w:sz w:val="20"/>
          <w:szCs w:val="20"/>
          <w:lang w:val="hr-BA"/>
        </w:rPr>
      </w:pPr>
      <w:r w:rsidRPr="00993FEC">
        <w:rPr>
          <w:rStyle w:val="FootnoteReference"/>
          <w:lang w:val="hr-BA"/>
        </w:rPr>
        <w:footnoteRef/>
      </w:r>
      <w:r w:rsidRPr="00993FEC">
        <w:rPr>
          <w:sz w:val="20"/>
          <w:szCs w:val="20"/>
          <w:lang w:val="hr-BA"/>
        </w:rPr>
        <w:t xml:space="preserve">Klaster </w:t>
      </w:r>
      <w:r w:rsidRPr="00993FEC">
        <w:rPr>
          <w:sz w:val="20"/>
          <w:szCs w:val="20"/>
          <w:lang w:val="hr-BA"/>
        </w:rPr>
        <w:t>analiza je statistička metoda, gdje se skup podataka dijeli u podskupine koje se nazivaju klasteri</w:t>
      </w:r>
    </w:p>
  </w:footnote>
  <w:footnote w:id="107">
    <w:p w14:paraId="171F5831" w14:textId="77777777" w:rsidR="00CF7A3C" w:rsidRPr="00993FEC" w:rsidRDefault="00CF7A3C" w:rsidP="00CF7A3C">
      <w:pPr>
        <w:spacing w:after="0" w:line="240" w:lineRule="auto"/>
        <w:rPr>
          <w:sz w:val="20"/>
          <w:szCs w:val="20"/>
          <w:lang w:val="hr-BA"/>
        </w:rPr>
      </w:pPr>
      <w:r w:rsidRPr="00993FEC">
        <w:rPr>
          <w:rStyle w:val="FootnoteReference"/>
          <w:lang w:val="hr-BA"/>
        </w:rPr>
        <w:footnoteRef/>
      </w:r>
      <w:r w:rsidRPr="00993FEC">
        <w:rPr>
          <w:sz w:val="20"/>
          <w:szCs w:val="20"/>
          <w:lang w:val="hr-BA"/>
        </w:rPr>
        <w:t xml:space="preserve"> </w:t>
      </w:r>
      <w:r w:rsidRPr="00993FEC">
        <w:rPr>
          <w:sz w:val="20"/>
          <w:szCs w:val="20"/>
          <w:lang w:val="hr-BA"/>
        </w:rPr>
        <w:t xml:space="preserve">Period </w:t>
      </w:r>
      <w:r w:rsidRPr="00993FEC">
        <w:rPr>
          <w:sz w:val="20"/>
          <w:szCs w:val="20"/>
          <w:lang w:val="hr-BA"/>
        </w:rPr>
        <w:t>2014. odgovara periodu realizacije projekta Tipologija stambenih zgrada u BiH, a podaci o stambenom fondu su usklađeni sa podacima iz Popisa stanovništva izvršenog 2013. godine</w:t>
      </w:r>
    </w:p>
  </w:footnote>
  <w:footnote w:id="108">
    <w:p w14:paraId="28870467" w14:textId="77777777" w:rsidR="00CF7A3C" w:rsidRDefault="00CF7A3C" w:rsidP="00CF7A3C">
      <w:pPr>
        <w:spacing w:after="0" w:line="240" w:lineRule="auto"/>
        <w:rPr>
          <w:sz w:val="20"/>
          <w:szCs w:val="20"/>
        </w:rPr>
      </w:pPr>
      <w:r w:rsidRPr="00993FEC">
        <w:rPr>
          <w:rStyle w:val="FootnoteReference"/>
          <w:lang w:val="hr-BA"/>
        </w:rPr>
        <w:footnoteRef/>
      </w:r>
      <w:r w:rsidRPr="00993FEC">
        <w:rPr>
          <w:sz w:val="20"/>
          <w:szCs w:val="20"/>
          <w:lang w:val="hr-BA"/>
        </w:rPr>
        <w:t xml:space="preserve"> </w:t>
      </w:r>
      <w:r w:rsidRPr="00993FEC">
        <w:rPr>
          <w:sz w:val="20"/>
          <w:szCs w:val="20"/>
          <w:lang w:val="hr-BA"/>
        </w:rPr>
        <w:t xml:space="preserve">Popis </w:t>
      </w:r>
      <w:r w:rsidRPr="00993FEC">
        <w:rPr>
          <w:sz w:val="20"/>
          <w:szCs w:val="20"/>
          <w:lang w:val="hr-BA"/>
        </w:rPr>
        <w:t xml:space="preserve">stanovništva, domaćinstava i stanova u BiH, </w:t>
      </w:r>
      <w:r w:rsidRPr="00993FEC">
        <w:rPr>
          <w:color w:val="0F243E"/>
          <w:sz w:val="20"/>
          <w:szCs w:val="20"/>
          <w:lang w:val="hr-BA"/>
        </w:rPr>
        <w:t>Agencija za statistiku Bosne i Hercegovine,</w:t>
      </w:r>
      <w:r w:rsidRPr="00993FEC">
        <w:rPr>
          <w:sz w:val="20"/>
          <w:szCs w:val="20"/>
          <w:lang w:val="hr-BA"/>
        </w:rPr>
        <w:t xml:space="preserve"> 2013.</w:t>
      </w:r>
    </w:p>
  </w:footnote>
  <w:footnote w:id="109">
    <w:p w14:paraId="5EC0AA86" w14:textId="77777777" w:rsidR="00CF7A3C" w:rsidRDefault="00CF7A3C" w:rsidP="00CF7A3C">
      <w:pPr>
        <w:spacing w:after="120" w:line="240" w:lineRule="auto"/>
      </w:pPr>
      <w:r>
        <w:rPr>
          <w:rStyle w:val="FootnoteReference"/>
        </w:rPr>
        <w:footnoteRef/>
      </w:r>
      <w:r>
        <w:rPr>
          <w:sz w:val="20"/>
          <w:szCs w:val="20"/>
        </w:rPr>
        <w:t xml:space="preserve"> </w:t>
      </w:r>
      <w:proofErr w:type="spellStart"/>
      <w:r w:rsidRPr="0091757B">
        <w:rPr>
          <w:sz w:val="20"/>
          <w:szCs w:val="20"/>
        </w:rPr>
        <w:t>Integrirani</w:t>
      </w:r>
      <w:proofErr w:type="spellEnd"/>
      <w:r w:rsidRPr="0091757B">
        <w:rPr>
          <w:sz w:val="20"/>
          <w:szCs w:val="20"/>
        </w:rPr>
        <w:t xml:space="preserve"> </w:t>
      </w:r>
      <w:proofErr w:type="spellStart"/>
      <w:r w:rsidRPr="0091757B">
        <w:rPr>
          <w:sz w:val="20"/>
          <w:szCs w:val="20"/>
        </w:rPr>
        <w:t>energetski</w:t>
      </w:r>
      <w:proofErr w:type="spellEnd"/>
      <w:r w:rsidRPr="0091757B">
        <w:rPr>
          <w:sz w:val="20"/>
          <w:szCs w:val="20"/>
        </w:rPr>
        <w:t xml:space="preserve"> i </w:t>
      </w:r>
      <w:proofErr w:type="spellStart"/>
      <w:r w:rsidRPr="0091757B">
        <w:rPr>
          <w:sz w:val="20"/>
          <w:szCs w:val="20"/>
        </w:rPr>
        <w:t>klimatski</w:t>
      </w:r>
      <w:proofErr w:type="spellEnd"/>
      <w:r w:rsidRPr="0091757B">
        <w:rPr>
          <w:sz w:val="20"/>
          <w:szCs w:val="20"/>
        </w:rPr>
        <w:t xml:space="preserve"> plan za BiH do 2030 </w:t>
      </w:r>
      <w:r w:rsidRPr="0091757B">
        <w:rPr>
          <w:i/>
          <w:sz w:val="20"/>
          <w:szCs w:val="20"/>
        </w:rPr>
        <w:t>(National Energy and Climate Plan -NECP 2030</w:t>
      </w:r>
      <w:r w:rsidRPr="0091757B">
        <w:rPr>
          <w:sz w:val="20"/>
          <w:szCs w:val="20"/>
        </w:rPr>
        <w:t>) -</w:t>
      </w:r>
      <w:proofErr w:type="spellStart"/>
      <w:r w:rsidRPr="0091757B">
        <w:rPr>
          <w:sz w:val="20"/>
          <w:szCs w:val="20"/>
        </w:rPr>
        <w:t>nacrt</w:t>
      </w:r>
      <w:proofErr w:type="spellEnd"/>
    </w:p>
  </w:footnote>
  <w:footnote w:id="110">
    <w:p w14:paraId="205ABEFB" w14:textId="77777777" w:rsidR="00CF7A3C" w:rsidRDefault="00CF7A3C" w:rsidP="00CF7A3C">
      <w:pPr>
        <w:spacing w:after="0" w:line="240" w:lineRule="auto"/>
      </w:pPr>
      <w:r>
        <w:rPr>
          <w:rStyle w:val="FootnoteReference"/>
        </w:rPr>
        <w:footnoteRef/>
      </w:r>
      <w:r>
        <w:t xml:space="preserve"> </w:t>
      </w:r>
      <w:r>
        <w:rPr>
          <w:sz w:val="20"/>
          <w:szCs w:val="20"/>
        </w:rPr>
        <w:t xml:space="preserve">Long range alternative planning –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energetskih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god.</w:t>
      </w:r>
      <w:r>
        <w:t xml:space="preserve"> </w:t>
      </w:r>
    </w:p>
  </w:footnote>
  <w:footnote w:id="111">
    <w:p w14:paraId="545D7707" w14:textId="6BD9135D" w:rsidR="00CF7A3C" w:rsidRDefault="00CF7A3C" w:rsidP="00CF7A3C">
      <w:pPr>
        <w:spacing w:after="0" w:line="240" w:lineRule="auto"/>
      </w:pPr>
      <w:r>
        <w:rPr>
          <w:rStyle w:val="FootnoteReference"/>
        </w:rPr>
        <w:footnoteRef/>
      </w:r>
      <w:r>
        <w:t xml:space="preserve"> </w:t>
      </w:r>
      <w:r>
        <w:rPr>
          <w:sz w:val="20"/>
          <w:szCs w:val="20"/>
        </w:rPr>
        <w:t xml:space="preserve">Long range alternative planning (LEAP) –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w:t>
      </w:r>
      <w:r w:rsidR="0091757B">
        <w:rPr>
          <w:sz w:val="20"/>
          <w:szCs w:val="20"/>
        </w:rPr>
        <w:t>ij</w:t>
      </w:r>
      <w:r>
        <w:rPr>
          <w:sz w:val="20"/>
          <w:szCs w:val="20"/>
        </w:rPr>
        <w: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god.</w:t>
      </w:r>
      <w:r>
        <w:t xml:space="preserve"> </w:t>
      </w:r>
    </w:p>
  </w:footnote>
  <w:footnote w:id="112">
    <w:p w14:paraId="20AC2B33" w14:textId="77777777" w:rsidR="00CF7A3C" w:rsidRDefault="00CF7A3C" w:rsidP="00CF7A3C">
      <w:pPr>
        <w:tabs>
          <w:tab w:val="left" w:pos="4962"/>
        </w:tabs>
        <w:spacing w:after="0" w:line="240" w:lineRule="auto"/>
        <w:rPr>
          <w:b/>
        </w:rPr>
      </w:pPr>
      <w:r>
        <w:rPr>
          <w:rStyle w:val="FootnoteReference"/>
        </w:rPr>
        <w:footnoteRef/>
      </w:r>
      <w:r>
        <w:rPr>
          <w:sz w:val="20"/>
          <w:szCs w:val="20"/>
        </w:rPr>
        <w:t xml:space="preserve">M. P. </w:t>
      </w:r>
      <w:proofErr w:type="spellStart"/>
      <w:r>
        <w:rPr>
          <w:sz w:val="20"/>
          <w:szCs w:val="20"/>
        </w:rPr>
        <w:t>Tootkaboni</w:t>
      </w:r>
      <w:proofErr w:type="spellEnd"/>
      <w:r>
        <w:rPr>
          <w:sz w:val="20"/>
          <w:szCs w:val="20"/>
        </w:rPr>
        <w:t xml:space="preserve">, I. </w:t>
      </w:r>
      <w:proofErr w:type="spellStart"/>
      <w:r>
        <w:rPr>
          <w:sz w:val="20"/>
          <w:szCs w:val="20"/>
        </w:rPr>
        <w:t>Ballarini</w:t>
      </w:r>
      <w:proofErr w:type="spellEnd"/>
      <w:r>
        <w:rPr>
          <w:sz w:val="20"/>
          <w:szCs w:val="20"/>
        </w:rPr>
        <w:t>, and V. Corrado, “</w:t>
      </w:r>
      <w:proofErr w:type="spellStart"/>
      <w:r>
        <w:rPr>
          <w:sz w:val="20"/>
          <w:szCs w:val="20"/>
        </w:rPr>
        <w:t>Analysing</w:t>
      </w:r>
      <w:proofErr w:type="spellEnd"/>
      <w:r>
        <w:rPr>
          <w:sz w:val="20"/>
          <w:szCs w:val="20"/>
        </w:rPr>
        <w:t xml:space="preserve"> the future energy performance of residential buildings in the most populated Italian climate zone: A study of climate change impacts,” Energy Reports, vol. 7, pp. 8548–8560, 2021, DOI: 10.1016/j.egyr.2021.04.012</w:t>
      </w:r>
      <w:r>
        <w:t>.</w:t>
      </w:r>
    </w:p>
  </w:footnote>
  <w:footnote w:id="113">
    <w:p w14:paraId="08020D56" w14:textId="77777777" w:rsidR="00CF7A3C" w:rsidRDefault="00CF7A3C" w:rsidP="00CF7A3C">
      <w:r>
        <w:rPr>
          <w:rStyle w:val="FootnoteReference"/>
        </w:rPr>
        <w:footnoteRef/>
      </w:r>
      <w:proofErr w:type="spellStart"/>
      <w:r>
        <w:t>Pravilnik</w:t>
      </w:r>
      <w:proofErr w:type="spellEnd"/>
      <w:r>
        <w:t xml:space="preserve"> o </w:t>
      </w:r>
      <w:proofErr w:type="spellStart"/>
      <w:r>
        <w:t>minimalnim</w:t>
      </w:r>
      <w:proofErr w:type="spellEnd"/>
      <w:r>
        <w:t xml:space="preserve"> </w:t>
      </w:r>
      <w:proofErr w:type="spellStart"/>
      <w:r>
        <w:t>zahtjevima</w:t>
      </w:r>
      <w:proofErr w:type="spellEnd"/>
      <w:r>
        <w:t xml:space="preserve"> za </w:t>
      </w:r>
      <w:proofErr w:type="spellStart"/>
      <w:r>
        <w:t>energijskim</w:t>
      </w:r>
      <w:proofErr w:type="spellEnd"/>
      <w:r>
        <w:t xml:space="preserve"> </w:t>
      </w:r>
      <w:proofErr w:type="spellStart"/>
      <w:r>
        <w:t>karakteristikama</w:t>
      </w:r>
      <w:proofErr w:type="spellEnd"/>
      <w:r>
        <w:t xml:space="preserve"> </w:t>
      </w:r>
      <w:proofErr w:type="spellStart"/>
      <w:r>
        <w:t>zgrada</w:t>
      </w:r>
      <w:proofErr w:type="spellEnd"/>
      <w:r>
        <w:t xml:space="preserve"> (“</w:t>
      </w:r>
      <w:proofErr w:type="spellStart"/>
      <w:r>
        <w:t>Službene</w:t>
      </w:r>
      <w:proofErr w:type="spellEnd"/>
      <w:r>
        <w:t xml:space="preserve"> novine F </w:t>
      </w:r>
      <w:proofErr w:type="gramStart"/>
      <w:r>
        <w:t>BiH</w:t>
      </w:r>
      <w:r>
        <w:rPr>
          <w:color w:val="333333"/>
          <w:lang w:val="bs-Latn-BA"/>
        </w:rPr>
        <w:t>“</w:t>
      </w:r>
      <w:proofErr w:type="gramEnd"/>
      <w:r>
        <w:t xml:space="preserve">, </w:t>
      </w:r>
      <w:proofErr w:type="spellStart"/>
      <w:r>
        <w:t>broj</w:t>
      </w:r>
      <w:proofErr w:type="spellEnd"/>
      <w:r>
        <w:t xml:space="preserve"> 81/19)</w:t>
      </w:r>
    </w:p>
    <w:p w14:paraId="51C64C7F" w14:textId="77777777" w:rsidR="00CF7A3C" w:rsidRDefault="00CF7A3C" w:rsidP="00CF7A3C">
      <w:pPr>
        <w:tabs>
          <w:tab w:val="left" w:pos="4962"/>
        </w:tabs>
        <w:spacing w:after="0" w:line="240" w:lineRule="auto"/>
        <w:rPr>
          <w:b/>
        </w:rPr>
      </w:pPr>
    </w:p>
  </w:footnote>
  <w:footnote w:id="114">
    <w:p w14:paraId="3F717D14" w14:textId="77777777" w:rsidR="00CF7A3C" w:rsidRDefault="00CF7A3C" w:rsidP="00CF7A3C">
      <w:r>
        <w:rPr>
          <w:rStyle w:val="FootnoteReference"/>
        </w:rPr>
        <w:footnoteRef/>
      </w:r>
      <w:proofErr w:type="spellStart"/>
      <w:r w:rsidRPr="00771E4B">
        <w:rPr>
          <w:sz w:val="20"/>
          <w:szCs w:val="20"/>
        </w:rPr>
        <w:t>Pravilnik</w:t>
      </w:r>
      <w:proofErr w:type="spellEnd"/>
      <w:r w:rsidRPr="00771E4B">
        <w:rPr>
          <w:sz w:val="20"/>
          <w:szCs w:val="20"/>
        </w:rPr>
        <w:t xml:space="preserve"> o </w:t>
      </w:r>
      <w:proofErr w:type="spellStart"/>
      <w:r w:rsidRPr="00771E4B">
        <w:rPr>
          <w:sz w:val="20"/>
          <w:szCs w:val="20"/>
        </w:rPr>
        <w:t>minimalnim</w:t>
      </w:r>
      <w:proofErr w:type="spellEnd"/>
      <w:r w:rsidRPr="00771E4B">
        <w:rPr>
          <w:sz w:val="20"/>
          <w:szCs w:val="20"/>
        </w:rPr>
        <w:t xml:space="preserve"> </w:t>
      </w:r>
      <w:proofErr w:type="spellStart"/>
      <w:r w:rsidRPr="00771E4B">
        <w:rPr>
          <w:sz w:val="20"/>
          <w:szCs w:val="20"/>
        </w:rPr>
        <w:t>zahtjevima</w:t>
      </w:r>
      <w:proofErr w:type="spellEnd"/>
      <w:r w:rsidRPr="00771E4B">
        <w:rPr>
          <w:sz w:val="20"/>
          <w:szCs w:val="20"/>
        </w:rPr>
        <w:t xml:space="preserve"> za </w:t>
      </w:r>
      <w:proofErr w:type="spellStart"/>
      <w:r w:rsidRPr="00771E4B">
        <w:rPr>
          <w:sz w:val="20"/>
          <w:szCs w:val="20"/>
        </w:rPr>
        <w:t>energijskim</w:t>
      </w:r>
      <w:proofErr w:type="spellEnd"/>
      <w:r w:rsidRPr="00771E4B">
        <w:rPr>
          <w:sz w:val="20"/>
          <w:szCs w:val="20"/>
        </w:rPr>
        <w:t xml:space="preserve"> </w:t>
      </w:r>
      <w:proofErr w:type="spellStart"/>
      <w:r w:rsidRPr="00771E4B">
        <w:rPr>
          <w:sz w:val="20"/>
          <w:szCs w:val="20"/>
        </w:rPr>
        <w:t>karakteristikama</w:t>
      </w:r>
      <w:proofErr w:type="spellEnd"/>
      <w:r w:rsidRPr="00771E4B">
        <w:rPr>
          <w:sz w:val="20"/>
          <w:szCs w:val="20"/>
        </w:rPr>
        <w:t xml:space="preserve"> </w:t>
      </w:r>
      <w:proofErr w:type="spellStart"/>
      <w:r w:rsidRPr="00771E4B">
        <w:rPr>
          <w:sz w:val="20"/>
          <w:szCs w:val="20"/>
        </w:rPr>
        <w:t>zgrada</w:t>
      </w:r>
      <w:proofErr w:type="spellEnd"/>
      <w:r w:rsidRPr="00771E4B">
        <w:rPr>
          <w:sz w:val="20"/>
          <w:szCs w:val="20"/>
        </w:rPr>
        <w:t xml:space="preserve"> (</w:t>
      </w:r>
      <w:r>
        <w:rPr>
          <w:sz w:val="20"/>
          <w:szCs w:val="20"/>
        </w:rPr>
        <w:t>“</w:t>
      </w:r>
      <w:proofErr w:type="spellStart"/>
      <w:r w:rsidRPr="00771E4B">
        <w:rPr>
          <w:sz w:val="20"/>
          <w:szCs w:val="20"/>
        </w:rPr>
        <w:t>Službene</w:t>
      </w:r>
      <w:proofErr w:type="spellEnd"/>
      <w:r w:rsidRPr="00771E4B">
        <w:rPr>
          <w:sz w:val="20"/>
          <w:szCs w:val="20"/>
        </w:rPr>
        <w:t xml:space="preserve"> novine F </w:t>
      </w:r>
      <w:proofErr w:type="gramStart"/>
      <w:r w:rsidRPr="00771E4B">
        <w:rPr>
          <w:sz w:val="20"/>
          <w:szCs w:val="20"/>
        </w:rPr>
        <w:t>BiH</w:t>
      </w:r>
      <w:r>
        <w:rPr>
          <w:color w:val="333333"/>
          <w:lang w:val="bs-Latn-BA"/>
        </w:rPr>
        <w:t>“</w:t>
      </w:r>
      <w:proofErr w:type="gramEnd"/>
      <w:r w:rsidRPr="00771E4B">
        <w:rPr>
          <w:sz w:val="20"/>
          <w:szCs w:val="20"/>
        </w:rPr>
        <w:t xml:space="preserve">, </w:t>
      </w:r>
      <w:proofErr w:type="spellStart"/>
      <w:r w:rsidRPr="00771E4B">
        <w:rPr>
          <w:sz w:val="20"/>
          <w:szCs w:val="20"/>
        </w:rPr>
        <w:t>broj</w:t>
      </w:r>
      <w:proofErr w:type="spellEnd"/>
      <w:r w:rsidRPr="00771E4B">
        <w:rPr>
          <w:sz w:val="20"/>
          <w:szCs w:val="20"/>
        </w:rPr>
        <w:t xml:space="preserve"> 81/19)</w:t>
      </w:r>
    </w:p>
    <w:p w14:paraId="7FD8330A" w14:textId="77777777" w:rsidR="00CF7A3C" w:rsidRDefault="00CF7A3C" w:rsidP="00CF7A3C">
      <w:pPr>
        <w:tabs>
          <w:tab w:val="left" w:pos="4962"/>
        </w:tabs>
        <w:spacing w:after="0" w:line="240" w:lineRule="auto"/>
        <w:rPr>
          <w:b/>
        </w:rPr>
      </w:pPr>
    </w:p>
  </w:footnote>
  <w:footnote w:id="115">
    <w:p w14:paraId="242B117A" w14:textId="77777777" w:rsidR="00CF7A3C" w:rsidRDefault="00CF7A3C" w:rsidP="00CF7A3C">
      <w:pPr>
        <w:pBdr>
          <w:top w:val="nil"/>
          <w:left w:val="nil"/>
          <w:bottom w:val="nil"/>
          <w:right w:val="nil"/>
          <w:between w:val="nil"/>
        </w:pBdr>
        <w:tabs>
          <w:tab w:val="center" w:pos="4536"/>
        </w:tabs>
        <w:spacing w:after="0" w:line="240" w:lineRule="auto"/>
        <w:rPr>
          <w:color w:val="000000"/>
          <w:sz w:val="20"/>
          <w:szCs w:val="20"/>
        </w:rPr>
      </w:pPr>
      <w:r>
        <w:rPr>
          <w:rStyle w:val="FootnoteReference"/>
        </w:rPr>
        <w:footnoteRef/>
      </w:r>
      <w:r>
        <w:rPr>
          <w:color w:val="000000"/>
          <w:sz w:val="20"/>
          <w:szCs w:val="20"/>
        </w:rPr>
        <w:t xml:space="preserve">R. L. Carvalho, O. M. Jensen, and L. A. C. </w:t>
      </w:r>
      <w:proofErr w:type="spellStart"/>
      <w:r>
        <w:rPr>
          <w:color w:val="000000"/>
          <w:sz w:val="20"/>
          <w:szCs w:val="20"/>
        </w:rPr>
        <w:t>Tarelho</w:t>
      </w:r>
      <w:proofErr w:type="spellEnd"/>
      <w:r>
        <w:rPr>
          <w:color w:val="000000"/>
          <w:sz w:val="20"/>
          <w:szCs w:val="20"/>
        </w:rPr>
        <w:t xml:space="preserve">, “Mapping the performance of wood-burning 26 stoves by installations worldwide,” Energy Build., vol. 127, pp. 658–679, 2016., </w:t>
      </w:r>
      <w:proofErr w:type="spellStart"/>
      <w:r>
        <w:rPr>
          <w:color w:val="000000"/>
          <w:sz w:val="20"/>
          <w:szCs w:val="20"/>
        </w:rPr>
        <w:t>doi</w:t>
      </w:r>
      <w:proofErr w:type="spellEnd"/>
      <w:r>
        <w:rPr>
          <w:color w:val="000000"/>
          <w:sz w:val="20"/>
          <w:szCs w:val="20"/>
        </w:rPr>
        <w:t>: 27 10.1016/j.enbuild.2016.06.010</w:t>
      </w:r>
    </w:p>
  </w:footnote>
  <w:footnote w:id="116">
    <w:p w14:paraId="234A3F20" w14:textId="77777777" w:rsidR="00CF7A3C" w:rsidRPr="001972F5" w:rsidRDefault="00CF7A3C" w:rsidP="00CF7A3C">
      <w:pPr>
        <w:pBdr>
          <w:top w:val="nil"/>
          <w:left w:val="nil"/>
          <w:bottom w:val="nil"/>
          <w:right w:val="nil"/>
          <w:between w:val="nil"/>
        </w:pBdr>
        <w:tabs>
          <w:tab w:val="center" w:pos="4536"/>
        </w:tabs>
        <w:spacing w:after="0" w:line="240" w:lineRule="auto"/>
        <w:rPr>
          <w:color w:val="000000"/>
          <w:sz w:val="20"/>
          <w:szCs w:val="20"/>
          <w:lang w:val="fi-FI"/>
        </w:rPr>
      </w:pPr>
      <w:r>
        <w:rPr>
          <w:rStyle w:val="FootnoteReference"/>
        </w:rPr>
        <w:footnoteRef/>
      </w:r>
      <w:proofErr w:type="spellStart"/>
      <w:r>
        <w:rPr>
          <w:color w:val="000000"/>
          <w:sz w:val="20"/>
          <w:szCs w:val="20"/>
        </w:rPr>
        <w:t>Popis</w:t>
      </w:r>
      <w:proofErr w:type="spellEnd"/>
      <w:r>
        <w:rPr>
          <w:color w:val="000000"/>
          <w:sz w:val="20"/>
          <w:szCs w:val="20"/>
        </w:rPr>
        <w:t xml:space="preserve"> </w:t>
      </w:r>
      <w:proofErr w:type="spellStart"/>
      <w:r>
        <w:rPr>
          <w:color w:val="000000"/>
          <w:sz w:val="20"/>
          <w:szCs w:val="20"/>
        </w:rPr>
        <w:t>stanovništva</w:t>
      </w:r>
      <w:proofErr w:type="spellEnd"/>
      <w:r>
        <w:rPr>
          <w:color w:val="000000"/>
          <w:sz w:val="20"/>
          <w:szCs w:val="20"/>
        </w:rPr>
        <w:t xml:space="preserve">, </w:t>
      </w:r>
      <w:proofErr w:type="spellStart"/>
      <w:r>
        <w:rPr>
          <w:color w:val="000000"/>
          <w:sz w:val="20"/>
          <w:szCs w:val="20"/>
        </w:rPr>
        <w:t>domaćinstava</w:t>
      </w:r>
      <w:proofErr w:type="spellEnd"/>
      <w:r>
        <w:rPr>
          <w:color w:val="000000"/>
          <w:sz w:val="20"/>
          <w:szCs w:val="20"/>
        </w:rPr>
        <w:t xml:space="preserve"> i </w:t>
      </w:r>
      <w:proofErr w:type="spellStart"/>
      <w:r>
        <w:rPr>
          <w:color w:val="000000"/>
          <w:sz w:val="20"/>
          <w:szCs w:val="20"/>
        </w:rPr>
        <w:t>stanova</w:t>
      </w:r>
      <w:proofErr w:type="spellEnd"/>
      <w:r>
        <w:rPr>
          <w:color w:val="000000"/>
          <w:sz w:val="20"/>
          <w:szCs w:val="20"/>
        </w:rPr>
        <w:t xml:space="preserve"> u BiH </w:t>
      </w:r>
      <w:proofErr w:type="spellStart"/>
      <w:r>
        <w:rPr>
          <w:color w:val="000000"/>
          <w:sz w:val="20"/>
          <w:szCs w:val="20"/>
        </w:rPr>
        <w:t>iz</w:t>
      </w:r>
      <w:proofErr w:type="spellEnd"/>
      <w:r>
        <w:rPr>
          <w:color w:val="000000"/>
          <w:sz w:val="20"/>
          <w:szCs w:val="20"/>
        </w:rPr>
        <w:t xml:space="preserve"> 2013. </w:t>
      </w:r>
      <w:proofErr w:type="spellStart"/>
      <w:r>
        <w:rPr>
          <w:color w:val="000000"/>
          <w:sz w:val="20"/>
          <w:szCs w:val="20"/>
        </w:rPr>
        <w:t>godine</w:t>
      </w:r>
      <w:proofErr w:type="spellEnd"/>
      <w:r>
        <w:rPr>
          <w:color w:val="000000"/>
          <w:sz w:val="20"/>
          <w:szCs w:val="20"/>
        </w:rPr>
        <w:t xml:space="preserve">, </w:t>
      </w:r>
      <w:proofErr w:type="spellStart"/>
      <w:r>
        <w:rPr>
          <w:color w:val="000000"/>
          <w:sz w:val="20"/>
          <w:szCs w:val="20"/>
        </w:rPr>
        <w:t>Knjiga</w:t>
      </w:r>
      <w:proofErr w:type="spellEnd"/>
      <w:r>
        <w:rPr>
          <w:color w:val="000000"/>
          <w:sz w:val="20"/>
          <w:szCs w:val="20"/>
        </w:rPr>
        <w:t xml:space="preserve"> 5, </w:t>
      </w:r>
      <w:proofErr w:type="spellStart"/>
      <w:r>
        <w:rPr>
          <w:color w:val="000000"/>
          <w:sz w:val="20"/>
          <w:szCs w:val="20"/>
        </w:rPr>
        <w:t>dokument</w:t>
      </w:r>
      <w:proofErr w:type="spellEnd"/>
      <w:r>
        <w:rPr>
          <w:color w:val="000000"/>
          <w:sz w:val="20"/>
          <w:szCs w:val="20"/>
        </w:rPr>
        <w:t xml:space="preserve"> 3.3. </w:t>
      </w:r>
      <w:r w:rsidRPr="001972F5">
        <w:rPr>
          <w:color w:val="000000"/>
          <w:sz w:val="20"/>
          <w:szCs w:val="20"/>
          <w:lang w:val="fi-FI"/>
        </w:rPr>
        <w:t>Nastanjeni stanovi prema osnovu po kojem dom/kuću koristi stan po kantonima</w:t>
      </w:r>
    </w:p>
  </w:footnote>
  <w:footnote w:id="117">
    <w:p w14:paraId="7264853D" w14:textId="77777777" w:rsidR="00CF7A3C" w:rsidRPr="001972F5" w:rsidRDefault="00CF7A3C" w:rsidP="00CF7A3C">
      <w:pPr>
        <w:pStyle w:val="FootnoteText"/>
        <w:jc w:val="left"/>
        <w:rPr>
          <w:lang w:val="fi-FI"/>
        </w:rPr>
      </w:pPr>
      <w:r>
        <w:rPr>
          <w:rStyle w:val="FootnoteReference"/>
        </w:rPr>
        <w:footnoteRef/>
      </w:r>
      <w:r w:rsidRPr="001972F5">
        <w:rPr>
          <w:lang w:val="fi-FI"/>
        </w:rPr>
        <w:t xml:space="preserve"> </w:t>
      </w:r>
      <w:hyperlink r:id="rId55" w:history="1">
        <w:r w:rsidRPr="001972F5">
          <w:rPr>
            <w:rStyle w:val="Hyperlink"/>
            <w:lang w:val="fi-FI"/>
          </w:rPr>
          <w:t>https://globalabc.org/sites/default/files/inline-files/2020%20Buildings%20GSR_FULL%20REPORT.pdf?rel=outbound</w:t>
        </w:r>
      </w:hyperlink>
      <w:r w:rsidRPr="001972F5">
        <w:rPr>
          <w:lang w:val="fi-FI"/>
        </w:rPr>
        <w:t xml:space="preserve"> </w:t>
      </w:r>
    </w:p>
  </w:footnote>
  <w:footnote w:id="118">
    <w:p w14:paraId="6AF5BF8F" w14:textId="77777777" w:rsidR="004A0B5F" w:rsidRDefault="004A0B5F" w:rsidP="00F969C6">
      <w:pPr>
        <w:spacing w:after="0" w:line="240" w:lineRule="auto"/>
      </w:pPr>
      <w:r>
        <w:rPr>
          <w:rStyle w:val="FootnoteReference"/>
        </w:rPr>
        <w:footnoteRef/>
      </w:r>
      <w:r>
        <w:t xml:space="preserve"> </w:t>
      </w:r>
      <w:r>
        <w:rPr>
          <w:sz w:val="20"/>
          <w:szCs w:val="20"/>
        </w:rPr>
        <w:t xml:space="preserve">Long range alternative planning (LEAP) –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energijskih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2020. god.</w:t>
      </w:r>
      <w:r>
        <w:t xml:space="preserve"> </w:t>
      </w:r>
    </w:p>
  </w:footnote>
  <w:footnote w:id="119">
    <w:p w14:paraId="2C64FD4C" w14:textId="77777777" w:rsidR="00B9352D" w:rsidRPr="00C0294F" w:rsidRDefault="00B9352D" w:rsidP="00B9352D">
      <w:pPr>
        <w:rPr>
          <w:sz w:val="20"/>
          <w:szCs w:val="20"/>
          <w:lang w:val="bs-Latn-BA"/>
        </w:rPr>
      </w:pPr>
      <w:r>
        <w:rPr>
          <w:rStyle w:val="FootnoteReference"/>
        </w:rPr>
        <w:footnoteRef/>
      </w:r>
      <w:r>
        <w:rPr>
          <w:color w:val="000000"/>
          <w:sz w:val="20"/>
          <w:szCs w:val="20"/>
        </w:rPr>
        <w:t xml:space="preserve"> </w:t>
      </w:r>
      <w:r w:rsidRPr="00C0294F">
        <w:rPr>
          <w:sz w:val="20"/>
          <w:szCs w:val="20"/>
          <w:lang w:val="bs-Latn-BA"/>
        </w:rPr>
        <w:t>Procjena potencijala za primjenu visoko efikasne kogeneracije i hlađenja i grijanja u Bosni i Hercegovini, German Development Cooperation – GIZ Office Sarajevo, 2018</w:t>
      </w:r>
    </w:p>
  </w:footnote>
  <w:footnote w:id="120">
    <w:p w14:paraId="39561C1C" w14:textId="77777777" w:rsidR="00B9352D" w:rsidRPr="00C0294F" w:rsidRDefault="00B9352D" w:rsidP="00B9352D">
      <w:pPr>
        <w:rPr>
          <w:sz w:val="20"/>
          <w:szCs w:val="20"/>
          <w:lang w:val="bs-Latn-BA"/>
        </w:rPr>
      </w:pPr>
      <w:r>
        <w:rPr>
          <w:rStyle w:val="FootnoteReference"/>
        </w:rPr>
        <w:footnoteRef/>
      </w:r>
      <w:r w:rsidRPr="001972F5">
        <w:rPr>
          <w:color w:val="000000"/>
          <w:sz w:val="20"/>
          <w:szCs w:val="20"/>
          <w:lang w:val="bs-Latn-BA"/>
        </w:rPr>
        <w:t xml:space="preserve"> </w:t>
      </w:r>
      <w:r w:rsidRPr="00C0294F">
        <w:rPr>
          <w:sz w:val="20"/>
          <w:szCs w:val="20"/>
          <w:lang w:val="bs-Latn-BA"/>
        </w:rPr>
        <w:t xml:space="preserve">Procjena </w:t>
      </w:r>
      <w:r w:rsidRPr="00C0294F">
        <w:rPr>
          <w:sz w:val="20"/>
          <w:szCs w:val="20"/>
          <w:lang w:val="bs-Latn-BA"/>
        </w:rPr>
        <w:t>potencijala za primjenu visoko efikasne kogeneracije i hlađenja i grijanja u Bosni i Hercegovini, German Development Cooperation – GIZ Office Sarajevo, 2018</w:t>
      </w:r>
    </w:p>
  </w:footnote>
  <w:footnote w:id="121">
    <w:p w14:paraId="37812D4C" w14:textId="77777777" w:rsidR="00B9352D" w:rsidRPr="009B4694" w:rsidRDefault="00B9352D" w:rsidP="00B9352D">
      <w:pPr>
        <w:spacing w:after="0" w:line="240" w:lineRule="auto"/>
        <w:rPr>
          <w:lang w:val="bs-Latn-BA"/>
        </w:rPr>
      </w:pPr>
      <w:r w:rsidRPr="009B4694">
        <w:rPr>
          <w:rStyle w:val="FootnoteReference"/>
          <w:lang w:val="bs-Latn-BA"/>
        </w:rPr>
        <w:footnoteRef/>
      </w:r>
      <w:r w:rsidRPr="009B4694">
        <w:rPr>
          <w:color w:val="000000"/>
          <w:sz w:val="20"/>
          <w:szCs w:val="20"/>
          <w:lang w:val="bs-Latn-BA"/>
        </w:rPr>
        <w:t xml:space="preserve"> </w:t>
      </w:r>
      <w:r w:rsidRPr="003F166F">
        <w:rPr>
          <w:sz w:val="20"/>
          <w:szCs w:val="20"/>
          <w:lang w:val="bs-Latn-BA"/>
        </w:rPr>
        <w:t xml:space="preserve">Studija </w:t>
      </w:r>
      <w:r w:rsidRPr="003F166F">
        <w:rPr>
          <w:sz w:val="20"/>
          <w:szCs w:val="20"/>
          <w:lang w:val="bs-Latn-BA"/>
        </w:rPr>
        <w:t>energetskog sektora u BiH, Modul 9 Sistemi daljinskog grijanja, Svjetska banka, 2008</w:t>
      </w:r>
    </w:p>
  </w:footnote>
  <w:footnote w:id="122">
    <w:p w14:paraId="71B38F41" w14:textId="77777777" w:rsidR="00B9352D" w:rsidRPr="00C0294F" w:rsidRDefault="00B9352D" w:rsidP="00B9352D">
      <w:pPr>
        <w:rPr>
          <w:sz w:val="20"/>
          <w:szCs w:val="20"/>
          <w:lang w:val="bs-Latn-BA"/>
        </w:rPr>
      </w:pPr>
      <w:r>
        <w:rPr>
          <w:rStyle w:val="FootnoteReference"/>
        </w:rPr>
        <w:footnoteRef/>
      </w:r>
      <w:r w:rsidRPr="001972F5">
        <w:rPr>
          <w:color w:val="000000"/>
          <w:sz w:val="20"/>
          <w:szCs w:val="20"/>
          <w:lang w:val="bs-Latn-BA"/>
        </w:rPr>
        <w:t xml:space="preserve"> </w:t>
      </w:r>
      <w:r w:rsidRPr="00C0294F">
        <w:rPr>
          <w:sz w:val="20"/>
          <w:szCs w:val="20"/>
          <w:lang w:val="bs-Latn-BA"/>
        </w:rPr>
        <w:t xml:space="preserve">Procjena </w:t>
      </w:r>
      <w:r w:rsidRPr="00C0294F">
        <w:rPr>
          <w:sz w:val="20"/>
          <w:szCs w:val="20"/>
          <w:lang w:val="bs-Latn-BA"/>
        </w:rPr>
        <w:t>potencijala za primjenu visoko efikasne kogeneracije i hlađenja i grijanja u Bosni i Hercegovini, German Development Cooperation – GIZ Office Sarajevo, 2018</w:t>
      </w:r>
    </w:p>
  </w:footnote>
  <w:footnote w:id="123">
    <w:p w14:paraId="25E9C429" w14:textId="77777777" w:rsidR="00DE711C" w:rsidRDefault="00DE711C" w:rsidP="00DE711C">
      <w:pPr>
        <w:spacing w:after="0" w:line="240" w:lineRule="auto"/>
        <w:rPr>
          <w:color w:val="000000"/>
          <w:sz w:val="20"/>
          <w:szCs w:val="20"/>
        </w:rPr>
      </w:pPr>
      <w:r>
        <w:rPr>
          <w:rStyle w:val="FootnoteReference"/>
        </w:rPr>
        <w:footnoteRef/>
      </w:r>
      <w:r>
        <w:rPr>
          <w:color w:val="000000"/>
          <w:sz w:val="20"/>
          <w:szCs w:val="20"/>
        </w:rPr>
        <w:t xml:space="preserve"> </w:t>
      </w:r>
      <w:r>
        <w:t>Study on Addressing Energy Poverty in the Energy Community Contracting Parties, Energy Community Secretariat, 2021</w:t>
      </w:r>
    </w:p>
  </w:footnote>
  <w:footnote w:id="124">
    <w:p w14:paraId="14172673" w14:textId="77777777" w:rsidR="00DE711C" w:rsidRDefault="00DE711C" w:rsidP="00DE711C">
      <w:pPr>
        <w:spacing w:after="0"/>
        <w:jc w:val="left"/>
        <w:rPr>
          <w:i/>
          <w:sz w:val="20"/>
          <w:szCs w:val="20"/>
        </w:rPr>
      </w:pPr>
      <w:r>
        <w:rPr>
          <w:rStyle w:val="FootnoteReference"/>
        </w:rPr>
        <w:footnoteRef/>
      </w:r>
      <w:r>
        <w:rPr>
          <w:color w:val="000000"/>
          <w:sz w:val="20"/>
          <w:szCs w:val="20"/>
        </w:rPr>
        <w:t xml:space="preserve"> </w:t>
      </w:r>
      <w:proofErr w:type="spellStart"/>
      <w:r>
        <w:rPr>
          <w:sz w:val="20"/>
          <w:szCs w:val="20"/>
        </w:rPr>
        <w:t>Agencija</w:t>
      </w:r>
      <w:proofErr w:type="spellEnd"/>
      <w:r>
        <w:rPr>
          <w:sz w:val="20"/>
          <w:szCs w:val="20"/>
        </w:rPr>
        <w:t xml:space="preserve"> za </w:t>
      </w:r>
      <w:proofErr w:type="spellStart"/>
      <w:r>
        <w:rPr>
          <w:sz w:val="20"/>
          <w:szCs w:val="20"/>
        </w:rPr>
        <w:t>statistiku</w:t>
      </w:r>
      <w:proofErr w:type="spellEnd"/>
      <w:r>
        <w:rPr>
          <w:sz w:val="20"/>
          <w:szCs w:val="20"/>
        </w:rPr>
        <w:t xml:space="preserve"> </w:t>
      </w:r>
      <w:r w:rsidRPr="00C0572F">
        <w:rPr>
          <w:sz w:val="18"/>
          <w:szCs w:val="18"/>
        </w:rPr>
        <w:t xml:space="preserve">BiH, </w:t>
      </w:r>
      <w:proofErr w:type="spellStart"/>
      <w:r w:rsidRPr="00C0572F">
        <w:rPr>
          <w:sz w:val="20"/>
          <w:szCs w:val="20"/>
        </w:rPr>
        <w:t>Anketa</w:t>
      </w:r>
      <w:proofErr w:type="spellEnd"/>
      <w:r w:rsidRPr="00C0572F">
        <w:rPr>
          <w:sz w:val="20"/>
          <w:szCs w:val="20"/>
        </w:rPr>
        <w:t xml:space="preserve"> o </w:t>
      </w:r>
      <w:proofErr w:type="spellStart"/>
      <w:r w:rsidRPr="00C0572F">
        <w:rPr>
          <w:sz w:val="20"/>
          <w:szCs w:val="20"/>
        </w:rPr>
        <w:t>potrošnji</w:t>
      </w:r>
      <w:proofErr w:type="spellEnd"/>
      <w:r w:rsidRPr="00C0572F">
        <w:rPr>
          <w:sz w:val="20"/>
          <w:szCs w:val="20"/>
        </w:rPr>
        <w:t xml:space="preserve"> u </w:t>
      </w:r>
      <w:proofErr w:type="spellStart"/>
      <w:r w:rsidRPr="00C0572F">
        <w:rPr>
          <w:sz w:val="20"/>
          <w:szCs w:val="20"/>
        </w:rPr>
        <w:t>domaćinstvima</w:t>
      </w:r>
      <w:proofErr w:type="spellEnd"/>
      <w:r w:rsidRPr="00C0572F">
        <w:rPr>
          <w:sz w:val="20"/>
          <w:szCs w:val="20"/>
        </w:rPr>
        <w:t>, 2015</w:t>
      </w:r>
    </w:p>
  </w:footnote>
  <w:footnote w:id="125">
    <w:p w14:paraId="572ABD2D" w14:textId="77777777" w:rsidR="00DE711C" w:rsidRDefault="00DE711C" w:rsidP="00DE711C">
      <w:pPr>
        <w:spacing w:line="240" w:lineRule="auto"/>
        <w:rPr>
          <w:color w:val="000000"/>
        </w:rPr>
      </w:pPr>
      <w:r>
        <w:rPr>
          <w:rStyle w:val="FootnoteReference"/>
        </w:rPr>
        <w:footnoteRef/>
      </w:r>
      <w:r>
        <w:rPr>
          <w:color w:val="000000"/>
          <w:sz w:val="20"/>
          <w:szCs w:val="20"/>
        </w:rPr>
        <w:t xml:space="preserve"> </w:t>
      </w:r>
      <w:r w:rsidRPr="00C0572F">
        <w:rPr>
          <w:color w:val="000000"/>
          <w:sz w:val="20"/>
          <w:szCs w:val="20"/>
        </w:rPr>
        <w:t>Boardman, Brenda. Fuel Poverty: From Cold Homes to Affordable Warmth, ISBN: 9781852931391, 1991</w:t>
      </w:r>
    </w:p>
  </w:footnote>
  <w:footnote w:id="126">
    <w:p w14:paraId="1DA8586B" w14:textId="77777777" w:rsidR="00DE711C" w:rsidRDefault="00DE711C" w:rsidP="00DE711C">
      <w:pPr>
        <w:spacing w:after="0" w:line="240" w:lineRule="auto"/>
        <w:rPr>
          <w:color w:val="000000"/>
          <w:sz w:val="20"/>
          <w:szCs w:val="20"/>
        </w:rPr>
      </w:pPr>
      <w:r>
        <w:rPr>
          <w:rStyle w:val="FootnoteReference"/>
        </w:rPr>
        <w:footnoteRef/>
      </w:r>
      <w:r>
        <w:rPr>
          <w:color w:val="000000"/>
          <w:sz w:val="20"/>
          <w:szCs w:val="20"/>
        </w:rPr>
        <w:t xml:space="preserve"> </w:t>
      </w:r>
      <w:r w:rsidRPr="00C0572F">
        <w:rPr>
          <w:sz w:val="20"/>
          <w:szCs w:val="20"/>
        </w:rPr>
        <w:t>Study on Addressing Energy Poverty in the Energy Community Contracting Parties, Energy Community Secretariat, 2021</w:t>
      </w:r>
    </w:p>
  </w:footnote>
  <w:footnote w:id="127">
    <w:p w14:paraId="5E54B804" w14:textId="77777777" w:rsidR="00DE711C" w:rsidRDefault="00DE711C" w:rsidP="00DE711C">
      <w:pPr>
        <w:spacing w:after="0" w:line="240" w:lineRule="auto"/>
      </w:pPr>
      <w:r>
        <w:rPr>
          <w:rStyle w:val="FootnoteReference"/>
        </w:rPr>
        <w:footnoteRef/>
      </w:r>
      <w:r>
        <w:t xml:space="preserve"> </w:t>
      </w:r>
      <w:r>
        <w:rPr>
          <w:sz w:val="20"/>
          <w:szCs w:val="20"/>
        </w:rPr>
        <w:t>Study on Addressing Energy Poverty in the Energy Community Contracting Parties, Energy Community Secretariat, 2021.</w:t>
      </w:r>
    </w:p>
  </w:footnote>
  <w:footnote w:id="128">
    <w:p w14:paraId="732465AA" w14:textId="77777777" w:rsidR="00DE711C" w:rsidRDefault="00DE711C" w:rsidP="00DE711C">
      <w:pPr>
        <w:spacing w:after="0" w:line="240" w:lineRule="auto"/>
      </w:pPr>
      <w:r>
        <w:rPr>
          <w:rStyle w:val="FootnoteReference"/>
        </w:rPr>
        <w:footnoteRef/>
      </w:r>
      <w:r>
        <w:t xml:space="preserve"> </w:t>
      </w:r>
      <w:r>
        <w:rPr>
          <w:sz w:val="20"/>
          <w:szCs w:val="20"/>
        </w:rPr>
        <w:t xml:space="preserve">Long range alternative planning – </w:t>
      </w:r>
      <w:proofErr w:type="spellStart"/>
      <w:r>
        <w:rPr>
          <w:sz w:val="20"/>
          <w:szCs w:val="20"/>
        </w:rPr>
        <w:t>softver</w:t>
      </w:r>
      <w:proofErr w:type="spellEnd"/>
      <w:r>
        <w:rPr>
          <w:sz w:val="20"/>
          <w:szCs w:val="20"/>
        </w:rPr>
        <w:t xml:space="preserve"> za </w:t>
      </w:r>
      <w:proofErr w:type="spellStart"/>
      <w:r>
        <w:rPr>
          <w:sz w:val="20"/>
          <w:szCs w:val="20"/>
        </w:rPr>
        <w:t>planiranje</w:t>
      </w:r>
      <w:proofErr w:type="spellEnd"/>
      <w:r>
        <w:rPr>
          <w:sz w:val="20"/>
          <w:szCs w:val="20"/>
        </w:rPr>
        <w:t xml:space="preserve"> </w:t>
      </w:r>
      <w:proofErr w:type="spellStart"/>
      <w:r>
        <w:rPr>
          <w:sz w:val="20"/>
          <w:szCs w:val="20"/>
        </w:rPr>
        <w:t>energetskih</w:t>
      </w:r>
      <w:proofErr w:type="spellEnd"/>
      <w:r>
        <w:rPr>
          <w:sz w:val="20"/>
          <w:szCs w:val="20"/>
        </w:rPr>
        <w:t xml:space="preserve"> </w:t>
      </w:r>
      <w:proofErr w:type="spellStart"/>
      <w:r>
        <w:rPr>
          <w:sz w:val="20"/>
          <w:szCs w:val="20"/>
        </w:rPr>
        <w:t>bilansa</w:t>
      </w:r>
      <w:proofErr w:type="spellEnd"/>
      <w:r>
        <w:rPr>
          <w:sz w:val="20"/>
          <w:szCs w:val="20"/>
        </w:rPr>
        <w:t xml:space="preserve"> </w:t>
      </w:r>
      <w:proofErr w:type="spellStart"/>
      <w:r>
        <w:rPr>
          <w:sz w:val="20"/>
          <w:szCs w:val="20"/>
        </w:rPr>
        <w:t>korišten</w:t>
      </w:r>
      <w:proofErr w:type="spellEnd"/>
      <w:r>
        <w:rPr>
          <w:sz w:val="20"/>
          <w:szCs w:val="20"/>
        </w:rPr>
        <w:t xml:space="preserve"> </w:t>
      </w:r>
      <w:proofErr w:type="spellStart"/>
      <w:r>
        <w:rPr>
          <w:sz w:val="20"/>
          <w:szCs w:val="20"/>
        </w:rPr>
        <w:t>tokom</w:t>
      </w:r>
      <w:proofErr w:type="spellEnd"/>
      <w:r>
        <w:rPr>
          <w:sz w:val="20"/>
          <w:szCs w:val="20"/>
        </w:rPr>
        <w:t xml:space="preserve"> </w:t>
      </w:r>
      <w:proofErr w:type="spellStart"/>
      <w:r>
        <w:rPr>
          <w:sz w:val="20"/>
          <w:szCs w:val="20"/>
        </w:rPr>
        <w:t>izrade</w:t>
      </w:r>
      <w:proofErr w:type="spellEnd"/>
      <w:r>
        <w:rPr>
          <w:sz w:val="20"/>
          <w:szCs w:val="20"/>
        </w:rPr>
        <w:t xml:space="preserve"> </w:t>
      </w:r>
      <w:proofErr w:type="spellStart"/>
      <w:r>
        <w:rPr>
          <w:sz w:val="20"/>
          <w:szCs w:val="20"/>
        </w:rPr>
        <w:t>Integralne</w:t>
      </w:r>
      <w:proofErr w:type="spellEnd"/>
      <w:r>
        <w:rPr>
          <w:sz w:val="20"/>
          <w:szCs w:val="20"/>
        </w:rPr>
        <w:t xml:space="preserve"> </w:t>
      </w:r>
      <w:proofErr w:type="spellStart"/>
      <w:r>
        <w:rPr>
          <w:sz w:val="20"/>
          <w:szCs w:val="20"/>
        </w:rPr>
        <w:t>strategije</w:t>
      </w:r>
      <w:proofErr w:type="spellEnd"/>
      <w:r>
        <w:rPr>
          <w:sz w:val="20"/>
          <w:szCs w:val="20"/>
        </w:rPr>
        <w:t xml:space="preserve"> </w:t>
      </w:r>
      <w:proofErr w:type="spellStart"/>
      <w:r>
        <w:rPr>
          <w:sz w:val="20"/>
          <w:szCs w:val="20"/>
        </w:rPr>
        <w:t>obnove</w:t>
      </w:r>
      <w:proofErr w:type="spellEnd"/>
      <w:r>
        <w:rPr>
          <w:sz w:val="20"/>
          <w:szCs w:val="20"/>
        </w:rPr>
        <w:t xml:space="preserve"> </w:t>
      </w:r>
      <w:proofErr w:type="spellStart"/>
      <w:r>
        <w:rPr>
          <w:sz w:val="20"/>
          <w:szCs w:val="20"/>
        </w:rPr>
        <w:t>zgrada</w:t>
      </w:r>
      <w:proofErr w:type="spellEnd"/>
      <w:r>
        <w:rPr>
          <w:sz w:val="20"/>
          <w:szCs w:val="20"/>
        </w:rPr>
        <w:t xml:space="preserve"> u BiH, 2019. </w:t>
      </w:r>
    </w:p>
  </w:footnote>
  <w:footnote w:id="129">
    <w:p w14:paraId="565D2065" w14:textId="77777777" w:rsidR="00DE711C" w:rsidRDefault="00DE711C" w:rsidP="00DE711C">
      <w:pPr>
        <w:spacing w:after="0" w:line="240" w:lineRule="auto"/>
      </w:pPr>
      <w:r>
        <w:rPr>
          <w:rStyle w:val="FootnoteReference"/>
        </w:rPr>
        <w:footnoteRef/>
      </w:r>
      <w:r>
        <w:t xml:space="preserve"> </w:t>
      </w:r>
      <w:proofErr w:type="spellStart"/>
      <w:r>
        <w:rPr>
          <w:sz w:val="20"/>
          <w:szCs w:val="20"/>
        </w:rPr>
        <w:t>Studija</w:t>
      </w:r>
      <w:proofErr w:type="spellEnd"/>
      <w:r>
        <w:rPr>
          <w:sz w:val="20"/>
          <w:szCs w:val="20"/>
        </w:rPr>
        <w:t xml:space="preserve"> </w:t>
      </w:r>
      <w:proofErr w:type="spellStart"/>
      <w:r>
        <w:rPr>
          <w:sz w:val="20"/>
          <w:szCs w:val="20"/>
        </w:rPr>
        <w:t>poboljšanja</w:t>
      </w:r>
      <w:proofErr w:type="spellEnd"/>
      <w:r>
        <w:rPr>
          <w:sz w:val="20"/>
          <w:szCs w:val="20"/>
        </w:rPr>
        <w:t xml:space="preserve"> </w:t>
      </w:r>
      <w:proofErr w:type="spellStart"/>
      <w:r>
        <w:rPr>
          <w:sz w:val="20"/>
          <w:szCs w:val="20"/>
        </w:rPr>
        <w:t>energetske</w:t>
      </w:r>
      <w:proofErr w:type="spellEnd"/>
      <w:r>
        <w:rPr>
          <w:sz w:val="20"/>
          <w:szCs w:val="20"/>
        </w:rPr>
        <w:t xml:space="preserve"> </w:t>
      </w:r>
      <w:proofErr w:type="spellStart"/>
      <w:r>
        <w:rPr>
          <w:sz w:val="20"/>
          <w:szCs w:val="20"/>
        </w:rPr>
        <w:t>efikasnosti</w:t>
      </w:r>
      <w:proofErr w:type="spellEnd"/>
      <w:r>
        <w:rPr>
          <w:sz w:val="20"/>
          <w:szCs w:val="20"/>
        </w:rPr>
        <w:t xml:space="preserve"> </w:t>
      </w:r>
      <w:proofErr w:type="spellStart"/>
      <w:r>
        <w:rPr>
          <w:sz w:val="20"/>
          <w:szCs w:val="20"/>
        </w:rPr>
        <w:t>domaćinstava</w:t>
      </w:r>
      <w:proofErr w:type="spellEnd"/>
      <w:r>
        <w:rPr>
          <w:sz w:val="20"/>
          <w:szCs w:val="20"/>
        </w:rPr>
        <w:t xml:space="preserve"> </w:t>
      </w:r>
      <w:proofErr w:type="spellStart"/>
      <w:r>
        <w:rPr>
          <w:sz w:val="20"/>
          <w:szCs w:val="20"/>
        </w:rPr>
        <w:t>koja</w:t>
      </w:r>
      <w:proofErr w:type="spellEnd"/>
      <w:r>
        <w:rPr>
          <w:sz w:val="20"/>
          <w:szCs w:val="20"/>
        </w:rPr>
        <w:t xml:space="preserve"> </w:t>
      </w:r>
      <w:proofErr w:type="spellStart"/>
      <w:r>
        <w:rPr>
          <w:sz w:val="20"/>
          <w:szCs w:val="20"/>
        </w:rPr>
        <w:t>koriste</w:t>
      </w:r>
      <w:proofErr w:type="spellEnd"/>
      <w:r>
        <w:rPr>
          <w:sz w:val="20"/>
          <w:szCs w:val="20"/>
        </w:rPr>
        <w:t xml:space="preserve"> </w:t>
      </w:r>
      <w:proofErr w:type="spellStart"/>
      <w:r>
        <w:rPr>
          <w:sz w:val="20"/>
          <w:szCs w:val="20"/>
        </w:rPr>
        <w:t>osobe</w:t>
      </w:r>
      <w:proofErr w:type="spellEnd"/>
      <w:r>
        <w:rPr>
          <w:sz w:val="20"/>
          <w:szCs w:val="20"/>
        </w:rPr>
        <w:t xml:space="preserve"> u </w:t>
      </w:r>
      <w:proofErr w:type="spellStart"/>
      <w:r>
        <w:rPr>
          <w:sz w:val="20"/>
          <w:szCs w:val="20"/>
        </w:rPr>
        <w:t>stanju</w:t>
      </w:r>
      <w:proofErr w:type="spellEnd"/>
      <w:r>
        <w:rPr>
          <w:sz w:val="20"/>
          <w:szCs w:val="20"/>
        </w:rPr>
        <w:t xml:space="preserve"> </w:t>
      </w:r>
      <w:proofErr w:type="spellStart"/>
      <w:r>
        <w:rPr>
          <w:sz w:val="20"/>
          <w:szCs w:val="20"/>
        </w:rPr>
        <w:t>socijalne</w:t>
      </w:r>
      <w:proofErr w:type="spellEnd"/>
      <w:r>
        <w:rPr>
          <w:sz w:val="20"/>
          <w:szCs w:val="20"/>
        </w:rPr>
        <w:t xml:space="preserve"> </w:t>
      </w:r>
      <w:proofErr w:type="spellStart"/>
      <w:r>
        <w:rPr>
          <w:sz w:val="20"/>
          <w:szCs w:val="20"/>
        </w:rPr>
        <w:t>potrebe</w:t>
      </w:r>
      <w:proofErr w:type="spellEnd"/>
      <w:r>
        <w:rPr>
          <w:sz w:val="20"/>
          <w:szCs w:val="20"/>
        </w:rPr>
        <w:t xml:space="preserve"> u </w:t>
      </w:r>
      <w:proofErr w:type="spellStart"/>
      <w:r>
        <w:rPr>
          <w:sz w:val="20"/>
          <w:szCs w:val="20"/>
        </w:rPr>
        <w:t>Kantonu</w:t>
      </w:r>
      <w:proofErr w:type="spellEnd"/>
      <w:r>
        <w:rPr>
          <w:sz w:val="20"/>
          <w:szCs w:val="20"/>
        </w:rPr>
        <w:t xml:space="preserve"> Sarajevo, UNDP, 2021. </w:t>
      </w:r>
    </w:p>
  </w:footnote>
  <w:footnote w:id="130">
    <w:p w14:paraId="4DB0A36C" w14:textId="77777777" w:rsidR="00DE711C" w:rsidRDefault="00DE711C" w:rsidP="00DE711C">
      <w:pPr>
        <w:spacing w:after="0" w:line="240" w:lineRule="auto"/>
        <w:rPr>
          <w:color w:val="000000"/>
          <w:sz w:val="20"/>
          <w:szCs w:val="20"/>
        </w:rPr>
      </w:pPr>
      <w:r>
        <w:rPr>
          <w:rStyle w:val="FootnoteReference"/>
        </w:rPr>
        <w:footnoteRef/>
      </w:r>
      <w:r>
        <w:rPr>
          <w:color w:val="7B7D81"/>
          <w:sz w:val="20"/>
          <w:szCs w:val="20"/>
        </w:rPr>
        <w:t xml:space="preserve"> </w:t>
      </w:r>
      <w:proofErr w:type="spellStart"/>
      <w:r>
        <w:rPr>
          <w:color w:val="000000"/>
          <w:sz w:val="20"/>
          <w:szCs w:val="20"/>
        </w:rPr>
        <w:t>Kadrić</w:t>
      </w:r>
      <w:proofErr w:type="spellEnd"/>
      <w:r>
        <w:rPr>
          <w:color w:val="000000"/>
          <w:sz w:val="20"/>
          <w:szCs w:val="20"/>
        </w:rPr>
        <w:t xml:space="preserve"> et. </w:t>
      </w:r>
      <w:proofErr w:type="gramStart"/>
      <w:r>
        <w:rPr>
          <w:color w:val="000000"/>
          <w:sz w:val="20"/>
          <w:szCs w:val="20"/>
        </w:rPr>
        <w:t>al ,Cost</w:t>
      </w:r>
      <w:proofErr w:type="gramEnd"/>
      <w:r>
        <w:rPr>
          <w:color w:val="000000"/>
          <w:sz w:val="20"/>
          <w:szCs w:val="20"/>
        </w:rPr>
        <w:t xml:space="preserve">-related analysis of implementing energy-efficient retrofit measures in the residential building sector of a middle-income country – A case study of Bosnia and Herzegovina, Energy and Buildings, </w:t>
      </w:r>
    </w:p>
    <w:p w14:paraId="0C7A532F" w14:textId="77777777" w:rsidR="00DE711C" w:rsidRDefault="00DE711C" w:rsidP="00DE711C">
      <w:pPr>
        <w:spacing w:after="0" w:line="240" w:lineRule="auto"/>
        <w:rPr>
          <w:color w:val="000000"/>
        </w:rPr>
      </w:pPr>
      <w:r>
        <w:rPr>
          <w:color w:val="000000"/>
          <w:sz w:val="20"/>
          <w:szCs w:val="20"/>
        </w:rPr>
        <w:t>Volume 257, 2022, 111765, ISSN 0378-</w:t>
      </w:r>
      <w:proofErr w:type="gramStart"/>
      <w:r>
        <w:rPr>
          <w:color w:val="000000"/>
          <w:sz w:val="20"/>
          <w:szCs w:val="20"/>
        </w:rPr>
        <w:t>7788,https://doi.org/10.1016/j.enbuild.2021.111765</w:t>
      </w:r>
      <w:proofErr w:type="gramEnd"/>
      <w:r>
        <w:rPr>
          <w:color w:val="000000"/>
          <w:sz w:val="20"/>
          <w:szCs w:val="20"/>
        </w:rPr>
        <w:t>.</w:t>
      </w:r>
    </w:p>
  </w:footnote>
  <w:footnote w:id="131">
    <w:p w14:paraId="532628EC" w14:textId="77777777" w:rsidR="00F1251A" w:rsidRDefault="00F1251A" w:rsidP="00F1251A">
      <w:pPr>
        <w:spacing w:after="0" w:line="240" w:lineRule="auto"/>
        <w:rPr>
          <w:color w:val="000000"/>
          <w:sz w:val="20"/>
          <w:szCs w:val="20"/>
        </w:rPr>
      </w:pPr>
      <w:r>
        <w:rPr>
          <w:rStyle w:val="FootnoteReference"/>
        </w:rPr>
        <w:footnoteRef/>
      </w:r>
      <w:r>
        <w:rPr>
          <w:color w:val="7B7D81"/>
          <w:sz w:val="20"/>
          <w:szCs w:val="20"/>
        </w:rPr>
        <w:t xml:space="preserve"> </w:t>
      </w:r>
      <w:proofErr w:type="spellStart"/>
      <w:r>
        <w:rPr>
          <w:color w:val="000000"/>
          <w:sz w:val="20"/>
          <w:szCs w:val="20"/>
        </w:rPr>
        <w:t>Kadrić</w:t>
      </w:r>
      <w:proofErr w:type="spellEnd"/>
      <w:r>
        <w:rPr>
          <w:color w:val="000000"/>
          <w:sz w:val="20"/>
          <w:szCs w:val="20"/>
        </w:rPr>
        <w:t xml:space="preserve"> et. </w:t>
      </w:r>
      <w:proofErr w:type="gramStart"/>
      <w:r>
        <w:rPr>
          <w:color w:val="000000"/>
          <w:sz w:val="20"/>
          <w:szCs w:val="20"/>
        </w:rPr>
        <w:t>al ,Cost</w:t>
      </w:r>
      <w:proofErr w:type="gramEnd"/>
      <w:r>
        <w:rPr>
          <w:color w:val="000000"/>
          <w:sz w:val="20"/>
          <w:szCs w:val="20"/>
        </w:rPr>
        <w:t xml:space="preserve">-related analysis of implementing energy-efficient retrofit measures in the residential building sector of a middle-income country – A case study of Bosnia and Herzegovina, Energy and Buildings, </w:t>
      </w:r>
    </w:p>
    <w:p w14:paraId="79FCC15E" w14:textId="77777777" w:rsidR="00F1251A" w:rsidRDefault="00F1251A" w:rsidP="00F1251A">
      <w:pPr>
        <w:spacing w:after="0" w:line="240" w:lineRule="auto"/>
        <w:rPr>
          <w:color w:val="000000"/>
        </w:rPr>
      </w:pPr>
      <w:r>
        <w:rPr>
          <w:color w:val="000000"/>
          <w:sz w:val="20"/>
          <w:szCs w:val="20"/>
        </w:rPr>
        <w:t>Volume 257, 2022, 111765, ISSN 0378-</w:t>
      </w:r>
      <w:proofErr w:type="gramStart"/>
      <w:r>
        <w:rPr>
          <w:color w:val="000000"/>
          <w:sz w:val="20"/>
          <w:szCs w:val="20"/>
        </w:rPr>
        <w:t>7788,https://doi.org/10.1016/j.enbuild.2021.111765</w:t>
      </w:r>
      <w:proofErr w:type="gramEnd"/>
      <w:r>
        <w:rPr>
          <w:color w:val="000000"/>
          <w:sz w:val="20"/>
          <w:szCs w:val="20"/>
        </w:rPr>
        <w:t>.</w:t>
      </w:r>
    </w:p>
  </w:footnote>
  <w:footnote w:id="132">
    <w:p w14:paraId="4133FF5A" w14:textId="77777777" w:rsidR="00A00D87" w:rsidRDefault="00A00D87" w:rsidP="00A00D87">
      <w:pPr>
        <w:pBdr>
          <w:top w:val="nil"/>
          <w:left w:val="nil"/>
          <w:bottom w:val="nil"/>
          <w:right w:val="nil"/>
          <w:between w:val="nil"/>
        </w:pBdr>
        <w:spacing w:after="0" w:line="240" w:lineRule="auto"/>
        <w:rPr>
          <w:color w:val="000000"/>
          <w:sz w:val="20"/>
          <w:szCs w:val="20"/>
        </w:rPr>
      </w:pPr>
      <w:r>
        <w:rPr>
          <w:rStyle w:val="FootnoteReference"/>
        </w:rPr>
        <w:footnoteRef/>
      </w:r>
      <w:r>
        <w:rPr>
          <w:rFonts w:eastAsia="Calibri"/>
          <w:color w:val="000000"/>
          <w:sz w:val="20"/>
          <w:szCs w:val="20"/>
        </w:rPr>
        <w:t xml:space="preserve"> EDGAR</w:t>
      </w:r>
    </w:p>
  </w:footnote>
  <w:footnote w:id="133">
    <w:p w14:paraId="02D80740" w14:textId="77777777" w:rsidR="00A00D87" w:rsidRDefault="00A00D87" w:rsidP="00A00D87">
      <w:pPr>
        <w:spacing w:after="0" w:line="240" w:lineRule="auto"/>
        <w:rPr>
          <w:sz w:val="20"/>
          <w:szCs w:val="20"/>
        </w:rPr>
      </w:pPr>
      <w:r>
        <w:rPr>
          <w:rStyle w:val="FootnoteReference"/>
        </w:rPr>
        <w:footnoteRef/>
      </w:r>
      <w:r>
        <w:rPr>
          <w:sz w:val="20"/>
          <w:szCs w:val="20"/>
        </w:rPr>
        <w:t xml:space="preserve"> EDGAR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46FB" w14:textId="29CC0DC5" w:rsidR="00055321" w:rsidRPr="00281166" w:rsidRDefault="00740D4F" w:rsidP="00281166">
    <w:pPr>
      <w:pBdr>
        <w:top w:val="nil"/>
        <w:left w:val="nil"/>
        <w:bottom w:val="nil"/>
        <w:right w:val="nil"/>
        <w:between w:val="nil"/>
      </w:pBdr>
      <w:tabs>
        <w:tab w:val="center" w:pos="4680"/>
        <w:tab w:val="right" w:pos="9360"/>
      </w:tabs>
      <w:spacing w:after="0" w:line="240" w:lineRule="auto"/>
      <w:jc w:val="right"/>
      <w:rPr>
        <w:i/>
        <w:iCs/>
        <w:color w:val="000000"/>
      </w:rPr>
    </w:pPr>
    <w:proofErr w:type="spellStart"/>
    <w:r w:rsidRPr="00281166">
      <w:rPr>
        <w:i/>
        <w:iCs/>
        <w:color w:val="000000"/>
      </w:rPr>
      <w:t>Strate</w:t>
    </w:r>
    <w:r w:rsidR="004A47A8" w:rsidRPr="00281166">
      <w:rPr>
        <w:i/>
        <w:iCs/>
        <w:color w:val="000000"/>
      </w:rPr>
      <w:t>gija</w:t>
    </w:r>
    <w:proofErr w:type="spellEnd"/>
    <w:r w:rsidR="004A47A8" w:rsidRPr="00281166">
      <w:rPr>
        <w:i/>
        <w:iCs/>
        <w:color w:val="000000"/>
      </w:rPr>
      <w:t xml:space="preserve"> </w:t>
    </w:r>
    <w:proofErr w:type="spellStart"/>
    <w:r w:rsidR="004A47A8" w:rsidRPr="00281166">
      <w:rPr>
        <w:i/>
        <w:iCs/>
        <w:color w:val="000000"/>
      </w:rPr>
      <w:t>obnove</w:t>
    </w:r>
    <w:proofErr w:type="spellEnd"/>
    <w:r w:rsidR="004A47A8" w:rsidRPr="00281166">
      <w:rPr>
        <w:i/>
        <w:iCs/>
        <w:color w:val="000000"/>
      </w:rPr>
      <w:t xml:space="preserve"> </w:t>
    </w:r>
    <w:proofErr w:type="spellStart"/>
    <w:r w:rsidR="004A47A8" w:rsidRPr="00281166">
      <w:rPr>
        <w:i/>
        <w:iCs/>
        <w:color w:val="000000"/>
      </w:rPr>
      <w:t>zgrada</w:t>
    </w:r>
    <w:proofErr w:type="spellEnd"/>
    <w:r w:rsidR="004A47A8" w:rsidRPr="00281166">
      <w:rPr>
        <w:i/>
        <w:iCs/>
        <w:color w:val="000000"/>
      </w:rPr>
      <w:t xml:space="preserve"> u FBiH do 2050. </w:t>
    </w:r>
    <w:proofErr w:type="spellStart"/>
    <w:r w:rsidR="00281166" w:rsidRPr="00281166">
      <w:rPr>
        <w:i/>
        <w:iCs/>
        <w:color w:val="000000"/>
      </w:rPr>
      <w:t>g</w:t>
    </w:r>
    <w:r w:rsidR="004A47A8" w:rsidRPr="00281166">
      <w:rPr>
        <w:i/>
        <w:iCs/>
        <w:color w:val="000000"/>
      </w:rPr>
      <w:t>odine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7477" w14:textId="67428DA8" w:rsidR="00CF7A3C" w:rsidRPr="00281166" w:rsidRDefault="00CF7A3C" w:rsidP="00281166">
    <w:pPr>
      <w:pBdr>
        <w:top w:val="nil"/>
        <w:left w:val="nil"/>
        <w:bottom w:val="nil"/>
        <w:right w:val="nil"/>
        <w:between w:val="nil"/>
      </w:pBdr>
      <w:tabs>
        <w:tab w:val="center" w:pos="4680"/>
        <w:tab w:val="right" w:pos="9360"/>
      </w:tabs>
      <w:spacing w:after="0" w:line="240" w:lineRule="auto"/>
      <w:jc w:val="right"/>
      <w:rPr>
        <w:i/>
        <w:iCs/>
        <w:color w:val="000000"/>
      </w:rPr>
    </w:pPr>
    <w:proofErr w:type="spellStart"/>
    <w:r w:rsidRPr="00281166">
      <w:rPr>
        <w:i/>
        <w:iCs/>
        <w:color w:val="000000"/>
      </w:rPr>
      <w:t>Strategija</w:t>
    </w:r>
    <w:proofErr w:type="spellEnd"/>
    <w:r w:rsidRPr="00281166">
      <w:rPr>
        <w:i/>
        <w:iCs/>
        <w:color w:val="000000"/>
      </w:rPr>
      <w:t xml:space="preserve"> </w:t>
    </w:r>
    <w:proofErr w:type="spellStart"/>
    <w:r w:rsidRPr="00281166">
      <w:rPr>
        <w:i/>
        <w:iCs/>
        <w:color w:val="000000"/>
      </w:rPr>
      <w:t>obnove</w:t>
    </w:r>
    <w:proofErr w:type="spellEnd"/>
    <w:r w:rsidRPr="00281166">
      <w:rPr>
        <w:i/>
        <w:iCs/>
        <w:color w:val="000000"/>
      </w:rPr>
      <w:t xml:space="preserve"> </w:t>
    </w:r>
    <w:proofErr w:type="spellStart"/>
    <w:r w:rsidRPr="00281166">
      <w:rPr>
        <w:i/>
        <w:iCs/>
        <w:color w:val="000000"/>
      </w:rPr>
      <w:t>zgrada</w:t>
    </w:r>
    <w:proofErr w:type="spellEnd"/>
    <w:r w:rsidRPr="00281166">
      <w:rPr>
        <w:i/>
        <w:iCs/>
        <w:color w:val="000000"/>
      </w:rPr>
      <w:t xml:space="preserve"> u FBiH do 2050. </w:t>
    </w:r>
    <w:proofErr w:type="spellStart"/>
    <w:r w:rsidRPr="00281166">
      <w:rPr>
        <w:i/>
        <w:iCs/>
        <w:color w:val="000000"/>
      </w:rPr>
      <w:t>godine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50F1"/>
    <w:multiLevelType w:val="hybridMultilevel"/>
    <w:tmpl w:val="067C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F2446"/>
    <w:multiLevelType w:val="hybridMultilevel"/>
    <w:tmpl w:val="DB70EFD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60F2A1BC">
      <w:start w:val="1"/>
      <w:numFmt w:val="bullet"/>
      <w:lvlText w:val="­"/>
      <w:lvlJc w:val="left"/>
      <w:pPr>
        <w:ind w:left="2160" w:hanging="360"/>
      </w:pPr>
      <w:rPr>
        <w:rFonts w:ascii="Times New Roman" w:hAnsi="Times New Roman"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141186"/>
    <w:multiLevelType w:val="multilevel"/>
    <w:tmpl w:val="CD86032C"/>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073813F1"/>
    <w:multiLevelType w:val="hybridMultilevel"/>
    <w:tmpl w:val="62FE3BA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E4793D"/>
    <w:multiLevelType w:val="multilevel"/>
    <w:tmpl w:val="C81EE1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692E2B"/>
    <w:multiLevelType w:val="hybridMultilevel"/>
    <w:tmpl w:val="C26C59F0"/>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6" w15:restartNumberingAfterBreak="0">
    <w:nsid w:val="0B8513B8"/>
    <w:multiLevelType w:val="hybridMultilevel"/>
    <w:tmpl w:val="E0A0D8E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BC712F8"/>
    <w:multiLevelType w:val="hybridMultilevel"/>
    <w:tmpl w:val="ECE8144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7C22EC"/>
    <w:multiLevelType w:val="multilevel"/>
    <w:tmpl w:val="F48ADC4A"/>
    <w:lvl w:ilvl="0">
      <w:start w:val="1"/>
      <w:numFmt w:val="decimal"/>
      <w:lvlText w:val="SF %1."/>
      <w:lvlJc w:val="left"/>
      <w:pPr>
        <w:ind w:left="720" w:hanging="360"/>
      </w:pPr>
      <w:rPr>
        <w:b/>
        <w:color w:val="00000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 w15:restartNumberingAfterBreak="0">
    <w:nsid w:val="0E592C57"/>
    <w:multiLevelType w:val="hybridMultilevel"/>
    <w:tmpl w:val="954024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3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8664D0"/>
    <w:multiLevelType w:val="hybridMultilevel"/>
    <w:tmpl w:val="62FE3BA2"/>
    <w:lvl w:ilvl="0" w:tplc="046862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EA608C"/>
    <w:multiLevelType w:val="multilevel"/>
    <w:tmpl w:val="60E8FDB4"/>
    <w:lvl w:ilvl="0">
      <w:start w:val="1"/>
      <w:numFmt w:val="bullet"/>
      <w:pStyle w:val="1111Naslovcetvrtogreda"/>
      <w:lvlText w:val="▪"/>
      <w:lvlJc w:val="left"/>
      <w:pPr>
        <w:ind w:left="2160" w:hanging="360"/>
      </w:pPr>
      <w:rPr>
        <w:rFonts w:ascii="Noto Sans" w:eastAsia="Noto Sans" w:hAnsi="Noto Sans" w:cs="Noto Sans"/>
        <w:color w:val="497083"/>
        <w:sz w:val="22"/>
        <w:szCs w:val="22"/>
        <w:vertAlign w:val="baseline"/>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12" w15:restartNumberingAfterBreak="0">
    <w:nsid w:val="0F061BB5"/>
    <w:multiLevelType w:val="multilevel"/>
    <w:tmpl w:val="400EEB92"/>
    <w:lvl w:ilvl="0">
      <w:start w:val="1"/>
      <w:numFmt w:val="decimal"/>
      <w:lvlText w:val="%1."/>
      <w:lvlJc w:val="left"/>
      <w:pPr>
        <w:ind w:left="360" w:hanging="360"/>
      </w:pPr>
      <w:rPr>
        <w:rFonts w:hint="default"/>
        <w:b/>
        <w:sz w:val="18"/>
      </w:rPr>
    </w:lvl>
    <w:lvl w:ilvl="1">
      <w:start w:val="1"/>
      <w:numFmt w:val="decimal"/>
      <w:lvlText w:val="%1.%2."/>
      <w:lvlJc w:val="left"/>
      <w:pPr>
        <w:ind w:left="392" w:hanging="360"/>
      </w:pPr>
      <w:rPr>
        <w:rFonts w:hint="default"/>
        <w:b/>
        <w:sz w:val="18"/>
      </w:rPr>
    </w:lvl>
    <w:lvl w:ilvl="2">
      <w:start w:val="1"/>
      <w:numFmt w:val="decimal"/>
      <w:lvlText w:val="%1.%2.%3."/>
      <w:lvlJc w:val="left"/>
      <w:pPr>
        <w:ind w:left="784" w:hanging="720"/>
      </w:pPr>
      <w:rPr>
        <w:rFonts w:hint="default"/>
        <w:b/>
        <w:sz w:val="18"/>
      </w:rPr>
    </w:lvl>
    <w:lvl w:ilvl="3">
      <w:start w:val="1"/>
      <w:numFmt w:val="decimal"/>
      <w:lvlText w:val="%1.%2.%3.%4."/>
      <w:lvlJc w:val="left"/>
      <w:pPr>
        <w:ind w:left="816" w:hanging="720"/>
      </w:pPr>
      <w:rPr>
        <w:rFonts w:hint="default"/>
        <w:b/>
        <w:sz w:val="18"/>
      </w:rPr>
    </w:lvl>
    <w:lvl w:ilvl="4">
      <w:start w:val="1"/>
      <w:numFmt w:val="decimal"/>
      <w:lvlText w:val="%1.%2.%3.%4.%5."/>
      <w:lvlJc w:val="left"/>
      <w:pPr>
        <w:ind w:left="1208" w:hanging="1080"/>
      </w:pPr>
      <w:rPr>
        <w:rFonts w:hint="default"/>
        <w:b/>
        <w:sz w:val="18"/>
      </w:rPr>
    </w:lvl>
    <w:lvl w:ilvl="5">
      <w:start w:val="1"/>
      <w:numFmt w:val="decimal"/>
      <w:lvlText w:val="%1.%2.%3.%4.%5.%6."/>
      <w:lvlJc w:val="left"/>
      <w:pPr>
        <w:ind w:left="1240" w:hanging="1080"/>
      </w:pPr>
      <w:rPr>
        <w:rFonts w:hint="default"/>
        <w:b/>
        <w:sz w:val="18"/>
      </w:rPr>
    </w:lvl>
    <w:lvl w:ilvl="6">
      <w:start w:val="1"/>
      <w:numFmt w:val="decimal"/>
      <w:lvlText w:val="%1.%2.%3.%4.%5.%6.%7."/>
      <w:lvlJc w:val="left"/>
      <w:pPr>
        <w:ind w:left="1632" w:hanging="1440"/>
      </w:pPr>
      <w:rPr>
        <w:rFonts w:hint="default"/>
        <w:b/>
        <w:sz w:val="18"/>
      </w:rPr>
    </w:lvl>
    <w:lvl w:ilvl="7">
      <w:start w:val="1"/>
      <w:numFmt w:val="decimal"/>
      <w:lvlText w:val="%1.%2.%3.%4.%5.%6.%7.%8."/>
      <w:lvlJc w:val="left"/>
      <w:pPr>
        <w:ind w:left="1664" w:hanging="1440"/>
      </w:pPr>
      <w:rPr>
        <w:rFonts w:hint="default"/>
        <w:b/>
        <w:sz w:val="18"/>
      </w:rPr>
    </w:lvl>
    <w:lvl w:ilvl="8">
      <w:start w:val="1"/>
      <w:numFmt w:val="decimal"/>
      <w:lvlText w:val="%1.%2.%3.%4.%5.%6.%7.%8.%9."/>
      <w:lvlJc w:val="left"/>
      <w:pPr>
        <w:ind w:left="2056" w:hanging="1800"/>
      </w:pPr>
      <w:rPr>
        <w:rFonts w:hint="default"/>
        <w:b/>
        <w:sz w:val="18"/>
      </w:rPr>
    </w:lvl>
  </w:abstractNum>
  <w:abstractNum w:abstractNumId="13" w15:restartNumberingAfterBreak="0">
    <w:nsid w:val="107A5BC5"/>
    <w:multiLevelType w:val="hybridMultilevel"/>
    <w:tmpl w:val="C26C59F0"/>
    <w:lvl w:ilvl="0" w:tplc="29A03B7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4" w15:restartNumberingAfterBreak="0">
    <w:nsid w:val="124B7D47"/>
    <w:multiLevelType w:val="hybridMultilevel"/>
    <w:tmpl w:val="BF96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C7BDF"/>
    <w:multiLevelType w:val="multilevel"/>
    <w:tmpl w:val="F6D2994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6" w15:restartNumberingAfterBreak="0">
    <w:nsid w:val="12E74D9B"/>
    <w:multiLevelType w:val="multilevel"/>
    <w:tmpl w:val="E0FA685E"/>
    <w:lvl w:ilvl="0">
      <w:start w:val="1"/>
      <w:numFmt w:val="decimal"/>
      <w:lvlText w:val="%1."/>
      <w:lvlJc w:val="left"/>
      <w:pPr>
        <w:ind w:left="360" w:hanging="360"/>
      </w:pPr>
      <w:rPr>
        <w:rFonts w:hint="default"/>
        <w:b/>
        <w:sz w:val="18"/>
      </w:rPr>
    </w:lvl>
    <w:lvl w:ilvl="1">
      <w:start w:val="1"/>
      <w:numFmt w:val="decimal"/>
      <w:lvlText w:val="%1.%2."/>
      <w:lvlJc w:val="left"/>
      <w:pPr>
        <w:ind w:left="392" w:hanging="360"/>
      </w:pPr>
      <w:rPr>
        <w:rFonts w:hint="default"/>
        <w:b/>
        <w:sz w:val="18"/>
      </w:rPr>
    </w:lvl>
    <w:lvl w:ilvl="2">
      <w:start w:val="1"/>
      <w:numFmt w:val="decimal"/>
      <w:lvlText w:val="%1.%2.%3."/>
      <w:lvlJc w:val="left"/>
      <w:pPr>
        <w:ind w:left="784" w:hanging="720"/>
      </w:pPr>
      <w:rPr>
        <w:rFonts w:hint="default"/>
        <w:b/>
        <w:sz w:val="18"/>
      </w:rPr>
    </w:lvl>
    <w:lvl w:ilvl="3">
      <w:start w:val="1"/>
      <w:numFmt w:val="decimal"/>
      <w:lvlText w:val="%1.%2.%3.%4."/>
      <w:lvlJc w:val="left"/>
      <w:pPr>
        <w:ind w:left="816" w:hanging="720"/>
      </w:pPr>
      <w:rPr>
        <w:rFonts w:hint="default"/>
        <w:b/>
        <w:sz w:val="18"/>
      </w:rPr>
    </w:lvl>
    <w:lvl w:ilvl="4">
      <w:start w:val="1"/>
      <w:numFmt w:val="decimal"/>
      <w:lvlText w:val="%1.%2.%3.%4.%5."/>
      <w:lvlJc w:val="left"/>
      <w:pPr>
        <w:ind w:left="1208" w:hanging="1080"/>
      </w:pPr>
      <w:rPr>
        <w:rFonts w:hint="default"/>
        <w:b/>
        <w:sz w:val="18"/>
      </w:rPr>
    </w:lvl>
    <w:lvl w:ilvl="5">
      <w:start w:val="1"/>
      <w:numFmt w:val="decimal"/>
      <w:lvlText w:val="%1.%2.%3.%4.%5.%6."/>
      <w:lvlJc w:val="left"/>
      <w:pPr>
        <w:ind w:left="1240" w:hanging="1080"/>
      </w:pPr>
      <w:rPr>
        <w:rFonts w:hint="default"/>
        <w:b/>
        <w:sz w:val="18"/>
      </w:rPr>
    </w:lvl>
    <w:lvl w:ilvl="6">
      <w:start w:val="1"/>
      <w:numFmt w:val="decimal"/>
      <w:lvlText w:val="%1.%2.%3.%4.%5.%6.%7."/>
      <w:lvlJc w:val="left"/>
      <w:pPr>
        <w:ind w:left="1632" w:hanging="1440"/>
      </w:pPr>
      <w:rPr>
        <w:rFonts w:hint="default"/>
        <w:b/>
        <w:sz w:val="18"/>
      </w:rPr>
    </w:lvl>
    <w:lvl w:ilvl="7">
      <w:start w:val="1"/>
      <w:numFmt w:val="decimal"/>
      <w:lvlText w:val="%1.%2.%3.%4.%5.%6.%7.%8."/>
      <w:lvlJc w:val="left"/>
      <w:pPr>
        <w:ind w:left="1664" w:hanging="1440"/>
      </w:pPr>
      <w:rPr>
        <w:rFonts w:hint="default"/>
        <w:b/>
        <w:sz w:val="18"/>
      </w:rPr>
    </w:lvl>
    <w:lvl w:ilvl="8">
      <w:start w:val="1"/>
      <w:numFmt w:val="decimal"/>
      <w:lvlText w:val="%1.%2.%3.%4.%5.%6.%7.%8.%9."/>
      <w:lvlJc w:val="left"/>
      <w:pPr>
        <w:ind w:left="2056" w:hanging="1800"/>
      </w:pPr>
      <w:rPr>
        <w:rFonts w:hint="default"/>
        <w:b/>
        <w:sz w:val="18"/>
      </w:rPr>
    </w:lvl>
  </w:abstractNum>
  <w:abstractNum w:abstractNumId="17" w15:restartNumberingAfterBreak="0">
    <w:nsid w:val="130F6278"/>
    <w:multiLevelType w:val="multilevel"/>
    <w:tmpl w:val="BDB07940"/>
    <w:lvl w:ilvl="0">
      <w:start w:val="1"/>
      <w:numFmt w:val="bullet"/>
      <w:pStyle w:val="1Naslovprvogreda"/>
      <w:lvlText w:val="▪"/>
      <w:lvlJc w:val="left"/>
      <w:pPr>
        <w:ind w:left="2160" w:hanging="360"/>
      </w:pPr>
      <w:rPr>
        <w:rFonts w:ascii="Noto Sans" w:eastAsia="Noto Sans" w:hAnsi="Noto Sans" w:cs="Noto Sans"/>
        <w:color w:val="497083"/>
        <w:sz w:val="22"/>
        <w:szCs w:val="22"/>
        <w:vertAlign w:val="baseline"/>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18" w15:restartNumberingAfterBreak="0">
    <w:nsid w:val="13107E0A"/>
    <w:multiLevelType w:val="hybridMultilevel"/>
    <w:tmpl w:val="156E8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73341A3"/>
    <w:multiLevelType w:val="hybridMultilevel"/>
    <w:tmpl w:val="A5FC4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960694"/>
    <w:multiLevelType w:val="multilevel"/>
    <w:tmpl w:val="19785CB8"/>
    <w:lvl w:ilvl="0">
      <w:start w:val="1"/>
      <w:numFmt w:val="bullet"/>
      <w:lvlText w:val="▪"/>
      <w:lvlJc w:val="left"/>
      <w:pPr>
        <w:ind w:left="2160" w:hanging="360"/>
      </w:pPr>
      <w:rPr>
        <w:rFonts w:ascii="Noto Sans" w:eastAsia="Noto Sans" w:hAnsi="Noto Sans" w:cs="Noto Sans"/>
        <w:color w:val="497083"/>
        <w:sz w:val="22"/>
        <w:szCs w:val="22"/>
        <w:vertAlign w:val="baseline"/>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w:eastAsia="Noto Sans" w:hAnsi="Noto Sans" w:cs="Noto Sans"/>
      </w:rPr>
    </w:lvl>
    <w:lvl w:ilvl="3">
      <w:start w:val="1"/>
      <w:numFmt w:val="bullet"/>
      <w:lvlText w:val="●"/>
      <w:lvlJc w:val="left"/>
      <w:pPr>
        <w:ind w:left="4320" w:hanging="360"/>
      </w:pPr>
      <w:rPr>
        <w:rFonts w:ascii="Noto Sans" w:eastAsia="Noto Sans" w:hAnsi="Noto Sans" w:cs="Noto San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w:eastAsia="Noto Sans" w:hAnsi="Noto Sans" w:cs="Noto Sans"/>
      </w:rPr>
    </w:lvl>
    <w:lvl w:ilvl="6">
      <w:start w:val="1"/>
      <w:numFmt w:val="bullet"/>
      <w:lvlText w:val="●"/>
      <w:lvlJc w:val="left"/>
      <w:pPr>
        <w:ind w:left="6480" w:hanging="360"/>
      </w:pPr>
      <w:rPr>
        <w:rFonts w:ascii="Noto Sans" w:eastAsia="Noto Sans" w:hAnsi="Noto Sans" w:cs="Noto San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w:eastAsia="Noto Sans" w:hAnsi="Noto Sans" w:cs="Noto Sans"/>
      </w:rPr>
    </w:lvl>
  </w:abstractNum>
  <w:abstractNum w:abstractNumId="21" w15:restartNumberingAfterBreak="0">
    <w:nsid w:val="17B525F6"/>
    <w:multiLevelType w:val="multilevel"/>
    <w:tmpl w:val="FF480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7E3A28"/>
    <w:multiLevelType w:val="hybridMultilevel"/>
    <w:tmpl w:val="0A50FD54"/>
    <w:lvl w:ilvl="0" w:tplc="FFFFFFFF">
      <w:start w:val="1"/>
      <w:numFmt w:val="decimal"/>
      <w:lvlText w:val="%1."/>
      <w:lvlJc w:val="right"/>
      <w:pPr>
        <w:ind w:left="721" w:hanging="360"/>
      </w:pPr>
      <w:rPr>
        <w:rFonts w:hint="default"/>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3" w15:restartNumberingAfterBreak="0">
    <w:nsid w:val="1DEF09B6"/>
    <w:multiLevelType w:val="multilevel"/>
    <w:tmpl w:val="5BECF3A0"/>
    <w:lvl w:ilvl="0">
      <w:start w:val="1"/>
      <w:numFmt w:val="bullet"/>
      <w:pStyle w:val="Naslov11"/>
      <w:lvlText w:val="●"/>
      <w:lvlJc w:val="left"/>
      <w:pPr>
        <w:ind w:left="720" w:hanging="360"/>
      </w:pPr>
      <w:rPr>
        <w:rFonts w:ascii="Noto Sans" w:eastAsia="Noto Sans" w:hAnsi="Noto Sans" w:cs="Noto Sans"/>
      </w:rPr>
    </w:lvl>
    <w:lvl w:ilvl="1">
      <w:start w:val="1"/>
      <w:numFmt w:val="bullet"/>
      <w:pStyle w:val="Naslov21"/>
      <w:lvlText w:val="o"/>
      <w:lvlJc w:val="left"/>
      <w:pPr>
        <w:ind w:left="1440" w:hanging="360"/>
      </w:pPr>
      <w:rPr>
        <w:rFonts w:ascii="Courier New" w:eastAsia="Courier New" w:hAnsi="Courier New" w:cs="Courier New"/>
      </w:rPr>
    </w:lvl>
    <w:lvl w:ilvl="2">
      <w:start w:val="1"/>
      <w:numFmt w:val="bullet"/>
      <w:pStyle w:val="Naslov31"/>
      <w:lvlText w:val="▪"/>
      <w:lvlJc w:val="left"/>
      <w:pPr>
        <w:ind w:left="2160" w:hanging="360"/>
      </w:pPr>
      <w:rPr>
        <w:rFonts w:ascii="Noto Sans" w:eastAsia="Noto Sans" w:hAnsi="Noto Sans" w:cs="Noto Sans"/>
      </w:rPr>
    </w:lvl>
    <w:lvl w:ilvl="3">
      <w:start w:val="1"/>
      <w:numFmt w:val="bullet"/>
      <w:pStyle w:val="Naslov41"/>
      <w:lvlText w:val="●"/>
      <w:lvlJc w:val="left"/>
      <w:pPr>
        <w:ind w:left="2880" w:hanging="360"/>
      </w:pPr>
      <w:rPr>
        <w:rFonts w:ascii="Noto Sans" w:eastAsia="Noto Sans" w:hAnsi="Noto Sans" w:cs="Noto Sans"/>
      </w:rPr>
    </w:lvl>
    <w:lvl w:ilvl="4">
      <w:start w:val="1"/>
      <w:numFmt w:val="bullet"/>
      <w:pStyle w:val="Naslov51"/>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4" w15:restartNumberingAfterBreak="0">
    <w:nsid w:val="1E740DF3"/>
    <w:multiLevelType w:val="multilevel"/>
    <w:tmpl w:val="A2F66A9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5" w15:restartNumberingAfterBreak="0">
    <w:nsid w:val="202262D7"/>
    <w:multiLevelType w:val="hybridMultilevel"/>
    <w:tmpl w:val="1AF0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896383"/>
    <w:multiLevelType w:val="multilevel"/>
    <w:tmpl w:val="D3085000"/>
    <w:lvl w:ilvl="0">
      <w:start w:val="1"/>
      <w:numFmt w:val="bullet"/>
      <w:lvlText w:val="●"/>
      <w:lvlJc w:val="left"/>
      <w:pPr>
        <w:ind w:left="1174" w:hanging="360"/>
      </w:pPr>
      <w:rPr>
        <w:rFonts w:ascii="Noto Sans" w:eastAsia="Noto Sans" w:hAnsi="Noto Sans" w:cs="Noto San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w:eastAsia="Noto Sans" w:hAnsi="Noto Sans" w:cs="Noto Sans"/>
      </w:rPr>
    </w:lvl>
    <w:lvl w:ilvl="3">
      <w:start w:val="1"/>
      <w:numFmt w:val="bullet"/>
      <w:lvlText w:val="●"/>
      <w:lvlJc w:val="left"/>
      <w:pPr>
        <w:ind w:left="3334" w:hanging="360"/>
      </w:pPr>
      <w:rPr>
        <w:rFonts w:ascii="Noto Sans" w:eastAsia="Noto Sans" w:hAnsi="Noto Sans" w:cs="Noto San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w:eastAsia="Noto Sans" w:hAnsi="Noto Sans" w:cs="Noto Sans"/>
      </w:rPr>
    </w:lvl>
    <w:lvl w:ilvl="6">
      <w:start w:val="1"/>
      <w:numFmt w:val="bullet"/>
      <w:lvlText w:val="●"/>
      <w:lvlJc w:val="left"/>
      <w:pPr>
        <w:ind w:left="5494" w:hanging="360"/>
      </w:pPr>
      <w:rPr>
        <w:rFonts w:ascii="Noto Sans" w:eastAsia="Noto Sans" w:hAnsi="Noto Sans" w:cs="Noto San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w:eastAsia="Noto Sans" w:hAnsi="Noto Sans" w:cs="Noto Sans"/>
      </w:rPr>
    </w:lvl>
  </w:abstractNum>
  <w:abstractNum w:abstractNumId="27" w15:restartNumberingAfterBreak="0">
    <w:nsid w:val="20E77E55"/>
    <w:multiLevelType w:val="hybridMultilevel"/>
    <w:tmpl w:val="8BE6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1EE6708"/>
    <w:multiLevelType w:val="multilevel"/>
    <w:tmpl w:val="BD7E3A46"/>
    <w:lvl w:ilvl="0">
      <w:start w:val="1"/>
      <w:numFmt w:val="decimal"/>
      <w:lvlText w:val="%1."/>
      <w:lvlJc w:val="left"/>
      <w:pPr>
        <w:ind w:left="360" w:hanging="360"/>
      </w:pPr>
      <w:rPr>
        <w:rFonts w:hint="default"/>
        <w:b/>
        <w:sz w:val="18"/>
      </w:rPr>
    </w:lvl>
    <w:lvl w:ilvl="1">
      <w:start w:val="1"/>
      <w:numFmt w:val="decimal"/>
      <w:lvlText w:val="%1.%2."/>
      <w:lvlJc w:val="left"/>
      <w:pPr>
        <w:ind w:left="392" w:hanging="360"/>
      </w:pPr>
      <w:rPr>
        <w:rFonts w:hint="default"/>
        <w:b/>
        <w:sz w:val="18"/>
      </w:rPr>
    </w:lvl>
    <w:lvl w:ilvl="2">
      <w:start w:val="1"/>
      <w:numFmt w:val="decimal"/>
      <w:lvlText w:val="%1.%2.%3."/>
      <w:lvlJc w:val="left"/>
      <w:pPr>
        <w:ind w:left="784" w:hanging="720"/>
      </w:pPr>
      <w:rPr>
        <w:rFonts w:hint="default"/>
        <w:b/>
        <w:sz w:val="18"/>
      </w:rPr>
    </w:lvl>
    <w:lvl w:ilvl="3">
      <w:start w:val="1"/>
      <w:numFmt w:val="decimal"/>
      <w:lvlText w:val="%1.%2.%3.%4."/>
      <w:lvlJc w:val="left"/>
      <w:pPr>
        <w:ind w:left="816" w:hanging="720"/>
      </w:pPr>
      <w:rPr>
        <w:rFonts w:hint="default"/>
        <w:b/>
        <w:sz w:val="18"/>
      </w:rPr>
    </w:lvl>
    <w:lvl w:ilvl="4">
      <w:start w:val="1"/>
      <w:numFmt w:val="decimal"/>
      <w:lvlText w:val="%1.%2.%3.%4.%5."/>
      <w:lvlJc w:val="left"/>
      <w:pPr>
        <w:ind w:left="1208" w:hanging="1080"/>
      </w:pPr>
      <w:rPr>
        <w:rFonts w:hint="default"/>
        <w:b/>
        <w:sz w:val="18"/>
      </w:rPr>
    </w:lvl>
    <w:lvl w:ilvl="5">
      <w:start w:val="1"/>
      <w:numFmt w:val="decimal"/>
      <w:lvlText w:val="%1.%2.%3.%4.%5.%6."/>
      <w:lvlJc w:val="left"/>
      <w:pPr>
        <w:ind w:left="1240" w:hanging="1080"/>
      </w:pPr>
      <w:rPr>
        <w:rFonts w:hint="default"/>
        <w:b/>
        <w:sz w:val="18"/>
      </w:rPr>
    </w:lvl>
    <w:lvl w:ilvl="6">
      <w:start w:val="1"/>
      <w:numFmt w:val="decimal"/>
      <w:lvlText w:val="%1.%2.%3.%4.%5.%6.%7."/>
      <w:lvlJc w:val="left"/>
      <w:pPr>
        <w:ind w:left="1632" w:hanging="1440"/>
      </w:pPr>
      <w:rPr>
        <w:rFonts w:hint="default"/>
        <w:b/>
        <w:sz w:val="18"/>
      </w:rPr>
    </w:lvl>
    <w:lvl w:ilvl="7">
      <w:start w:val="1"/>
      <w:numFmt w:val="decimal"/>
      <w:lvlText w:val="%1.%2.%3.%4.%5.%6.%7.%8."/>
      <w:lvlJc w:val="left"/>
      <w:pPr>
        <w:ind w:left="1664" w:hanging="1440"/>
      </w:pPr>
      <w:rPr>
        <w:rFonts w:hint="default"/>
        <w:b/>
        <w:sz w:val="18"/>
      </w:rPr>
    </w:lvl>
    <w:lvl w:ilvl="8">
      <w:start w:val="1"/>
      <w:numFmt w:val="decimal"/>
      <w:lvlText w:val="%1.%2.%3.%4.%5.%6.%7.%8.%9."/>
      <w:lvlJc w:val="left"/>
      <w:pPr>
        <w:ind w:left="2056" w:hanging="1800"/>
      </w:pPr>
      <w:rPr>
        <w:rFonts w:hint="default"/>
        <w:b/>
        <w:sz w:val="18"/>
      </w:rPr>
    </w:lvl>
  </w:abstractNum>
  <w:abstractNum w:abstractNumId="29" w15:restartNumberingAfterBreak="0">
    <w:nsid w:val="22166FB7"/>
    <w:multiLevelType w:val="hybridMultilevel"/>
    <w:tmpl w:val="3878C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E97F57"/>
    <w:multiLevelType w:val="multilevel"/>
    <w:tmpl w:val="F5DEF0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32339E1"/>
    <w:multiLevelType w:val="multilevel"/>
    <w:tmpl w:val="458A15B4"/>
    <w:lvl w:ilvl="0">
      <w:start w:val="1"/>
      <w:numFmt w:val="bullet"/>
      <w:lvlText w:val="▪"/>
      <w:lvlJc w:val="left"/>
      <w:pPr>
        <w:ind w:left="720" w:hanging="360"/>
      </w:pPr>
      <w:rPr>
        <w:rFonts w:ascii="Noto Sans" w:eastAsia="Noto Sans" w:hAnsi="Noto Sans" w:cs="Noto Sans"/>
        <w:color w:val="497083"/>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2" w15:restartNumberingAfterBreak="0">
    <w:nsid w:val="255C7649"/>
    <w:multiLevelType w:val="multilevel"/>
    <w:tmpl w:val="3E8AB3F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3" w15:restartNumberingAfterBreak="0">
    <w:nsid w:val="256D6D81"/>
    <w:multiLevelType w:val="hybridMultilevel"/>
    <w:tmpl w:val="54440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6682B4E"/>
    <w:multiLevelType w:val="hybridMultilevel"/>
    <w:tmpl w:val="1606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4D4C10"/>
    <w:multiLevelType w:val="hybridMultilevel"/>
    <w:tmpl w:val="7C3C74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298A3F33"/>
    <w:multiLevelType w:val="multilevel"/>
    <w:tmpl w:val="AF8AC690"/>
    <w:lvl w:ilvl="0">
      <w:start w:val="1"/>
      <w:numFmt w:val="bullet"/>
      <w:pStyle w:val="Heading1"/>
      <w:lvlText w:val="●"/>
      <w:lvlJc w:val="left"/>
      <w:pPr>
        <w:ind w:left="1181" w:hanging="360"/>
      </w:pPr>
      <w:rPr>
        <w:rFonts w:ascii="Noto Sans" w:eastAsia="Noto Sans" w:hAnsi="Noto Sans" w:cs="Noto Sans"/>
      </w:rPr>
    </w:lvl>
    <w:lvl w:ilvl="1">
      <w:start w:val="1"/>
      <w:numFmt w:val="bullet"/>
      <w:pStyle w:val="Heading2"/>
      <w:lvlText w:val="o"/>
      <w:lvlJc w:val="left"/>
      <w:pPr>
        <w:ind w:left="1901" w:hanging="360"/>
      </w:pPr>
      <w:rPr>
        <w:rFonts w:ascii="Courier New" w:eastAsia="Courier New" w:hAnsi="Courier New" w:cs="Courier New"/>
      </w:rPr>
    </w:lvl>
    <w:lvl w:ilvl="2">
      <w:start w:val="1"/>
      <w:numFmt w:val="bullet"/>
      <w:pStyle w:val="Heading3"/>
      <w:lvlText w:val="▪"/>
      <w:lvlJc w:val="left"/>
      <w:pPr>
        <w:ind w:left="2621" w:hanging="360"/>
      </w:pPr>
      <w:rPr>
        <w:rFonts w:ascii="Noto Sans" w:eastAsia="Noto Sans" w:hAnsi="Noto Sans" w:cs="Noto Sans"/>
      </w:rPr>
    </w:lvl>
    <w:lvl w:ilvl="3">
      <w:start w:val="1"/>
      <w:numFmt w:val="bullet"/>
      <w:lvlText w:val="●"/>
      <w:lvlJc w:val="left"/>
      <w:pPr>
        <w:ind w:left="3341" w:hanging="360"/>
      </w:pPr>
      <w:rPr>
        <w:rFonts w:ascii="Noto Sans" w:eastAsia="Noto Sans" w:hAnsi="Noto Sans" w:cs="Noto Sans"/>
      </w:rPr>
    </w:lvl>
    <w:lvl w:ilvl="4">
      <w:start w:val="1"/>
      <w:numFmt w:val="bullet"/>
      <w:lvlText w:val="o"/>
      <w:lvlJc w:val="left"/>
      <w:pPr>
        <w:ind w:left="4061" w:hanging="360"/>
      </w:pPr>
      <w:rPr>
        <w:rFonts w:ascii="Courier New" w:eastAsia="Courier New" w:hAnsi="Courier New" w:cs="Courier New"/>
      </w:rPr>
    </w:lvl>
    <w:lvl w:ilvl="5">
      <w:start w:val="1"/>
      <w:numFmt w:val="bullet"/>
      <w:lvlText w:val="▪"/>
      <w:lvlJc w:val="left"/>
      <w:pPr>
        <w:ind w:left="4781" w:hanging="360"/>
      </w:pPr>
      <w:rPr>
        <w:rFonts w:ascii="Noto Sans" w:eastAsia="Noto Sans" w:hAnsi="Noto Sans" w:cs="Noto Sans"/>
      </w:rPr>
    </w:lvl>
    <w:lvl w:ilvl="6">
      <w:start w:val="1"/>
      <w:numFmt w:val="bullet"/>
      <w:lvlText w:val="●"/>
      <w:lvlJc w:val="left"/>
      <w:pPr>
        <w:ind w:left="5501" w:hanging="360"/>
      </w:pPr>
      <w:rPr>
        <w:rFonts w:ascii="Noto Sans" w:eastAsia="Noto Sans" w:hAnsi="Noto Sans" w:cs="Noto Sans"/>
      </w:rPr>
    </w:lvl>
    <w:lvl w:ilvl="7">
      <w:start w:val="1"/>
      <w:numFmt w:val="bullet"/>
      <w:lvlText w:val="o"/>
      <w:lvlJc w:val="left"/>
      <w:pPr>
        <w:ind w:left="6221" w:hanging="360"/>
      </w:pPr>
      <w:rPr>
        <w:rFonts w:ascii="Courier New" w:eastAsia="Courier New" w:hAnsi="Courier New" w:cs="Courier New"/>
      </w:rPr>
    </w:lvl>
    <w:lvl w:ilvl="8">
      <w:start w:val="1"/>
      <w:numFmt w:val="bullet"/>
      <w:lvlText w:val="▪"/>
      <w:lvlJc w:val="left"/>
      <w:pPr>
        <w:ind w:left="6941" w:hanging="360"/>
      </w:pPr>
      <w:rPr>
        <w:rFonts w:ascii="Noto Sans" w:eastAsia="Noto Sans" w:hAnsi="Noto Sans" w:cs="Noto Sans"/>
      </w:rPr>
    </w:lvl>
  </w:abstractNum>
  <w:abstractNum w:abstractNumId="37" w15:restartNumberingAfterBreak="0">
    <w:nsid w:val="2D3871F6"/>
    <w:multiLevelType w:val="hybridMultilevel"/>
    <w:tmpl w:val="B0C059DC"/>
    <w:lvl w:ilvl="0" w:tplc="04090001">
      <w:start w:val="1"/>
      <w:numFmt w:val="bullet"/>
      <w:lvlText w:val=""/>
      <w:lvlJc w:val="left"/>
      <w:pPr>
        <w:ind w:left="721" w:hanging="360"/>
      </w:pPr>
      <w:rPr>
        <w:rFonts w:ascii="Symbol" w:hAnsi="Symbol"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38" w15:restartNumberingAfterBreak="0">
    <w:nsid w:val="2E176938"/>
    <w:multiLevelType w:val="hybridMultilevel"/>
    <w:tmpl w:val="6E9CBDB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2FD37414"/>
    <w:multiLevelType w:val="multilevel"/>
    <w:tmpl w:val="D13EE4A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0" w15:restartNumberingAfterBreak="0">
    <w:nsid w:val="331D0E0C"/>
    <w:multiLevelType w:val="hybridMultilevel"/>
    <w:tmpl w:val="62FE3BA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4CB0D4E"/>
    <w:multiLevelType w:val="hybridMultilevel"/>
    <w:tmpl w:val="E864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6B1377"/>
    <w:multiLevelType w:val="multilevel"/>
    <w:tmpl w:val="D9924538"/>
    <w:lvl w:ilvl="0">
      <w:start w:val="1"/>
      <w:numFmt w:val="decimal"/>
      <w:lvlText w:val="%1."/>
      <w:lvlJc w:val="left"/>
      <w:pPr>
        <w:ind w:left="360" w:hanging="360"/>
      </w:pPr>
      <w:rPr>
        <w:rFonts w:hint="default"/>
        <w:b/>
        <w:sz w:val="18"/>
      </w:rPr>
    </w:lvl>
    <w:lvl w:ilvl="1">
      <w:start w:val="1"/>
      <w:numFmt w:val="decimal"/>
      <w:lvlText w:val="%1.%2."/>
      <w:lvlJc w:val="left"/>
      <w:pPr>
        <w:ind w:left="392" w:hanging="360"/>
      </w:pPr>
      <w:rPr>
        <w:rFonts w:hint="default"/>
        <w:b/>
        <w:sz w:val="18"/>
      </w:rPr>
    </w:lvl>
    <w:lvl w:ilvl="2">
      <w:start w:val="1"/>
      <w:numFmt w:val="decimal"/>
      <w:lvlText w:val="%1.%2.%3."/>
      <w:lvlJc w:val="left"/>
      <w:pPr>
        <w:ind w:left="784" w:hanging="720"/>
      </w:pPr>
      <w:rPr>
        <w:rFonts w:hint="default"/>
        <w:b/>
        <w:sz w:val="18"/>
      </w:rPr>
    </w:lvl>
    <w:lvl w:ilvl="3">
      <w:start w:val="1"/>
      <w:numFmt w:val="decimal"/>
      <w:lvlText w:val="%1.%2.%3.%4."/>
      <w:lvlJc w:val="left"/>
      <w:pPr>
        <w:ind w:left="816" w:hanging="720"/>
      </w:pPr>
      <w:rPr>
        <w:rFonts w:hint="default"/>
        <w:b/>
        <w:sz w:val="18"/>
      </w:rPr>
    </w:lvl>
    <w:lvl w:ilvl="4">
      <w:start w:val="1"/>
      <w:numFmt w:val="decimal"/>
      <w:lvlText w:val="%1.%2.%3.%4.%5."/>
      <w:lvlJc w:val="left"/>
      <w:pPr>
        <w:ind w:left="1208" w:hanging="1080"/>
      </w:pPr>
      <w:rPr>
        <w:rFonts w:hint="default"/>
        <w:b/>
        <w:sz w:val="18"/>
      </w:rPr>
    </w:lvl>
    <w:lvl w:ilvl="5">
      <w:start w:val="1"/>
      <w:numFmt w:val="decimal"/>
      <w:lvlText w:val="%1.%2.%3.%4.%5.%6."/>
      <w:lvlJc w:val="left"/>
      <w:pPr>
        <w:ind w:left="1240" w:hanging="1080"/>
      </w:pPr>
      <w:rPr>
        <w:rFonts w:hint="default"/>
        <w:b/>
        <w:sz w:val="18"/>
      </w:rPr>
    </w:lvl>
    <w:lvl w:ilvl="6">
      <w:start w:val="1"/>
      <w:numFmt w:val="decimal"/>
      <w:lvlText w:val="%1.%2.%3.%4.%5.%6.%7."/>
      <w:lvlJc w:val="left"/>
      <w:pPr>
        <w:ind w:left="1632" w:hanging="1440"/>
      </w:pPr>
      <w:rPr>
        <w:rFonts w:hint="default"/>
        <w:b/>
        <w:sz w:val="18"/>
      </w:rPr>
    </w:lvl>
    <w:lvl w:ilvl="7">
      <w:start w:val="1"/>
      <w:numFmt w:val="decimal"/>
      <w:lvlText w:val="%1.%2.%3.%4.%5.%6.%7.%8."/>
      <w:lvlJc w:val="left"/>
      <w:pPr>
        <w:ind w:left="1664" w:hanging="1440"/>
      </w:pPr>
      <w:rPr>
        <w:rFonts w:hint="default"/>
        <w:b/>
        <w:sz w:val="18"/>
      </w:rPr>
    </w:lvl>
    <w:lvl w:ilvl="8">
      <w:start w:val="1"/>
      <w:numFmt w:val="decimal"/>
      <w:lvlText w:val="%1.%2.%3.%4.%5.%6.%7.%8.%9."/>
      <w:lvlJc w:val="left"/>
      <w:pPr>
        <w:ind w:left="2056" w:hanging="1800"/>
      </w:pPr>
      <w:rPr>
        <w:rFonts w:hint="default"/>
        <w:b/>
        <w:sz w:val="18"/>
      </w:rPr>
    </w:lvl>
  </w:abstractNum>
  <w:abstractNum w:abstractNumId="43" w15:restartNumberingAfterBreak="0">
    <w:nsid w:val="36BF07CC"/>
    <w:multiLevelType w:val="hybridMultilevel"/>
    <w:tmpl w:val="62FE3BA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7ED3FE9"/>
    <w:multiLevelType w:val="multilevel"/>
    <w:tmpl w:val="2BFA98E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45" w15:restartNumberingAfterBreak="0">
    <w:nsid w:val="3978759F"/>
    <w:multiLevelType w:val="multilevel"/>
    <w:tmpl w:val="3318A8AA"/>
    <w:lvl w:ilvl="0">
      <w:start w:val="1"/>
      <w:numFmt w:val="decimal"/>
      <w:lvlText w:val="%1."/>
      <w:lvlJc w:val="left"/>
      <w:pPr>
        <w:ind w:left="360" w:hanging="360"/>
      </w:pPr>
      <w:rPr>
        <w:rFonts w:hint="default"/>
        <w:b/>
        <w:sz w:val="18"/>
      </w:rPr>
    </w:lvl>
    <w:lvl w:ilvl="1">
      <w:start w:val="1"/>
      <w:numFmt w:val="decimal"/>
      <w:lvlText w:val="%1.%2."/>
      <w:lvlJc w:val="left"/>
      <w:pPr>
        <w:ind w:left="392" w:hanging="360"/>
      </w:pPr>
      <w:rPr>
        <w:rFonts w:hint="default"/>
        <w:b/>
        <w:sz w:val="18"/>
      </w:rPr>
    </w:lvl>
    <w:lvl w:ilvl="2">
      <w:start w:val="1"/>
      <w:numFmt w:val="decimal"/>
      <w:lvlText w:val="%1.%2.%3."/>
      <w:lvlJc w:val="left"/>
      <w:pPr>
        <w:ind w:left="784" w:hanging="720"/>
      </w:pPr>
      <w:rPr>
        <w:rFonts w:hint="default"/>
        <w:b/>
        <w:sz w:val="18"/>
      </w:rPr>
    </w:lvl>
    <w:lvl w:ilvl="3">
      <w:start w:val="1"/>
      <w:numFmt w:val="decimal"/>
      <w:lvlText w:val="%1.%2.%3.%4."/>
      <w:lvlJc w:val="left"/>
      <w:pPr>
        <w:ind w:left="816" w:hanging="720"/>
      </w:pPr>
      <w:rPr>
        <w:rFonts w:hint="default"/>
        <w:b/>
        <w:sz w:val="18"/>
      </w:rPr>
    </w:lvl>
    <w:lvl w:ilvl="4">
      <w:start w:val="1"/>
      <w:numFmt w:val="decimal"/>
      <w:lvlText w:val="%1.%2.%3.%4.%5."/>
      <w:lvlJc w:val="left"/>
      <w:pPr>
        <w:ind w:left="1208" w:hanging="1080"/>
      </w:pPr>
      <w:rPr>
        <w:rFonts w:hint="default"/>
        <w:b/>
        <w:sz w:val="18"/>
      </w:rPr>
    </w:lvl>
    <w:lvl w:ilvl="5">
      <w:start w:val="1"/>
      <w:numFmt w:val="decimal"/>
      <w:lvlText w:val="%1.%2.%3.%4.%5.%6."/>
      <w:lvlJc w:val="left"/>
      <w:pPr>
        <w:ind w:left="1240" w:hanging="1080"/>
      </w:pPr>
      <w:rPr>
        <w:rFonts w:hint="default"/>
        <w:b/>
        <w:sz w:val="18"/>
      </w:rPr>
    </w:lvl>
    <w:lvl w:ilvl="6">
      <w:start w:val="1"/>
      <w:numFmt w:val="decimal"/>
      <w:lvlText w:val="%1.%2.%3.%4.%5.%6.%7."/>
      <w:lvlJc w:val="left"/>
      <w:pPr>
        <w:ind w:left="1632" w:hanging="1440"/>
      </w:pPr>
      <w:rPr>
        <w:rFonts w:hint="default"/>
        <w:b/>
        <w:sz w:val="18"/>
      </w:rPr>
    </w:lvl>
    <w:lvl w:ilvl="7">
      <w:start w:val="1"/>
      <w:numFmt w:val="decimal"/>
      <w:lvlText w:val="%1.%2.%3.%4.%5.%6.%7.%8."/>
      <w:lvlJc w:val="left"/>
      <w:pPr>
        <w:ind w:left="1664" w:hanging="1440"/>
      </w:pPr>
      <w:rPr>
        <w:rFonts w:hint="default"/>
        <w:b/>
        <w:sz w:val="18"/>
      </w:rPr>
    </w:lvl>
    <w:lvl w:ilvl="8">
      <w:start w:val="1"/>
      <w:numFmt w:val="decimal"/>
      <w:lvlText w:val="%1.%2.%3.%4.%5.%6.%7.%8.%9."/>
      <w:lvlJc w:val="left"/>
      <w:pPr>
        <w:ind w:left="2056" w:hanging="1800"/>
      </w:pPr>
      <w:rPr>
        <w:rFonts w:hint="default"/>
        <w:b/>
        <w:sz w:val="18"/>
      </w:rPr>
    </w:lvl>
  </w:abstractNum>
  <w:abstractNum w:abstractNumId="46" w15:restartNumberingAfterBreak="0">
    <w:nsid w:val="3BFE41F4"/>
    <w:multiLevelType w:val="hybridMultilevel"/>
    <w:tmpl w:val="0A50FD54"/>
    <w:lvl w:ilvl="0" w:tplc="04686226">
      <w:start w:val="1"/>
      <w:numFmt w:val="decimal"/>
      <w:lvlText w:val="%1."/>
      <w:lvlJc w:val="righ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7" w15:restartNumberingAfterBreak="0">
    <w:nsid w:val="3CB831B8"/>
    <w:multiLevelType w:val="hybridMultilevel"/>
    <w:tmpl w:val="274E5700"/>
    <w:lvl w:ilvl="0" w:tplc="04090001">
      <w:start w:val="1"/>
      <w:numFmt w:val="bullet"/>
      <w:lvlText w:val=""/>
      <w:lvlJc w:val="left"/>
      <w:pPr>
        <w:ind w:left="1431" w:hanging="360"/>
      </w:pPr>
      <w:rPr>
        <w:rFonts w:ascii="Symbol" w:hAnsi="Symbo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48" w15:restartNumberingAfterBreak="0">
    <w:nsid w:val="3CCE5FF9"/>
    <w:multiLevelType w:val="multilevel"/>
    <w:tmpl w:val="99B688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288"/>
      </w:pPr>
    </w:lvl>
    <w:lvl w:ilvl="3">
      <w:start w:val="1"/>
      <w:numFmt w:val="decimal"/>
      <w:lvlText w:val="%1.%2.%3.%4."/>
      <w:lvlJc w:val="left"/>
      <w:pPr>
        <w:ind w:left="2592" w:hanging="1512"/>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3D7F6AFD"/>
    <w:multiLevelType w:val="hybridMultilevel"/>
    <w:tmpl w:val="9A0C2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0B6FF0"/>
    <w:multiLevelType w:val="hybridMultilevel"/>
    <w:tmpl w:val="4D74AB3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40D978EC"/>
    <w:multiLevelType w:val="hybridMultilevel"/>
    <w:tmpl w:val="5A0CF37A"/>
    <w:lvl w:ilvl="0" w:tplc="703C1FF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52" w15:restartNumberingAfterBreak="0">
    <w:nsid w:val="42E762E2"/>
    <w:multiLevelType w:val="multilevel"/>
    <w:tmpl w:val="9B9C226A"/>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3" w15:restartNumberingAfterBreak="0">
    <w:nsid w:val="42EE6085"/>
    <w:multiLevelType w:val="hybridMultilevel"/>
    <w:tmpl w:val="10C6D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3D9291C"/>
    <w:multiLevelType w:val="multilevel"/>
    <w:tmpl w:val="88EA145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5" w15:restartNumberingAfterBreak="0">
    <w:nsid w:val="44693C6F"/>
    <w:multiLevelType w:val="multilevel"/>
    <w:tmpl w:val="5EB270FA"/>
    <w:lvl w:ilvl="0">
      <w:start w:val="1"/>
      <w:numFmt w:val="decimal"/>
      <w:pStyle w:val="111Naslovtrecegreda"/>
      <w:lvlText w:val="%1."/>
      <w:lvlJc w:val="left"/>
      <w:pPr>
        <w:ind w:left="720" w:hanging="360"/>
      </w:pPr>
    </w:lvl>
    <w:lvl w:ilvl="1">
      <w:numFmt w:val="bullet"/>
      <w:lvlText w:val="-"/>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6" w15:restartNumberingAfterBreak="0">
    <w:nsid w:val="451445A3"/>
    <w:multiLevelType w:val="hybridMultilevel"/>
    <w:tmpl w:val="B2247B9A"/>
    <w:lvl w:ilvl="0" w:tplc="04090001">
      <w:start w:val="1"/>
      <w:numFmt w:val="bullet"/>
      <w:lvlText w:val=""/>
      <w:lvlJc w:val="left"/>
      <w:pPr>
        <w:ind w:left="721" w:hanging="360"/>
      </w:pPr>
      <w:rPr>
        <w:rFonts w:ascii="Symbol" w:hAnsi="Symbol" w:hint="default"/>
      </w:rPr>
    </w:lvl>
    <w:lvl w:ilvl="1" w:tplc="04090003">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7" w15:restartNumberingAfterBreak="0">
    <w:nsid w:val="454A6143"/>
    <w:multiLevelType w:val="multilevel"/>
    <w:tmpl w:val="374CC74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58" w15:restartNumberingAfterBreak="0">
    <w:nsid w:val="47CB7F96"/>
    <w:multiLevelType w:val="hybridMultilevel"/>
    <w:tmpl w:val="EC2623E0"/>
    <w:lvl w:ilvl="0" w:tplc="04090001">
      <w:start w:val="1"/>
      <w:numFmt w:val="bullet"/>
      <w:lvlText w:val=""/>
      <w:lvlJc w:val="left"/>
      <w:pPr>
        <w:ind w:left="721" w:hanging="360"/>
      </w:pPr>
      <w:rPr>
        <w:rFonts w:ascii="Symbol" w:hAnsi="Symbol"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59" w15:restartNumberingAfterBreak="0">
    <w:nsid w:val="4A113BC9"/>
    <w:multiLevelType w:val="multilevel"/>
    <w:tmpl w:val="A63841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60" w15:restartNumberingAfterBreak="0">
    <w:nsid w:val="4A556920"/>
    <w:multiLevelType w:val="multilevel"/>
    <w:tmpl w:val="67745684"/>
    <w:lvl w:ilvl="0">
      <w:start w:val="1"/>
      <w:numFmt w:val="bullet"/>
      <w:lvlText w:val="▪"/>
      <w:lvlJc w:val="left"/>
      <w:pPr>
        <w:ind w:left="800" w:hanging="360"/>
      </w:pPr>
      <w:rPr>
        <w:rFonts w:ascii="Noto Sans" w:eastAsia="Noto Sans" w:hAnsi="Noto Sans" w:cs="Noto Sans"/>
        <w:color w:val="000000"/>
        <w:sz w:val="22"/>
        <w:szCs w:val="22"/>
        <w:vertAlign w:val="baseline"/>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w:eastAsia="Noto Sans" w:hAnsi="Noto Sans" w:cs="Noto Sans"/>
      </w:rPr>
    </w:lvl>
    <w:lvl w:ilvl="3">
      <w:start w:val="1"/>
      <w:numFmt w:val="bullet"/>
      <w:lvlText w:val="●"/>
      <w:lvlJc w:val="left"/>
      <w:pPr>
        <w:ind w:left="2960" w:hanging="360"/>
      </w:pPr>
      <w:rPr>
        <w:rFonts w:ascii="Noto Sans" w:eastAsia="Noto Sans" w:hAnsi="Noto Sans" w:cs="Noto San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w:eastAsia="Noto Sans" w:hAnsi="Noto Sans" w:cs="Noto Sans"/>
      </w:rPr>
    </w:lvl>
    <w:lvl w:ilvl="6">
      <w:start w:val="1"/>
      <w:numFmt w:val="bullet"/>
      <w:lvlText w:val="●"/>
      <w:lvlJc w:val="left"/>
      <w:pPr>
        <w:ind w:left="5120" w:hanging="360"/>
      </w:pPr>
      <w:rPr>
        <w:rFonts w:ascii="Noto Sans" w:eastAsia="Noto Sans" w:hAnsi="Noto Sans" w:cs="Noto San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w:eastAsia="Noto Sans" w:hAnsi="Noto Sans" w:cs="Noto Sans"/>
      </w:rPr>
    </w:lvl>
  </w:abstractNum>
  <w:abstractNum w:abstractNumId="61" w15:restartNumberingAfterBreak="0">
    <w:nsid w:val="4C1462CC"/>
    <w:multiLevelType w:val="hybridMultilevel"/>
    <w:tmpl w:val="4EFED20A"/>
    <w:lvl w:ilvl="0" w:tplc="5442DC8E">
      <w:start w:val="1"/>
      <w:numFmt w:val="bullet"/>
      <w:lvlText w:val=""/>
      <w:lvlJc w:val="left"/>
      <w:pPr>
        <w:ind w:left="1080" w:hanging="360"/>
      </w:pPr>
      <w:rPr>
        <w:rFonts w:ascii="Wingdings" w:hAnsi="Wingdings" w:hint="default"/>
        <w:color w:val="497083"/>
        <w:sz w:val="22"/>
        <w:szCs w:val="22"/>
        <w:vertAlign w:val="baseline"/>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2" w15:restartNumberingAfterBreak="0">
    <w:nsid w:val="4D370CDD"/>
    <w:multiLevelType w:val="multilevel"/>
    <w:tmpl w:val="625AAE34"/>
    <w:lvl w:ilvl="0">
      <w:start w:val="1"/>
      <w:numFmt w:val="decimal"/>
      <w:lvlText w:val="%1."/>
      <w:lvlJc w:val="left"/>
      <w:pPr>
        <w:ind w:left="360" w:hanging="360"/>
      </w:pPr>
      <w:rPr>
        <w:rFonts w:hint="default"/>
        <w:b/>
        <w:sz w:val="18"/>
      </w:rPr>
    </w:lvl>
    <w:lvl w:ilvl="1">
      <w:start w:val="1"/>
      <w:numFmt w:val="decimal"/>
      <w:lvlText w:val="%1.%2."/>
      <w:lvlJc w:val="left"/>
      <w:pPr>
        <w:ind w:left="392" w:hanging="360"/>
      </w:pPr>
      <w:rPr>
        <w:rFonts w:hint="default"/>
        <w:b/>
        <w:sz w:val="18"/>
      </w:rPr>
    </w:lvl>
    <w:lvl w:ilvl="2">
      <w:start w:val="1"/>
      <w:numFmt w:val="decimal"/>
      <w:lvlText w:val="%1.%2.%3."/>
      <w:lvlJc w:val="left"/>
      <w:pPr>
        <w:ind w:left="784" w:hanging="720"/>
      </w:pPr>
      <w:rPr>
        <w:rFonts w:hint="default"/>
        <w:b/>
        <w:sz w:val="18"/>
      </w:rPr>
    </w:lvl>
    <w:lvl w:ilvl="3">
      <w:start w:val="1"/>
      <w:numFmt w:val="decimal"/>
      <w:lvlText w:val="%1.%2.%3.%4."/>
      <w:lvlJc w:val="left"/>
      <w:pPr>
        <w:ind w:left="816" w:hanging="720"/>
      </w:pPr>
      <w:rPr>
        <w:rFonts w:hint="default"/>
        <w:b/>
        <w:sz w:val="18"/>
      </w:rPr>
    </w:lvl>
    <w:lvl w:ilvl="4">
      <w:start w:val="1"/>
      <w:numFmt w:val="decimal"/>
      <w:lvlText w:val="%1.%2.%3.%4.%5."/>
      <w:lvlJc w:val="left"/>
      <w:pPr>
        <w:ind w:left="1208" w:hanging="1080"/>
      </w:pPr>
      <w:rPr>
        <w:rFonts w:hint="default"/>
        <w:b/>
        <w:sz w:val="18"/>
      </w:rPr>
    </w:lvl>
    <w:lvl w:ilvl="5">
      <w:start w:val="1"/>
      <w:numFmt w:val="decimal"/>
      <w:lvlText w:val="%1.%2.%3.%4.%5.%6."/>
      <w:lvlJc w:val="left"/>
      <w:pPr>
        <w:ind w:left="1240" w:hanging="1080"/>
      </w:pPr>
      <w:rPr>
        <w:rFonts w:hint="default"/>
        <w:b/>
        <w:sz w:val="18"/>
      </w:rPr>
    </w:lvl>
    <w:lvl w:ilvl="6">
      <w:start w:val="1"/>
      <w:numFmt w:val="decimal"/>
      <w:lvlText w:val="%1.%2.%3.%4.%5.%6.%7."/>
      <w:lvlJc w:val="left"/>
      <w:pPr>
        <w:ind w:left="1632" w:hanging="1440"/>
      </w:pPr>
      <w:rPr>
        <w:rFonts w:hint="default"/>
        <w:b/>
        <w:sz w:val="18"/>
      </w:rPr>
    </w:lvl>
    <w:lvl w:ilvl="7">
      <w:start w:val="1"/>
      <w:numFmt w:val="decimal"/>
      <w:lvlText w:val="%1.%2.%3.%4.%5.%6.%7.%8."/>
      <w:lvlJc w:val="left"/>
      <w:pPr>
        <w:ind w:left="1664" w:hanging="1440"/>
      </w:pPr>
      <w:rPr>
        <w:rFonts w:hint="default"/>
        <w:b/>
        <w:sz w:val="18"/>
      </w:rPr>
    </w:lvl>
    <w:lvl w:ilvl="8">
      <w:start w:val="1"/>
      <w:numFmt w:val="decimal"/>
      <w:lvlText w:val="%1.%2.%3.%4.%5.%6.%7.%8.%9."/>
      <w:lvlJc w:val="left"/>
      <w:pPr>
        <w:ind w:left="2056" w:hanging="1800"/>
      </w:pPr>
      <w:rPr>
        <w:rFonts w:hint="default"/>
        <w:b/>
        <w:sz w:val="18"/>
      </w:rPr>
    </w:lvl>
  </w:abstractNum>
  <w:abstractNum w:abstractNumId="63" w15:restartNumberingAfterBreak="0">
    <w:nsid w:val="4E6B2C95"/>
    <w:multiLevelType w:val="hybridMultilevel"/>
    <w:tmpl w:val="22AED9F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64" w15:restartNumberingAfterBreak="0">
    <w:nsid w:val="507E2705"/>
    <w:multiLevelType w:val="hybridMultilevel"/>
    <w:tmpl w:val="32DEC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11A27A8"/>
    <w:multiLevelType w:val="multilevel"/>
    <w:tmpl w:val="FEEC66B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6" w15:restartNumberingAfterBreak="0">
    <w:nsid w:val="51AE43D7"/>
    <w:multiLevelType w:val="hybridMultilevel"/>
    <w:tmpl w:val="ECE81442"/>
    <w:lvl w:ilvl="0" w:tplc="0468622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3564C2F"/>
    <w:multiLevelType w:val="hybridMultilevel"/>
    <w:tmpl w:val="EE446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5F705B"/>
    <w:multiLevelType w:val="multilevel"/>
    <w:tmpl w:val="2D36F554"/>
    <w:lvl w:ilvl="0">
      <w:start w:val="1"/>
      <w:numFmt w:val="decimal"/>
      <w:lvlText w:val="%1."/>
      <w:lvlJc w:val="left"/>
      <w:pPr>
        <w:ind w:left="360" w:hanging="360"/>
      </w:pPr>
      <w:rPr>
        <w:rFonts w:hint="default"/>
        <w:b/>
        <w:sz w:val="18"/>
      </w:rPr>
    </w:lvl>
    <w:lvl w:ilvl="1">
      <w:start w:val="1"/>
      <w:numFmt w:val="decimal"/>
      <w:lvlText w:val="%1.%2."/>
      <w:lvlJc w:val="left"/>
      <w:pPr>
        <w:ind w:left="392" w:hanging="360"/>
      </w:pPr>
      <w:rPr>
        <w:rFonts w:hint="default"/>
        <w:b/>
        <w:sz w:val="18"/>
      </w:rPr>
    </w:lvl>
    <w:lvl w:ilvl="2">
      <w:start w:val="1"/>
      <w:numFmt w:val="decimal"/>
      <w:lvlText w:val="%1.%2.%3."/>
      <w:lvlJc w:val="left"/>
      <w:pPr>
        <w:ind w:left="784" w:hanging="720"/>
      </w:pPr>
      <w:rPr>
        <w:rFonts w:hint="default"/>
        <w:b/>
        <w:sz w:val="18"/>
      </w:rPr>
    </w:lvl>
    <w:lvl w:ilvl="3">
      <w:start w:val="1"/>
      <w:numFmt w:val="decimal"/>
      <w:lvlText w:val="%1.%2.%3.%4."/>
      <w:lvlJc w:val="left"/>
      <w:pPr>
        <w:ind w:left="816" w:hanging="720"/>
      </w:pPr>
      <w:rPr>
        <w:rFonts w:hint="default"/>
        <w:b/>
        <w:sz w:val="18"/>
      </w:rPr>
    </w:lvl>
    <w:lvl w:ilvl="4">
      <w:start w:val="1"/>
      <w:numFmt w:val="decimal"/>
      <w:lvlText w:val="%1.%2.%3.%4.%5."/>
      <w:lvlJc w:val="left"/>
      <w:pPr>
        <w:ind w:left="1208" w:hanging="1080"/>
      </w:pPr>
      <w:rPr>
        <w:rFonts w:hint="default"/>
        <w:b/>
        <w:sz w:val="18"/>
      </w:rPr>
    </w:lvl>
    <w:lvl w:ilvl="5">
      <w:start w:val="1"/>
      <w:numFmt w:val="decimal"/>
      <w:lvlText w:val="%1.%2.%3.%4.%5.%6."/>
      <w:lvlJc w:val="left"/>
      <w:pPr>
        <w:ind w:left="1240" w:hanging="1080"/>
      </w:pPr>
      <w:rPr>
        <w:rFonts w:hint="default"/>
        <w:b/>
        <w:sz w:val="18"/>
      </w:rPr>
    </w:lvl>
    <w:lvl w:ilvl="6">
      <w:start w:val="1"/>
      <w:numFmt w:val="decimal"/>
      <w:lvlText w:val="%1.%2.%3.%4.%5.%6.%7."/>
      <w:lvlJc w:val="left"/>
      <w:pPr>
        <w:ind w:left="1632" w:hanging="1440"/>
      </w:pPr>
      <w:rPr>
        <w:rFonts w:hint="default"/>
        <w:b/>
        <w:sz w:val="18"/>
      </w:rPr>
    </w:lvl>
    <w:lvl w:ilvl="7">
      <w:start w:val="1"/>
      <w:numFmt w:val="decimal"/>
      <w:lvlText w:val="%1.%2.%3.%4.%5.%6.%7.%8."/>
      <w:lvlJc w:val="left"/>
      <w:pPr>
        <w:ind w:left="1664" w:hanging="1440"/>
      </w:pPr>
      <w:rPr>
        <w:rFonts w:hint="default"/>
        <w:b/>
        <w:sz w:val="18"/>
      </w:rPr>
    </w:lvl>
    <w:lvl w:ilvl="8">
      <w:start w:val="1"/>
      <w:numFmt w:val="decimal"/>
      <w:lvlText w:val="%1.%2.%3.%4.%5.%6.%7.%8.%9."/>
      <w:lvlJc w:val="left"/>
      <w:pPr>
        <w:ind w:left="2056" w:hanging="1800"/>
      </w:pPr>
      <w:rPr>
        <w:rFonts w:hint="default"/>
        <w:b/>
        <w:sz w:val="18"/>
      </w:rPr>
    </w:lvl>
  </w:abstractNum>
  <w:abstractNum w:abstractNumId="69" w15:restartNumberingAfterBreak="0">
    <w:nsid w:val="56D9140F"/>
    <w:multiLevelType w:val="multilevel"/>
    <w:tmpl w:val="95A430DA"/>
    <w:lvl w:ilvl="0">
      <w:start w:val="1"/>
      <w:numFmt w:val="decimal"/>
      <w:lvlText w:val="SI %1."/>
      <w:lvlJc w:val="left"/>
      <w:pPr>
        <w:ind w:left="800" w:hanging="360"/>
      </w:pPr>
      <w:rPr>
        <w:b/>
        <w:color w:val="000000"/>
        <w:sz w:val="22"/>
        <w:szCs w:val="22"/>
        <w:vertAlign w:val="baseline"/>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w:eastAsia="Noto Sans" w:hAnsi="Noto Sans" w:cs="Noto Sans"/>
      </w:rPr>
    </w:lvl>
    <w:lvl w:ilvl="3">
      <w:start w:val="1"/>
      <w:numFmt w:val="bullet"/>
      <w:lvlText w:val="●"/>
      <w:lvlJc w:val="left"/>
      <w:pPr>
        <w:ind w:left="2960" w:hanging="360"/>
      </w:pPr>
      <w:rPr>
        <w:rFonts w:ascii="Noto Sans" w:eastAsia="Noto Sans" w:hAnsi="Noto Sans" w:cs="Noto San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w:eastAsia="Noto Sans" w:hAnsi="Noto Sans" w:cs="Noto Sans"/>
      </w:rPr>
    </w:lvl>
    <w:lvl w:ilvl="6">
      <w:start w:val="1"/>
      <w:numFmt w:val="bullet"/>
      <w:lvlText w:val="●"/>
      <w:lvlJc w:val="left"/>
      <w:pPr>
        <w:ind w:left="5120" w:hanging="360"/>
      </w:pPr>
      <w:rPr>
        <w:rFonts w:ascii="Noto Sans" w:eastAsia="Noto Sans" w:hAnsi="Noto Sans" w:cs="Noto San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w:eastAsia="Noto Sans" w:hAnsi="Noto Sans" w:cs="Noto Sans"/>
      </w:rPr>
    </w:lvl>
  </w:abstractNum>
  <w:abstractNum w:abstractNumId="70" w15:restartNumberingAfterBreak="0">
    <w:nsid w:val="5744265C"/>
    <w:multiLevelType w:val="multilevel"/>
    <w:tmpl w:val="A7968EF0"/>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1" w15:restartNumberingAfterBreak="0">
    <w:nsid w:val="57D41A62"/>
    <w:multiLevelType w:val="hybridMultilevel"/>
    <w:tmpl w:val="9898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91422F1"/>
    <w:multiLevelType w:val="multilevel"/>
    <w:tmpl w:val="45BA56C6"/>
    <w:lvl w:ilvl="0">
      <w:start w:val="1"/>
      <w:numFmt w:val="bullet"/>
      <w:pStyle w:val="myListBulleted-1"/>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3" w15:restartNumberingAfterBreak="0">
    <w:nsid w:val="59277415"/>
    <w:multiLevelType w:val="hybridMultilevel"/>
    <w:tmpl w:val="2FA89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A762806"/>
    <w:multiLevelType w:val="hybridMultilevel"/>
    <w:tmpl w:val="47726CB6"/>
    <w:lvl w:ilvl="0" w:tplc="04090001">
      <w:start w:val="1"/>
      <w:numFmt w:val="bullet"/>
      <w:lvlText w:val=""/>
      <w:lvlJc w:val="left"/>
      <w:pPr>
        <w:ind w:left="721" w:hanging="360"/>
      </w:pPr>
      <w:rPr>
        <w:rFonts w:ascii="Symbol" w:hAnsi="Symbol"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75" w15:restartNumberingAfterBreak="0">
    <w:nsid w:val="5A9972F2"/>
    <w:multiLevelType w:val="hybridMultilevel"/>
    <w:tmpl w:val="04ACAF42"/>
    <w:lvl w:ilvl="0" w:tplc="59EABEDE">
      <w:start w:val="1"/>
      <w:numFmt w:val="bullet"/>
      <w:lvlText w:val="-"/>
      <w:lvlJc w:val="left"/>
      <w:pPr>
        <w:ind w:left="720" w:hanging="360"/>
      </w:pPr>
      <w:rPr>
        <w:rFonts w:ascii="Arial" w:eastAsia="Arial" w:hAnsi="Arial" w:cs="Arial" w:hint="default"/>
        <w:color w:val="7B7D81"/>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D391E38"/>
    <w:multiLevelType w:val="multilevel"/>
    <w:tmpl w:val="E2F43ECE"/>
    <w:lvl w:ilvl="0">
      <w:start w:val="1"/>
      <w:numFmt w:val="bullet"/>
      <w:lvlText w:val="•"/>
      <w:lvlJc w:val="left"/>
      <w:pPr>
        <w:ind w:left="720" w:hanging="360"/>
      </w:pPr>
      <w:rPr>
        <w:rFonts w:ascii="Arial" w:eastAsia="Arial" w:hAnsi="Arial" w:cs="Arial"/>
      </w:rPr>
    </w:lvl>
    <w:lvl w:ilv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7" w15:restartNumberingAfterBreak="0">
    <w:nsid w:val="5DD3339E"/>
    <w:multiLevelType w:val="hybridMultilevel"/>
    <w:tmpl w:val="EBEA336A"/>
    <w:lvl w:ilvl="0" w:tplc="5442DC8E">
      <w:start w:val="1"/>
      <w:numFmt w:val="bullet"/>
      <w:lvlText w:val=""/>
      <w:lvlJc w:val="left"/>
      <w:pPr>
        <w:ind w:left="720" w:hanging="360"/>
      </w:pPr>
      <w:rPr>
        <w:rFonts w:ascii="Wingdings" w:hAnsi="Wingdings" w:hint="default"/>
        <w:color w:val="497083"/>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F377A74"/>
    <w:multiLevelType w:val="multilevel"/>
    <w:tmpl w:val="2ACE88FC"/>
    <w:lvl w:ilvl="0">
      <w:start w:val="1"/>
      <w:numFmt w:val="bullet"/>
      <w:pStyle w:val="ListParagraph"/>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79" w15:restartNumberingAfterBreak="0">
    <w:nsid w:val="610F475C"/>
    <w:multiLevelType w:val="hybridMultilevel"/>
    <w:tmpl w:val="74067CB6"/>
    <w:lvl w:ilvl="0" w:tplc="04090001">
      <w:start w:val="1"/>
      <w:numFmt w:val="bullet"/>
      <w:lvlText w:val=""/>
      <w:lvlJc w:val="left"/>
      <w:pPr>
        <w:ind w:left="721" w:hanging="360"/>
      </w:pPr>
      <w:rPr>
        <w:rFonts w:ascii="Symbol" w:hAnsi="Symbol" w:hint="default"/>
      </w:rPr>
    </w:lvl>
    <w:lvl w:ilvl="1" w:tplc="FFFFFFFF" w:tentative="1">
      <w:start w:val="1"/>
      <w:numFmt w:val="bullet"/>
      <w:lvlText w:val="o"/>
      <w:lvlJc w:val="left"/>
      <w:pPr>
        <w:ind w:left="1441" w:hanging="360"/>
      </w:pPr>
      <w:rPr>
        <w:rFonts w:ascii="Courier New" w:hAnsi="Courier New" w:cs="Courier New" w:hint="default"/>
      </w:rPr>
    </w:lvl>
    <w:lvl w:ilvl="2" w:tplc="FFFFFFFF" w:tentative="1">
      <w:start w:val="1"/>
      <w:numFmt w:val="bullet"/>
      <w:lvlText w:val=""/>
      <w:lvlJc w:val="left"/>
      <w:pPr>
        <w:ind w:left="2161" w:hanging="360"/>
      </w:pPr>
      <w:rPr>
        <w:rFonts w:ascii="Wingdings" w:hAnsi="Wingdings" w:hint="default"/>
      </w:rPr>
    </w:lvl>
    <w:lvl w:ilvl="3" w:tplc="FFFFFFFF" w:tentative="1">
      <w:start w:val="1"/>
      <w:numFmt w:val="bullet"/>
      <w:lvlText w:val=""/>
      <w:lvlJc w:val="left"/>
      <w:pPr>
        <w:ind w:left="2881" w:hanging="360"/>
      </w:pPr>
      <w:rPr>
        <w:rFonts w:ascii="Symbol" w:hAnsi="Symbol" w:hint="default"/>
      </w:rPr>
    </w:lvl>
    <w:lvl w:ilvl="4" w:tplc="FFFFFFFF" w:tentative="1">
      <w:start w:val="1"/>
      <w:numFmt w:val="bullet"/>
      <w:lvlText w:val="o"/>
      <w:lvlJc w:val="left"/>
      <w:pPr>
        <w:ind w:left="3601" w:hanging="360"/>
      </w:pPr>
      <w:rPr>
        <w:rFonts w:ascii="Courier New" w:hAnsi="Courier New" w:cs="Courier New" w:hint="default"/>
      </w:rPr>
    </w:lvl>
    <w:lvl w:ilvl="5" w:tplc="FFFFFFFF" w:tentative="1">
      <w:start w:val="1"/>
      <w:numFmt w:val="bullet"/>
      <w:lvlText w:val=""/>
      <w:lvlJc w:val="left"/>
      <w:pPr>
        <w:ind w:left="4321" w:hanging="360"/>
      </w:pPr>
      <w:rPr>
        <w:rFonts w:ascii="Wingdings" w:hAnsi="Wingdings" w:hint="default"/>
      </w:rPr>
    </w:lvl>
    <w:lvl w:ilvl="6" w:tplc="FFFFFFFF" w:tentative="1">
      <w:start w:val="1"/>
      <w:numFmt w:val="bullet"/>
      <w:lvlText w:val=""/>
      <w:lvlJc w:val="left"/>
      <w:pPr>
        <w:ind w:left="5041" w:hanging="360"/>
      </w:pPr>
      <w:rPr>
        <w:rFonts w:ascii="Symbol" w:hAnsi="Symbol" w:hint="default"/>
      </w:rPr>
    </w:lvl>
    <w:lvl w:ilvl="7" w:tplc="FFFFFFFF" w:tentative="1">
      <w:start w:val="1"/>
      <w:numFmt w:val="bullet"/>
      <w:lvlText w:val="o"/>
      <w:lvlJc w:val="left"/>
      <w:pPr>
        <w:ind w:left="5761" w:hanging="360"/>
      </w:pPr>
      <w:rPr>
        <w:rFonts w:ascii="Courier New" w:hAnsi="Courier New" w:cs="Courier New" w:hint="default"/>
      </w:rPr>
    </w:lvl>
    <w:lvl w:ilvl="8" w:tplc="FFFFFFFF" w:tentative="1">
      <w:start w:val="1"/>
      <w:numFmt w:val="bullet"/>
      <w:lvlText w:val=""/>
      <w:lvlJc w:val="left"/>
      <w:pPr>
        <w:ind w:left="6481" w:hanging="360"/>
      </w:pPr>
      <w:rPr>
        <w:rFonts w:ascii="Wingdings" w:hAnsi="Wingdings" w:hint="default"/>
      </w:rPr>
    </w:lvl>
  </w:abstractNum>
  <w:abstractNum w:abstractNumId="80" w15:restartNumberingAfterBreak="0">
    <w:nsid w:val="62604D08"/>
    <w:multiLevelType w:val="multilevel"/>
    <w:tmpl w:val="FBF6CE26"/>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1" w15:restartNumberingAfterBreak="0">
    <w:nsid w:val="62693327"/>
    <w:multiLevelType w:val="multilevel"/>
    <w:tmpl w:val="34120636"/>
    <w:lvl w:ilvl="0">
      <w:start w:val="1"/>
      <w:numFmt w:val="bullet"/>
      <w:pStyle w:val="11111Naslovpetogreda"/>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2" w15:restartNumberingAfterBreak="0">
    <w:nsid w:val="63E47363"/>
    <w:multiLevelType w:val="hybridMultilevel"/>
    <w:tmpl w:val="C77A3B1E"/>
    <w:lvl w:ilvl="0" w:tplc="08090017">
      <w:start w:val="1"/>
      <w:numFmt w:val="lowerLetter"/>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3" w15:restartNumberingAfterBreak="0">
    <w:nsid w:val="643F0786"/>
    <w:multiLevelType w:val="multilevel"/>
    <w:tmpl w:val="99B688F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080" w:hanging="288"/>
      </w:pPr>
    </w:lvl>
    <w:lvl w:ilvl="3">
      <w:start w:val="1"/>
      <w:numFmt w:val="decimal"/>
      <w:lvlText w:val="%1.%2.%3.%4."/>
      <w:lvlJc w:val="left"/>
      <w:pPr>
        <w:ind w:left="2592" w:hanging="1512"/>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64A56B9F"/>
    <w:multiLevelType w:val="hybridMultilevel"/>
    <w:tmpl w:val="EA0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4C36921"/>
    <w:multiLevelType w:val="hybridMultilevel"/>
    <w:tmpl w:val="A63C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5AB27E1"/>
    <w:multiLevelType w:val="multilevel"/>
    <w:tmpl w:val="2B76A646"/>
    <w:lvl w:ilvl="0">
      <w:start w:val="1"/>
      <w:numFmt w:val="bullet"/>
      <w:pStyle w:val="11Naslovdrugogreda"/>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7" w15:restartNumberingAfterBreak="0">
    <w:nsid w:val="69202C49"/>
    <w:multiLevelType w:val="multilevel"/>
    <w:tmpl w:val="499C6D5E"/>
    <w:lvl w:ilvl="0">
      <w:start w:val="1"/>
      <w:numFmt w:val="bullet"/>
      <w:lvlText w:val="▪"/>
      <w:lvlJc w:val="left"/>
      <w:pPr>
        <w:ind w:left="800" w:hanging="360"/>
      </w:pPr>
      <w:rPr>
        <w:rFonts w:ascii="Noto Sans" w:eastAsia="Noto Sans" w:hAnsi="Noto Sans" w:cs="Noto Sans"/>
        <w:color w:val="000000"/>
        <w:sz w:val="22"/>
        <w:szCs w:val="22"/>
        <w:vertAlign w:val="baseline"/>
      </w:rPr>
    </w:lvl>
    <w:lvl w:ilvl="1">
      <w:start w:val="1"/>
      <w:numFmt w:val="bullet"/>
      <w:lvlText w:val="o"/>
      <w:lvlJc w:val="left"/>
      <w:pPr>
        <w:ind w:left="1520" w:hanging="360"/>
      </w:pPr>
      <w:rPr>
        <w:rFonts w:ascii="Courier New" w:eastAsia="Courier New" w:hAnsi="Courier New" w:cs="Courier New"/>
      </w:rPr>
    </w:lvl>
    <w:lvl w:ilvl="2">
      <w:start w:val="1"/>
      <w:numFmt w:val="bullet"/>
      <w:lvlText w:val="▪"/>
      <w:lvlJc w:val="left"/>
      <w:pPr>
        <w:ind w:left="2240" w:hanging="360"/>
      </w:pPr>
      <w:rPr>
        <w:rFonts w:ascii="Noto Sans" w:eastAsia="Noto Sans" w:hAnsi="Noto Sans" w:cs="Noto Sans"/>
      </w:rPr>
    </w:lvl>
    <w:lvl w:ilvl="3">
      <w:start w:val="1"/>
      <w:numFmt w:val="bullet"/>
      <w:lvlText w:val="●"/>
      <w:lvlJc w:val="left"/>
      <w:pPr>
        <w:ind w:left="2960" w:hanging="360"/>
      </w:pPr>
      <w:rPr>
        <w:rFonts w:ascii="Noto Sans" w:eastAsia="Noto Sans" w:hAnsi="Noto Sans" w:cs="Noto Sans"/>
      </w:rPr>
    </w:lvl>
    <w:lvl w:ilvl="4">
      <w:start w:val="1"/>
      <w:numFmt w:val="bullet"/>
      <w:lvlText w:val="o"/>
      <w:lvlJc w:val="left"/>
      <w:pPr>
        <w:ind w:left="3680" w:hanging="360"/>
      </w:pPr>
      <w:rPr>
        <w:rFonts w:ascii="Courier New" w:eastAsia="Courier New" w:hAnsi="Courier New" w:cs="Courier New"/>
      </w:rPr>
    </w:lvl>
    <w:lvl w:ilvl="5">
      <w:start w:val="1"/>
      <w:numFmt w:val="bullet"/>
      <w:lvlText w:val="▪"/>
      <w:lvlJc w:val="left"/>
      <w:pPr>
        <w:ind w:left="4400" w:hanging="360"/>
      </w:pPr>
      <w:rPr>
        <w:rFonts w:ascii="Noto Sans" w:eastAsia="Noto Sans" w:hAnsi="Noto Sans" w:cs="Noto Sans"/>
      </w:rPr>
    </w:lvl>
    <w:lvl w:ilvl="6">
      <w:start w:val="1"/>
      <w:numFmt w:val="bullet"/>
      <w:lvlText w:val="●"/>
      <w:lvlJc w:val="left"/>
      <w:pPr>
        <w:ind w:left="5120" w:hanging="360"/>
      </w:pPr>
      <w:rPr>
        <w:rFonts w:ascii="Noto Sans" w:eastAsia="Noto Sans" w:hAnsi="Noto Sans" w:cs="Noto Sans"/>
      </w:rPr>
    </w:lvl>
    <w:lvl w:ilvl="7">
      <w:start w:val="1"/>
      <w:numFmt w:val="bullet"/>
      <w:lvlText w:val="o"/>
      <w:lvlJc w:val="left"/>
      <w:pPr>
        <w:ind w:left="5840" w:hanging="360"/>
      </w:pPr>
      <w:rPr>
        <w:rFonts w:ascii="Courier New" w:eastAsia="Courier New" w:hAnsi="Courier New" w:cs="Courier New"/>
      </w:rPr>
    </w:lvl>
    <w:lvl w:ilvl="8">
      <w:start w:val="1"/>
      <w:numFmt w:val="bullet"/>
      <w:lvlText w:val="▪"/>
      <w:lvlJc w:val="left"/>
      <w:pPr>
        <w:ind w:left="6560" w:hanging="360"/>
      </w:pPr>
      <w:rPr>
        <w:rFonts w:ascii="Noto Sans" w:eastAsia="Noto Sans" w:hAnsi="Noto Sans" w:cs="Noto Sans"/>
      </w:rPr>
    </w:lvl>
  </w:abstractNum>
  <w:abstractNum w:abstractNumId="88" w15:restartNumberingAfterBreak="0">
    <w:nsid w:val="6B9E4A66"/>
    <w:multiLevelType w:val="multilevel"/>
    <w:tmpl w:val="D0E8DDD2"/>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89" w15:restartNumberingAfterBreak="0">
    <w:nsid w:val="6BD06587"/>
    <w:multiLevelType w:val="multilevel"/>
    <w:tmpl w:val="967207DA"/>
    <w:lvl w:ilvl="0">
      <w:start w:val="1"/>
      <w:numFmt w:val="bullet"/>
      <w:lvlText w:val="●"/>
      <w:lvlJc w:val="left"/>
      <w:pPr>
        <w:ind w:left="1174" w:hanging="360"/>
      </w:pPr>
      <w:rPr>
        <w:rFonts w:ascii="Noto Sans" w:eastAsia="Noto Sans" w:hAnsi="Noto Sans" w:cs="Noto Sans"/>
      </w:rPr>
    </w:lvl>
    <w:lvl w:ilvl="1">
      <w:start w:val="1"/>
      <w:numFmt w:val="bullet"/>
      <w:lvlText w:val="o"/>
      <w:lvlJc w:val="left"/>
      <w:pPr>
        <w:ind w:left="1894" w:hanging="360"/>
      </w:pPr>
      <w:rPr>
        <w:rFonts w:ascii="Courier New" w:eastAsia="Courier New" w:hAnsi="Courier New" w:cs="Courier New"/>
      </w:rPr>
    </w:lvl>
    <w:lvl w:ilvl="2">
      <w:start w:val="1"/>
      <w:numFmt w:val="bullet"/>
      <w:lvlText w:val="▪"/>
      <w:lvlJc w:val="left"/>
      <w:pPr>
        <w:ind w:left="2614" w:hanging="360"/>
      </w:pPr>
      <w:rPr>
        <w:rFonts w:ascii="Noto Sans" w:eastAsia="Noto Sans" w:hAnsi="Noto Sans" w:cs="Noto Sans"/>
      </w:rPr>
    </w:lvl>
    <w:lvl w:ilvl="3">
      <w:start w:val="1"/>
      <w:numFmt w:val="bullet"/>
      <w:lvlText w:val="●"/>
      <w:lvlJc w:val="left"/>
      <w:pPr>
        <w:ind w:left="3334" w:hanging="360"/>
      </w:pPr>
      <w:rPr>
        <w:rFonts w:ascii="Noto Sans" w:eastAsia="Noto Sans" w:hAnsi="Noto Sans" w:cs="Noto Sans"/>
      </w:rPr>
    </w:lvl>
    <w:lvl w:ilvl="4">
      <w:start w:val="1"/>
      <w:numFmt w:val="bullet"/>
      <w:lvlText w:val="o"/>
      <w:lvlJc w:val="left"/>
      <w:pPr>
        <w:ind w:left="4054" w:hanging="360"/>
      </w:pPr>
      <w:rPr>
        <w:rFonts w:ascii="Courier New" w:eastAsia="Courier New" w:hAnsi="Courier New" w:cs="Courier New"/>
      </w:rPr>
    </w:lvl>
    <w:lvl w:ilvl="5">
      <w:start w:val="1"/>
      <w:numFmt w:val="bullet"/>
      <w:lvlText w:val="▪"/>
      <w:lvlJc w:val="left"/>
      <w:pPr>
        <w:ind w:left="4774" w:hanging="360"/>
      </w:pPr>
      <w:rPr>
        <w:rFonts w:ascii="Noto Sans" w:eastAsia="Noto Sans" w:hAnsi="Noto Sans" w:cs="Noto Sans"/>
      </w:rPr>
    </w:lvl>
    <w:lvl w:ilvl="6">
      <w:start w:val="1"/>
      <w:numFmt w:val="bullet"/>
      <w:lvlText w:val="●"/>
      <w:lvlJc w:val="left"/>
      <w:pPr>
        <w:ind w:left="5494" w:hanging="360"/>
      </w:pPr>
      <w:rPr>
        <w:rFonts w:ascii="Noto Sans" w:eastAsia="Noto Sans" w:hAnsi="Noto Sans" w:cs="Noto Sans"/>
      </w:rPr>
    </w:lvl>
    <w:lvl w:ilvl="7">
      <w:start w:val="1"/>
      <w:numFmt w:val="bullet"/>
      <w:lvlText w:val="o"/>
      <w:lvlJc w:val="left"/>
      <w:pPr>
        <w:ind w:left="6214" w:hanging="360"/>
      </w:pPr>
      <w:rPr>
        <w:rFonts w:ascii="Courier New" w:eastAsia="Courier New" w:hAnsi="Courier New" w:cs="Courier New"/>
      </w:rPr>
    </w:lvl>
    <w:lvl w:ilvl="8">
      <w:start w:val="1"/>
      <w:numFmt w:val="bullet"/>
      <w:lvlText w:val="▪"/>
      <w:lvlJc w:val="left"/>
      <w:pPr>
        <w:ind w:left="6934" w:hanging="360"/>
      </w:pPr>
      <w:rPr>
        <w:rFonts w:ascii="Noto Sans" w:eastAsia="Noto Sans" w:hAnsi="Noto Sans" w:cs="Noto Sans"/>
      </w:rPr>
    </w:lvl>
  </w:abstractNum>
  <w:abstractNum w:abstractNumId="90" w15:restartNumberingAfterBreak="0">
    <w:nsid w:val="6DA81EBE"/>
    <w:multiLevelType w:val="hybridMultilevel"/>
    <w:tmpl w:val="5A0CF37A"/>
    <w:lvl w:ilvl="0" w:tplc="FFFFFFFF">
      <w:start w:val="1"/>
      <w:numFmt w:val="decimal"/>
      <w:lvlText w:val="%1."/>
      <w:lvlJc w:val="left"/>
      <w:pPr>
        <w:ind w:left="361"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91" w15:restartNumberingAfterBreak="0">
    <w:nsid w:val="6F9D2D75"/>
    <w:multiLevelType w:val="multilevel"/>
    <w:tmpl w:val="32928C7A"/>
    <w:lvl w:ilvl="0">
      <w:start w:val="1"/>
      <w:numFmt w:val="bullet"/>
      <w:pStyle w:val="ECABullets"/>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pStyle w:val="ECABulletsSub"/>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2" w15:restartNumberingAfterBreak="0">
    <w:nsid w:val="7039791E"/>
    <w:multiLevelType w:val="multilevel"/>
    <w:tmpl w:val="56D6E840"/>
    <w:lvl w:ilvl="0">
      <w:start w:val="1"/>
      <w:numFmt w:val="decimal"/>
      <w:lvlText w:val="RP %1."/>
      <w:lvlJc w:val="left"/>
      <w:pPr>
        <w:ind w:left="720" w:hanging="360"/>
      </w:pPr>
      <w:rPr>
        <w:rFonts w:hint="default"/>
        <w:b/>
        <w:color w:val="000000"/>
        <w:sz w:val="22"/>
        <w:szCs w:val="22"/>
        <w:vertAlign w:val="baseline"/>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w:eastAsia="Noto Sans" w:hAnsi="Noto Sans" w:cs="Noto Sans" w:hint="default"/>
      </w:rPr>
    </w:lvl>
    <w:lvl w:ilvl="3">
      <w:start w:val="1"/>
      <w:numFmt w:val="bullet"/>
      <w:lvlText w:val="●"/>
      <w:lvlJc w:val="left"/>
      <w:pPr>
        <w:ind w:left="2880" w:hanging="360"/>
      </w:pPr>
      <w:rPr>
        <w:rFonts w:ascii="Noto Sans" w:eastAsia="Noto Sans" w:hAnsi="Noto Sans" w:cs="Noto San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w:eastAsia="Noto Sans" w:hAnsi="Noto Sans" w:cs="Noto Sans" w:hint="default"/>
      </w:rPr>
    </w:lvl>
    <w:lvl w:ilvl="6">
      <w:start w:val="1"/>
      <w:numFmt w:val="bullet"/>
      <w:lvlText w:val="●"/>
      <w:lvlJc w:val="left"/>
      <w:pPr>
        <w:ind w:left="5040" w:hanging="360"/>
      </w:pPr>
      <w:rPr>
        <w:rFonts w:ascii="Noto Sans" w:eastAsia="Noto Sans" w:hAnsi="Noto Sans" w:cs="Noto San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w:eastAsia="Noto Sans" w:hAnsi="Noto Sans" w:cs="Noto Sans" w:hint="default"/>
      </w:rPr>
    </w:lvl>
  </w:abstractNum>
  <w:abstractNum w:abstractNumId="93" w15:restartNumberingAfterBreak="0">
    <w:nsid w:val="7092583C"/>
    <w:multiLevelType w:val="multilevel"/>
    <w:tmpl w:val="8208EDA4"/>
    <w:lvl w:ilvl="0">
      <w:start w:val="1"/>
      <w:numFmt w:val="decimal"/>
      <w:lvlText w:val="HT %1."/>
      <w:lvlJc w:val="left"/>
      <w:pPr>
        <w:ind w:left="720" w:hanging="360"/>
      </w:pPr>
      <w:rPr>
        <w:b/>
        <w:color w:val="000000"/>
        <w:sz w:val="22"/>
        <w:szCs w:val="22"/>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94" w15:restartNumberingAfterBreak="0">
    <w:nsid w:val="71BC056B"/>
    <w:multiLevelType w:val="hybridMultilevel"/>
    <w:tmpl w:val="190082AC"/>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95" w15:restartNumberingAfterBreak="0">
    <w:nsid w:val="71E243CE"/>
    <w:multiLevelType w:val="hybridMultilevel"/>
    <w:tmpl w:val="FB7C7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24B05ED"/>
    <w:multiLevelType w:val="multilevel"/>
    <w:tmpl w:val="12767E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7" w15:restartNumberingAfterBreak="0">
    <w:nsid w:val="72F14D8B"/>
    <w:multiLevelType w:val="multilevel"/>
    <w:tmpl w:val="11E04434"/>
    <w:lvl w:ilvl="0">
      <w:start w:val="1"/>
      <w:numFmt w:val="bullet"/>
      <w:lvlText w:val="●"/>
      <w:lvlJc w:val="left"/>
      <w:pPr>
        <w:ind w:left="789" w:hanging="358"/>
      </w:pPr>
      <w:rPr>
        <w:rFonts w:ascii="Noto Sans" w:eastAsia="Noto Sans" w:hAnsi="Noto Sans" w:cs="Noto Sans"/>
      </w:rPr>
    </w:lvl>
    <w:lvl w:ilvl="1">
      <w:start w:val="1"/>
      <w:numFmt w:val="bullet"/>
      <w:lvlText w:val="o"/>
      <w:lvlJc w:val="left"/>
      <w:pPr>
        <w:ind w:left="1509" w:hanging="360"/>
      </w:pPr>
      <w:rPr>
        <w:rFonts w:ascii="Courier New" w:eastAsia="Courier New" w:hAnsi="Courier New" w:cs="Courier New"/>
      </w:rPr>
    </w:lvl>
    <w:lvl w:ilvl="2">
      <w:start w:val="1"/>
      <w:numFmt w:val="bullet"/>
      <w:lvlText w:val="▪"/>
      <w:lvlJc w:val="left"/>
      <w:pPr>
        <w:ind w:left="2229" w:hanging="360"/>
      </w:pPr>
      <w:rPr>
        <w:rFonts w:ascii="Noto Sans" w:eastAsia="Noto Sans" w:hAnsi="Noto Sans" w:cs="Noto Sans"/>
      </w:rPr>
    </w:lvl>
    <w:lvl w:ilvl="3">
      <w:start w:val="1"/>
      <w:numFmt w:val="bullet"/>
      <w:lvlText w:val="●"/>
      <w:lvlJc w:val="left"/>
      <w:pPr>
        <w:ind w:left="2949" w:hanging="360"/>
      </w:pPr>
      <w:rPr>
        <w:rFonts w:ascii="Noto Sans" w:eastAsia="Noto Sans" w:hAnsi="Noto Sans" w:cs="Noto Sans"/>
      </w:rPr>
    </w:lvl>
    <w:lvl w:ilvl="4">
      <w:start w:val="1"/>
      <w:numFmt w:val="bullet"/>
      <w:lvlText w:val="o"/>
      <w:lvlJc w:val="left"/>
      <w:pPr>
        <w:ind w:left="3669" w:hanging="360"/>
      </w:pPr>
      <w:rPr>
        <w:rFonts w:ascii="Courier New" w:eastAsia="Courier New" w:hAnsi="Courier New" w:cs="Courier New"/>
      </w:rPr>
    </w:lvl>
    <w:lvl w:ilvl="5">
      <w:start w:val="1"/>
      <w:numFmt w:val="bullet"/>
      <w:lvlText w:val="▪"/>
      <w:lvlJc w:val="left"/>
      <w:pPr>
        <w:ind w:left="4389" w:hanging="360"/>
      </w:pPr>
      <w:rPr>
        <w:rFonts w:ascii="Noto Sans" w:eastAsia="Noto Sans" w:hAnsi="Noto Sans" w:cs="Noto Sans"/>
      </w:rPr>
    </w:lvl>
    <w:lvl w:ilvl="6">
      <w:start w:val="1"/>
      <w:numFmt w:val="bullet"/>
      <w:lvlText w:val="●"/>
      <w:lvlJc w:val="left"/>
      <w:pPr>
        <w:ind w:left="5109" w:hanging="360"/>
      </w:pPr>
      <w:rPr>
        <w:rFonts w:ascii="Noto Sans" w:eastAsia="Noto Sans" w:hAnsi="Noto Sans" w:cs="Noto Sans"/>
      </w:rPr>
    </w:lvl>
    <w:lvl w:ilvl="7">
      <w:start w:val="1"/>
      <w:numFmt w:val="bullet"/>
      <w:lvlText w:val="o"/>
      <w:lvlJc w:val="left"/>
      <w:pPr>
        <w:ind w:left="5829" w:hanging="360"/>
      </w:pPr>
      <w:rPr>
        <w:rFonts w:ascii="Courier New" w:eastAsia="Courier New" w:hAnsi="Courier New" w:cs="Courier New"/>
      </w:rPr>
    </w:lvl>
    <w:lvl w:ilvl="8">
      <w:start w:val="1"/>
      <w:numFmt w:val="bullet"/>
      <w:lvlText w:val="▪"/>
      <w:lvlJc w:val="left"/>
      <w:pPr>
        <w:ind w:left="6549" w:hanging="360"/>
      </w:pPr>
      <w:rPr>
        <w:rFonts w:ascii="Noto Sans" w:eastAsia="Noto Sans" w:hAnsi="Noto Sans" w:cs="Noto Sans"/>
      </w:rPr>
    </w:lvl>
  </w:abstractNum>
  <w:abstractNum w:abstractNumId="98" w15:restartNumberingAfterBreak="0">
    <w:nsid w:val="73916129"/>
    <w:multiLevelType w:val="hybridMultilevel"/>
    <w:tmpl w:val="6D12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3647F2"/>
    <w:multiLevelType w:val="multilevel"/>
    <w:tmpl w:val="7FF69B2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00" w15:restartNumberingAfterBreak="0">
    <w:nsid w:val="7F855544"/>
    <w:multiLevelType w:val="hybridMultilevel"/>
    <w:tmpl w:val="3508C5D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06740729">
    <w:abstractNumId w:val="17"/>
  </w:num>
  <w:num w:numId="2" w16cid:durableId="1533490634">
    <w:abstractNumId w:val="55"/>
  </w:num>
  <w:num w:numId="3" w16cid:durableId="294071841">
    <w:abstractNumId w:val="11"/>
  </w:num>
  <w:num w:numId="4" w16cid:durableId="561253924">
    <w:abstractNumId w:val="81"/>
  </w:num>
  <w:num w:numId="5" w16cid:durableId="1099257725">
    <w:abstractNumId w:val="23"/>
  </w:num>
  <w:num w:numId="6" w16cid:durableId="1337682983">
    <w:abstractNumId w:val="72"/>
  </w:num>
  <w:num w:numId="7" w16cid:durableId="306514205">
    <w:abstractNumId w:val="86"/>
  </w:num>
  <w:num w:numId="8" w16cid:durableId="1215435486">
    <w:abstractNumId w:val="20"/>
  </w:num>
  <w:num w:numId="9" w16cid:durableId="1348943284">
    <w:abstractNumId w:val="78"/>
  </w:num>
  <w:num w:numId="10" w16cid:durableId="1578899253">
    <w:abstractNumId w:val="91"/>
  </w:num>
  <w:num w:numId="11" w16cid:durableId="1327175271">
    <w:abstractNumId w:val="69"/>
  </w:num>
  <w:num w:numId="12" w16cid:durableId="69622302">
    <w:abstractNumId w:val="54"/>
  </w:num>
  <w:num w:numId="13" w16cid:durableId="1883205898">
    <w:abstractNumId w:val="24"/>
  </w:num>
  <w:num w:numId="14" w16cid:durableId="899440190">
    <w:abstractNumId w:val="96"/>
  </w:num>
  <w:num w:numId="15" w16cid:durableId="833648762">
    <w:abstractNumId w:val="32"/>
  </w:num>
  <w:num w:numId="16" w16cid:durableId="272444523">
    <w:abstractNumId w:val="8"/>
  </w:num>
  <w:num w:numId="17" w16cid:durableId="1137839706">
    <w:abstractNumId w:val="26"/>
  </w:num>
  <w:num w:numId="18" w16cid:durableId="450249567">
    <w:abstractNumId w:val="60"/>
  </w:num>
  <w:num w:numId="19" w16cid:durableId="731663211">
    <w:abstractNumId w:val="89"/>
  </w:num>
  <w:num w:numId="20" w16cid:durableId="608926698">
    <w:abstractNumId w:val="15"/>
  </w:num>
  <w:num w:numId="21" w16cid:durableId="1298950089">
    <w:abstractNumId w:val="31"/>
  </w:num>
  <w:num w:numId="22" w16cid:durableId="760494347">
    <w:abstractNumId w:val="76"/>
  </w:num>
  <w:num w:numId="23" w16cid:durableId="288971401">
    <w:abstractNumId w:val="2"/>
  </w:num>
  <w:num w:numId="24" w16cid:durableId="1064059839">
    <w:abstractNumId w:val="70"/>
  </w:num>
  <w:num w:numId="25" w16cid:durableId="397367355">
    <w:abstractNumId w:val="59"/>
  </w:num>
  <w:num w:numId="26" w16cid:durableId="660931486">
    <w:abstractNumId w:val="4"/>
  </w:num>
  <w:num w:numId="27" w16cid:durableId="553589896">
    <w:abstractNumId w:val="99"/>
  </w:num>
  <w:num w:numId="28" w16cid:durableId="1300651134">
    <w:abstractNumId w:val="39"/>
  </w:num>
  <w:num w:numId="29" w16cid:durableId="542525207">
    <w:abstractNumId w:val="88"/>
  </w:num>
  <w:num w:numId="30" w16cid:durableId="394667096">
    <w:abstractNumId w:val="92"/>
  </w:num>
  <w:num w:numId="31" w16cid:durableId="893547122">
    <w:abstractNumId w:val="93"/>
  </w:num>
  <w:num w:numId="32" w16cid:durableId="1241524879">
    <w:abstractNumId w:val="80"/>
  </w:num>
  <w:num w:numId="33" w16cid:durableId="111484972">
    <w:abstractNumId w:val="83"/>
  </w:num>
  <w:num w:numId="34" w16cid:durableId="1938513306">
    <w:abstractNumId w:val="57"/>
  </w:num>
  <w:num w:numId="35" w16cid:durableId="181284191">
    <w:abstractNumId w:val="21"/>
  </w:num>
  <w:num w:numId="36" w16cid:durableId="916866786">
    <w:abstractNumId w:val="97"/>
  </w:num>
  <w:num w:numId="37" w16cid:durableId="660622770">
    <w:abstractNumId w:val="87"/>
  </w:num>
  <w:num w:numId="38" w16cid:durableId="1338267592">
    <w:abstractNumId w:val="44"/>
  </w:num>
  <w:num w:numId="39" w16cid:durableId="152917571">
    <w:abstractNumId w:val="52"/>
  </w:num>
  <w:num w:numId="40" w16cid:durableId="1815753180">
    <w:abstractNumId w:val="65"/>
  </w:num>
  <w:num w:numId="41" w16cid:durableId="1028413592">
    <w:abstractNumId w:val="36"/>
  </w:num>
  <w:num w:numId="42" w16cid:durableId="437145692">
    <w:abstractNumId w:val="18"/>
  </w:num>
  <w:num w:numId="43" w16cid:durableId="1450664359">
    <w:abstractNumId w:val="61"/>
  </w:num>
  <w:num w:numId="44" w16cid:durableId="541672071">
    <w:abstractNumId w:val="98"/>
  </w:num>
  <w:num w:numId="45" w16cid:durableId="1905874460">
    <w:abstractNumId w:val="49"/>
  </w:num>
  <w:num w:numId="46" w16cid:durableId="1226531372">
    <w:abstractNumId w:val="77"/>
  </w:num>
  <w:num w:numId="47" w16cid:durableId="2105371775">
    <w:abstractNumId w:val="64"/>
  </w:num>
  <w:num w:numId="48" w16cid:durableId="621232804">
    <w:abstractNumId w:val="95"/>
  </w:num>
  <w:num w:numId="49" w16cid:durableId="1422409358">
    <w:abstractNumId w:val="85"/>
  </w:num>
  <w:num w:numId="50" w16cid:durableId="173543441">
    <w:abstractNumId w:val="56"/>
  </w:num>
  <w:num w:numId="51" w16cid:durableId="135027493">
    <w:abstractNumId w:val="84"/>
  </w:num>
  <w:num w:numId="52" w16cid:durableId="1650590828">
    <w:abstractNumId w:val="34"/>
  </w:num>
  <w:num w:numId="53" w16cid:durableId="1035041939">
    <w:abstractNumId w:val="82"/>
  </w:num>
  <w:num w:numId="54" w16cid:durableId="423191984">
    <w:abstractNumId w:val="48"/>
  </w:num>
  <w:num w:numId="55" w16cid:durableId="273174280">
    <w:abstractNumId w:val="75"/>
  </w:num>
  <w:num w:numId="56" w16cid:durableId="527253214">
    <w:abstractNumId w:val="41"/>
  </w:num>
  <w:num w:numId="57" w16cid:durableId="1282151207">
    <w:abstractNumId w:val="0"/>
  </w:num>
  <w:num w:numId="58" w16cid:durableId="666633063">
    <w:abstractNumId w:val="33"/>
  </w:num>
  <w:num w:numId="59" w16cid:durableId="137380717">
    <w:abstractNumId w:val="10"/>
  </w:num>
  <w:num w:numId="60" w16cid:durableId="1684626091">
    <w:abstractNumId w:val="58"/>
  </w:num>
  <w:num w:numId="61" w16cid:durableId="471480864">
    <w:abstractNumId w:val="79"/>
  </w:num>
  <w:num w:numId="62" w16cid:durableId="451095655">
    <w:abstractNumId w:val="74"/>
  </w:num>
  <w:num w:numId="63" w16cid:durableId="678847107">
    <w:abstractNumId w:val="37"/>
  </w:num>
  <w:num w:numId="64" w16cid:durableId="435487022">
    <w:abstractNumId w:val="40"/>
  </w:num>
  <w:num w:numId="65" w16cid:durableId="1948921813">
    <w:abstractNumId w:val="38"/>
  </w:num>
  <w:num w:numId="66" w16cid:durableId="739863177">
    <w:abstractNumId w:val="47"/>
  </w:num>
  <w:num w:numId="67" w16cid:durableId="1688093331">
    <w:abstractNumId w:val="9"/>
  </w:num>
  <w:num w:numId="68" w16cid:durableId="1244485344">
    <w:abstractNumId w:val="50"/>
  </w:num>
  <w:num w:numId="69" w16cid:durableId="668602578">
    <w:abstractNumId w:val="100"/>
  </w:num>
  <w:num w:numId="70" w16cid:durableId="2095127776">
    <w:abstractNumId w:val="66"/>
  </w:num>
  <w:num w:numId="71" w16cid:durableId="1973944536">
    <w:abstractNumId w:val="6"/>
  </w:num>
  <w:num w:numId="72" w16cid:durableId="200870440">
    <w:abstractNumId w:val="35"/>
  </w:num>
  <w:num w:numId="73" w16cid:durableId="1055659650">
    <w:abstractNumId w:val="46"/>
  </w:num>
  <w:num w:numId="74" w16cid:durableId="586040026">
    <w:abstractNumId w:val="51"/>
  </w:num>
  <w:num w:numId="75" w16cid:durableId="1843273296">
    <w:abstractNumId w:val="13"/>
  </w:num>
  <w:num w:numId="76" w16cid:durableId="705957188">
    <w:abstractNumId w:val="29"/>
  </w:num>
  <w:num w:numId="77" w16cid:durableId="776870689">
    <w:abstractNumId w:val="1"/>
  </w:num>
  <w:num w:numId="78" w16cid:durableId="1893229253">
    <w:abstractNumId w:val="14"/>
  </w:num>
  <w:num w:numId="79" w16cid:durableId="2036227804">
    <w:abstractNumId w:val="27"/>
  </w:num>
  <w:num w:numId="80" w16cid:durableId="2033609774">
    <w:abstractNumId w:val="67"/>
  </w:num>
  <w:num w:numId="81" w16cid:durableId="1670214939">
    <w:abstractNumId w:val="94"/>
  </w:num>
  <w:num w:numId="82" w16cid:durableId="1738893321">
    <w:abstractNumId w:val="19"/>
  </w:num>
  <w:num w:numId="83" w16cid:durableId="1758017814">
    <w:abstractNumId w:val="63"/>
  </w:num>
  <w:num w:numId="84" w16cid:durableId="958223409">
    <w:abstractNumId w:val="25"/>
  </w:num>
  <w:num w:numId="85" w16cid:durableId="598682290">
    <w:abstractNumId w:val="53"/>
  </w:num>
  <w:num w:numId="86" w16cid:durableId="865555126">
    <w:abstractNumId w:val="73"/>
  </w:num>
  <w:num w:numId="87" w16cid:durableId="1436559621">
    <w:abstractNumId w:val="71"/>
  </w:num>
  <w:num w:numId="88" w16cid:durableId="149948525">
    <w:abstractNumId w:val="30"/>
  </w:num>
  <w:num w:numId="89" w16cid:durableId="1720087637">
    <w:abstractNumId w:val="12"/>
  </w:num>
  <w:num w:numId="90" w16cid:durableId="765686052">
    <w:abstractNumId w:val="62"/>
  </w:num>
  <w:num w:numId="91" w16cid:durableId="1014259162">
    <w:abstractNumId w:val="42"/>
  </w:num>
  <w:num w:numId="92" w16cid:durableId="1141003107">
    <w:abstractNumId w:val="45"/>
  </w:num>
  <w:num w:numId="93" w16cid:durableId="864442255">
    <w:abstractNumId w:val="16"/>
  </w:num>
  <w:num w:numId="94" w16cid:durableId="1280839333">
    <w:abstractNumId w:val="68"/>
  </w:num>
  <w:num w:numId="95" w16cid:durableId="210925800">
    <w:abstractNumId w:val="28"/>
  </w:num>
  <w:num w:numId="96" w16cid:durableId="1132408661">
    <w:abstractNumId w:val="43"/>
  </w:num>
  <w:num w:numId="97" w16cid:durableId="783772807">
    <w:abstractNumId w:val="3"/>
  </w:num>
  <w:num w:numId="98" w16cid:durableId="1917857228">
    <w:abstractNumId w:val="7"/>
  </w:num>
  <w:num w:numId="99" w16cid:durableId="1024983435">
    <w:abstractNumId w:val="22"/>
  </w:num>
  <w:num w:numId="100" w16cid:durableId="640157191">
    <w:abstractNumId w:val="90"/>
  </w:num>
  <w:num w:numId="101" w16cid:durableId="1353144873">
    <w:abstractNumId w:val="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efaultTableStyle w:val="5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21"/>
    <w:rsid w:val="000014EF"/>
    <w:rsid w:val="00004409"/>
    <w:rsid w:val="00006FD7"/>
    <w:rsid w:val="00010793"/>
    <w:rsid w:val="000159AA"/>
    <w:rsid w:val="000168C9"/>
    <w:rsid w:val="00016B0A"/>
    <w:rsid w:val="00016FC3"/>
    <w:rsid w:val="00026867"/>
    <w:rsid w:val="00027AE2"/>
    <w:rsid w:val="00030B41"/>
    <w:rsid w:val="00031AF5"/>
    <w:rsid w:val="00031E37"/>
    <w:rsid w:val="00034C14"/>
    <w:rsid w:val="000415ED"/>
    <w:rsid w:val="000456FF"/>
    <w:rsid w:val="00045BB4"/>
    <w:rsid w:val="0005460F"/>
    <w:rsid w:val="00054D93"/>
    <w:rsid w:val="00055321"/>
    <w:rsid w:val="00055D8C"/>
    <w:rsid w:val="00056ED7"/>
    <w:rsid w:val="000605C8"/>
    <w:rsid w:val="000639E1"/>
    <w:rsid w:val="00063B53"/>
    <w:rsid w:val="00063F0F"/>
    <w:rsid w:val="00066C30"/>
    <w:rsid w:val="00067BD8"/>
    <w:rsid w:val="00067DAD"/>
    <w:rsid w:val="0007161A"/>
    <w:rsid w:val="0007275F"/>
    <w:rsid w:val="00073CDB"/>
    <w:rsid w:val="00073F6F"/>
    <w:rsid w:val="00083C12"/>
    <w:rsid w:val="00084C97"/>
    <w:rsid w:val="000879D8"/>
    <w:rsid w:val="00091A4B"/>
    <w:rsid w:val="00091FDD"/>
    <w:rsid w:val="0009316D"/>
    <w:rsid w:val="000934E2"/>
    <w:rsid w:val="000937A0"/>
    <w:rsid w:val="0009469A"/>
    <w:rsid w:val="000971BA"/>
    <w:rsid w:val="000A1591"/>
    <w:rsid w:val="000A1F18"/>
    <w:rsid w:val="000A77D1"/>
    <w:rsid w:val="000B085B"/>
    <w:rsid w:val="000B2053"/>
    <w:rsid w:val="000B529C"/>
    <w:rsid w:val="000B6945"/>
    <w:rsid w:val="000B7AF6"/>
    <w:rsid w:val="000C0FB8"/>
    <w:rsid w:val="000D3CFF"/>
    <w:rsid w:val="000E3D79"/>
    <w:rsid w:val="000F0C22"/>
    <w:rsid w:val="000F1910"/>
    <w:rsid w:val="000F1DE1"/>
    <w:rsid w:val="000F1F2F"/>
    <w:rsid w:val="00100FDF"/>
    <w:rsid w:val="001025F7"/>
    <w:rsid w:val="001050E6"/>
    <w:rsid w:val="00106DBD"/>
    <w:rsid w:val="00107643"/>
    <w:rsid w:val="00107F0A"/>
    <w:rsid w:val="001130F0"/>
    <w:rsid w:val="0011398F"/>
    <w:rsid w:val="00113EB3"/>
    <w:rsid w:val="0011408D"/>
    <w:rsid w:val="00115248"/>
    <w:rsid w:val="001153DF"/>
    <w:rsid w:val="00115491"/>
    <w:rsid w:val="00115576"/>
    <w:rsid w:val="00126C38"/>
    <w:rsid w:val="00134FCE"/>
    <w:rsid w:val="00135C99"/>
    <w:rsid w:val="00136239"/>
    <w:rsid w:val="0013734B"/>
    <w:rsid w:val="001424DF"/>
    <w:rsid w:val="00142A2D"/>
    <w:rsid w:val="001435E8"/>
    <w:rsid w:val="00143CAD"/>
    <w:rsid w:val="0014666A"/>
    <w:rsid w:val="00146AFD"/>
    <w:rsid w:val="00155390"/>
    <w:rsid w:val="0015571A"/>
    <w:rsid w:val="0015725F"/>
    <w:rsid w:val="00157888"/>
    <w:rsid w:val="001627EE"/>
    <w:rsid w:val="001633C2"/>
    <w:rsid w:val="00163BB1"/>
    <w:rsid w:val="0017611E"/>
    <w:rsid w:val="00186798"/>
    <w:rsid w:val="0019049F"/>
    <w:rsid w:val="00194FF4"/>
    <w:rsid w:val="001954F7"/>
    <w:rsid w:val="00195EE6"/>
    <w:rsid w:val="001972F5"/>
    <w:rsid w:val="001A3735"/>
    <w:rsid w:val="001A4CC4"/>
    <w:rsid w:val="001A4D88"/>
    <w:rsid w:val="001A589A"/>
    <w:rsid w:val="001A5B6A"/>
    <w:rsid w:val="001A6B24"/>
    <w:rsid w:val="001B1F9C"/>
    <w:rsid w:val="001B3F02"/>
    <w:rsid w:val="001C0A80"/>
    <w:rsid w:val="001C1C84"/>
    <w:rsid w:val="001C4182"/>
    <w:rsid w:val="001C4712"/>
    <w:rsid w:val="001C4EAF"/>
    <w:rsid w:val="001C558B"/>
    <w:rsid w:val="001C6C64"/>
    <w:rsid w:val="001D48BD"/>
    <w:rsid w:val="001D48BF"/>
    <w:rsid w:val="001D616F"/>
    <w:rsid w:val="001D78DB"/>
    <w:rsid w:val="001E6203"/>
    <w:rsid w:val="001F43A3"/>
    <w:rsid w:val="001F641C"/>
    <w:rsid w:val="0020091B"/>
    <w:rsid w:val="00205A5D"/>
    <w:rsid w:val="00206D52"/>
    <w:rsid w:val="00210C0C"/>
    <w:rsid w:val="00212861"/>
    <w:rsid w:val="00217AD1"/>
    <w:rsid w:val="0022689E"/>
    <w:rsid w:val="002271D0"/>
    <w:rsid w:val="00230AD1"/>
    <w:rsid w:val="00233F59"/>
    <w:rsid w:val="00234A0D"/>
    <w:rsid w:val="002350E2"/>
    <w:rsid w:val="00235757"/>
    <w:rsid w:val="0023631D"/>
    <w:rsid w:val="00240B3C"/>
    <w:rsid w:val="00240B77"/>
    <w:rsid w:val="0024219C"/>
    <w:rsid w:val="0024516E"/>
    <w:rsid w:val="00250B35"/>
    <w:rsid w:val="00251CCE"/>
    <w:rsid w:val="002537FA"/>
    <w:rsid w:val="00255BC2"/>
    <w:rsid w:val="0025720B"/>
    <w:rsid w:val="00262A3A"/>
    <w:rsid w:val="00263034"/>
    <w:rsid w:val="00264D04"/>
    <w:rsid w:val="00266328"/>
    <w:rsid w:val="0027011A"/>
    <w:rsid w:val="00271E20"/>
    <w:rsid w:val="002722D4"/>
    <w:rsid w:val="00272CA7"/>
    <w:rsid w:val="00273809"/>
    <w:rsid w:val="00274A18"/>
    <w:rsid w:val="002755F9"/>
    <w:rsid w:val="002763B7"/>
    <w:rsid w:val="00281166"/>
    <w:rsid w:val="00282123"/>
    <w:rsid w:val="002833AF"/>
    <w:rsid w:val="0028521A"/>
    <w:rsid w:val="00285AB1"/>
    <w:rsid w:val="0028605F"/>
    <w:rsid w:val="00286222"/>
    <w:rsid w:val="00293B1B"/>
    <w:rsid w:val="0029617E"/>
    <w:rsid w:val="002A1DC0"/>
    <w:rsid w:val="002A3E6C"/>
    <w:rsid w:val="002A7351"/>
    <w:rsid w:val="002A7CA3"/>
    <w:rsid w:val="002B77ED"/>
    <w:rsid w:val="002C2FBC"/>
    <w:rsid w:val="002D228C"/>
    <w:rsid w:val="002D3F6F"/>
    <w:rsid w:val="002D43CA"/>
    <w:rsid w:val="002D4A79"/>
    <w:rsid w:val="002D6136"/>
    <w:rsid w:val="002D62B3"/>
    <w:rsid w:val="002E089F"/>
    <w:rsid w:val="002E4C49"/>
    <w:rsid w:val="002E4CDE"/>
    <w:rsid w:val="002E5200"/>
    <w:rsid w:val="002E62D0"/>
    <w:rsid w:val="002E63BD"/>
    <w:rsid w:val="002E75CB"/>
    <w:rsid w:val="002E7825"/>
    <w:rsid w:val="002F01C8"/>
    <w:rsid w:val="002F2E73"/>
    <w:rsid w:val="002F3499"/>
    <w:rsid w:val="002F4130"/>
    <w:rsid w:val="002F6AAA"/>
    <w:rsid w:val="00301F81"/>
    <w:rsid w:val="00306519"/>
    <w:rsid w:val="003073AA"/>
    <w:rsid w:val="003111CD"/>
    <w:rsid w:val="003135C6"/>
    <w:rsid w:val="003148F5"/>
    <w:rsid w:val="00315627"/>
    <w:rsid w:val="00316DF0"/>
    <w:rsid w:val="00317261"/>
    <w:rsid w:val="00320896"/>
    <w:rsid w:val="003250E4"/>
    <w:rsid w:val="003254E8"/>
    <w:rsid w:val="00326EDA"/>
    <w:rsid w:val="00327108"/>
    <w:rsid w:val="00327387"/>
    <w:rsid w:val="0032776A"/>
    <w:rsid w:val="00331355"/>
    <w:rsid w:val="003319E5"/>
    <w:rsid w:val="0033593C"/>
    <w:rsid w:val="00337B66"/>
    <w:rsid w:val="00341113"/>
    <w:rsid w:val="00342540"/>
    <w:rsid w:val="0034366E"/>
    <w:rsid w:val="00345332"/>
    <w:rsid w:val="00347EBB"/>
    <w:rsid w:val="003508DB"/>
    <w:rsid w:val="00350C1B"/>
    <w:rsid w:val="00352E09"/>
    <w:rsid w:val="003567D0"/>
    <w:rsid w:val="0035745D"/>
    <w:rsid w:val="00357760"/>
    <w:rsid w:val="00357E19"/>
    <w:rsid w:val="00357FD6"/>
    <w:rsid w:val="00360D48"/>
    <w:rsid w:val="003611F6"/>
    <w:rsid w:val="00362531"/>
    <w:rsid w:val="00362BCC"/>
    <w:rsid w:val="00363517"/>
    <w:rsid w:val="00371189"/>
    <w:rsid w:val="003727C4"/>
    <w:rsid w:val="003739D4"/>
    <w:rsid w:val="00374D2C"/>
    <w:rsid w:val="003761F2"/>
    <w:rsid w:val="00381485"/>
    <w:rsid w:val="00381684"/>
    <w:rsid w:val="00383272"/>
    <w:rsid w:val="003834A7"/>
    <w:rsid w:val="003835AB"/>
    <w:rsid w:val="0038441A"/>
    <w:rsid w:val="00387685"/>
    <w:rsid w:val="00391148"/>
    <w:rsid w:val="003912B3"/>
    <w:rsid w:val="00392F68"/>
    <w:rsid w:val="0039672D"/>
    <w:rsid w:val="00397B2B"/>
    <w:rsid w:val="003A308D"/>
    <w:rsid w:val="003B2EFB"/>
    <w:rsid w:val="003C0473"/>
    <w:rsid w:val="003C21F9"/>
    <w:rsid w:val="003C2431"/>
    <w:rsid w:val="003C256B"/>
    <w:rsid w:val="003D03F5"/>
    <w:rsid w:val="003D0F43"/>
    <w:rsid w:val="003D3920"/>
    <w:rsid w:val="003D5603"/>
    <w:rsid w:val="003D639E"/>
    <w:rsid w:val="003D6A20"/>
    <w:rsid w:val="003D6A92"/>
    <w:rsid w:val="003D7E78"/>
    <w:rsid w:val="003E414D"/>
    <w:rsid w:val="003E7E69"/>
    <w:rsid w:val="003F1F59"/>
    <w:rsid w:val="003F5B4F"/>
    <w:rsid w:val="003F68FA"/>
    <w:rsid w:val="00400466"/>
    <w:rsid w:val="0040073B"/>
    <w:rsid w:val="00401305"/>
    <w:rsid w:val="004129CA"/>
    <w:rsid w:val="00416224"/>
    <w:rsid w:val="00421D43"/>
    <w:rsid w:val="00421D7A"/>
    <w:rsid w:val="0042275D"/>
    <w:rsid w:val="00422812"/>
    <w:rsid w:val="00427B64"/>
    <w:rsid w:val="00434780"/>
    <w:rsid w:val="004351B0"/>
    <w:rsid w:val="004359FA"/>
    <w:rsid w:val="004426D8"/>
    <w:rsid w:val="0045203B"/>
    <w:rsid w:val="0045332B"/>
    <w:rsid w:val="004567DA"/>
    <w:rsid w:val="00456AD9"/>
    <w:rsid w:val="00461B13"/>
    <w:rsid w:val="00462BCD"/>
    <w:rsid w:val="00465FA1"/>
    <w:rsid w:val="004667EF"/>
    <w:rsid w:val="0046753D"/>
    <w:rsid w:val="00473E55"/>
    <w:rsid w:val="00481035"/>
    <w:rsid w:val="004916CB"/>
    <w:rsid w:val="00491F28"/>
    <w:rsid w:val="0049260B"/>
    <w:rsid w:val="004A0021"/>
    <w:rsid w:val="004A0B5F"/>
    <w:rsid w:val="004A246B"/>
    <w:rsid w:val="004A26E3"/>
    <w:rsid w:val="004A47A8"/>
    <w:rsid w:val="004A48C8"/>
    <w:rsid w:val="004A5010"/>
    <w:rsid w:val="004A6E65"/>
    <w:rsid w:val="004A7561"/>
    <w:rsid w:val="004A79AF"/>
    <w:rsid w:val="004B147A"/>
    <w:rsid w:val="004B2CDF"/>
    <w:rsid w:val="004B5A00"/>
    <w:rsid w:val="004C0042"/>
    <w:rsid w:val="004C0E77"/>
    <w:rsid w:val="004C252A"/>
    <w:rsid w:val="004C6686"/>
    <w:rsid w:val="004D2CBA"/>
    <w:rsid w:val="004D3A54"/>
    <w:rsid w:val="004E1737"/>
    <w:rsid w:val="004E19C3"/>
    <w:rsid w:val="004E1B44"/>
    <w:rsid w:val="004E1FD4"/>
    <w:rsid w:val="004E45DB"/>
    <w:rsid w:val="004E5FF8"/>
    <w:rsid w:val="004F0255"/>
    <w:rsid w:val="004F7B2E"/>
    <w:rsid w:val="00501506"/>
    <w:rsid w:val="00501DCF"/>
    <w:rsid w:val="00502CEF"/>
    <w:rsid w:val="00504B85"/>
    <w:rsid w:val="00507D24"/>
    <w:rsid w:val="005107C6"/>
    <w:rsid w:val="00513E3A"/>
    <w:rsid w:val="00523888"/>
    <w:rsid w:val="005238EA"/>
    <w:rsid w:val="00524717"/>
    <w:rsid w:val="005300B0"/>
    <w:rsid w:val="005326F6"/>
    <w:rsid w:val="005340E3"/>
    <w:rsid w:val="00536F9A"/>
    <w:rsid w:val="00540A41"/>
    <w:rsid w:val="00542067"/>
    <w:rsid w:val="0054394C"/>
    <w:rsid w:val="005443A0"/>
    <w:rsid w:val="00544851"/>
    <w:rsid w:val="00552140"/>
    <w:rsid w:val="00552995"/>
    <w:rsid w:val="00553C94"/>
    <w:rsid w:val="00555167"/>
    <w:rsid w:val="00557B43"/>
    <w:rsid w:val="00557D37"/>
    <w:rsid w:val="00561D5E"/>
    <w:rsid w:val="0056270B"/>
    <w:rsid w:val="0056381B"/>
    <w:rsid w:val="00563B99"/>
    <w:rsid w:val="0056518C"/>
    <w:rsid w:val="0057236F"/>
    <w:rsid w:val="00573C56"/>
    <w:rsid w:val="005766F8"/>
    <w:rsid w:val="00581C1C"/>
    <w:rsid w:val="005835FA"/>
    <w:rsid w:val="00586694"/>
    <w:rsid w:val="00587704"/>
    <w:rsid w:val="005914D7"/>
    <w:rsid w:val="00591CF5"/>
    <w:rsid w:val="00593126"/>
    <w:rsid w:val="0059330F"/>
    <w:rsid w:val="00597215"/>
    <w:rsid w:val="005A736A"/>
    <w:rsid w:val="005B0142"/>
    <w:rsid w:val="005B098D"/>
    <w:rsid w:val="005B31E0"/>
    <w:rsid w:val="005B769B"/>
    <w:rsid w:val="005C18F0"/>
    <w:rsid w:val="005C192A"/>
    <w:rsid w:val="005C2C81"/>
    <w:rsid w:val="005C2E52"/>
    <w:rsid w:val="005C4F76"/>
    <w:rsid w:val="005D02BC"/>
    <w:rsid w:val="005D1824"/>
    <w:rsid w:val="005D1D75"/>
    <w:rsid w:val="005D2C94"/>
    <w:rsid w:val="005D72E8"/>
    <w:rsid w:val="005D794A"/>
    <w:rsid w:val="005E03F2"/>
    <w:rsid w:val="005E0D82"/>
    <w:rsid w:val="005E34DC"/>
    <w:rsid w:val="005F0F11"/>
    <w:rsid w:val="005F377F"/>
    <w:rsid w:val="005F5389"/>
    <w:rsid w:val="005F5DF8"/>
    <w:rsid w:val="005F5F5B"/>
    <w:rsid w:val="005F74B0"/>
    <w:rsid w:val="005F77AD"/>
    <w:rsid w:val="00601B99"/>
    <w:rsid w:val="006021D3"/>
    <w:rsid w:val="006070B3"/>
    <w:rsid w:val="0060798E"/>
    <w:rsid w:val="00607C8A"/>
    <w:rsid w:val="00611BF0"/>
    <w:rsid w:val="00613662"/>
    <w:rsid w:val="00616209"/>
    <w:rsid w:val="00622BCA"/>
    <w:rsid w:val="00623142"/>
    <w:rsid w:val="00626DD2"/>
    <w:rsid w:val="00627C5A"/>
    <w:rsid w:val="006358BF"/>
    <w:rsid w:val="0063646A"/>
    <w:rsid w:val="00637998"/>
    <w:rsid w:val="00637F87"/>
    <w:rsid w:val="00640F73"/>
    <w:rsid w:val="00642327"/>
    <w:rsid w:val="006438DE"/>
    <w:rsid w:val="00644174"/>
    <w:rsid w:val="00646378"/>
    <w:rsid w:val="00646F43"/>
    <w:rsid w:val="0064777B"/>
    <w:rsid w:val="00650226"/>
    <w:rsid w:val="006534DC"/>
    <w:rsid w:val="0065469E"/>
    <w:rsid w:val="00655A76"/>
    <w:rsid w:val="00655F10"/>
    <w:rsid w:val="006626EC"/>
    <w:rsid w:val="006635DB"/>
    <w:rsid w:val="00670CAF"/>
    <w:rsid w:val="006775DD"/>
    <w:rsid w:val="006812B2"/>
    <w:rsid w:val="0068193E"/>
    <w:rsid w:val="0068237E"/>
    <w:rsid w:val="00686EE5"/>
    <w:rsid w:val="006907A2"/>
    <w:rsid w:val="00695510"/>
    <w:rsid w:val="00695AEF"/>
    <w:rsid w:val="006977C3"/>
    <w:rsid w:val="006A0ADF"/>
    <w:rsid w:val="006A34FF"/>
    <w:rsid w:val="006A36F9"/>
    <w:rsid w:val="006A3778"/>
    <w:rsid w:val="006A5773"/>
    <w:rsid w:val="006A5B23"/>
    <w:rsid w:val="006A6BDA"/>
    <w:rsid w:val="006A762C"/>
    <w:rsid w:val="006B46F2"/>
    <w:rsid w:val="006B527D"/>
    <w:rsid w:val="006C0612"/>
    <w:rsid w:val="006C1989"/>
    <w:rsid w:val="006C25DE"/>
    <w:rsid w:val="006C76A3"/>
    <w:rsid w:val="006D0D58"/>
    <w:rsid w:val="006D1BD7"/>
    <w:rsid w:val="006D22CA"/>
    <w:rsid w:val="006D442E"/>
    <w:rsid w:val="006D4A1E"/>
    <w:rsid w:val="006D4E0E"/>
    <w:rsid w:val="006D5DA4"/>
    <w:rsid w:val="006E1CC9"/>
    <w:rsid w:val="006E2A24"/>
    <w:rsid w:val="006E5703"/>
    <w:rsid w:val="006E7468"/>
    <w:rsid w:val="006F579C"/>
    <w:rsid w:val="00701092"/>
    <w:rsid w:val="00701AC3"/>
    <w:rsid w:val="00701CF7"/>
    <w:rsid w:val="00703078"/>
    <w:rsid w:val="00703301"/>
    <w:rsid w:val="00703386"/>
    <w:rsid w:val="00712E17"/>
    <w:rsid w:val="00713659"/>
    <w:rsid w:val="00714298"/>
    <w:rsid w:val="007214C6"/>
    <w:rsid w:val="007220A7"/>
    <w:rsid w:val="007344AF"/>
    <w:rsid w:val="0073452D"/>
    <w:rsid w:val="00734FB3"/>
    <w:rsid w:val="00740D4F"/>
    <w:rsid w:val="007467A4"/>
    <w:rsid w:val="00747835"/>
    <w:rsid w:val="00747955"/>
    <w:rsid w:val="00752438"/>
    <w:rsid w:val="007560EB"/>
    <w:rsid w:val="007601C6"/>
    <w:rsid w:val="007626FF"/>
    <w:rsid w:val="007635B5"/>
    <w:rsid w:val="0076511D"/>
    <w:rsid w:val="007654FA"/>
    <w:rsid w:val="00771E4B"/>
    <w:rsid w:val="0077272D"/>
    <w:rsid w:val="00772B3C"/>
    <w:rsid w:val="00773015"/>
    <w:rsid w:val="0077364F"/>
    <w:rsid w:val="007736EC"/>
    <w:rsid w:val="00774A2A"/>
    <w:rsid w:val="0077645A"/>
    <w:rsid w:val="0077758F"/>
    <w:rsid w:val="0078013D"/>
    <w:rsid w:val="00781A33"/>
    <w:rsid w:val="007847B4"/>
    <w:rsid w:val="007900F2"/>
    <w:rsid w:val="00791F8F"/>
    <w:rsid w:val="00797C73"/>
    <w:rsid w:val="007A0C14"/>
    <w:rsid w:val="007A2847"/>
    <w:rsid w:val="007A471E"/>
    <w:rsid w:val="007A5AF0"/>
    <w:rsid w:val="007B28B0"/>
    <w:rsid w:val="007B4B1E"/>
    <w:rsid w:val="007B690C"/>
    <w:rsid w:val="007C0200"/>
    <w:rsid w:val="007C2CDE"/>
    <w:rsid w:val="007C40AC"/>
    <w:rsid w:val="007C4F90"/>
    <w:rsid w:val="007C7BEC"/>
    <w:rsid w:val="007D2647"/>
    <w:rsid w:val="007D2D90"/>
    <w:rsid w:val="007D6FF6"/>
    <w:rsid w:val="007D7A49"/>
    <w:rsid w:val="007E23C7"/>
    <w:rsid w:val="007E4E44"/>
    <w:rsid w:val="007E6D8D"/>
    <w:rsid w:val="007E7380"/>
    <w:rsid w:val="007F1ECE"/>
    <w:rsid w:val="007F45C2"/>
    <w:rsid w:val="007F46D7"/>
    <w:rsid w:val="0080038D"/>
    <w:rsid w:val="008022C0"/>
    <w:rsid w:val="008037F7"/>
    <w:rsid w:val="00804F48"/>
    <w:rsid w:val="00806B65"/>
    <w:rsid w:val="00807781"/>
    <w:rsid w:val="008109D9"/>
    <w:rsid w:val="00810A6A"/>
    <w:rsid w:val="00811FE9"/>
    <w:rsid w:val="0081319C"/>
    <w:rsid w:val="00815D4C"/>
    <w:rsid w:val="008166AD"/>
    <w:rsid w:val="00820DB7"/>
    <w:rsid w:val="00824F63"/>
    <w:rsid w:val="00827754"/>
    <w:rsid w:val="00831A3E"/>
    <w:rsid w:val="008320BB"/>
    <w:rsid w:val="0083382B"/>
    <w:rsid w:val="008352D9"/>
    <w:rsid w:val="0083554F"/>
    <w:rsid w:val="00840EE9"/>
    <w:rsid w:val="00846E39"/>
    <w:rsid w:val="008473B7"/>
    <w:rsid w:val="008551C6"/>
    <w:rsid w:val="00856D94"/>
    <w:rsid w:val="00857953"/>
    <w:rsid w:val="00857EED"/>
    <w:rsid w:val="00861D34"/>
    <w:rsid w:val="00863AEF"/>
    <w:rsid w:val="0086410E"/>
    <w:rsid w:val="0086623F"/>
    <w:rsid w:val="00866311"/>
    <w:rsid w:val="0087301F"/>
    <w:rsid w:val="00873CB7"/>
    <w:rsid w:val="00876184"/>
    <w:rsid w:val="00877121"/>
    <w:rsid w:val="008776AE"/>
    <w:rsid w:val="008776B5"/>
    <w:rsid w:val="008806BC"/>
    <w:rsid w:val="00884103"/>
    <w:rsid w:val="00884261"/>
    <w:rsid w:val="00886050"/>
    <w:rsid w:val="00886D1D"/>
    <w:rsid w:val="008924E0"/>
    <w:rsid w:val="00893D98"/>
    <w:rsid w:val="008960B8"/>
    <w:rsid w:val="00897CE9"/>
    <w:rsid w:val="008A246A"/>
    <w:rsid w:val="008A5373"/>
    <w:rsid w:val="008B3942"/>
    <w:rsid w:val="008B6BC9"/>
    <w:rsid w:val="008C0C57"/>
    <w:rsid w:val="008C15E7"/>
    <w:rsid w:val="008C4326"/>
    <w:rsid w:val="008D063C"/>
    <w:rsid w:val="008D2164"/>
    <w:rsid w:val="008D26C4"/>
    <w:rsid w:val="008D534E"/>
    <w:rsid w:val="008D5896"/>
    <w:rsid w:val="008D6AE9"/>
    <w:rsid w:val="008D6B7A"/>
    <w:rsid w:val="008D72D5"/>
    <w:rsid w:val="008E00E8"/>
    <w:rsid w:val="008E01D4"/>
    <w:rsid w:val="008E0B1B"/>
    <w:rsid w:val="008E4838"/>
    <w:rsid w:val="008F3D99"/>
    <w:rsid w:val="009032FE"/>
    <w:rsid w:val="00903BC3"/>
    <w:rsid w:val="00905AB3"/>
    <w:rsid w:val="00910FA9"/>
    <w:rsid w:val="00911B75"/>
    <w:rsid w:val="009163A7"/>
    <w:rsid w:val="0091757B"/>
    <w:rsid w:val="009204BD"/>
    <w:rsid w:val="00920D8B"/>
    <w:rsid w:val="00921FAC"/>
    <w:rsid w:val="009232D3"/>
    <w:rsid w:val="00927E0D"/>
    <w:rsid w:val="009308CD"/>
    <w:rsid w:val="0093144D"/>
    <w:rsid w:val="00934D58"/>
    <w:rsid w:val="0094129C"/>
    <w:rsid w:val="00943484"/>
    <w:rsid w:val="0094355D"/>
    <w:rsid w:val="00943897"/>
    <w:rsid w:val="009511FC"/>
    <w:rsid w:val="00960598"/>
    <w:rsid w:val="00961E2F"/>
    <w:rsid w:val="0096295A"/>
    <w:rsid w:val="00963172"/>
    <w:rsid w:val="0096521D"/>
    <w:rsid w:val="00967AC9"/>
    <w:rsid w:val="0097014D"/>
    <w:rsid w:val="00973648"/>
    <w:rsid w:val="00973923"/>
    <w:rsid w:val="00973BF2"/>
    <w:rsid w:val="00984278"/>
    <w:rsid w:val="00985ADB"/>
    <w:rsid w:val="00993FEC"/>
    <w:rsid w:val="00996747"/>
    <w:rsid w:val="009A0E6F"/>
    <w:rsid w:val="009A1B42"/>
    <w:rsid w:val="009A2376"/>
    <w:rsid w:val="009A7034"/>
    <w:rsid w:val="009A7972"/>
    <w:rsid w:val="009B3FE5"/>
    <w:rsid w:val="009B7A0A"/>
    <w:rsid w:val="009B7A3B"/>
    <w:rsid w:val="009C24DD"/>
    <w:rsid w:val="009C362D"/>
    <w:rsid w:val="009D274D"/>
    <w:rsid w:val="009D6B1F"/>
    <w:rsid w:val="009E2962"/>
    <w:rsid w:val="009E2B8B"/>
    <w:rsid w:val="009E41E4"/>
    <w:rsid w:val="009E543A"/>
    <w:rsid w:val="009F2821"/>
    <w:rsid w:val="009F3597"/>
    <w:rsid w:val="009F48EC"/>
    <w:rsid w:val="00A00D87"/>
    <w:rsid w:val="00A06CD0"/>
    <w:rsid w:val="00A06FF4"/>
    <w:rsid w:val="00A100BA"/>
    <w:rsid w:val="00A107E6"/>
    <w:rsid w:val="00A11755"/>
    <w:rsid w:val="00A225B5"/>
    <w:rsid w:val="00A2304D"/>
    <w:rsid w:val="00A268AF"/>
    <w:rsid w:val="00A26966"/>
    <w:rsid w:val="00A26F0E"/>
    <w:rsid w:val="00A321E1"/>
    <w:rsid w:val="00A3514D"/>
    <w:rsid w:val="00A367A5"/>
    <w:rsid w:val="00A368AD"/>
    <w:rsid w:val="00A377CC"/>
    <w:rsid w:val="00A379F3"/>
    <w:rsid w:val="00A40510"/>
    <w:rsid w:val="00A43AF4"/>
    <w:rsid w:val="00A46FF6"/>
    <w:rsid w:val="00A503D5"/>
    <w:rsid w:val="00A522CA"/>
    <w:rsid w:val="00A522F2"/>
    <w:rsid w:val="00A53220"/>
    <w:rsid w:val="00A53BCC"/>
    <w:rsid w:val="00A54F87"/>
    <w:rsid w:val="00A618B6"/>
    <w:rsid w:val="00A63CDD"/>
    <w:rsid w:val="00A63F44"/>
    <w:rsid w:val="00A64D29"/>
    <w:rsid w:val="00A6502E"/>
    <w:rsid w:val="00A673FD"/>
    <w:rsid w:val="00A77633"/>
    <w:rsid w:val="00A778B5"/>
    <w:rsid w:val="00A80038"/>
    <w:rsid w:val="00A84E0D"/>
    <w:rsid w:val="00A852A5"/>
    <w:rsid w:val="00A87861"/>
    <w:rsid w:val="00A94E2A"/>
    <w:rsid w:val="00A96E4F"/>
    <w:rsid w:val="00AA02AA"/>
    <w:rsid w:val="00AB1FB8"/>
    <w:rsid w:val="00AB6B95"/>
    <w:rsid w:val="00AB786E"/>
    <w:rsid w:val="00AB7BEB"/>
    <w:rsid w:val="00AC0C7E"/>
    <w:rsid w:val="00AC2BBC"/>
    <w:rsid w:val="00AC319B"/>
    <w:rsid w:val="00AC490C"/>
    <w:rsid w:val="00AD3393"/>
    <w:rsid w:val="00AD5E75"/>
    <w:rsid w:val="00AE11D2"/>
    <w:rsid w:val="00AE1A18"/>
    <w:rsid w:val="00AE214B"/>
    <w:rsid w:val="00AE457D"/>
    <w:rsid w:val="00AE71CF"/>
    <w:rsid w:val="00AF078D"/>
    <w:rsid w:val="00AF1F51"/>
    <w:rsid w:val="00AF25D2"/>
    <w:rsid w:val="00AF56AF"/>
    <w:rsid w:val="00AF6C34"/>
    <w:rsid w:val="00AF769C"/>
    <w:rsid w:val="00AF7DEB"/>
    <w:rsid w:val="00B003AC"/>
    <w:rsid w:val="00B06EA5"/>
    <w:rsid w:val="00B10FC0"/>
    <w:rsid w:val="00B118EA"/>
    <w:rsid w:val="00B119A5"/>
    <w:rsid w:val="00B13D3E"/>
    <w:rsid w:val="00B148CA"/>
    <w:rsid w:val="00B17B41"/>
    <w:rsid w:val="00B23937"/>
    <w:rsid w:val="00B251CE"/>
    <w:rsid w:val="00B254A7"/>
    <w:rsid w:val="00B25988"/>
    <w:rsid w:val="00B26614"/>
    <w:rsid w:val="00B271B5"/>
    <w:rsid w:val="00B32E58"/>
    <w:rsid w:val="00B37F43"/>
    <w:rsid w:val="00B4029B"/>
    <w:rsid w:val="00B454B8"/>
    <w:rsid w:val="00B5300C"/>
    <w:rsid w:val="00B566E5"/>
    <w:rsid w:val="00B62E2A"/>
    <w:rsid w:val="00B66D6C"/>
    <w:rsid w:val="00B70406"/>
    <w:rsid w:val="00B735F5"/>
    <w:rsid w:val="00B760F0"/>
    <w:rsid w:val="00B77D63"/>
    <w:rsid w:val="00B82F4B"/>
    <w:rsid w:val="00B83005"/>
    <w:rsid w:val="00B83D01"/>
    <w:rsid w:val="00B91070"/>
    <w:rsid w:val="00B9352D"/>
    <w:rsid w:val="00B94605"/>
    <w:rsid w:val="00B95564"/>
    <w:rsid w:val="00B9683F"/>
    <w:rsid w:val="00BA1B16"/>
    <w:rsid w:val="00BA20E8"/>
    <w:rsid w:val="00BA52C4"/>
    <w:rsid w:val="00BA568E"/>
    <w:rsid w:val="00BA5FA4"/>
    <w:rsid w:val="00BA69EA"/>
    <w:rsid w:val="00BB01B4"/>
    <w:rsid w:val="00BB1073"/>
    <w:rsid w:val="00BB40F0"/>
    <w:rsid w:val="00BB6587"/>
    <w:rsid w:val="00BC112D"/>
    <w:rsid w:val="00BC23DF"/>
    <w:rsid w:val="00BC2475"/>
    <w:rsid w:val="00BC3F7A"/>
    <w:rsid w:val="00BC4BD3"/>
    <w:rsid w:val="00BC7090"/>
    <w:rsid w:val="00BD138C"/>
    <w:rsid w:val="00BD35E3"/>
    <w:rsid w:val="00BD43F2"/>
    <w:rsid w:val="00BD5354"/>
    <w:rsid w:val="00BD62F8"/>
    <w:rsid w:val="00BD7E07"/>
    <w:rsid w:val="00BE0763"/>
    <w:rsid w:val="00BE2552"/>
    <w:rsid w:val="00BE553D"/>
    <w:rsid w:val="00BE6B03"/>
    <w:rsid w:val="00C015D7"/>
    <w:rsid w:val="00C04573"/>
    <w:rsid w:val="00C05470"/>
    <w:rsid w:val="00C0572F"/>
    <w:rsid w:val="00C05E37"/>
    <w:rsid w:val="00C123E9"/>
    <w:rsid w:val="00C16263"/>
    <w:rsid w:val="00C16687"/>
    <w:rsid w:val="00C207B5"/>
    <w:rsid w:val="00C2351A"/>
    <w:rsid w:val="00C23EFC"/>
    <w:rsid w:val="00C325A3"/>
    <w:rsid w:val="00C351C3"/>
    <w:rsid w:val="00C35E4D"/>
    <w:rsid w:val="00C369F3"/>
    <w:rsid w:val="00C40BDA"/>
    <w:rsid w:val="00C41AF7"/>
    <w:rsid w:val="00C46BEE"/>
    <w:rsid w:val="00C477DB"/>
    <w:rsid w:val="00C511B6"/>
    <w:rsid w:val="00C52323"/>
    <w:rsid w:val="00C52938"/>
    <w:rsid w:val="00C52AEF"/>
    <w:rsid w:val="00C54AAC"/>
    <w:rsid w:val="00C626DB"/>
    <w:rsid w:val="00C63647"/>
    <w:rsid w:val="00C660A0"/>
    <w:rsid w:val="00C7045C"/>
    <w:rsid w:val="00C7238B"/>
    <w:rsid w:val="00C74274"/>
    <w:rsid w:val="00C748A6"/>
    <w:rsid w:val="00C75461"/>
    <w:rsid w:val="00C75FEE"/>
    <w:rsid w:val="00C774CE"/>
    <w:rsid w:val="00C8296F"/>
    <w:rsid w:val="00C83913"/>
    <w:rsid w:val="00C87B6E"/>
    <w:rsid w:val="00C9093A"/>
    <w:rsid w:val="00C91E2B"/>
    <w:rsid w:val="00C95660"/>
    <w:rsid w:val="00C97CC0"/>
    <w:rsid w:val="00CA3E85"/>
    <w:rsid w:val="00CA601F"/>
    <w:rsid w:val="00CA6BA9"/>
    <w:rsid w:val="00CB2CFD"/>
    <w:rsid w:val="00CB304B"/>
    <w:rsid w:val="00CB513A"/>
    <w:rsid w:val="00CB5EC8"/>
    <w:rsid w:val="00CB7327"/>
    <w:rsid w:val="00CB76CD"/>
    <w:rsid w:val="00CC1758"/>
    <w:rsid w:val="00CC4490"/>
    <w:rsid w:val="00CC4B48"/>
    <w:rsid w:val="00CC5B2C"/>
    <w:rsid w:val="00CC776D"/>
    <w:rsid w:val="00CD02E0"/>
    <w:rsid w:val="00CD40A2"/>
    <w:rsid w:val="00CD47E1"/>
    <w:rsid w:val="00CD4A0D"/>
    <w:rsid w:val="00CD4C91"/>
    <w:rsid w:val="00CD56C4"/>
    <w:rsid w:val="00CD61E6"/>
    <w:rsid w:val="00CE3A51"/>
    <w:rsid w:val="00CE3B53"/>
    <w:rsid w:val="00CE46D7"/>
    <w:rsid w:val="00CE6588"/>
    <w:rsid w:val="00CF273E"/>
    <w:rsid w:val="00CF5C35"/>
    <w:rsid w:val="00CF7A3C"/>
    <w:rsid w:val="00CF7B42"/>
    <w:rsid w:val="00D00837"/>
    <w:rsid w:val="00D04178"/>
    <w:rsid w:val="00D06B8C"/>
    <w:rsid w:val="00D103BF"/>
    <w:rsid w:val="00D141F7"/>
    <w:rsid w:val="00D1484C"/>
    <w:rsid w:val="00D16B5F"/>
    <w:rsid w:val="00D246FE"/>
    <w:rsid w:val="00D27600"/>
    <w:rsid w:val="00D278F7"/>
    <w:rsid w:val="00D314FF"/>
    <w:rsid w:val="00D3212B"/>
    <w:rsid w:val="00D340F5"/>
    <w:rsid w:val="00D35CCF"/>
    <w:rsid w:val="00D36683"/>
    <w:rsid w:val="00D3690B"/>
    <w:rsid w:val="00D42D09"/>
    <w:rsid w:val="00D513DC"/>
    <w:rsid w:val="00D56A7C"/>
    <w:rsid w:val="00D624F7"/>
    <w:rsid w:val="00D62EB5"/>
    <w:rsid w:val="00D64A0E"/>
    <w:rsid w:val="00D71EDC"/>
    <w:rsid w:val="00D721FE"/>
    <w:rsid w:val="00D76359"/>
    <w:rsid w:val="00D76CE2"/>
    <w:rsid w:val="00D7724A"/>
    <w:rsid w:val="00D77AFA"/>
    <w:rsid w:val="00D80825"/>
    <w:rsid w:val="00D83414"/>
    <w:rsid w:val="00D9090D"/>
    <w:rsid w:val="00D90CF9"/>
    <w:rsid w:val="00D9221F"/>
    <w:rsid w:val="00DA1A46"/>
    <w:rsid w:val="00DA3B6C"/>
    <w:rsid w:val="00DA4B3E"/>
    <w:rsid w:val="00DA7820"/>
    <w:rsid w:val="00DB1408"/>
    <w:rsid w:val="00DB2B43"/>
    <w:rsid w:val="00DB4056"/>
    <w:rsid w:val="00DB4208"/>
    <w:rsid w:val="00DC0A98"/>
    <w:rsid w:val="00DD1532"/>
    <w:rsid w:val="00DD29B8"/>
    <w:rsid w:val="00DD2A1F"/>
    <w:rsid w:val="00DD4893"/>
    <w:rsid w:val="00DE0F31"/>
    <w:rsid w:val="00DE1869"/>
    <w:rsid w:val="00DE24BD"/>
    <w:rsid w:val="00DE3404"/>
    <w:rsid w:val="00DE42C9"/>
    <w:rsid w:val="00DE4355"/>
    <w:rsid w:val="00DE711C"/>
    <w:rsid w:val="00DF08B5"/>
    <w:rsid w:val="00DF439F"/>
    <w:rsid w:val="00DF561A"/>
    <w:rsid w:val="00DF728F"/>
    <w:rsid w:val="00E01BA5"/>
    <w:rsid w:val="00E03291"/>
    <w:rsid w:val="00E03EE8"/>
    <w:rsid w:val="00E04E3D"/>
    <w:rsid w:val="00E04EF4"/>
    <w:rsid w:val="00E07169"/>
    <w:rsid w:val="00E10E08"/>
    <w:rsid w:val="00E11A47"/>
    <w:rsid w:val="00E12289"/>
    <w:rsid w:val="00E205FB"/>
    <w:rsid w:val="00E233A8"/>
    <w:rsid w:val="00E27437"/>
    <w:rsid w:val="00E3286B"/>
    <w:rsid w:val="00E33F9A"/>
    <w:rsid w:val="00E44A0E"/>
    <w:rsid w:val="00E54F09"/>
    <w:rsid w:val="00E55907"/>
    <w:rsid w:val="00E5722E"/>
    <w:rsid w:val="00E57760"/>
    <w:rsid w:val="00E606B9"/>
    <w:rsid w:val="00E61C72"/>
    <w:rsid w:val="00E6411E"/>
    <w:rsid w:val="00E655F0"/>
    <w:rsid w:val="00E6560A"/>
    <w:rsid w:val="00E71A4E"/>
    <w:rsid w:val="00E723A8"/>
    <w:rsid w:val="00E74965"/>
    <w:rsid w:val="00E8225B"/>
    <w:rsid w:val="00E8502C"/>
    <w:rsid w:val="00E85480"/>
    <w:rsid w:val="00E865F1"/>
    <w:rsid w:val="00E920ED"/>
    <w:rsid w:val="00E9234C"/>
    <w:rsid w:val="00E9317D"/>
    <w:rsid w:val="00E931A1"/>
    <w:rsid w:val="00E9604F"/>
    <w:rsid w:val="00EA01A9"/>
    <w:rsid w:val="00EA0656"/>
    <w:rsid w:val="00EA5824"/>
    <w:rsid w:val="00EA76A9"/>
    <w:rsid w:val="00EB0EE4"/>
    <w:rsid w:val="00EB30A5"/>
    <w:rsid w:val="00EC0A41"/>
    <w:rsid w:val="00EC3123"/>
    <w:rsid w:val="00EC6B22"/>
    <w:rsid w:val="00EC6CF4"/>
    <w:rsid w:val="00ED3A1C"/>
    <w:rsid w:val="00ED7502"/>
    <w:rsid w:val="00EE1357"/>
    <w:rsid w:val="00EE2701"/>
    <w:rsid w:val="00EE5C6E"/>
    <w:rsid w:val="00F01DC8"/>
    <w:rsid w:val="00F03625"/>
    <w:rsid w:val="00F04A6C"/>
    <w:rsid w:val="00F1251A"/>
    <w:rsid w:val="00F155B9"/>
    <w:rsid w:val="00F20171"/>
    <w:rsid w:val="00F2619D"/>
    <w:rsid w:val="00F311F8"/>
    <w:rsid w:val="00F327EA"/>
    <w:rsid w:val="00F32EF1"/>
    <w:rsid w:val="00F34E11"/>
    <w:rsid w:val="00F35256"/>
    <w:rsid w:val="00F35441"/>
    <w:rsid w:val="00F37EB1"/>
    <w:rsid w:val="00F4170B"/>
    <w:rsid w:val="00F477A5"/>
    <w:rsid w:val="00F47D75"/>
    <w:rsid w:val="00F53B27"/>
    <w:rsid w:val="00F605BB"/>
    <w:rsid w:val="00F60EAC"/>
    <w:rsid w:val="00F61CE9"/>
    <w:rsid w:val="00F64BA7"/>
    <w:rsid w:val="00F64CCF"/>
    <w:rsid w:val="00F64EC0"/>
    <w:rsid w:val="00F65050"/>
    <w:rsid w:val="00F66F86"/>
    <w:rsid w:val="00F70A4E"/>
    <w:rsid w:val="00F70E84"/>
    <w:rsid w:val="00F73614"/>
    <w:rsid w:val="00F83FE5"/>
    <w:rsid w:val="00F847CA"/>
    <w:rsid w:val="00F85003"/>
    <w:rsid w:val="00F8605C"/>
    <w:rsid w:val="00F8734C"/>
    <w:rsid w:val="00F873D9"/>
    <w:rsid w:val="00F910AF"/>
    <w:rsid w:val="00F931DE"/>
    <w:rsid w:val="00F941D2"/>
    <w:rsid w:val="00F97429"/>
    <w:rsid w:val="00FA0D4B"/>
    <w:rsid w:val="00FA5EC9"/>
    <w:rsid w:val="00FB0871"/>
    <w:rsid w:val="00FB10CC"/>
    <w:rsid w:val="00FB47AA"/>
    <w:rsid w:val="00FB48A2"/>
    <w:rsid w:val="00FB5F56"/>
    <w:rsid w:val="00FB615C"/>
    <w:rsid w:val="00FC1B30"/>
    <w:rsid w:val="00FC223E"/>
    <w:rsid w:val="00FD4D03"/>
    <w:rsid w:val="00FD6DD1"/>
    <w:rsid w:val="00FD7274"/>
    <w:rsid w:val="00FD7A6E"/>
    <w:rsid w:val="00FE05A0"/>
    <w:rsid w:val="00FE1B58"/>
    <w:rsid w:val="00FE3FE2"/>
    <w:rsid w:val="00FE5AB8"/>
    <w:rsid w:val="00FE66C8"/>
    <w:rsid w:val="00FE6C56"/>
    <w:rsid w:val="00FE72F6"/>
    <w:rsid w:val="00FF0E83"/>
    <w:rsid w:val="00FF1EB6"/>
    <w:rsid w:val="00FF3BA1"/>
    <w:rsid w:val="00FF4675"/>
    <w:rsid w:val="00FF7A04"/>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3EC29"/>
  <w15:docId w15:val="{661EB228-43E0-4917-AD62-7B4DBAEC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bs-Latn-BA"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FE"/>
    <w:rPr>
      <w:rFonts w:eastAsiaTheme="minorEastAsia"/>
      <w:lang w:val="en-US" w:eastAsia="ja-JP"/>
    </w:rPr>
  </w:style>
  <w:style w:type="paragraph" w:styleId="Heading1">
    <w:name w:val="heading 1"/>
    <w:basedOn w:val="Normal"/>
    <w:next w:val="Normal"/>
    <w:link w:val="Heading1Char"/>
    <w:uiPriority w:val="9"/>
    <w:qFormat/>
    <w:rsid w:val="00336CFE"/>
    <w:pPr>
      <w:keepNext/>
      <w:keepLines/>
      <w:numPr>
        <w:numId w:val="41"/>
      </w:numPr>
      <w:spacing w:before="240" w:after="240" w:line="240" w:lineRule="auto"/>
      <w:jc w:val="left"/>
      <w:outlineLvl w:val="0"/>
    </w:pPr>
    <w:rPr>
      <w:rFonts w:ascii="Arial" w:eastAsiaTheme="majorEastAsia" w:hAnsi="Arial" w:cstheme="majorBidi"/>
      <w:b/>
      <w:caps/>
      <w:color w:val="00592E"/>
      <w:sz w:val="28"/>
      <w:szCs w:val="32"/>
    </w:rPr>
  </w:style>
  <w:style w:type="paragraph" w:styleId="Heading2">
    <w:name w:val="heading 2"/>
    <w:basedOn w:val="Normal"/>
    <w:next w:val="Normal"/>
    <w:link w:val="Heading2Char"/>
    <w:uiPriority w:val="9"/>
    <w:unhideWhenUsed/>
    <w:qFormat/>
    <w:rsid w:val="00336CFE"/>
    <w:pPr>
      <w:keepNext/>
      <w:keepLines/>
      <w:numPr>
        <w:ilvl w:val="1"/>
        <w:numId w:val="41"/>
      </w:numPr>
      <w:spacing w:before="240" w:after="240"/>
      <w:jc w:val="left"/>
      <w:textboxTightWrap w:val="allLines"/>
      <w:outlineLvl w:val="1"/>
    </w:pPr>
    <w:rPr>
      <w:rFonts w:ascii="Arial" w:eastAsiaTheme="majorEastAsia" w:hAnsi="Arial" w:cstheme="majorBidi"/>
      <w:b/>
      <w:color w:val="00592E"/>
      <w:sz w:val="24"/>
      <w:szCs w:val="26"/>
    </w:rPr>
  </w:style>
  <w:style w:type="paragraph" w:styleId="Heading3">
    <w:name w:val="heading 3"/>
    <w:basedOn w:val="Normal"/>
    <w:next w:val="Normal"/>
    <w:link w:val="Heading3Char"/>
    <w:uiPriority w:val="9"/>
    <w:unhideWhenUsed/>
    <w:qFormat/>
    <w:rsid w:val="00336CFE"/>
    <w:pPr>
      <w:keepNext/>
      <w:keepLines/>
      <w:numPr>
        <w:ilvl w:val="2"/>
        <w:numId w:val="41"/>
      </w:numPr>
      <w:spacing w:before="120" w:after="120"/>
      <w:jc w:val="left"/>
      <w:outlineLvl w:val="2"/>
    </w:pPr>
    <w:rPr>
      <w:rFonts w:ascii="Arial" w:eastAsiaTheme="majorEastAsia" w:hAnsi="Arial" w:cstheme="majorBidi"/>
      <w:b/>
      <w:color w:val="00592E"/>
      <w:szCs w:val="24"/>
      <w:lang w:val="bs-Latn-BA"/>
    </w:rPr>
  </w:style>
  <w:style w:type="paragraph" w:styleId="Heading4">
    <w:name w:val="heading 4"/>
    <w:basedOn w:val="Normal"/>
    <w:next w:val="Normal"/>
    <w:link w:val="Heading4Char"/>
    <w:uiPriority w:val="9"/>
    <w:unhideWhenUsed/>
    <w:qFormat/>
    <w:rsid w:val="00336CFE"/>
    <w:pPr>
      <w:keepNext/>
      <w:keepLines/>
      <w:spacing w:after="240"/>
      <w:jc w:val="left"/>
      <w:outlineLvl w:val="3"/>
    </w:pPr>
    <w:rPr>
      <w:rFonts w:eastAsiaTheme="majorEastAsia" w:cstheme="majorBidi"/>
      <w:b/>
      <w:i/>
      <w:iCs/>
      <w:caps/>
      <w:color w:val="00592E"/>
      <w:u w:val="single"/>
    </w:rPr>
  </w:style>
  <w:style w:type="paragraph" w:styleId="Heading5">
    <w:name w:val="heading 5"/>
    <w:basedOn w:val="Normal"/>
    <w:next w:val="Normal"/>
    <w:link w:val="Heading5Char"/>
    <w:uiPriority w:val="9"/>
    <w:unhideWhenUsed/>
    <w:qFormat/>
    <w:rsid w:val="003278D3"/>
    <w:pPr>
      <w:keepNext/>
      <w:keepLines/>
      <w:spacing w:before="40"/>
      <w:outlineLvl w:val="4"/>
    </w:pPr>
    <w:rPr>
      <w:rFonts w:asciiTheme="majorHAnsi" w:eastAsiaTheme="majorEastAsia" w:hAnsiTheme="majorHAnsi" w:cstheme="majorBidi"/>
      <w:b/>
      <w:color w:val="005837"/>
    </w:rPr>
  </w:style>
  <w:style w:type="paragraph" w:styleId="Heading6">
    <w:name w:val="heading 6"/>
    <w:basedOn w:val="Normal"/>
    <w:next w:val="Normal"/>
    <w:link w:val="Heading6Char"/>
    <w:uiPriority w:val="9"/>
    <w:semiHidden/>
    <w:unhideWhenUsed/>
    <w:qFormat/>
    <w:rsid w:val="00D917A2"/>
    <w:pPr>
      <w:keepNext/>
      <w:keepLines/>
      <w:spacing w:before="200" w:after="0" w:line="276" w:lineRule="auto"/>
      <w:ind w:left="1152" w:hanging="1152"/>
      <w:outlineLvl w:val="5"/>
    </w:pPr>
    <w:rPr>
      <w:rFonts w:eastAsia="Times New Roman" w:cs="Times New Roman"/>
      <w:i/>
      <w:iCs/>
      <w:color w:val="243F60"/>
      <w:szCs w:val="20"/>
      <w:lang w:val="hr-BA" w:eastAsia="x-none"/>
    </w:rPr>
  </w:style>
  <w:style w:type="paragraph" w:styleId="Heading7">
    <w:name w:val="heading 7"/>
    <w:basedOn w:val="Normal"/>
    <w:next w:val="Normal"/>
    <w:link w:val="Heading7Char"/>
    <w:uiPriority w:val="9"/>
    <w:unhideWhenUsed/>
    <w:qFormat/>
    <w:rsid w:val="00D917A2"/>
    <w:pPr>
      <w:keepNext/>
      <w:keepLines/>
      <w:spacing w:before="200" w:after="0" w:line="276" w:lineRule="auto"/>
      <w:ind w:left="1296" w:hanging="1296"/>
      <w:outlineLvl w:val="6"/>
    </w:pPr>
    <w:rPr>
      <w:rFonts w:eastAsia="Times New Roman" w:cs="Times New Roman"/>
      <w:i/>
      <w:iCs/>
      <w:color w:val="404040"/>
      <w:szCs w:val="20"/>
      <w:lang w:val="hr-BA" w:eastAsia="x-none"/>
    </w:rPr>
  </w:style>
  <w:style w:type="paragraph" w:styleId="Heading8">
    <w:name w:val="heading 8"/>
    <w:basedOn w:val="Normal"/>
    <w:next w:val="Normal"/>
    <w:link w:val="Heading8Char"/>
    <w:uiPriority w:val="9"/>
    <w:unhideWhenUsed/>
    <w:qFormat/>
    <w:rsid w:val="00D917A2"/>
    <w:pPr>
      <w:keepNext/>
      <w:keepLines/>
      <w:spacing w:before="200" w:after="0" w:line="276" w:lineRule="auto"/>
      <w:ind w:left="1440" w:hanging="1440"/>
      <w:outlineLvl w:val="7"/>
    </w:pPr>
    <w:rPr>
      <w:rFonts w:eastAsia="Times New Roman" w:cs="Times New Roman"/>
      <w:color w:val="404040"/>
      <w:sz w:val="20"/>
      <w:szCs w:val="20"/>
      <w:lang w:val="hr-BA" w:eastAsia="x-none"/>
    </w:rPr>
  </w:style>
  <w:style w:type="paragraph" w:styleId="Heading9">
    <w:name w:val="heading 9"/>
    <w:basedOn w:val="Normal"/>
    <w:next w:val="Normal"/>
    <w:link w:val="Heading9Char"/>
    <w:uiPriority w:val="9"/>
    <w:unhideWhenUsed/>
    <w:qFormat/>
    <w:rsid w:val="00D917A2"/>
    <w:pPr>
      <w:keepNext/>
      <w:keepLines/>
      <w:spacing w:before="200" w:after="0" w:line="276" w:lineRule="auto"/>
      <w:ind w:left="1584" w:hanging="1584"/>
      <w:outlineLvl w:val="8"/>
    </w:pPr>
    <w:rPr>
      <w:rFonts w:eastAsia="Times New Roman" w:cs="Times New Roman"/>
      <w:i/>
      <w:iCs/>
      <w:color w:val="404040"/>
      <w:sz w:val="20"/>
      <w:szCs w:val="20"/>
      <w:lang w:val="hr-B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6CFE"/>
    <w:pPr>
      <w:spacing w:after="0" w:line="240" w:lineRule="auto"/>
      <w:contextualSpacing/>
      <w:jc w:val="right"/>
    </w:pPr>
    <w:rPr>
      <w:rFonts w:ascii="Arial" w:eastAsiaTheme="majorEastAsia" w:hAnsi="Arial" w:cstheme="majorBidi"/>
      <w:b/>
      <w:color w:val="00592E"/>
      <w:spacing w:val="-10"/>
      <w:kern w:val="28"/>
      <w:sz w:val="56"/>
      <w:szCs w:val="56"/>
    </w:rPr>
  </w:style>
  <w:style w:type="table" w:customStyle="1" w:styleId="Stil">
    <w:name w:val="Stil"/>
    <w:basedOn w:val="TableNormal"/>
    <w:uiPriority w:val="99"/>
    <w:rsid w:val="00336CFE"/>
    <w:pPr>
      <w:spacing w:after="0" w:line="240" w:lineRule="auto"/>
    </w:pPr>
    <w:rPr>
      <w:rFonts w:cs="Times New Roman"/>
      <w:color w:val="000000"/>
    </w:rPr>
    <w:tblPr>
      <w:tblStyleRowBandSize w:val="1"/>
      <w:tblStyleColBandSize w:val="1"/>
      <w:jc w:val="center"/>
      <w:tblBorders>
        <w:insideH w:val="single" w:sz="18" w:space="0" w:color="FFFFFF"/>
        <w:insideV w:val="single" w:sz="18" w:space="0" w:color="FFFFFF"/>
      </w:tblBorders>
    </w:tblPr>
    <w:trPr>
      <w:jc w:val="center"/>
    </w:trPr>
    <w:tcPr>
      <w:shd w:val="clear" w:color="auto" w:fill="FFFFFF"/>
    </w:tcPr>
    <w:tblStylePr w:type="firstRow">
      <w:rPr>
        <w:b/>
        <w:bCs/>
        <w:color w:val="FFFFFF" w:themeColor="background1"/>
      </w:rPr>
      <w:tblPr/>
      <w:tcPr>
        <w:tcBorders>
          <w:top w:val="nil"/>
          <w:left w:val="nil"/>
          <w:bottom w:val="nil"/>
          <w:right w:val="nil"/>
          <w:insideH w:val="nil"/>
          <w:insideV w:val="nil"/>
          <w:tl2br w:val="nil"/>
          <w:tr2bl w:val="nil"/>
        </w:tcBorders>
        <w:shd w:val="clear" w:color="auto" w:fill="006432"/>
      </w:tcPr>
    </w:tblStylePr>
    <w:tblStylePr w:type="lastRow">
      <w:rPr>
        <w:b/>
        <w:bCs/>
      </w:rPr>
      <w:tblPr/>
      <w:tcPr>
        <w:shd w:val="clear" w:color="auto" w:fill="E9E9E9"/>
      </w:tcPr>
    </w:tblStylePr>
    <w:tblStylePr w:type="firstCol">
      <w:rPr>
        <w:rFonts w:ascii="Calibri" w:hAnsi="Calibri"/>
        <w:b/>
        <w:bCs/>
      </w:rPr>
      <w:tblPr/>
      <w:tcPr>
        <w:shd w:val="clear" w:color="auto" w:fill="E9E9E9"/>
      </w:tcPr>
    </w:tblStylePr>
    <w:tblStylePr w:type="lastCol">
      <w:rPr>
        <w:b w:val="0"/>
        <w:bCs/>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paragraph" w:customStyle="1" w:styleId="Nazivprojekta">
    <w:name w:val="Naziv projekta"/>
    <w:basedOn w:val="Normal"/>
    <w:link w:val="NazivprojektaChar"/>
    <w:qFormat/>
    <w:rsid w:val="00336CFE"/>
    <w:pPr>
      <w:spacing w:after="0" w:line="240" w:lineRule="auto"/>
      <w:jc w:val="left"/>
    </w:pPr>
    <w:rPr>
      <w:rFonts w:eastAsia="Times New Roman" w:cs="Arial"/>
      <w:color w:val="7B7D81"/>
      <w:sz w:val="20"/>
      <w:szCs w:val="48"/>
      <w:lang w:eastAsia="en-US"/>
    </w:rPr>
  </w:style>
  <w:style w:type="character" w:customStyle="1" w:styleId="NazivprojektaChar">
    <w:name w:val="Naziv projekta Char"/>
    <w:basedOn w:val="DefaultParagraphFont"/>
    <w:link w:val="Nazivprojekta"/>
    <w:rsid w:val="00336CFE"/>
    <w:rPr>
      <w:rFonts w:eastAsia="Times New Roman" w:cs="Arial"/>
      <w:color w:val="7B7D81"/>
      <w:sz w:val="20"/>
      <w:szCs w:val="48"/>
      <w:lang w:val="en-US"/>
    </w:rPr>
  </w:style>
  <w:style w:type="character" w:styleId="PlaceholderText">
    <w:name w:val="Placeholder Text"/>
    <w:basedOn w:val="DefaultParagraphFont"/>
    <w:uiPriority w:val="99"/>
    <w:semiHidden/>
    <w:rsid w:val="00336CFE"/>
    <w:rPr>
      <w:color w:val="808080"/>
    </w:rPr>
  </w:style>
  <w:style w:type="paragraph" w:customStyle="1" w:styleId="0Tekst">
    <w:name w:val="0 Tekst"/>
    <w:basedOn w:val="NoSpacing"/>
    <w:qFormat/>
    <w:rsid w:val="00336CFE"/>
    <w:rPr>
      <w:rFonts w:ascii="Myriad Pro" w:eastAsia="Times New Roman" w:hAnsi="Myriad Pro" w:cs="Arial"/>
      <w:color w:val="404040"/>
      <w:szCs w:val="24"/>
      <w:lang w:val="hr-BA" w:eastAsia="bs-Latn-BA"/>
    </w:rPr>
  </w:style>
  <w:style w:type="paragraph" w:customStyle="1" w:styleId="1Naslovprvogreda">
    <w:name w:val="1 Naslov prvog reda"/>
    <w:basedOn w:val="NoSpacing"/>
    <w:next w:val="Heading1"/>
    <w:qFormat/>
    <w:rsid w:val="00401FAD"/>
    <w:pPr>
      <w:numPr>
        <w:numId w:val="1"/>
      </w:numPr>
      <w:ind w:left="0" w:firstLine="0"/>
    </w:pPr>
  </w:style>
  <w:style w:type="paragraph" w:customStyle="1" w:styleId="11Naslovdrugogreda">
    <w:name w:val="11 Naslov drugog reda"/>
    <w:basedOn w:val="Heading2"/>
    <w:qFormat/>
    <w:rsid w:val="00401FAD"/>
    <w:pPr>
      <w:numPr>
        <w:ilvl w:val="0"/>
        <w:numId w:val="7"/>
      </w:numPr>
      <w:spacing w:before="220" w:after="220"/>
    </w:pPr>
    <w:rPr>
      <w:b w:val="0"/>
      <w:bCs/>
      <w:color w:val="00643E"/>
      <w:sz w:val="28"/>
      <w:lang w:val="bs-Latn-BA"/>
    </w:rPr>
  </w:style>
  <w:style w:type="paragraph" w:customStyle="1" w:styleId="111Naslovtrecegreda">
    <w:name w:val="111 Naslov treceg reda"/>
    <w:basedOn w:val="NoSpacing"/>
    <w:next w:val="Heading3"/>
    <w:qFormat/>
    <w:rsid w:val="00401FAD"/>
    <w:pPr>
      <w:numPr>
        <w:numId w:val="2"/>
      </w:numPr>
    </w:pPr>
    <w:rPr>
      <w:color w:val="005837"/>
    </w:rPr>
  </w:style>
  <w:style w:type="paragraph" w:customStyle="1" w:styleId="1111Naslovcetvrtogreda">
    <w:name w:val="1111 Naslov cetvrtog reda"/>
    <w:basedOn w:val="NoSpacing"/>
    <w:next w:val="Heading4"/>
    <w:qFormat/>
    <w:rsid w:val="00401FAD"/>
    <w:pPr>
      <w:numPr>
        <w:numId w:val="3"/>
      </w:numPr>
    </w:pPr>
  </w:style>
  <w:style w:type="paragraph" w:customStyle="1" w:styleId="11111Naslovpetogreda">
    <w:name w:val="11111 Naslov petog reda"/>
    <w:basedOn w:val="NoSpacing"/>
    <w:next w:val="Heading5"/>
    <w:qFormat/>
    <w:rsid w:val="00401FAD"/>
    <w:pPr>
      <w:numPr>
        <w:numId w:val="4"/>
      </w:numPr>
      <w:ind w:left="0" w:firstLine="0"/>
    </w:pPr>
  </w:style>
  <w:style w:type="character" w:styleId="Hyperlink">
    <w:name w:val="Hyperlink"/>
    <w:basedOn w:val="DefaultParagraphFont"/>
    <w:uiPriority w:val="99"/>
    <w:unhideWhenUsed/>
    <w:rsid w:val="00336CFE"/>
    <w:rPr>
      <w:color w:val="0563C1" w:themeColor="hyperlink"/>
      <w:u w:val="single"/>
    </w:rPr>
  </w:style>
  <w:style w:type="table" w:customStyle="1" w:styleId="TableGridLight1">
    <w:name w:val="Table Grid Light1"/>
    <w:basedOn w:val="TableNormal"/>
    <w:uiPriority w:val="40"/>
    <w:rsid w:val="00336CFE"/>
    <w:pPr>
      <w:spacing w:after="0" w:line="240" w:lineRule="auto"/>
    </w:pPr>
    <w:rPr>
      <w:rFonts w:eastAsiaTheme="minorEastAsia"/>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aslov11">
    <w:name w:val="Naslov 11"/>
    <w:basedOn w:val="Heading1"/>
    <w:link w:val="Naslov1Char"/>
    <w:qFormat/>
    <w:rsid w:val="00401FAD"/>
    <w:pPr>
      <w:numPr>
        <w:numId w:val="5"/>
      </w:numPr>
      <w:spacing w:before="360" w:after="360"/>
    </w:pPr>
    <w:rPr>
      <w:b w:val="0"/>
      <w:caps w:val="0"/>
      <w:color w:val="005837"/>
      <w:szCs w:val="48"/>
      <w:lang w:val="bs-Latn-BA"/>
    </w:rPr>
  </w:style>
  <w:style w:type="paragraph" w:customStyle="1" w:styleId="Naslov21">
    <w:name w:val="Naslov 21"/>
    <w:basedOn w:val="Heading2"/>
    <w:link w:val="Naslov2Char"/>
    <w:qFormat/>
    <w:rsid w:val="00401FAD"/>
    <w:pPr>
      <w:numPr>
        <w:numId w:val="5"/>
      </w:numPr>
      <w:ind w:left="1077"/>
    </w:pPr>
    <w:rPr>
      <w:b w:val="0"/>
      <w:color w:val="005837"/>
      <w:szCs w:val="44"/>
    </w:rPr>
  </w:style>
  <w:style w:type="character" w:customStyle="1" w:styleId="Naslov1Char">
    <w:name w:val="Naslov 1 Char"/>
    <w:basedOn w:val="DefaultParagraphFont"/>
    <w:link w:val="Naslov11"/>
    <w:rsid w:val="00401FAD"/>
    <w:rPr>
      <w:rFonts w:ascii="Arial" w:eastAsiaTheme="majorEastAsia" w:hAnsi="Arial" w:cstheme="majorBidi"/>
      <w:color w:val="005837"/>
      <w:sz w:val="28"/>
      <w:szCs w:val="48"/>
      <w:lang w:eastAsia="ja-JP"/>
    </w:rPr>
  </w:style>
  <w:style w:type="paragraph" w:customStyle="1" w:styleId="Naslov31">
    <w:name w:val="Naslov 31"/>
    <w:basedOn w:val="Heading3"/>
    <w:link w:val="Naslov3Char"/>
    <w:qFormat/>
    <w:rsid w:val="00401FAD"/>
    <w:pPr>
      <w:numPr>
        <w:numId w:val="5"/>
      </w:numPr>
    </w:pPr>
    <w:rPr>
      <w:rFonts w:eastAsiaTheme="minorHAnsi" w:cstheme="minorBidi"/>
      <w:b w:val="0"/>
      <w:color w:val="005837"/>
      <w:szCs w:val="32"/>
    </w:rPr>
  </w:style>
  <w:style w:type="character" w:customStyle="1" w:styleId="Naslov2Char">
    <w:name w:val="Naslov 2 Char"/>
    <w:basedOn w:val="DefaultParagraphFont"/>
    <w:link w:val="Naslov21"/>
    <w:rsid w:val="00401FAD"/>
    <w:rPr>
      <w:rFonts w:ascii="Arial" w:eastAsiaTheme="majorEastAsia" w:hAnsi="Arial" w:cstheme="majorBidi"/>
      <w:color w:val="005837"/>
      <w:sz w:val="24"/>
      <w:szCs w:val="44"/>
      <w:lang w:val="en-US" w:eastAsia="ja-JP"/>
    </w:rPr>
  </w:style>
  <w:style w:type="paragraph" w:customStyle="1" w:styleId="Naslov41">
    <w:name w:val="Naslov 41"/>
    <w:basedOn w:val="1111Naslovcetvrtogreda"/>
    <w:link w:val="Naslov4Char"/>
    <w:qFormat/>
    <w:rsid w:val="00401FAD"/>
    <w:pPr>
      <w:numPr>
        <w:ilvl w:val="3"/>
        <w:numId w:val="5"/>
      </w:numPr>
    </w:pPr>
    <w:rPr>
      <w:rFonts w:ascii="Arial" w:hAnsi="Arial"/>
      <w:color w:val="005837"/>
      <w:lang w:val="bs-Latn-BA"/>
    </w:rPr>
  </w:style>
  <w:style w:type="character" w:customStyle="1" w:styleId="Naslov3Char">
    <w:name w:val="Naslov 3 Char"/>
    <w:basedOn w:val="DefaultParagraphFont"/>
    <w:link w:val="Naslov31"/>
    <w:rsid w:val="00401FAD"/>
    <w:rPr>
      <w:rFonts w:ascii="Arial" w:eastAsiaTheme="minorHAnsi" w:hAnsi="Arial" w:cstheme="minorBidi"/>
      <w:color w:val="005837"/>
      <w:szCs w:val="32"/>
      <w:lang w:eastAsia="ja-JP"/>
    </w:rPr>
  </w:style>
  <w:style w:type="paragraph" w:customStyle="1" w:styleId="Naslov51">
    <w:name w:val="Naslov 51"/>
    <w:basedOn w:val="11111Naslovpetogreda"/>
    <w:link w:val="Naslov5Char"/>
    <w:qFormat/>
    <w:rsid w:val="00401FAD"/>
    <w:pPr>
      <w:numPr>
        <w:ilvl w:val="4"/>
        <w:numId w:val="5"/>
      </w:numPr>
    </w:pPr>
    <w:rPr>
      <w:rFonts w:ascii="Arial" w:hAnsi="Arial"/>
      <w:i/>
      <w:color w:val="005837"/>
      <w:lang w:val="bs-Latn-BA"/>
    </w:rPr>
  </w:style>
  <w:style w:type="character" w:customStyle="1" w:styleId="Naslov4Char">
    <w:name w:val="Naslov 4 Char"/>
    <w:basedOn w:val="DefaultParagraphFont"/>
    <w:link w:val="Naslov41"/>
    <w:rsid w:val="00401FAD"/>
    <w:rPr>
      <w:rFonts w:ascii="Arial" w:eastAsiaTheme="minorEastAsia" w:hAnsi="Arial"/>
      <w:color w:val="005837"/>
      <w:lang w:eastAsia="ja-JP"/>
    </w:rPr>
  </w:style>
  <w:style w:type="character" w:customStyle="1" w:styleId="Naslov5Char">
    <w:name w:val="Naslov 5 Char"/>
    <w:basedOn w:val="DefaultParagraphFont"/>
    <w:link w:val="Naslov51"/>
    <w:rsid w:val="00401FAD"/>
    <w:rPr>
      <w:rFonts w:ascii="Arial" w:eastAsiaTheme="minorEastAsia" w:hAnsi="Arial"/>
      <w:i/>
      <w:color w:val="005837"/>
      <w:lang w:eastAsia="ja-JP"/>
    </w:rPr>
  </w:style>
  <w:style w:type="paragraph" w:styleId="NoSpacing">
    <w:name w:val="No Spacing"/>
    <w:link w:val="NoSpacingChar"/>
    <w:uiPriority w:val="1"/>
    <w:qFormat/>
    <w:rsid w:val="00336CFE"/>
    <w:pPr>
      <w:spacing w:before="120" w:after="120" w:line="240" w:lineRule="auto"/>
    </w:pPr>
    <w:rPr>
      <w:rFonts w:eastAsiaTheme="minorEastAsia"/>
      <w:lang w:val="en-US" w:eastAsia="ja-JP"/>
    </w:rPr>
  </w:style>
  <w:style w:type="character" w:customStyle="1" w:styleId="Heading1Char">
    <w:name w:val="Heading 1 Char"/>
    <w:basedOn w:val="DefaultParagraphFont"/>
    <w:link w:val="Heading1"/>
    <w:uiPriority w:val="9"/>
    <w:rsid w:val="00336CFE"/>
    <w:rPr>
      <w:rFonts w:ascii="Arial" w:eastAsiaTheme="majorEastAsia" w:hAnsi="Arial" w:cstheme="majorBidi"/>
      <w:b/>
      <w:caps/>
      <w:color w:val="00592E"/>
      <w:sz w:val="28"/>
      <w:szCs w:val="32"/>
      <w:lang w:val="en-US" w:eastAsia="ja-JP"/>
    </w:rPr>
  </w:style>
  <w:style w:type="character" w:customStyle="1" w:styleId="Heading2Char">
    <w:name w:val="Heading 2 Char"/>
    <w:basedOn w:val="DefaultParagraphFont"/>
    <w:link w:val="Heading2"/>
    <w:uiPriority w:val="9"/>
    <w:rsid w:val="00336CFE"/>
    <w:rPr>
      <w:rFonts w:ascii="Arial" w:eastAsiaTheme="majorEastAsia" w:hAnsi="Arial" w:cstheme="majorBidi"/>
      <w:b/>
      <w:color w:val="00592E"/>
      <w:sz w:val="24"/>
      <w:szCs w:val="26"/>
      <w:lang w:val="en-US" w:eastAsia="ja-JP"/>
    </w:rPr>
  </w:style>
  <w:style w:type="character" w:customStyle="1" w:styleId="Heading3Char">
    <w:name w:val="Heading 3 Char"/>
    <w:basedOn w:val="DefaultParagraphFont"/>
    <w:link w:val="Heading3"/>
    <w:uiPriority w:val="9"/>
    <w:rsid w:val="00336CFE"/>
    <w:rPr>
      <w:rFonts w:ascii="Arial" w:eastAsiaTheme="majorEastAsia" w:hAnsi="Arial" w:cstheme="majorBidi"/>
      <w:b/>
      <w:color w:val="00592E"/>
      <w:szCs w:val="24"/>
      <w:lang w:eastAsia="ja-JP"/>
    </w:rPr>
  </w:style>
  <w:style w:type="character" w:customStyle="1" w:styleId="Heading4Char">
    <w:name w:val="Heading 4 Char"/>
    <w:basedOn w:val="DefaultParagraphFont"/>
    <w:link w:val="Heading4"/>
    <w:uiPriority w:val="9"/>
    <w:rsid w:val="00336CFE"/>
    <w:rPr>
      <w:rFonts w:eastAsiaTheme="majorEastAsia" w:cstheme="majorBidi"/>
      <w:b/>
      <w:i/>
      <w:iCs/>
      <w:caps/>
      <w:color w:val="00592E"/>
      <w:u w:val="single"/>
      <w:lang w:val="en-US" w:eastAsia="ja-JP"/>
    </w:rPr>
  </w:style>
  <w:style w:type="character" w:customStyle="1" w:styleId="Heading5Char">
    <w:name w:val="Heading 5 Char"/>
    <w:basedOn w:val="DefaultParagraphFont"/>
    <w:link w:val="Heading5"/>
    <w:uiPriority w:val="9"/>
    <w:rsid w:val="003278D3"/>
    <w:rPr>
      <w:rFonts w:asciiTheme="majorHAnsi" w:eastAsiaTheme="majorEastAsia" w:hAnsiTheme="majorHAnsi" w:cstheme="majorBidi"/>
      <w:b/>
      <w:color w:val="005837"/>
      <w:lang w:val="en-US" w:eastAsia="ja-JP"/>
    </w:rPr>
  </w:style>
  <w:style w:type="paragraph" w:styleId="Header">
    <w:name w:val="header"/>
    <w:aliases w:val="En-tête client"/>
    <w:basedOn w:val="Normal"/>
    <w:link w:val="HeaderChar"/>
    <w:uiPriority w:val="99"/>
    <w:unhideWhenUsed/>
    <w:rsid w:val="00336CFE"/>
    <w:pPr>
      <w:tabs>
        <w:tab w:val="center" w:pos="4680"/>
        <w:tab w:val="right" w:pos="9360"/>
      </w:tabs>
      <w:spacing w:after="0" w:line="240" w:lineRule="auto"/>
    </w:pPr>
  </w:style>
  <w:style w:type="character" w:customStyle="1" w:styleId="HeaderChar">
    <w:name w:val="Header Char"/>
    <w:aliases w:val="En-tête client Char"/>
    <w:basedOn w:val="DefaultParagraphFont"/>
    <w:link w:val="Header"/>
    <w:uiPriority w:val="99"/>
    <w:rsid w:val="00336CFE"/>
    <w:rPr>
      <w:rFonts w:eastAsiaTheme="minorEastAsia"/>
      <w:lang w:val="en-US" w:eastAsia="ja-JP"/>
    </w:rPr>
  </w:style>
  <w:style w:type="paragraph" w:styleId="Footer">
    <w:name w:val="footer"/>
    <w:aliases w:val="Footer2"/>
    <w:basedOn w:val="Normal"/>
    <w:link w:val="FooterChar"/>
    <w:uiPriority w:val="99"/>
    <w:unhideWhenUsed/>
    <w:rsid w:val="00336CFE"/>
    <w:pPr>
      <w:tabs>
        <w:tab w:val="center" w:pos="4680"/>
        <w:tab w:val="right" w:pos="9360"/>
      </w:tabs>
      <w:spacing w:after="0" w:line="240" w:lineRule="auto"/>
    </w:pPr>
  </w:style>
  <w:style w:type="character" w:customStyle="1" w:styleId="FooterChar">
    <w:name w:val="Footer Char"/>
    <w:aliases w:val="Footer2 Char"/>
    <w:basedOn w:val="DefaultParagraphFont"/>
    <w:link w:val="Footer"/>
    <w:uiPriority w:val="99"/>
    <w:rsid w:val="00336CFE"/>
    <w:rPr>
      <w:rFonts w:eastAsiaTheme="minorEastAsia"/>
      <w:lang w:val="en-US" w:eastAsia="ja-JP"/>
    </w:rPr>
  </w:style>
  <w:style w:type="paragraph" w:styleId="BalloonText">
    <w:name w:val="Balloon Text"/>
    <w:basedOn w:val="Normal"/>
    <w:link w:val="BalloonTextChar"/>
    <w:uiPriority w:val="99"/>
    <w:semiHidden/>
    <w:unhideWhenUsed/>
    <w:rsid w:val="0033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CFE"/>
    <w:rPr>
      <w:rFonts w:ascii="Tahoma" w:eastAsiaTheme="minorEastAsia" w:hAnsi="Tahoma" w:cs="Tahoma"/>
      <w:sz w:val="16"/>
      <w:szCs w:val="16"/>
      <w:lang w:val="en-US" w:eastAsia="ja-JP"/>
    </w:rPr>
  </w:style>
  <w:style w:type="table" w:styleId="TableGrid">
    <w:name w:val="Table Grid"/>
    <w:basedOn w:val="TableNormal"/>
    <w:uiPriority w:val="39"/>
    <w:rsid w:val="00336CFE"/>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401F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401FAD"/>
    <w:pPr>
      <w:spacing w:after="0" w:line="240" w:lineRule="auto"/>
    </w:pPr>
    <w:tblPr/>
  </w:style>
  <w:style w:type="table" w:customStyle="1" w:styleId="Style2">
    <w:name w:val="Style2"/>
    <w:basedOn w:val="TableGrid"/>
    <w:uiPriority w:val="99"/>
    <w:rsid w:val="00401FAD"/>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D9D9D9" w:themeFill="background1" w:themeFillShade="D9"/>
    </w:tcPr>
  </w:style>
  <w:style w:type="table" w:customStyle="1" w:styleId="Style3">
    <w:name w:val="Style3"/>
    <w:basedOn w:val="TableNormal"/>
    <w:uiPriority w:val="99"/>
    <w:rsid w:val="00401FAD"/>
    <w:pPr>
      <w:spacing w:after="0" w:line="240" w:lineRule="auto"/>
    </w:pPr>
    <w:tblPr/>
  </w:style>
  <w:style w:type="table" w:customStyle="1" w:styleId="Style4">
    <w:name w:val="Style4"/>
    <w:basedOn w:val="TableNormal"/>
    <w:uiPriority w:val="99"/>
    <w:rsid w:val="00401FAD"/>
    <w:pPr>
      <w:spacing w:after="0" w:line="240" w:lineRule="auto"/>
    </w:pPr>
    <w:tblPr/>
  </w:style>
  <w:style w:type="table" w:customStyle="1" w:styleId="Style5">
    <w:name w:val="Style5"/>
    <w:basedOn w:val="TableNormal"/>
    <w:uiPriority w:val="99"/>
    <w:rsid w:val="00401FAD"/>
    <w:pPr>
      <w:spacing w:after="0" w:line="240" w:lineRule="auto"/>
    </w:pPr>
    <w:tblPr/>
  </w:style>
  <w:style w:type="paragraph" w:customStyle="1" w:styleId="FreeFormA">
    <w:name w:val="Free Form A"/>
    <w:rsid w:val="00401FAD"/>
    <w:pPr>
      <w:spacing w:after="0" w:line="240" w:lineRule="auto"/>
    </w:pPr>
    <w:rPr>
      <w:rFonts w:ascii="Helvetica" w:eastAsia="ヒラギノ角ゴ Pro W3" w:hAnsi="Helvetica" w:cs="Times New Roman"/>
      <w:color w:val="000000"/>
      <w:sz w:val="24"/>
      <w:szCs w:val="20"/>
      <w:lang w:val="en-US"/>
    </w:rPr>
  </w:style>
  <w:style w:type="character" w:styleId="FollowedHyperlink">
    <w:name w:val="FollowedHyperlink"/>
    <w:basedOn w:val="DefaultParagraphFont"/>
    <w:uiPriority w:val="99"/>
    <w:semiHidden/>
    <w:unhideWhenUsed/>
    <w:rsid w:val="00401FAD"/>
    <w:rPr>
      <w:color w:val="954F72" w:themeColor="followedHyperlink"/>
      <w:u w:val="single"/>
    </w:rPr>
  </w:style>
  <w:style w:type="paragraph" w:styleId="PlainText">
    <w:name w:val="Plain Text"/>
    <w:basedOn w:val="Normal"/>
    <w:link w:val="PlainTextChar"/>
    <w:rsid w:val="00401FAD"/>
    <w:rPr>
      <w:rFonts w:ascii="Courier New" w:hAnsi="Courier New"/>
      <w:sz w:val="20"/>
      <w:szCs w:val="20"/>
      <w:lang w:val="en-GB"/>
    </w:rPr>
  </w:style>
  <w:style w:type="character" w:customStyle="1" w:styleId="PlainTextChar">
    <w:name w:val="Plain Text Char"/>
    <w:basedOn w:val="DefaultParagraphFont"/>
    <w:link w:val="PlainText"/>
    <w:rsid w:val="00401FAD"/>
    <w:rPr>
      <w:rFonts w:ascii="Courier New" w:eastAsia="Times New Roman" w:hAnsi="Courier New" w:cs="Times New Roman"/>
      <w:sz w:val="20"/>
      <w:szCs w:val="20"/>
      <w:lang w:val="en-GB"/>
    </w:rPr>
  </w:style>
  <w:style w:type="paragraph" w:styleId="BodyText">
    <w:name w:val="Body Text"/>
    <w:basedOn w:val="Normal"/>
    <w:link w:val="BodyTextChar"/>
    <w:rsid w:val="00401FAD"/>
    <w:rPr>
      <w:rFonts w:ascii="Arial" w:hAnsi="Arial"/>
      <w:color w:val="FF0000"/>
      <w:szCs w:val="20"/>
      <w:lang w:val="hr-HR"/>
    </w:rPr>
  </w:style>
  <w:style w:type="character" w:customStyle="1" w:styleId="BodyTextChar">
    <w:name w:val="Body Text Char"/>
    <w:basedOn w:val="DefaultParagraphFont"/>
    <w:link w:val="BodyText"/>
    <w:rsid w:val="00401FAD"/>
    <w:rPr>
      <w:rFonts w:ascii="Arial" w:eastAsia="Times New Roman" w:hAnsi="Arial" w:cs="Times New Roman"/>
      <w:color w:val="FF0000"/>
      <w:szCs w:val="20"/>
      <w:lang w:val="hr-HR"/>
    </w:rPr>
  </w:style>
  <w:style w:type="paragraph" w:styleId="ListParagraph">
    <w:name w:val="List Paragraph"/>
    <w:aliases w:val="En tête 1,Indent Paragraph,Table/Figure Heading,Heading,Heading 2_sj,Dot pt,Numbered Para 1,No Spacing1,List Paragraph Char Char Char,Indicator Text,Bullet 1,List Paragraph1,Bullet Points,MAIN CONTENT,List Paragraph12,Bullet EY,L,6,Ha,FM"/>
    <w:basedOn w:val="Normal"/>
    <w:link w:val="ListParagraphChar"/>
    <w:uiPriority w:val="34"/>
    <w:qFormat/>
    <w:rsid w:val="00336CFE"/>
    <w:pPr>
      <w:numPr>
        <w:numId w:val="9"/>
      </w:numPr>
      <w:spacing w:line="240" w:lineRule="auto"/>
    </w:pPr>
    <w:rPr>
      <w:lang w:val="bs-Latn-BA"/>
    </w:rPr>
  </w:style>
  <w:style w:type="table" w:styleId="MediumShading1-Accent3">
    <w:name w:val="Medium Shading 1 Accent 3"/>
    <w:basedOn w:val="TableNormal"/>
    <w:uiPriority w:val="63"/>
    <w:rsid w:val="00401FAD"/>
    <w:pPr>
      <w:spacing w:after="0" w:line="240" w:lineRule="auto"/>
    </w:pPr>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paragraph" w:styleId="NormalWeb">
    <w:name w:val="Normal (Web)"/>
    <w:basedOn w:val="Normal"/>
    <w:uiPriority w:val="99"/>
    <w:unhideWhenUsed/>
    <w:rsid w:val="00401FAD"/>
    <w:pPr>
      <w:spacing w:before="100" w:beforeAutospacing="1" w:after="100" w:afterAutospacing="1"/>
    </w:pPr>
    <w:rPr>
      <w:lang w:val="en-GB" w:eastAsia="en-GB"/>
    </w:rPr>
  </w:style>
  <w:style w:type="paragraph" w:customStyle="1" w:styleId="myListBulleted-1">
    <w:name w:val="myListBulleted-1"/>
    <w:uiPriority w:val="99"/>
    <w:rsid w:val="00401FAD"/>
    <w:pPr>
      <w:numPr>
        <w:numId w:val="6"/>
      </w:numPr>
      <w:tabs>
        <w:tab w:val="left" w:pos="6521"/>
      </w:tabs>
      <w:spacing w:before="60" w:after="60" w:line="240" w:lineRule="auto"/>
    </w:pPr>
    <w:rPr>
      <w:rFonts w:ascii="Times New Roman" w:hAnsi="Times New Roman" w:cs="Times New Roman"/>
      <w:sz w:val="24"/>
      <w:szCs w:val="24"/>
      <w:lang w:val="en-GB"/>
    </w:rPr>
  </w:style>
  <w:style w:type="paragraph" w:customStyle="1" w:styleId="NoteHead">
    <w:name w:val="NoteHead"/>
    <w:basedOn w:val="Normal"/>
    <w:next w:val="Normal"/>
    <w:rsid w:val="00401FAD"/>
    <w:pPr>
      <w:spacing w:before="720" w:after="720"/>
      <w:jc w:val="center"/>
    </w:pPr>
    <w:rPr>
      <w:rFonts w:ascii="Arial" w:hAnsi="Arial"/>
      <w:b/>
      <w:smallCaps/>
      <w:sz w:val="18"/>
      <w:szCs w:val="20"/>
      <w:lang w:val="en-GB"/>
    </w:rPr>
  </w:style>
  <w:style w:type="character" w:customStyle="1" w:styleId="myBoldText">
    <w:name w:val="myBoldText"/>
    <w:rsid w:val="00401FAD"/>
    <w:rPr>
      <w:b/>
    </w:rPr>
  </w:style>
  <w:style w:type="paragraph" w:customStyle="1" w:styleId="myText">
    <w:name w:val="myText"/>
    <w:basedOn w:val="Normal"/>
    <w:uiPriority w:val="99"/>
    <w:rsid w:val="00401FAD"/>
    <w:pPr>
      <w:spacing w:before="240" w:after="180"/>
    </w:pPr>
    <w:rPr>
      <w:lang w:val="en-GB" w:eastAsia="hr-HR"/>
    </w:rPr>
  </w:style>
  <w:style w:type="paragraph" w:styleId="TOCHeading">
    <w:name w:val="TOC Heading"/>
    <w:basedOn w:val="Heading1"/>
    <w:next w:val="Normal"/>
    <w:uiPriority w:val="39"/>
    <w:unhideWhenUsed/>
    <w:qFormat/>
    <w:rsid w:val="00336CFE"/>
    <w:pPr>
      <w:numPr>
        <w:numId w:val="0"/>
      </w:numPr>
      <w:spacing w:after="0" w:line="259" w:lineRule="auto"/>
      <w:outlineLvl w:val="9"/>
    </w:pPr>
    <w:rPr>
      <w:rFonts w:asciiTheme="majorHAnsi" w:hAnsiTheme="majorHAnsi"/>
      <w:b w:val="0"/>
      <w:caps w:val="0"/>
      <w:color w:val="2E74B5" w:themeColor="accent1" w:themeShade="BF"/>
      <w:sz w:val="32"/>
      <w:lang w:eastAsia="en-US"/>
    </w:rPr>
  </w:style>
  <w:style w:type="paragraph" w:styleId="TOC2">
    <w:name w:val="toc 2"/>
    <w:basedOn w:val="Normal"/>
    <w:next w:val="Normal"/>
    <w:autoRedefine/>
    <w:uiPriority w:val="39"/>
    <w:unhideWhenUsed/>
    <w:rsid w:val="00336CFE"/>
    <w:pPr>
      <w:tabs>
        <w:tab w:val="left" w:pos="993"/>
        <w:tab w:val="right" w:leader="dot" w:pos="9060"/>
      </w:tabs>
      <w:spacing w:after="100"/>
      <w:ind w:left="220"/>
    </w:pPr>
  </w:style>
  <w:style w:type="paragraph" w:styleId="TOC1">
    <w:name w:val="toc 1"/>
    <w:basedOn w:val="Normal"/>
    <w:next w:val="Normal"/>
    <w:autoRedefine/>
    <w:uiPriority w:val="39"/>
    <w:unhideWhenUsed/>
    <w:rsid w:val="008A246A"/>
    <w:pPr>
      <w:spacing w:after="100"/>
    </w:pPr>
  </w:style>
  <w:style w:type="paragraph" w:styleId="TOC3">
    <w:name w:val="toc 3"/>
    <w:basedOn w:val="Normal"/>
    <w:next w:val="Normal"/>
    <w:autoRedefine/>
    <w:uiPriority w:val="39"/>
    <w:unhideWhenUsed/>
    <w:rsid w:val="00CB76CD"/>
    <w:pPr>
      <w:tabs>
        <w:tab w:val="left" w:pos="1320"/>
        <w:tab w:val="right" w:leader="dot" w:pos="9017"/>
      </w:tabs>
      <w:spacing w:after="100"/>
      <w:ind w:left="440"/>
    </w:pPr>
  </w:style>
  <w:style w:type="paragraph" w:customStyle="1" w:styleId="Default">
    <w:name w:val="Default"/>
    <w:rsid w:val="00336CF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Contents">
    <w:name w:val="Table Contents"/>
    <w:basedOn w:val="Normal"/>
    <w:rsid w:val="00401FAD"/>
    <w:pPr>
      <w:suppressLineNumbers/>
      <w:suppressAutoHyphens/>
    </w:pPr>
    <w:rPr>
      <w:sz w:val="20"/>
      <w:lang w:val="pl-PL" w:eastAsia="ar-SA"/>
    </w:rPr>
  </w:style>
  <w:style w:type="paragraph" w:customStyle="1" w:styleId="Aassignmenttitle">
    <w:name w:val="A assignment title"/>
    <w:basedOn w:val="Normal"/>
    <w:rsid w:val="00401FAD"/>
    <w:pPr>
      <w:widowControl w:val="0"/>
      <w:autoSpaceDE w:val="0"/>
      <w:autoSpaceDN w:val="0"/>
      <w:spacing w:after="200" w:line="276" w:lineRule="auto"/>
    </w:pPr>
    <w:rPr>
      <w:rFonts w:ascii="Arial" w:eastAsiaTheme="minorHAnsi" w:hAnsi="Arial" w:cs="Arial"/>
      <w:b/>
      <w:sz w:val="20"/>
      <w:lang w:val="en-GB" w:eastAsia="de-AT"/>
    </w:rPr>
  </w:style>
  <w:style w:type="character" w:customStyle="1" w:styleId="pathway">
    <w:name w:val="pathway"/>
    <w:basedOn w:val="DefaultParagraphFont"/>
    <w:rsid w:val="00401FAD"/>
  </w:style>
  <w:style w:type="character" w:styleId="Emphasis">
    <w:name w:val="Emphasis"/>
    <w:basedOn w:val="DefaultParagraphFont"/>
    <w:uiPriority w:val="20"/>
    <w:qFormat/>
    <w:rsid w:val="00401FAD"/>
    <w:rPr>
      <w:i/>
      <w:iCs/>
    </w:rPr>
  </w:style>
  <w:style w:type="character" w:styleId="Strong">
    <w:name w:val="Strong"/>
    <w:basedOn w:val="DefaultParagraphFont"/>
    <w:uiPriority w:val="22"/>
    <w:qFormat/>
    <w:rsid w:val="00401FAD"/>
    <w:rPr>
      <w:b/>
      <w:bCs/>
    </w:rPr>
  </w:style>
  <w:style w:type="paragraph" w:customStyle="1" w:styleId="Boks">
    <w:name w:val="Boks"/>
    <w:basedOn w:val="Heading3"/>
    <w:link w:val="BoksCharChar"/>
    <w:rsid w:val="00401FAD"/>
    <w:pPr>
      <w:keepLines w:val="0"/>
      <w:spacing w:before="0"/>
      <w:jc w:val="center"/>
    </w:pPr>
    <w:rPr>
      <w:rFonts w:eastAsia="Times New Roman" w:cs="Arial"/>
      <w:b w:val="0"/>
      <w:bCs/>
      <w:color w:val="000000"/>
      <w:sz w:val="18"/>
      <w:szCs w:val="20"/>
      <w:lang w:val="hr-HR" w:eastAsia="hr-HR"/>
    </w:rPr>
  </w:style>
  <w:style w:type="character" w:customStyle="1" w:styleId="BoksCharChar">
    <w:name w:val="Boks Char Char"/>
    <w:basedOn w:val="DefaultParagraphFont"/>
    <w:link w:val="Boks"/>
    <w:rsid w:val="00401FAD"/>
    <w:rPr>
      <w:rFonts w:ascii="Arial" w:eastAsia="Times New Roman" w:hAnsi="Arial" w:cs="Arial"/>
      <w:bCs/>
      <w:color w:val="000000"/>
      <w:sz w:val="18"/>
      <w:szCs w:val="20"/>
      <w:lang w:val="hr-HR" w:eastAsia="hr-HR"/>
    </w:rPr>
  </w:style>
  <w:style w:type="character" w:customStyle="1" w:styleId="ListParagraphChar">
    <w:name w:val="List Paragraph Char"/>
    <w:aliases w:val="En tête 1 Char,Indent Paragraph Char,Table/Figure Heading Char,Heading Char,Heading 2_sj Char,Dot pt Char,Numbered Para 1 Char,No Spacing1 Char,List Paragraph Char Char Char Char,Indicator Text Char,Bullet 1 Char,List Paragraph1 Char"/>
    <w:link w:val="ListParagraph"/>
    <w:uiPriority w:val="34"/>
    <w:qFormat/>
    <w:locked/>
    <w:rsid w:val="00401FAD"/>
    <w:rPr>
      <w:rFonts w:eastAsiaTheme="minorEastAsia"/>
      <w:lang w:eastAsia="ja-JP"/>
    </w:rPr>
  </w:style>
  <w:style w:type="paragraph" w:customStyle="1" w:styleId="fliesstext">
    <w:name w:val="fliesstext"/>
    <w:basedOn w:val="Normal"/>
    <w:uiPriority w:val="99"/>
    <w:rsid w:val="00401FAD"/>
    <w:pPr>
      <w:ind w:left="567"/>
    </w:pPr>
    <w:rPr>
      <w:rFonts w:ascii="Univers" w:hAnsi="Univers"/>
      <w:szCs w:val="20"/>
      <w:lang w:val="en-GB" w:eastAsia="de-DE"/>
    </w:rPr>
  </w:style>
  <w:style w:type="paragraph" w:customStyle="1" w:styleId="normaltableau">
    <w:name w:val="normal_tableau"/>
    <w:basedOn w:val="Normal"/>
    <w:rsid w:val="00401FAD"/>
    <w:pPr>
      <w:spacing w:before="120" w:after="120"/>
    </w:pPr>
    <w:rPr>
      <w:rFonts w:ascii="Optima" w:hAnsi="Optima"/>
      <w:szCs w:val="20"/>
      <w:lang w:val="en-GB"/>
    </w:rPr>
  </w:style>
  <w:style w:type="paragraph" w:styleId="Subtitle">
    <w:name w:val="Subtitle"/>
    <w:basedOn w:val="Normal"/>
    <w:next w:val="Normal"/>
    <w:link w:val="SubtitleChar"/>
    <w:uiPriority w:val="11"/>
    <w:qFormat/>
    <w:pPr>
      <w:tabs>
        <w:tab w:val="left" w:pos="-1440"/>
        <w:tab w:val="left" w:pos="7200"/>
      </w:tabs>
      <w:ind w:left="630" w:right="634"/>
      <w:jc w:val="right"/>
    </w:pPr>
    <w:rPr>
      <w:b/>
    </w:rPr>
  </w:style>
  <w:style w:type="character" w:customStyle="1" w:styleId="SubtitleChar">
    <w:name w:val="Subtitle Char"/>
    <w:basedOn w:val="DefaultParagraphFont"/>
    <w:link w:val="Subtitle"/>
    <w:uiPriority w:val="11"/>
    <w:rsid w:val="00401FAD"/>
    <w:rPr>
      <w:rFonts w:ascii="Calibri" w:eastAsia="Times New Roman" w:hAnsi="Calibri" w:cs="Times New Roman"/>
      <w:b/>
      <w:spacing w:val="-3"/>
      <w:szCs w:val="20"/>
      <w:lang w:val="en-US"/>
    </w:rPr>
  </w:style>
  <w:style w:type="paragraph" w:customStyle="1" w:styleId="CVHeading3">
    <w:name w:val="CV Heading 3"/>
    <w:basedOn w:val="Normal"/>
    <w:next w:val="Normal"/>
    <w:rsid w:val="00401FAD"/>
    <w:pPr>
      <w:suppressAutoHyphens/>
      <w:ind w:left="113" w:right="113"/>
      <w:jc w:val="right"/>
    </w:pPr>
    <w:rPr>
      <w:rFonts w:ascii="Arial Narrow" w:hAnsi="Arial Narrow"/>
      <w:sz w:val="20"/>
      <w:szCs w:val="20"/>
      <w:lang w:val="pt-PT" w:eastAsia="ar-SA"/>
    </w:rPr>
  </w:style>
  <w:style w:type="character" w:styleId="CommentReference">
    <w:name w:val="annotation reference"/>
    <w:basedOn w:val="DefaultParagraphFont"/>
    <w:uiPriority w:val="99"/>
    <w:semiHidden/>
    <w:unhideWhenUsed/>
    <w:rsid w:val="00336CFE"/>
    <w:rPr>
      <w:sz w:val="16"/>
      <w:szCs w:val="16"/>
    </w:rPr>
  </w:style>
  <w:style w:type="paragraph" w:styleId="CommentText">
    <w:name w:val="annotation text"/>
    <w:basedOn w:val="Normal"/>
    <w:link w:val="CommentTextChar"/>
    <w:uiPriority w:val="99"/>
    <w:unhideWhenUsed/>
    <w:rsid w:val="00336CFE"/>
    <w:pPr>
      <w:spacing w:line="240" w:lineRule="auto"/>
    </w:pPr>
    <w:rPr>
      <w:sz w:val="20"/>
      <w:szCs w:val="20"/>
    </w:rPr>
  </w:style>
  <w:style w:type="character" w:customStyle="1" w:styleId="CommentTextChar">
    <w:name w:val="Comment Text Char"/>
    <w:basedOn w:val="DefaultParagraphFont"/>
    <w:link w:val="CommentText"/>
    <w:uiPriority w:val="99"/>
    <w:rsid w:val="00336CFE"/>
    <w:rPr>
      <w:rFonts w:eastAsiaTheme="minorEastAsia"/>
      <w:sz w:val="20"/>
      <w:szCs w:val="20"/>
      <w:lang w:val="en-US" w:eastAsia="ja-JP"/>
    </w:rPr>
  </w:style>
  <w:style w:type="paragraph" w:styleId="CommentSubject">
    <w:name w:val="annotation subject"/>
    <w:basedOn w:val="CommentText"/>
    <w:next w:val="CommentText"/>
    <w:link w:val="CommentSubjectChar"/>
    <w:uiPriority w:val="99"/>
    <w:semiHidden/>
    <w:unhideWhenUsed/>
    <w:rsid w:val="00336CFE"/>
    <w:rPr>
      <w:b/>
      <w:bCs/>
    </w:rPr>
  </w:style>
  <w:style w:type="character" w:customStyle="1" w:styleId="CommentSubjectChar">
    <w:name w:val="Comment Subject Char"/>
    <w:basedOn w:val="CommentTextChar"/>
    <w:link w:val="CommentSubject"/>
    <w:uiPriority w:val="99"/>
    <w:semiHidden/>
    <w:rsid w:val="00336CFE"/>
    <w:rPr>
      <w:rFonts w:eastAsiaTheme="minorEastAsia"/>
      <w:b/>
      <w:bCs/>
      <w:sz w:val="20"/>
      <w:szCs w:val="20"/>
      <w:lang w:val="en-US" w:eastAsia="ja-JP"/>
    </w:rPr>
  </w:style>
  <w:style w:type="character" w:customStyle="1" w:styleId="0tekstceteorChar">
    <w:name w:val="0tekst ceteor Char"/>
    <w:link w:val="0tekstceteor"/>
    <w:uiPriority w:val="99"/>
    <w:qFormat/>
    <w:locked/>
    <w:rsid w:val="00336CFE"/>
    <w:rPr>
      <w:rFonts w:ascii="Arial" w:eastAsia="Times New Roman" w:hAnsi="Arial" w:cs="Times New Roman"/>
      <w:szCs w:val="24"/>
      <w:lang w:val="en-US" w:eastAsia="hr-HR"/>
    </w:rPr>
  </w:style>
  <w:style w:type="paragraph" w:customStyle="1" w:styleId="0tekstceteor">
    <w:name w:val="0tekst ceteor"/>
    <w:basedOn w:val="Normal"/>
    <w:link w:val="0tekstceteorChar"/>
    <w:uiPriority w:val="99"/>
    <w:qFormat/>
    <w:rsid w:val="00336CFE"/>
    <w:pPr>
      <w:spacing w:before="120" w:after="120" w:line="288" w:lineRule="auto"/>
    </w:pPr>
    <w:rPr>
      <w:rFonts w:ascii="Arial" w:eastAsia="Times New Roman" w:hAnsi="Arial" w:cs="Times New Roman"/>
      <w:szCs w:val="24"/>
      <w:lang w:eastAsia="hr-HR"/>
    </w:rPr>
  </w:style>
  <w:style w:type="paragraph" w:styleId="Caption">
    <w:name w:val="caption"/>
    <w:aliases w:val="Caption_Tabela,Char1"/>
    <w:basedOn w:val="Normal"/>
    <w:next w:val="Normal"/>
    <w:link w:val="CaptionChar"/>
    <w:uiPriority w:val="35"/>
    <w:unhideWhenUsed/>
    <w:qFormat/>
    <w:rsid w:val="00336CFE"/>
    <w:pPr>
      <w:spacing w:after="200" w:line="240" w:lineRule="auto"/>
      <w:jc w:val="left"/>
    </w:pPr>
    <w:rPr>
      <w:i/>
      <w:iCs/>
      <w:szCs w:val="18"/>
      <w:lang w:val="bs-Latn-BA"/>
    </w:rPr>
  </w:style>
  <w:style w:type="paragraph" w:styleId="FootnoteText">
    <w:name w:val="footnote text"/>
    <w:aliases w:val="Footnote Text Char1,Footnote Text Blue,Footnote Text1,Char,single space,ft,footnote text,footnote text Char,Footnote Text Char Char Char,Tegn1,Tegn1 Char,Char Char Char,Footnote Text Char2 Char Char,Footnote Text Char Char2 Char Char"/>
    <w:basedOn w:val="Normal"/>
    <w:link w:val="FootnoteTextChar"/>
    <w:uiPriority w:val="99"/>
    <w:unhideWhenUsed/>
    <w:rsid w:val="00336CFE"/>
    <w:pPr>
      <w:spacing w:after="0" w:line="240" w:lineRule="auto"/>
    </w:pPr>
    <w:rPr>
      <w:sz w:val="20"/>
      <w:szCs w:val="20"/>
    </w:rPr>
  </w:style>
  <w:style w:type="character" w:customStyle="1" w:styleId="FootnoteTextChar">
    <w:name w:val="Footnote Text Char"/>
    <w:aliases w:val="Footnote Text Char1 Char,Footnote Text Blue Char,Footnote Text1 Char,Char Char,single space Char,ft Char,footnote text Char1,footnote text Char Char,Footnote Text Char Char Char Char,Tegn1 Char1,Tegn1 Char Char,Char Char Char Char"/>
    <w:basedOn w:val="DefaultParagraphFont"/>
    <w:link w:val="FootnoteText"/>
    <w:uiPriority w:val="99"/>
    <w:rsid w:val="00336CFE"/>
    <w:rPr>
      <w:rFonts w:eastAsiaTheme="minorEastAsia"/>
      <w:sz w:val="20"/>
      <w:szCs w:val="20"/>
      <w:lang w:val="en-US" w:eastAsia="ja-JP"/>
    </w:rPr>
  </w:style>
  <w:style w:type="character" w:styleId="FootnoteReference">
    <w:name w:val="footnote reference"/>
    <w:aliases w:val="ftref,16 Point,Superscript 6 Point,BVI fnr,Superscript 6 Point + 11 pt,Footnote Reference Number,Footnote Reference_LVL6,Footnote Reference_LVL61,Footnote Reference_LVL62,Footnote Reference_LVL63,Footnote Reference_LVL64,Heading 6 Cha"/>
    <w:basedOn w:val="DefaultParagraphFont"/>
    <w:link w:val="BVIfnrChar"/>
    <w:uiPriority w:val="99"/>
    <w:unhideWhenUsed/>
    <w:qFormat/>
    <w:rsid w:val="00336CFE"/>
    <w:rPr>
      <w:vertAlign w:val="superscript"/>
    </w:rPr>
  </w:style>
  <w:style w:type="character" w:styleId="BookTitle">
    <w:name w:val="Book Title"/>
    <w:basedOn w:val="DefaultParagraphFont"/>
    <w:uiPriority w:val="33"/>
    <w:qFormat/>
    <w:rsid w:val="00401FAD"/>
    <w:rPr>
      <w:b/>
      <w:bCs/>
      <w:i/>
      <w:iCs/>
      <w:spacing w:val="5"/>
    </w:rPr>
  </w:style>
  <w:style w:type="table" w:customStyle="1" w:styleId="GridTable1Light1">
    <w:name w:val="Grid Table 1 Light1"/>
    <w:basedOn w:val="TableNormal"/>
    <w:uiPriority w:val="46"/>
    <w:rsid w:val="00401FAD"/>
    <w:pPr>
      <w:spacing w:after="0" w:line="240" w:lineRule="auto"/>
    </w:pPr>
    <w:rPr>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59"/>
    <w:rsid w:val="00401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31">
    <w:name w:val="List Table 3 - Accent 31"/>
    <w:basedOn w:val="TableNormal"/>
    <w:uiPriority w:val="48"/>
    <w:rsid w:val="00401FAD"/>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character" w:styleId="IntenseEmphasis">
    <w:name w:val="Intense Emphasis"/>
    <w:basedOn w:val="DefaultParagraphFont"/>
    <w:uiPriority w:val="21"/>
    <w:qFormat/>
    <w:rsid w:val="00401FAD"/>
    <w:rPr>
      <w:b/>
      <w:bCs/>
      <w:i/>
      <w:iCs/>
      <w:color w:val="5B9BD5" w:themeColor="accent1"/>
    </w:rPr>
  </w:style>
  <w:style w:type="paragraph" w:styleId="TableofFigures">
    <w:name w:val="table of figures"/>
    <w:basedOn w:val="Normal"/>
    <w:next w:val="Normal"/>
    <w:uiPriority w:val="99"/>
    <w:unhideWhenUsed/>
    <w:rsid w:val="008A246A"/>
    <w:pPr>
      <w:spacing w:after="0"/>
    </w:pPr>
  </w:style>
  <w:style w:type="paragraph" w:styleId="Revision">
    <w:name w:val="Revision"/>
    <w:hidden/>
    <w:uiPriority w:val="99"/>
    <w:rsid w:val="00401FAD"/>
    <w:pPr>
      <w:spacing w:after="0"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401FAD"/>
    <w:rPr>
      <w:color w:val="605E5C"/>
      <w:shd w:val="clear" w:color="auto" w:fill="E1DFDD"/>
    </w:rPr>
  </w:style>
  <w:style w:type="character" w:customStyle="1" w:styleId="NoSpacingChar">
    <w:name w:val="No Spacing Char"/>
    <w:link w:val="NoSpacing"/>
    <w:uiPriority w:val="1"/>
    <w:rsid w:val="00336CFE"/>
    <w:rPr>
      <w:rFonts w:eastAsiaTheme="minorEastAsia"/>
      <w:lang w:val="en-US" w:eastAsia="ja-JP"/>
    </w:rPr>
  </w:style>
  <w:style w:type="character" w:styleId="UnresolvedMention">
    <w:name w:val="Unresolved Mention"/>
    <w:basedOn w:val="DefaultParagraphFont"/>
    <w:uiPriority w:val="99"/>
    <w:semiHidden/>
    <w:unhideWhenUsed/>
    <w:rsid w:val="00401FAD"/>
    <w:rPr>
      <w:color w:val="605E5C"/>
      <w:shd w:val="clear" w:color="auto" w:fill="E1DFDD"/>
    </w:rPr>
  </w:style>
  <w:style w:type="table" w:customStyle="1" w:styleId="TableGrid2">
    <w:name w:val="Table Grid2"/>
    <w:basedOn w:val="TableNormal"/>
    <w:next w:val="TableGrid"/>
    <w:uiPriority w:val="59"/>
    <w:rsid w:val="00401FAD"/>
    <w:pPr>
      <w:spacing w:after="0" w:line="240" w:lineRule="auto"/>
    </w:pPr>
    <w:rPr>
      <w:rFonts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401FAD"/>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PlainTable1">
    <w:name w:val="Plain Table 1"/>
    <w:basedOn w:val="TableNormal"/>
    <w:uiPriority w:val="41"/>
    <w:rsid w:val="00401F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Style6">
    <w:name w:val="Style6"/>
    <w:basedOn w:val="TableNormal"/>
    <w:uiPriority w:val="99"/>
    <w:rsid w:val="00401FAD"/>
    <w:pPr>
      <w:spacing w:after="0" w:line="240" w:lineRule="auto"/>
    </w:pPr>
    <w:tblPr/>
    <w:tcPr>
      <w:shd w:val="pct10" w:color="auto" w:fill="auto"/>
    </w:tcPr>
  </w:style>
  <w:style w:type="paragraph" w:customStyle="1" w:styleId="Ariallocked">
    <w:name w:val="Ariallocked"/>
    <w:basedOn w:val="Normal"/>
    <w:link w:val="AriallockedChar"/>
    <w:rsid w:val="00336CFE"/>
    <w:pPr>
      <w:spacing w:before="120" w:after="120" w:line="240" w:lineRule="auto"/>
      <w:jc w:val="center"/>
    </w:pPr>
    <w:rPr>
      <w:rFonts w:ascii="Arial" w:hAnsi="Arial" w:cs="Arial"/>
      <w:b/>
      <w:i/>
      <w:color w:val="00643E"/>
      <w:sz w:val="48"/>
      <w:szCs w:val="44"/>
    </w:rPr>
  </w:style>
  <w:style w:type="character" w:customStyle="1" w:styleId="AriallockedChar">
    <w:name w:val="Ariallocked Char"/>
    <w:basedOn w:val="DefaultParagraphFont"/>
    <w:link w:val="Ariallocked"/>
    <w:rsid w:val="00336CFE"/>
    <w:rPr>
      <w:rFonts w:ascii="Arial" w:eastAsiaTheme="minorEastAsia" w:hAnsi="Arial" w:cs="Arial"/>
      <w:b/>
      <w:i/>
      <w:color w:val="00643E"/>
      <w:sz w:val="48"/>
      <w:szCs w:val="44"/>
      <w:lang w:val="en-US" w:eastAsia="ja-JP"/>
    </w:rPr>
  </w:style>
  <w:style w:type="table" w:customStyle="1" w:styleId="TableGrid10">
    <w:name w:val="Table Grid10"/>
    <w:basedOn w:val="TableNormal"/>
    <w:next w:val="TableGrid"/>
    <w:uiPriority w:val="59"/>
    <w:locked/>
    <w:rsid w:val="00336CFE"/>
    <w:pPr>
      <w:spacing w:before="-1" w:beforeAutospacing="1" w:after="0" w:line="240" w:lineRule="auto"/>
    </w:pPr>
    <w:rPr>
      <w:rFonts w:ascii="Arial" w:hAnsi="Arial"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lainTable11">
    <w:name w:val="Plain Table 11"/>
    <w:basedOn w:val="TableNormal"/>
    <w:uiPriority w:val="41"/>
    <w:locked/>
    <w:rsid w:val="00336CFE"/>
    <w:pPr>
      <w:spacing w:after="0" w:line="240" w:lineRule="auto"/>
    </w:pPr>
    <w:rPr>
      <w:rFonts w:eastAsiaTheme="minorEastAsia"/>
      <w:lang w:val="en-U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1">
    <w:name w:val="1"/>
    <w:basedOn w:val="Normal"/>
    <w:locked/>
    <w:rsid w:val="00336CFE"/>
    <w:pPr>
      <w:spacing w:before="480" w:after="720" w:line="312" w:lineRule="auto"/>
      <w:jc w:val="center"/>
    </w:pPr>
    <w:rPr>
      <w:rFonts w:ascii="Arial" w:eastAsia="Times New Roman" w:hAnsi="Arial" w:cs="Times New Roman"/>
      <w:b/>
      <w:bCs/>
      <w:caps/>
      <w:color w:val="008000"/>
      <w:sz w:val="32"/>
      <w:szCs w:val="32"/>
      <w:lang w:val="bs-Latn-BA" w:eastAsia="en-US"/>
    </w:rPr>
  </w:style>
  <w:style w:type="character" w:customStyle="1" w:styleId="TitleChar">
    <w:name w:val="Title Char"/>
    <w:basedOn w:val="DefaultParagraphFont"/>
    <w:link w:val="Title"/>
    <w:uiPriority w:val="10"/>
    <w:rsid w:val="00336CFE"/>
    <w:rPr>
      <w:rFonts w:ascii="Arial" w:eastAsiaTheme="majorEastAsia" w:hAnsi="Arial" w:cstheme="majorBidi"/>
      <w:b/>
      <w:color w:val="00592E"/>
      <w:spacing w:val="-10"/>
      <w:kern w:val="28"/>
      <w:sz w:val="56"/>
      <w:szCs w:val="56"/>
      <w:lang w:val="en-US" w:eastAsia="ja-JP"/>
    </w:rPr>
  </w:style>
  <w:style w:type="table" w:styleId="LightGrid-Accent5">
    <w:name w:val="Light Grid Accent 5"/>
    <w:basedOn w:val="TableNormal"/>
    <w:uiPriority w:val="62"/>
    <w:rsid w:val="00336CFE"/>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yriad Pro" w:eastAsia="Times New Roman" w:hAnsi="Myriad Pro"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yriad Pro" w:eastAsia="Times New Roman" w:hAnsi="Myriad Pro"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yriad Pro" w:eastAsia="Times New Roman" w:hAnsi="Myriad Pro" w:cs="Times New Roman"/>
        <w:b/>
        <w:bCs/>
      </w:rPr>
    </w:tblStylePr>
    <w:tblStylePr w:type="lastCol">
      <w:rPr>
        <w:rFonts w:ascii="Myriad Pro" w:eastAsia="Times New Roman" w:hAnsi="Myriad Pro"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customStyle="1" w:styleId="Style3Char">
    <w:name w:val="Style3 Char"/>
    <w:basedOn w:val="DefaultParagraphFont"/>
    <w:rsid w:val="00A13C14"/>
    <w:rPr>
      <w:sz w:val="20"/>
      <w:szCs w:val="20"/>
    </w:rPr>
  </w:style>
  <w:style w:type="paragraph" w:customStyle="1" w:styleId="ECABullets">
    <w:name w:val="ECA Bullets"/>
    <w:basedOn w:val="Normal"/>
    <w:uiPriority w:val="99"/>
    <w:qFormat/>
    <w:rsid w:val="00A13C14"/>
    <w:pPr>
      <w:numPr>
        <w:numId w:val="10"/>
      </w:numPr>
      <w:spacing w:before="240" w:after="240" w:line="240" w:lineRule="auto"/>
      <w:jc w:val="left"/>
    </w:pPr>
    <w:rPr>
      <w:rFonts w:ascii="Book Antiqua" w:eastAsia="Times New Roman" w:hAnsi="Book Antiqua" w:cs="Times New Roman"/>
      <w:szCs w:val="20"/>
      <w:lang w:val="en-GB" w:eastAsia="en-US"/>
    </w:rPr>
  </w:style>
  <w:style w:type="paragraph" w:customStyle="1" w:styleId="ECABulletsSub">
    <w:name w:val="ECA Bullets Sub"/>
    <w:basedOn w:val="Normal"/>
    <w:uiPriority w:val="99"/>
    <w:qFormat/>
    <w:rsid w:val="00A13C14"/>
    <w:pPr>
      <w:numPr>
        <w:ilvl w:val="2"/>
        <w:numId w:val="10"/>
      </w:numPr>
      <w:spacing w:before="240" w:after="240" w:line="240" w:lineRule="auto"/>
      <w:ind w:left="792" w:hanging="432"/>
      <w:jc w:val="left"/>
    </w:pPr>
    <w:rPr>
      <w:rFonts w:ascii="Book Antiqua" w:eastAsia="Times New Roman" w:hAnsi="Book Antiqua" w:cs="Times New Roman"/>
      <w:szCs w:val="20"/>
      <w:lang w:val="en-GB" w:eastAsia="en-US"/>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
    <w:basedOn w:val="Normal"/>
    <w:link w:val="FootnoteReference"/>
    <w:uiPriority w:val="99"/>
    <w:rsid w:val="00121DBA"/>
    <w:pPr>
      <w:tabs>
        <w:tab w:val="num" w:pos="360"/>
      </w:tabs>
      <w:spacing w:line="240" w:lineRule="exact"/>
    </w:pPr>
    <w:rPr>
      <w:rFonts w:eastAsiaTheme="minorHAnsi"/>
      <w:vertAlign w:val="superscript"/>
      <w:lang w:val="bs-Latn-BA" w:eastAsia="en-US"/>
    </w:rPr>
  </w:style>
  <w:style w:type="character" w:customStyle="1" w:styleId="material-icons-extended">
    <w:name w:val="material-icons-extended"/>
    <w:basedOn w:val="DefaultParagraphFont"/>
    <w:rsid w:val="0089741D"/>
  </w:style>
  <w:style w:type="character" w:customStyle="1" w:styleId="ztplmc">
    <w:name w:val="ztplmc"/>
    <w:basedOn w:val="DefaultParagraphFont"/>
    <w:rsid w:val="0089741D"/>
  </w:style>
  <w:style w:type="character" w:customStyle="1" w:styleId="q4iawc">
    <w:name w:val="q4iawc"/>
    <w:basedOn w:val="DefaultParagraphFont"/>
    <w:rsid w:val="0089741D"/>
  </w:style>
  <w:style w:type="paragraph" w:customStyle="1" w:styleId="p1">
    <w:name w:val="p1"/>
    <w:basedOn w:val="Normal"/>
    <w:rsid w:val="002B55B4"/>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character" w:customStyle="1" w:styleId="s1">
    <w:name w:val="s1"/>
    <w:basedOn w:val="DefaultParagraphFont"/>
    <w:rsid w:val="002B55B4"/>
  </w:style>
  <w:style w:type="character" w:customStyle="1" w:styleId="s2">
    <w:name w:val="s2"/>
    <w:basedOn w:val="DefaultParagraphFont"/>
    <w:rsid w:val="002B55B4"/>
  </w:style>
  <w:style w:type="character" w:customStyle="1" w:styleId="Heading6Char">
    <w:name w:val="Heading 6 Char"/>
    <w:basedOn w:val="DefaultParagraphFont"/>
    <w:link w:val="Heading6"/>
    <w:uiPriority w:val="9"/>
    <w:rsid w:val="00D917A2"/>
    <w:rPr>
      <w:rFonts w:ascii="Calibri" w:eastAsia="Times New Roman" w:hAnsi="Calibri" w:cs="Times New Roman"/>
      <w:i/>
      <w:iCs/>
      <w:color w:val="243F60"/>
      <w:szCs w:val="20"/>
      <w:lang w:val="hr-BA" w:eastAsia="x-none"/>
    </w:rPr>
  </w:style>
  <w:style w:type="character" w:customStyle="1" w:styleId="Heading7Char">
    <w:name w:val="Heading 7 Char"/>
    <w:basedOn w:val="DefaultParagraphFont"/>
    <w:link w:val="Heading7"/>
    <w:uiPriority w:val="9"/>
    <w:rsid w:val="00D917A2"/>
    <w:rPr>
      <w:rFonts w:ascii="Calibri" w:eastAsia="Times New Roman" w:hAnsi="Calibri" w:cs="Times New Roman"/>
      <w:i/>
      <w:iCs/>
      <w:color w:val="404040"/>
      <w:szCs w:val="20"/>
      <w:lang w:val="hr-BA" w:eastAsia="x-none"/>
    </w:rPr>
  </w:style>
  <w:style w:type="character" w:customStyle="1" w:styleId="Heading8Char">
    <w:name w:val="Heading 8 Char"/>
    <w:basedOn w:val="DefaultParagraphFont"/>
    <w:link w:val="Heading8"/>
    <w:uiPriority w:val="9"/>
    <w:rsid w:val="00D917A2"/>
    <w:rPr>
      <w:rFonts w:ascii="Calibri" w:eastAsia="Times New Roman" w:hAnsi="Calibri" w:cs="Times New Roman"/>
      <w:color w:val="404040"/>
      <w:sz w:val="20"/>
      <w:szCs w:val="20"/>
      <w:lang w:val="hr-BA" w:eastAsia="x-none"/>
    </w:rPr>
  </w:style>
  <w:style w:type="character" w:customStyle="1" w:styleId="Heading9Char">
    <w:name w:val="Heading 9 Char"/>
    <w:basedOn w:val="DefaultParagraphFont"/>
    <w:link w:val="Heading9"/>
    <w:uiPriority w:val="9"/>
    <w:rsid w:val="00D917A2"/>
    <w:rPr>
      <w:rFonts w:ascii="Calibri" w:eastAsia="Times New Roman" w:hAnsi="Calibri" w:cs="Times New Roman"/>
      <w:i/>
      <w:iCs/>
      <w:color w:val="404040"/>
      <w:sz w:val="20"/>
      <w:szCs w:val="20"/>
      <w:lang w:val="hr-BA" w:eastAsia="x-none"/>
    </w:rPr>
  </w:style>
  <w:style w:type="paragraph" w:customStyle="1" w:styleId="CaptionSlika">
    <w:name w:val="Caption_Slika"/>
    <w:basedOn w:val="Caption"/>
    <w:qFormat/>
    <w:rsid w:val="00D917A2"/>
    <w:pPr>
      <w:spacing w:before="60" w:after="160"/>
      <w:jc w:val="center"/>
    </w:pPr>
    <w:rPr>
      <w:rFonts w:eastAsia="Calibri" w:cs="Times New Roman"/>
      <w:b/>
      <w:bCs/>
      <w:iCs w:val="0"/>
      <w:sz w:val="18"/>
      <w:lang w:val="x-none" w:eastAsia="en-US"/>
    </w:rPr>
  </w:style>
  <w:style w:type="paragraph" w:customStyle="1" w:styleId="Glavninaslovbezbroja">
    <w:name w:val="Glavni naslov_bez broja"/>
    <w:basedOn w:val="Heading1"/>
    <w:qFormat/>
    <w:rsid w:val="00D917A2"/>
    <w:pPr>
      <w:pageBreakBefore/>
      <w:numPr>
        <w:numId w:val="0"/>
      </w:numPr>
      <w:spacing w:before="320" w:after="160" w:line="276" w:lineRule="auto"/>
    </w:pPr>
    <w:rPr>
      <w:rFonts w:ascii="Calibri" w:eastAsia="Times New Roman" w:hAnsi="Calibri" w:cs="Times New Roman"/>
      <w:bCs/>
      <w:color w:val="002060"/>
      <w:szCs w:val="24"/>
      <w:lang w:val="hr-BA" w:eastAsia="x-none"/>
    </w:rPr>
  </w:style>
  <w:style w:type="paragraph" w:customStyle="1" w:styleId="Podnaslov1bezbroja">
    <w:name w:val="Podnaslov 1_bez broja"/>
    <w:basedOn w:val="Heading2"/>
    <w:qFormat/>
    <w:rsid w:val="00D917A2"/>
    <w:pPr>
      <w:numPr>
        <w:ilvl w:val="0"/>
        <w:numId w:val="0"/>
      </w:numPr>
      <w:spacing w:before="320" w:after="160" w:line="276" w:lineRule="auto"/>
      <w:textboxTightWrap w:val="none"/>
    </w:pPr>
    <w:rPr>
      <w:rFonts w:ascii="Calibri" w:eastAsia="Times New Roman" w:hAnsi="Calibri" w:cs="Times New Roman"/>
      <w:bCs/>
      <w:color w:val="1F497D"/>
      <w:sz w:val="26"/>
      <w:szCs w:val="20"/>
      <w:lang w:val="hr-HR" w:eastAsia="x-none"/>
    </w:rPr>
  </w:style>
  <w:style w:type="character" w:styleId="IntenseReference">
    <w:name w:val="Intense Reference"/>
    <w:uiPriority w:val="32"/>
    <w:rsid w:val="00D917A2"/>
    <w:rPr>
      <w:b/>
      <w:bCs/>
      <w:smallCaps/>
      <w:color w:val="C0504D"/>
      <w:spacing w:val="5"/>
      <w:u w:val="single"/>
    </w:rPr>
  </w:style>
  <w:style w:type="paragraph" w:customStyle="1" w:styleId="QAQC-question">
    <w:name w:val="QA/QC - question"/>
    <w:uiPriority w:val="99"/>
    <w:rsid w:val="00D917A2"/>
    <w:pPr>
      <w:spacing w:after="120" w:line="240" w:lineRule="auto"/>
    </w:pPr>
    <w:rPr>
      <w:rFonts w:ascii="Arial" w:eastAsia="Times New Roman" w:hAnsi="Arial" w:cs="Times New Roman"/>
      <w:b/>
      <w:bCs/>
      <w:noProof/>
      <w:color w:val="008000"/>
      <w:sz w:val="20"/>
      <w:szCs w:val="20"/>
      <w:lang w:val="en-GB"/>
    </w:rPr>
  </w:style>
  <w:style w:type="paragraph" w:customStyle="1" w:styleId="QA-Page">
    <w:name w:val="QA-Page"/>
    <w:uiPriority w:val="99"/>
    <w:rsid w:val="00D917A2"/>
    <w:pPr>
      <w:tabs>
        <w:tab w:val="left" w:pos="2366"/>
      </w:tabs>
      <w:spacing w:after="0" w:line="240" w:lineRule="auto"/>
    </w:pPr>
    <w:rPr>
      <w:rFonts w:ascii="Arial" w:eastAsia="Times New Roman" w:hAnsi="Arial" w:cs="Times New Roman"/>
      <w:sz w:val="20"/>
      <w:szCs w:val="24"/>
      <w:lang w:val="en-GB"/>
    </w:rPr>
  </w:style>
  <w:style w:type="table" w:customStyle="1" w:styleId="MediumList11">
    <w:name w:val="Medium List 11"/>
    <w:basedOn w:val="TableNormal"/>
    <w:uiPriority w:val="65"/>
    <w:rsid w:val="00D917A2"/>
    <w:pPr>
      <w:spacing w:after="0" w:line="240" w:lineRule="auto"/>
    </w:pPr>
    <w:rPr>
      <w:rFonts w:ascii="Corbel" w:hAnsi="Corbel" w:cs="Times New Roman"/>
      <w:color w:val="000000"/>
      <w:sz w:val="20"/>
      <w:szCs w:val="20"/>
      <w:lang w:val="en-GB"/>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
    <w:name w:val="Light Shading1"/>
    <w:basedOn w:val="TableNormal"/>
    <w:uiPriority w:val="60"/>
    <w:rsid w:val="00D917A2"/>
    <w:pPr>
      <w:spacing w:after="0" w:line="240" w:lineRule="auto"/>
    </w:pPr>
    <w:rPr>
      <w:rFonts w:ascii="Corbel" w:hAnsi="Corbel" w:cs="Times New Roman"/>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OC4">
    <w:name w:val="toc 4"/>
    <w:basedOn w:val="Normal"/>
    <w:next w:val="Normal"/>
    <w:autoRedefine/>
    <w:uiPriority w:val="39"/>
    <w:unhideWhenUsed/>
    <w:rsid w:val="00D917A2"/>
    <w:pPr>
      <w:spacing w:after="0" w:line="276" w:lineRule="auto"/>
      <w:ind w:left="658"/>
    </w:pPr>
    <w:rPr>
      <w:rFonts w:eastAsia="Calibri" w:cs="Times New Roman"/>
      <w:sz w:val="20"/>
      <w:szCs w:val="20"/>
      <w:lang w:val="hr-HR" w:eastAsia="en-US"/>
    </w:rPr>
  </w:style>
  <w:style w:type="paragraph" w:styleId="TOC5">
    <w:name w:val="toc 5"/>
    <w:basedOn w:val="Normal"/>
    <w:next w:val="Normal"/>
    <w:autoRedefine/>
    <w:uiPriority w:val="39"/>
    <w:unhideWhenUsed/>
    <w:rsid w:val="00D917A2"/>
    <w:pPr>
      <w:spacing w:after="100" w:line="276" w:lineRule="auto"/>
      <w:ind w:left="880"/>
      <w:jc w:val="left"/>
    </w:pPr>
    <w:rPr>
      <w:rFonts w:eastAsia="Times New Roman" w:cs="Times New Roman"/>
      <w:lang w:val="en-GB" w:eastAsia="en-GB"/>
    </w:rPr>
  </w:style>
  <w:style w:type="paragraph" w:styleId="TOC6">
    <w:name w:val="toc 6"/>
    <w:basedOn w:val="Normal"/>
    <w:next w:val="Normal"/>
    <w:autoRedefine/>
    <w:uiPriority w:val="39"/>
    <w:unhideWhenUsed/>
    <w:rsid w:val="00D917A2"/>
    <w:pPr>
      <w:spacing w:after="100" w:line="276" w:lineRule="auto"/>
      <w:ind w:left="1100"/>
      <w:jc w:val="left"/>
    </w:pPr>
    <w:rPr>
      <w:rFonts w:eastAsia="Times New Roman" w:cs="Times New Roman"/>
      <w:lang w:val="en-GB" w:eastAsia="en-GB"/>
    </w:rPr>
  </w:style>
  <w:style w:type="paragraph" w:styleId="TOC7">
    <w:name w:val="toc 7"/>
    <w:basedOn w:val="Normal"/>
    <w:next w:val="Normal"/>
    <w:autoRedefine/>
    <w:uiPriority w:val="39"/>
    <w:unhideWhenUsed/>
    <w:rsid w:val="00D917A2"/>
    <w:pPr>
      <w:spacing w:after="100" w:line="276" w:lineRule="auto"/>
      <w:ind w:left="1320"/>
      <w:jc w:val="left"/>
    </w:pPr>
    <w:rPr>
      <w:rFonts w:eastAsia="Times New Roman" w:cs="Times New Roman"/>
      <w:lang w:val="en-GB" w:eastAsia="en-GB"/>
    </w:rPr>
  </w:style>
  <w:style w:type="paragraph" w:styleId="TOC8">
    <w:name w:val="toc 8"/>
    <w:basedOn w:val="Normal"/>
    <w:next w:val="Normal"/>
    <w:autoRedefine/>
    <w:uiPriority w:val="39"/>
    <w:unhideWhenUsed/>
    <w:rsid w:val="00D917A2"/>
    <w:pPr>
      <w:spacing w:after="100" w:line="276" w:lineRule="auto"/>
      <w:ind w:left="1540"/>
      <w:jc w:val="left"/>
    </w:pPr>
    <w:rPr>
      <w:rFonts w:eastAsia="Times New Roman" w:cs="Times New Roman"/>
      <w:lang w:val="en-GB" w:eastAsia="en-GB"/>
    </w:rPr>
  </w:style>
  <w:style w:type="paragraph" w:styleId="TOC9">
    <w:name w:val="toc 9"/>
    <w:basedOn w:val="Normal"/>
    <w:next w:val="Normal"/>
    <w:autoRedefine/>
    <w:uiPriority w:val="39"/>
    <w:unhideWhenUsed/>
    <w:rsid w:val="00D917A2"/>
    <w:pPr>
      <w:spacing w:after="100" w:line="276" w:lineRule="auto"/>
      <w:ind w:left="1760"/>
      <w:jc w:val="left"/>
    </w:pPr>
    <w:rPr>
      <w:rFonts w:eastAsia="Times New Roman" w:cs="Times New Roman"/>
      <w:lang w:val="en-GB" w:eastAsia="en-GB"/>
    </w:rPr>
  </w:style>
  <w:style w:type="table" w:customStyle="1" w:styleId="GridTable5Dark-Accent51">
    <w:name w:val="Grid Table 5 Dark - Accent 51"/>
    <w:basedOn w:val="TableNormal"/>
    <w:uiPriority w:val="50"/>
    <w:rsid w:val="00D917A2"/>
    <w:pPr>
      <w:spacing w:after="0" w:line="240" w:lineRule="auto"/>
    </w:pPr>
    <w:rPr>
      <w:rFonts w:cs="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TableGrid3">
    <w:name w:val="Table Grid3"/>
    <w:basedOn w:val="TableNormal"/>
    <w:next w:val="TableGrid"/>
    <w:uiPriority w:val="39"/>
    <w:rsid w:val="00D917A2"/>
    <w:pPr>
      <w:spacing w:after="0" w:line="240" w:lineRule="auto"/>
    </w:pPr>
    <w:rPr>
      <w:rFonts w:ascii="Corbel" w:hAnsi="Corbel"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D917A2"/>
    <w:pPr>
      <w:spacing w:after="0" w:line="240" w:lineRule="auto"/>
    </w:pPr>
    <w:rPr>
      <w:rFonts w:ascii="Times New Roman" w:hAnsi="Times New Roman"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917A2"/>
    <w:pPr>
      <w:spacing w:after="0" w:line="240" w:lineRule="auto"/>
    </w:pPr>
    <w:rPr>
      <w:rFonts w:ascii="Corbel" w:hAnsi="Corbel"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List111">
    <w:name w:val="Medium List 111"/>
    <w:basedOn w:val="TableNormal"/>
    <w:uiPriority w:val="65"/>
    <w:rsid w:val="00D917A2"/>
    <w:pPr>
      <w:spacing w:after="0" w:line="240" w:lineRule="auto"/>
    </w:pPr>
    <w:rPr>
      <w:rFonts w:ascii="Corbel" w:hAnsi="Corbel" w:cs="Times New Roman"/>
      <w:color w:val="000000"/>
      <w:sz w:val="20"/>
      <w:szCs w:val="20"/>
      <w:lang w:val="en-GB"/>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1">
    <w:name w:val="Light Shading11"/>
    <w:basedOn w:val="TableNormal"/>
    <w:uiPriority w:val="60"/>
    <w:rsid w:val="00D917A2"/>
    <w:pPr>
      <w:spacing w:after="0" w:line="240" w:lineRule="auto"/>
    </w:pPr>
    <w:rPr>
      <w:rFonts w:ascii="Corbel" w:hAnsi="Corbel" w:cs="Times New Roman"/>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2">
    <w:name w:val="Medium List 112"/>
    <w:basedOn w:val="TableNormal"/>
    <w:uiPriority w:val="65"/>
    <w:rsid w:val="00D917A2"/>
    <w:pPr>
      <w:spacing w:after="0" w:line="240" w:lineRule="auto"/>
    </w:pPr>
    <w:rPr>
      <w:rFonts w:ascii="Corbel" w:hAnsi="Corbel" w:cs="Times New Roman"/>
      <w:color w:val="000000"/>
      <w:sz w:val="20"/>
      <w:szCs w:val="20"/>
      <w:lang w:val="en-GB"/>
    </w:rPr>
    <w:tblPr>
      <w:tblStyleRowBandSize w:val="1"/>
      <w:tblStyleColBandSize w:val="1"/>
      <w:tblBorders>
        <w:top w:val="single" w:sz="8" w:space="0" w:color="000000"/>
        <w:bottom w:val="single" w:sz="8" w:space="0" w:color="000000"/>
      </w:tblBorders>
    </w:tblPr>
    <w:tblStylePr w:type="firstRow">
      <w:rPr>
        <w:rFonts w:ascii="Cambria Math" w:eastAsia="Times New Roman" w:hAnsi="Cambria Math"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ghtShading12">
    <w:name w:val="Light Shading12"/>
    <w:basedOn w:val="TableNormal"/>
    <w:uiPriority w:val="60"/>
    <w:rsid w:val="00D917A2"/>
    <w:pPr>
      <w:spacing w:after="0" w:line="240" w:lineRule="auto"/>
    </w:pPr>
    <w:rPr>
      <w:rFonts w:ascii="Corbel" w:hAnsi="Corbel" w:cs="Times New Roman"/>
      <w:color w:val="000000"/>
      <w:sz w:val="20"/>
      <w:szCs w:val="20"/>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11">
    <w:name w:val="Table Grid111"/>
    <w:basedOn w:val="TableNormal"/>
    <w:next w:val="TableGrid"/>
    <w:uiPriority w:val="59"/>
    <w:rsid w:val="00D917A2"/>
    <w:pPr>
      <w:spacing w:after="0" w:line="240" w:lineRule="auto"/>
    </w:pPr>
    <w:rPr>
      <w:rFonts w:ascii="Times New Roman" w:hAnsi="Times New Roman" w:cs="Times New Roman"/>
      <w:sz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aliases w:val="Caption_Tabela Char,Char1 Char"/>
    <w:link w:val="Caption"/>
    <w:uiPriority w:val="35"/>
    <w:locked/>
    <w:rsid w:val="00D917A2"/>
    <w:rPr>
      <w:rFonts w:ascii="Calibri" w:eastAsiaTheme="minorEastAsia" w:hAnsi="Calibri" w:cs="Calibri"/>
      <w:i/>
      <w:iCs/>
      <w:szCs w:val="18"/>
      <w:lang w:eastAsia="ja-JP"/>
    </w:rPr>
  </w:style>
  <w:style w:type="paragraph" w:customStyle="1" w:styleId="Body">
    <w:name w:val="Body"/>
    <w:basedOn w:val="Normal"/>
    <w:next w:val="Normal"/>
    <w:uiPriority w:val="99"/>
    <w:rsid w:val="00D917A2"/>
    <w:pPr>
      <w:autoSpaceDE w:val="0"/>
      <w:autoSpaceDN w:val="0"/>
      <w:adjustRightInd w:val="0"/>
      <w:spacing w:after="0" w:line="240" w:lineRule="auto"/>
      <w:jc w:val="left"/>
    </w:pPr>
    <w:rPr>
      <w:rFonts w:ascii="Arial" w:eastAsia="Calibri" w:hAnsi="Arial" w:cs="Arial"/>
      <w:sz w:val="24"/>
      <w:szCs w:val="24"/>
      <w:lang w:val="bs-Latn-BA" w:eastAsia="en-US"/>
    </w:rPr>
  </w:style>
  <w:style w:type="character" w:styleId="PageNumber">
    <w:name w:val="page number"/>
    <w:uiPriority w:val="99"/>
    <w:semiHidden/>
    <w:unhideWhenUsed/>
    <w:rsid w:val="00D917A2"/>
  </w:style>
  <w:style w:type="paragraph" w:customStyle="1" w:styleId="TOCHeading1">
    <w:name w:val="TOC Heading1"/>
    <w:basedOn w:val="Normal"/>
    <w:next w:val="Normal"/>
    <w:uiPriority w:val="39"/>
    <w:unhideWhenUsed/>
    <w:rsid w:val="00D917A2"/>
    <w:pPr>
      <w:spacing w:before="320" w:after="320" w:line="276" w:lineRule="auto"/>
      <w:jc w:val="center"/>
    </w:pPr>
    <w:rPr>
      <w:rFonts w:eastAsia="Calibri" w:cs="Times New Roman"/>
      <w:b/>
      <w:color w:val="CC006A"/>
      <w:sz w:val="24"/>
      <w:szCs w:val="24"/>
      <w:lang w:val="hr-HR" w:eastAsia="en-US"/>
    </w:rPr>
  </w:style>
  <w:style w:type="character" w:customStyle="1" w:styleId="IntenseReference1">
    <w:name w:val="Intense Reference1"/>
    <w:uiPriority w:val="32"/>
    <w:rsid w:val="00D917A2"/>
    <w:rPr>
      <w:b/>
      <w:bCs/>
      <w:smallCaps/>
      <w:color w:val="C0504D"/>
      <w:spacing w:val="5"/>
      <w:u w:val="single"/>
    </w:rPr>
  </w:style>
  <w:style w:type="character" w:customStyle="1" w:styleId="fontstyle01">
    <w:name w:val="fontstyle01"/>
    <w:rsid w:val="00D917A2"/>
    <w:rPr>
      <w:rFonts w:ascii="Calibri" w:hAnsi="Calibri" w:cs="Calibri" w:hint="default"/>
      <w:b w:val="0"/>
      <w:bCs w:val="0"/>
      <w:i w:val="0"/>
      <w:iCs w:val="0"/>
      <w:color w:val="000000"/>
      <w:sz w:val="22"/>
      <w:szCs w:val="22"/>
    </w:rPr>
  </w:style>
  <w:style w:type="table" w:customStyle="1" w:styleId="GridTable5Dark-Accent11">
    <w:name w:val="Grid Table 5 Dark - Accent 11"/>
    <w:basedOn w:val="TableNormal"/>
    <w:uiPriority w:val="50"/>
    <w:rsid w:val="00D917A2"/>
    <w:pPr>
      <w:spacing w:after="0" w:line="240" w:lineRule="auto"/>
    </w:pPr>
    <w:rPr>
      <w:rFonts w:ascii="Cambria" w:eastAsia="Cambria" w:hAnsi="Cambria" w:cs="Times New Roman"/>
      <w:lang w:val="hr-H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character" w:customStyle="1" w:styleId="tlid-translation">
    <w:name w:val="tlid-translation"/>
    <w:basedOn w:val="DefaultParagraphFont"/>
    <w:rsid w:val="00D917A2"/>
  </w:style>
  <w:style w:type="table" w:customStyle="1" w:styleId="TableGrid5">
    <w:name w:val="Table Grid5"/>
    <w:basedOn w:val="TableNormal"/>
    <w:next w:val="TableGrid"/>
    <w:uiPriority w:val="39"/>
    <w:rsid w:val="00D917A2"/>
    <w:pPr>
      <w:spacing w:after="0" w:line="240" w:lineRule="auto"/>
    </w:pPr>
    <w:rPr>
      <w:rFonts w:ascii="Corbel" w:hAnsi="Corbel"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12">
    <w:name w:val="Rešetka tablice12"/>
    <w:basedOn w:val="TableNormal"/>
    <w:next w:val="TableGrid"/>
    <w:uiPriority w:val="59"/>
    <w:rsid w:val="00D917A2"/>
    <w:pPr>
      <w:spacing w:after="0" w:line="240" w:lineRule="auto"/>
    </w:pPr>
    <w:rPr>
      <w:rFonts w:ascii="Cambria" w:eastAsia="Cambria" w:hAnsi="Cambria"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uiPriority w:val="49"/>
    <w:rsid w:val="00D917A2"/>
    <w:pPr>
      <w:spacing w:after="0" w:line="240" w:lineRule="auto"/>
    </w:pPr>
    <w:rPr>
      <w:rFonts w:cs="Times New Roman"/>
      <w:lang w:val="en-CA"/>
    </w:rPr>
    <w:tblPr>
      <w:tblStyleRowBandSize w:val="1"/>
      <w:tblStyleColBandSize w:val="1"/>
      <w:tblInd w:w="0" w:type="nil"/>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
    <w:name w:val="Grid Table 2"/>
    <w:basedOn w:val="TableNormal"/>
    <w:uiPriority w:val="47"/>
    <w:rsid w:val="00D917A2"/>
    <w:pPr>
      <w:spacing w:after="0" w:line="240" w:lineRule="auto"/>
    </w:pPr>
    <w:rPr>
      <w:rFonts w:cs="Times New Roman"/>
      <w:lang w:val="en-CA"/>
    </w:rPr>
    <w:tblPr>
      <w:tblStyleRowBandSize w:val="1"/>
      <w:tblStyleColBandSize w:val="1"/>
      <w:tblInd w:w="0" w:type="nil"/>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3">
    <w:name w:val="Grid Table 4 Accent 3"/>
    <w:basedOn w:val="TableNormal"/>
    <w:uiPriority w:val="49"/>
    <w:rsid w:val="00D917A2"/>
    <w:pPr>
      <w:spacing w:after="0" w:line="240" w:lineRule="auto"/>
    </w:pPr>
    <w:rPr>
      <w:rFonts w:ascii="Corbel" w:hAnsi="Corbel" w:cs="Times New Roman"/>
      <w:sz w:val="20"/>
      <w:szCs w:val="20"/>
      <w:lang w:val="en-G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5Dark-Accent5">
    <w:name w:val="Grid Table 5 Dark Accent 5"/>
    <w:basedOn w:val="TableNormal"/>
    <w:uiPriority w:val="50"/>
    <w:rsid w:val="00D917A2"/>
    <w:pPr>
      <w:spacing w:after="0" w:line="240" w:lineRule="auto"/>
    </w:pPr>
    <w:rPr>
      <w:rFonts w:cs="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1">
    <w:name w:val="Grid Table 5 Dark Accent 1"/>
    <w:basedOn w:val="TableNormal"/>
    <w:uiPriority w:val="50"/>
    <w:rsid w:val="00D917A2"/>
    <w:pPr>
      <w:spacing w:after="0" w:line="240" w:lineRule="auto"/>
    </w:pPr>
    <w:rPr>
      <w:rFonts w:ascii="Corbel" w:hAnsi="Corbel" w:cs="Times New Roman"/>
      <w:sz w:val="20"/>
      <w:szCs w:val="20"/>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52">
    <w:name w:val="Grid Table 5 Dark - Accent 52"/>
    <w:basedOn w:val="TableNormal"/>
    <w:next w:val="GridTable5Dark-Accent5"/>
    <w:uiPriority w:val="50"/>
    <w:rsid w:val="00D917A2"/>
    <w:pPr>
      <w:spacing w:after="0" w:line="240" w:lineRule="auto"/>
    </w:pPr>
    <w:rPr>
      <w:rFonts w:cs="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53">
    <w:name w:val="Grid Table 5 Dark - Accent 53"/>
    <w:basedOn w:val="TableNormal"/>
    <w:next w:val="GridTable5Dark-Accent5"/>
    <w:uiPriority w:val="50"/>
    <w:rsid w:val="00D917A2"/>
    <w:pPr>
      <w:spacing w:after="0" w:line="240" w:lineRule="auto"/>
    </w:pPr>
    <w:rPr>
      <w:rFonts w:cs="Times New Roman"/>
      <w:lang w:val="en-GB"/>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PlainTable2">
    <w:name w:val="Plain Table 2"/>
    <w:basedOn w:val="TableNormal"/>
    <w:uiPriority w:val="42"/>
    <w:rsid w:val="00D917A2"/>
    <w:pPr>
      <w:spacing w:after="0" w:line="240" w:lineRule="auto"/>
    </w:pPr>
    <w:rPr>
      <w:rFonts w:ascii="Corbel" w:hAnsi="Corbel" w:cs="Times New Roman"/>
      <w:sz w:val="20"/>
      <w:szCs w:val="20"/>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4">
    <w:name w:val="Plain Table 4"/>
    <w:basedOn w:val="TableNormal"/>
    <w:uiPriority w:val="44"/>
    <w:rsid w:val="00D917A2"/>
    <w:pPr>
      <w:spacing w:after="0" w:line="240" w:lineRule="auto"/>
    </w:pPr>
    <w:rPr>
      <w:rFonts w:ascii="Corbel" w:hAnsi="Corbel" w:cs="Times New Roman"/>
      <w:sz w:val="20"/>
      <w:szCs w:val="20"/>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
    <w:name w:val="Grid Table 1 Light"/>
    <w:basedOn w:val="TableNormal"/>
    <w:uiPriority w:val="46"/>
    <w:rsid w:val="00D917A2"/>
    <w:pPr>
      <w:spacing w:after="0" w:line="240" w:lineRule="auto"/>
    </w:pPr>
    <w:rPr>
      <w:rFonts w:cs="Arial"/>
      <w:lang w:val="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D917A2"/>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D917A2"/>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1">
    <w:name w:val="Grid Table 1 Light Accent 1"/>
    <w:basedOn w:val="TableNormal"/>
    <w:uiPriority w:val="46"/>
    <w:rsid w:val="00D917A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ListTable6Colorful-Accent1">
    <w:name w:val="List Table 6 Colorful Accent 1"/>
    <w:basedOn w:val="TableNormal"/>
    <w:uiPriority w:val="51"/>
    <w:rsid w:val="00D917A2"/>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1">
    <w:name w:val="Grid Table 6 Colorful Accent 1"/>
    <w:basedOn w:val="TableNormal"/>
    <w:uiPriority w:val="51"/>
    <w:rsid w:val="00D917A2"/>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5">
    <w:name w:val="List Table 2 Accent 5"/>
    <w:basedOn w:val="TableNormal"/>
    <w:uiPriority w:val="47"/>
    <w:rsid w:val="00D917A2"/>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D917A2"/>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Naslovskripte">
    <w:name w:val="Naslov skripte"/>
    <w:basedOn w:val="Normal"/>
    <w:autoRedefine/>
    <w:rsid w:val="00D917A2"/>
    <w:pPr>
      <w:spacing w:after="0" w:line="240" w:lineRule="auto"/>
    </w:pPr>
    <w:rPr>
      <w:rFonts w:eastAsia="Times New Roman" w:cstheme="minorHAnsi"/>
      <w:bCs/>
      <w:sz w:val="20"/>
      <w:szCs w:val="20"/>
      <w:lang w:val="bs-Latn-BA" w:eastAsia="en-US"/>
    </w:rPr>
  </w:style>
  <w:style w:type="table" w:customStyle="1" w:styleId="GridTable1Light-Accent31">
    <w:name w:val="Grid Table 1 Light - Accent 31"/>
    <w:basedOn w:val="TableNormal"/>
    <w:next w:val="GridTable1Light-Accent3"/>
    <w:uiPriority w:val="46"/>
    <w:rsid w:val="00D917A2"/>
    <w:pPr>
      <w:spacing w:after="0" w:line="240" w:lineRule="auto"/>
    </w:pPr>
    <w:rPr>
      <w:lang w:val="nb-NO"/>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917A2"/>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loc">
    <w:name w:val="loc"/>
    <w:basedOn w:val="Normal"/>
    <w:rsid w:val="00680DB4"/>
    <w:pPr>
      <w:spacing w:before="100" w:beforeAutospacing="1" w:after="100" w:afterAutospacing="1" w:line="240" w:lineRule="auto"/>
      <w:jc w:val="left"/>
    </w:pPr>
    <w:rPr>
      <w:rFonts w:ascii="Times New Roman" w:eastAsia="Times New Roman" w:hAnsi="Times New Roman" w:cs="Times New Roman"/>
      <w:sz w:val="24"/>
      <w:szCs w:val="24"/>
      <w:lang w:eastAsia="en-US"/>
    </w:rPr>
  </w:style>
  <w:style w:type="paragraph" w:customStyle="1" w:styleId="TableParagraph">
    <w:name w:val="Table Paragraph"/>
    <w:basedOn w:val="Normal"/>
    <w:uiPriority w:val="1"/>
    <w:qFormat/>
    <w:rsid w:val="008E0C4B"/>
    <w:pPr>
      <w:widowControl w:val="0"/>
      <w:autoSpaceDE w:val="0"/>
      <w:autoSpaceDN w:val="0"/>
      <w:spacing w:after="0" w:line="240" w:lineRule="auto"/>
      <w:jc w:val="left"/>
    </w:pPr>
    <w:rPr>
      <w:rFonts w:ascii="Georgia" w:eastAsia="Georgia" w:hAnsi="Georgia" w:cs="Georgia"/>
      <w:lang w:val="hr-HR" w:eastAsia="en-US"/>
    </w:rPr>
  </w:style>
  <w:style w:type="table" w:customStyle="1" w:styleId="57">
    <w:name w:val="57"/>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56">
    <w:name w:val="56"/>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style>
  <w:style w:type="table" w:customStyle="1" w:styleId="55">
    <w:name w:val="55"/>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54">
    <w:name w:val="54"/>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53">
    <w:name w:val="53"/>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52">
    <w:name w:val="52"/>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51">
    <w:name w:val="51"/>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tblPr>
      <w:tblStyleRowBandSize w:val="1"/>
      <w:tblStyleColBandSize w:val="1"/>
      <w:tblCellMar>
        <w:left w:w="115" w:type="dxa"/>
        <w:right w:w="115" w:type="dxa"/>
      </w:tblCellMar>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top w:w="100" w:type="dxa"/>
        <w:left w:w="100" w:type="dxa"/>
        <w:bottom w:w="100" w:type="dxa"/>
        <w:right w:w="100"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44">
    <w:name w:val="44"/>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43">
    <w:name w:val="43"/>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42">
    <w:name w:val="42"/>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41">
    <w:name w:val="41"/>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40">
    <w:name w:val="40"/>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39">
    <w:name w:val="39"/>
    <w:basedOn w:val="TableNormal"/>
    <w:tblPr>
      <w:tblStyleRowBandSize w:val="1"/>
      <w:tblStyleColBandSize w:val="1"/>
      <w:tblCellMar>
        <w:left w:w="0" w:type="dxa"/>
        <w:right w:w="0" w:type="dxa"/>
      </w:tblCellMar>
    </w:tblPr>
  </w:style>
  <w:style w:type="table" w:customStyle="1" w:styleId="38">
    <w:name w:val="38"/>
    <w:basedOn w:val="TableNormal"/>
    <w:pPr>
      <w:spacing w:after="0" w:line="240" w:lineRule="auto"/>
    </w:pPr>
    <w:rPr>
      <w:color w:val="2E75B5"/>
      <w:sz w:val="20"/>
      <w:szCs w:val="20"/>
    </w:rPr>
    <w:tblPr>
      <w:tblStyleRowBandSize w:val="1"/>
      <w:tblStyleColBandSize w:val="1"/>
      <w:tblCellMar>
        <w:left w:w="0" w:type="dxa"/>
        <w:right w:w="0" w:type="dxa"/>
      </w:tblCellMar>
    </w:tblPr>
    <w:tcPr>
      <w:shd w:val="clear" w:color="auto" w:fill="DEEAF6"/>
    </w:tcPr>
  </w:style>
  <w:style w:type="table" w:customStyle="1" w:styleId="37">
    <w:name w:val="37"/>
    <w:basedOn w:val="TableNormal"/>
    <w:pPr>
      <w:spacing w:after="0" w:line="240" w:lineRule="auto"/>
    </w:pPr>
    <w:rPr>
      <w:color w:val="2E75B5"/>
      <w:sz w:val="20"/>
      <w:szCs w:val="20"/>
    </w:rPr>
    <w:tblPr>
      <w:tblStyleRowBandSize w:val="1"/>
      <w:tblStyleColBandSize w:val="1"/>
      <w:tblCellMar>
        <w:left w:w="115" w:type="dxa"/>
        <w:right w:w="115" w:type="dxa"/>
      </w:tblCellMar>
    </w:tblPr>
    <w:tcPr>
      <w:shd w:val="clear" w:color="auto" w:fill="DEEAF6"/>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36">
    <w:name w:val="36"/>
    <w:basedOn w:val="TableNormal"/>
    <w:tblPr>
      <w:tblStyleRowBandSize w:val="1"/>
      <w:tblStyleColBandSize w:val="1"/>
      <w:tblCellMar>
        <w:left w:w="0" w:type="dxa"/>
        <w:right w:w="0" w:type="dxa"/>
      </w:tblCellMar>
    </w:tblPr>
  </w:style>
  <w:style w:type="table" w:customStyle="1" w:styleId="35">
    <w:name w:val="35"/>
    <w:basedOn w:val="TableNormal"/>
    <w:tblPr>
      <w:tblStyleRowBandSize w:val="1"/>
      <w:tblStyleColBandSize w:val="1"/>
      <w:tblCellMar>
        <w:left w:w="0" w:type="dxa"/>
        <w:right w:w="0" w:type="dxa"/>
      </w:tblCellMar>
    </w:tblPr>
  </w:style>
  <w:style w:type="table" w:customStyle="1" w:styleId="34">
    <w:name w:val="34"/>
    <w:basedOn w:val="TableNormal"/>
    <w:tblPr>
      <w:tblStyleRowBandSize w:val="1"/>
      <w:tblStyleColBandSize w:val="1"/>
      <w:tblCellMar>
        <w:left w:w="0" w:type="dxa"/>
        <w:right w:w="0" w:type="dxa"/>
      </w:tblCellMar>
    </w:tblPr>
  </w:style>
  <w:style w:type="table" w:customStyle="1" w:styleId="33">
    <w:name w:val="33"/>
    <w:basedOn w:val="TableNormal"/>
    <w:tblPr>
      <w:tblStyleRowBandSize w:val="1"/>
      <w:tblStyleColBandSize w:val="1"/>
      <w:tblCellMar>
        <w:left w:w="0" w:type="dxa"/>
        <w:right w:w="0" w:type="dxa"/>
      </w:tblCellMar>
    </w:tblPr>
  </w:style>
  <w:style w:type="table" w:customStyle="1" w:styleId="32">
    <w:name w:val="32"/>
    <w:basedOn w:val="TableNormal"/>
    <w:tblPr>
      <w:tblStyleRowBandSize w:val="1"/>
      <w:tblStyleColBandSize w:val="1"/>
      <w:tblCellMar>
        <w:left w:w="0" w:type="dxa"/>
        <w:right w:w="0" w:type="dxa"/>
      </w:tblCellMar>
    </w:tblPr>
  </w:style>
  <w:style w:type="table" w:customStyle="1" w:styleId="31">
    <w:name w:val="31"/>
    <w:basedOn w:val="TableNormal"/>
    <w:tblPr>
      <w:tblStyleRowBandSize w:val="1"/>
      <w:tblStyleColBandSize w:val="1"/>
      <w:tblCellMar>
        <w:left w:w="0" w:type="dxa"/>
        <w:right w:w="0" w:type="dxa"/>
      </w:tblCellMar>
    </w:tblPr>
  </w:style>
  <w:style w:type="table" w:customStyle="1" w:styleId="Stil1">
    <w:name w:val="Stil1"/>
    <w:basedOn w:val="TableNormal"/>
    <w:uiPriority w:val="99"/>
    <w:rsid w:val="009C1DCD"/>
    <w:pPr>
      <w:spacing w:after="0" w:line="240" w:lineRule="auto"/>
      <w:jc w:val="left"/>
    </w:pPr>
    <w:rPr>
      <w:rFonts w:cs="Times New Roman"/>
      <w:color w:val="000000"/>
      <w:lang w:eastAsia="en-US"/>
    </w:rPr>
    <w:tblPr>
      <w:tblStyleRowBandSize w:val="1"/>
      <w:tblStyleColBandSize w:val="1"/>
      <w:jc w:val="center"/>
      <w:tblBorders>
        <w:insideH w:val="single" w:sz="18" w:space="0" w:color="FFFFFF"/>
        <w:insideV w:val="single" w:sz="18" w:space="0" w:color="FFFFFF"/>
      </w:tblBorders>
    </w:tblPr>
    <w:trPr>
      <w:jc w:val="center"/>
    </w:trPr>
    <w:tcPr>
      <w:shd w:val="clear" w:color="auto" w:fill="FFFFFF"/>
    </w:tcPr>
    <w:tblStylePr w:type="firstRow">
      <w:rPr>
        <w:b/>
        <w:bCs/>
        <w:color w:val="FFFFFF" w:themeColor="background1"/>
      </w:rPr>
      <w:tblPr/>
      <w:tcPr>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l2br w:val="nil"/>
          <w:tr2bl w:val="nil"/>
        </w:tcBorders>
        <w:shd w:val="clear" w:color="auto" w:fill="006432"/>
      </w:tcPr>
    </w:tblStylePr>
    <w:tblStylePr w:type="lastRow">
      <w:rPr>
        <w:b/>
        <w:bCs/>
      </w:rPr>
      <w:tblPr/>
      <w:tcPr>
        <w:shd w:val="clear" w:color="auto" w:fill="E9E9E9"/>
      </w:tcPr>
    </w:tblStylePr>
    <w:tblStylePr w:type="firstCol">
      <w:rPr>
        <w:rFonts w:ascii="Calibri" w:hAnsi="Calibri"/>
        <w:b/>
        <w:bCs/>
      </w:rPr>
      <w:tblPr/>
      <w:tcPr>
        <w:shd w:val="clear" w:color="auto" w:fill="E9E9E9"/>
      </w:tcPr>
    </w:tblStylePr>
    <w:tblStylePr w:type="lastCol">
      <w:rPr>
        <w:b w:val="0"/>
        <w:bCs/>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Stil2">
    <w:name w:val="Stil2"/>
    <w:basedOn w:val="TableNormal"/>
    <w:uiPriority w:val="99"/>
    <w:rsid w:val="006B0CB9"/>
    <w:pPr>
      <w:spacing w:after="0" w:line="240" w:lineRule="auto"/>
      <w:jc w:val="left"/>
    </w:pPr>
    <w:rPr>
      <w:rFonts w:cs="Times New Roman"/>
      <w:color w:val="000000"/>
      <w:lang w:eastAsia="en-US"/>
    </w:rPr>
    <w:tblPr>
      <w:tblStyleRowBandSize w:val="1"/>
      <w:tblStyleColBandSize w:val="1"/>
      <w:jc w:val="center"/>
      <w:tblBorders>
        <w:insideH w:val="single" w:sz="18" w:space="0" w:color="FFFFFF"/>
        <w:insideV w:val="single" w:sz="18" w:space="0" w:color="FFFFFF"/>
      </w:tblBorders>
    </w:tblPr>
    <w:trPr>
      <w:jc w:val="center"/>
    </w:trPr>
    <w:tcPr>
      <w:shd w:val="clear" w:color="auto" w:fill="FFFFFF"/>
    </w:tcPr>
    <w:tblStylePr w:type="firstRow">
      <w:rPr>
        <w:b/>
        <w:bCs/>
        <w:color w:val="FFFFFF" w:themeColor="background1"/>
      </w:rPr>
      <w:tblPr/>
      <w:tcPr>
        <w:tcBorders>
          <w:top w:val="nil"/>
          <w:left w:val="nil"/>
          <w:bottom w:val="nil"/>
          <w:right w:val="nil"/>
          <w:insideH w:val="nil"/>
          <w:insideV w:val="nil"/>
          <w:tl2br w:val="nil"/>
          <w:tr2bl w:val="nil"/>
        </w:tcBorders>
        <w:shd w:val="clear" w:color="auto" w:fill="006432"/>
      </w:tcPr>
    </w:tblStylePr>
    <w:tblStylePr w:type="lastRow">
      <w:rPr>
        <w:b/>
        <w:bCs/>
      </w:rPr>
      <w:tblPr/>
      <w:tcPr>
        <w:shd w:val="clear" w:color="auto" w:fill="E9E9E9"/>
      </w:tcPr>
    </w:tblStylePr>
    <w:tblStylePr w:type="firstCol">
      <w:rPr>
        <w:rFonts w:ascii="Calibri" w:hAnsi="Calibri"/>
        <w:b/>
        <w:bCs/>
      </w:rPr>
      <w:tblPr/>
      <w:tcPr>
        <w:shd w:val="clear" w:color="auto" w:fill="E9E9E9"/>
      </w:tcPr>
    </w:tblStylePr>
    <w:tblStylePr w:type="lastCol">
      <w:rPr>
        <w:b w:val="0"/>
        <w:bCs/>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30">
    <w:name w:val="30"/>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29">
    <w:name w:val="29"/>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28">
    <w:name w:val="28"/>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27">
    <w:name w:val="27"/>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26">
    <w:name w:val="26"/>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25">
    <w:name w:val="25"/>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24">
    <w:name w:val="24"/>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20">
    <w:name w:val="20"/>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19">
    <w:name w:val="19"/>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18">
    <w:name w:val="18"/>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17">
    <w:name w:val="17"/>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16">
    <w:name w:val="16"/>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15">
    <w:name w:val="15"/>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14">
    <w:name w:val="14"/>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13">
    <w:name w:val="13"/>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12">
    <w:name w:val="12"/>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11">
    <w:name w:val="11"/>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10">
    <w:name w:val="10"/>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9">
    <w:name w:val="9"/>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tblStylePr w:type="firstRow">
      <w:rPr>
        <w:b/>
        <w:color w:val="FFFFFF"/>
      </w:rPr>
      <w:tblPr/>
      <w:tcPr>
        <w:tcBorders>
          <w:top w:val="nil"/>
          <w:left w:val="nil"/>
          <w:bottom w:val="nil"/>
          <w:right w:val="nil"/>
          <w:insideH w:val="nil"/>
          <w:insideV w:val="nil"/>
        </w:tcBorders>
        <w:shd w:val="clear" w:color="auto" w:fill="006432"/>
      </w:tcPr>
    </w:tblStylePr>
    <w:tblStylePr w:type="lastRow">
      <w:rPr>
        <w:b/>
      </w:rPr>
      <w:tblPr/>
      <w:tcPr>
        <w:shd w:val="clear" w:color="auto" w:fill="E9E9E9"/>
      </w:tcPr>
    </w:tblStylePr>
    <w:tblStylePr w:type="firstCol">
      <w:rPr>
        <w:rFonts w:ascii="Calibri" w:eastAsia="Calibri" w:hAnsi="Calibri" w:cs="Calibri"/>
        <w:b/>
      </w:rPr>
      <w:tblPr/>
      <w:tcPr>
        <w:shd w:val="clear" w:color="auto" w:fill="E9E9E9"/>
      </w:tcPr>
    </w:tblStylePr>
    <w:tblStylePr w:type="lastCol">
      <w:rPr>
        <w:b w:val="0"/>
      </w:rPr>
      <w:tblPr/>
      <w:tcPr>
        <w:shd w:val="clear" w:color="auto" w:fill="F2F2F2"/>
      </w:tcPr>
    </w:tblStylePr>
    <w:tblStylePr w:type="band1Vert">
      <w:tblPr/>
      <w:tcPr>
        <w:shd w:val="clear" w:color="auto" w:fill="F2F2F2"/>
      </w:tcPr>
    </w:tblStylePr>
    <w:tblStylePr w:type="band2Vert">
      <w:tblPr/>
      <w:tcPr>
        <w:shd w:val="clear" w:color="auto" w:fill="F2F2F2"/>
      </w:tcPr>
    </w:tblStylePr>
    <w:tblStylePr w:type="band1Horz">
      <w:tblPr/>
      <w:tcPr>
        <w:shd w:val="clear" w:color="auto" w:fill="F2F2F2"/>
      </w:tcPr>
    </w:tblStylePr>
    <w:tblStylePr w:type="band2Horz">
      <w:tblPr/>
      <w:tcPr>
        <w:shd w:val="clear" w:color="auto" w:fill="F2F2F2"/>
      </w:tcPr>
    </w:tblStylePr>
  </w:style>
  <w:style w:type="table" w:customStyle="1" w:styleId="8">
    <w:name w:val="8"/>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7">
    <w:name w:val="7"/>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5">
    <w:name w:val="5"/>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4">
    <w:name w:val="4"/>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3">
    <w:name w:val="3"/>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table" w:customStyle="1" w:styleId="2">
    <w:name w:val="2"/>
    <w:basedOn w:val="TableNormal"/>
    <w:pPr>
      <w:spacing w:after="0" w:line="240" w:lineRule="auto"/>
      <w:jc w:val="left"/>
    </w:pPr>
    <w:rPr>
      <w:rFonts w:ascii="Corbel" w:eastAsia="Corbel" w:hAnsi="Corbel" w:cs="Corbel"/>
      <w:color w:val="000000"/>
      <w:sz w:val="20"/>
      <w:szCs w:val="20"/>
    </w:rPr>
    <w:tblPr>
      <w:tblStyleRowBandSize w:val="1"/>
      <w:tblStyleColBandSize w:val="1"/>
      <w:tblCellMar>
        <w:left w:w="115" w:type="dxa"/>
        <w:right w:w="115" w:type="dxa"/>
      </w:tblCellMar>
    </w:tblPr>
    <w:tcPr>
      <w:shd w:val="clear" w:color="auto" w:fill="FFFFFF"/>
    </w:tcPr>
  </w:style>
  <w:style w:type="paragraph" w:customStyle="1" w:styleId="m4999456649370466611msolistparagraph">
    <w:name w:val="m_4999456649370466611msolistparagraph"/>
    <w:basedOn w:val="Normal"/>
    <w:rsid w:val="00607C8A"/>
    <w:pPr>
      <w:spacing w:before="100" w:beforeAutospacing="1" w:after="100" w:afterAutospacing="1" w:line="240" w:lineRule="auto"/>
      <w:jc w:val="left"/>
    </w:pPr>
    <w:rPr>
      <w:rFonts w:ascii="Times New Roman" w:eastAsia="Times New Roman" w:hAnsi="Times New Roman" w:cs="Times New Roman"/>
      <w:sz w:val="24"/>
      <w:szCs w:val="24"/>
      <w:lang w:val="en-GB" w:eastAsia="en-GB"/>
    </w:rPr>
  </w:style>
  <w:style w:type="table" w:customStyle="1" w:styleId="LightGrid-Accent51">
    <w:name w:val="Light Grid - Accent 51"/>
    <w:basedOn w:val="TableNormal"/>
    <w:next w:val="LightGrid-Accent5"/>
    <w:uiPriority w:val="62"/>
    <w:rsid w:val="006F579C"/>
    <w:pPr>
      <w:spacing w:after="0" w:line="240" w:lineRule="auto"/>
    </w:pPr>
    <w:rPr>
      <w:rFonts w:ascii="Times New Roman" w:eastAsia="Times New Roman" w:hAnsi="Times New Roman" w:cs="Times New Roman"/>
      <w:sz w:val="20"/>
      <w:szCs w:val="20"/>
      <w:lang w:val="en-US"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Narrow" w:eastAsia="Times New Roman" w:hAnsi="Arial Narrow"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Narrow" w:eastAsia="Times New Roman" w:hAnsi="Arial Narrow"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Narrow" w:eastAsia="Times New Roman" w:hAnsi="Arial Narrow" w:cs="Times New Roman"/>
        <w:b/>
        <w:bCs/>
      </w:rPr>
    </w:tblStylePr>
    <w:tblStylePr w:type="lastCol">
      <w:rPr>
        <w:rFonts w:ascii="Arial Narrow" w:eastAsia="Times New Roman" w:hAnsi="Arial Narrow"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0">
    <w:name w:val="TableGrid"/>
    <w:rsid w:val="00C52AEF"/>
    <w:pPr>
      <w:spacing w:after="0" w:line="240" w:lineRule="auto"/>
      <w:jc w:val="left"/>
    </w:pPr>
    <w:rPr>
      <w:rFonts w:asciiTheme="minorHAnsi" w:eastAsiaTheme="minorEastAsia" w:hAnsiTheme="minorHAnsi" w:cstheme="minorBidi"/>
    </w:rPr>
    <w:tblPr>
      <w:tblCellMar>
        <w:top w:w="0" w:type="dxa"/>
        <w:left w:w="0" w:type="dxa"/>
        <w:bottom w:w="0" w:type="dxa"/>
        <w:right w:w="0" w:type="dxa"/>
      </w:tblCellMar>
    </w:tblPr>
  </w:style>
  <w:style w:type="paragraph" w:customStyle="1" w:styleId="Kansilehtiotsikko">
    <w:name w:val="Kansilehti_otsikko"/>
    <w:uiPriority w:val="99"/>
    <w:rsid w:val="00C52AEF"/>
    <w:pPr>
      <w:suppressAutoHyphens/>
      <w:spacing w:after="360" w:line="276" w:lineRule="auto"/>
      <w:jc w:val="left"/>
    </w:pPr>
    <w:rPr>
      <w:rFonts w:ascii="Verdana" w:eastAsia="Times New Roman" w:hAnsi="Verdana" w:cs="Cambria"/>
      <w:b/>
      <w:bCs/>
      <w:color w:val="006600"/>
      <w:spacing w:val="5"/>
      <w:kern w:val="28"/>
      <w:sz w:val="36"/>
      <w:szCs w:val="52"/>
      <w:lang w:val="en-US" w:eastAsia="en-US"/>
    </w:rPr>
  </w:style>
  <w:style w:type="paragraph" w:styleId="EndnoteText">
    <w:name w:val="endnote text"/>
    <w:basedOn w:val="Normal"/>
    <w:link w:val="EndnoteTextChar"/>
    <w:uiPriority w:val="99"/>
    <w:semiHidden/>
    <w:unhideWhenUsed/>
    <w:rsid w:val="00E606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06B9"/>
    <w:rPr>
      <w:rFonts w:eastAsiaTheme="minorEastAsia"/>
      <w:sz w:val="20"/>
      <w:szCs w:val="20"/>
      <w:lang w:val="en-US" w:eastAsia="ja-JP"/>
    </w:rPr>
  </w:style>
  <w:style w:type="character" w:styleId="EndnoteReference">
    <w:name w:val="endnote reference"/>
    <w:basedOn w:val="DefaultParagraphFont"/>
    <w:uiPriority w:val="99"/>
    <w:semiHidden/>
    <w:unhideWhenUsed/>
    <w:rsid w:val="00E606B9"/>
    <w:rPr>
      <w:vertAlign w:val="superscript"/>
    </w:rPr>
  </w:style>
  <w:style w:type="paragraph" w:customStyle="1" w:styleId="Naslov1">
    <w:name w:val="Naslov 1"/>
    <w:basedOn w:val="Heading1"/>
    <w:qFormat/>
    <w:rsid w:val="00CB76CD"/>
    <w:pPr>
      <w:numPr>
        <w:numId w:val="0"/>
      </w:numPr>
      <w:spacing w:before="360" w:after="360"/>
    </w:pPr>
    <w:rPr>
      <w:b w:val="0"/>
      <w:caps w:val="0"/>
      <w:color w:val="005837"/>
      <w:szCs w:val="48"/>
      <w:lang w:val="bs-Latn-BA"/>
    </w:rPr>
  </w:style>
  <w:style w:type="paragraph" w:customStyle="1" w:styleId="Naslov2">
    <w:name w:val="Naslov 2"/>
    <w:basedOn w:val="Heading2"/>
    <w:qFormat/>
    <w:rsid w:val="00CB76CD"/>
    <w:pPr>
      <w:numPr>
        <w:ilvl w:val="0"/>
        <w:numId w:val="0"/>
      </w:numPr>
    </w:pPr>
    <w:rPr>
      <w:b w:val="0"/>
      <w:color w:val="005837"/>
      <w:szCs w:val="44"/>
    </w:rPr>
  </w:style>
  <w:style w:type="paragraph" w:customStyle="1" w:styleId="Naslov3">
    <w:name w:val="Naslov 3"/>
    <w:basedOn w:val="Heading3"/>
    <w:qFormat/>
    <w:rsid w:val="00CB76CD"/>
    <w:pPr>
      <w:numPr>
        <w:ilvl w:val="0"/>
        <w:numId w:val="0"/>
      </w:numPr>
    </w:pPr>
    <w:rPr>
      <w:rFonts w:eastAsiaTheme="minorHAnsi" w:cstheme="minorBidi"/>
      <w:b w:val="0"/>
      <w:color w:val="005837"/>
      <w:szCs w:val="32"/>
    </w:rPr>
  </w:style>
  <w:style w:type="paragraph" w:customStyle="1" w:styleId="Naslov4">
    <w:name w:val="Naslov 4"/>
    <w:basedOn w:val="1111Naslovcetvrtogreda"/>
    <w:qFormat/>
    <w:rsid w:val="00CB76CD"/>
    <w:pPr>
      <w:numPr>
        <w:numId w:val="0"/>
      </w:numPr>
    </w:pPr>
    <w:rPr>
      <w:rFonts w:ascii="Arial" w:hAnsi="Arial"/>
      <w:color w:val="005837"/>
      <w:lang w:val="bs-Latn-BA"/>
    </w:rPr>
  </w:style>
  <w:style w:type="paragraph" w:customStyle="1" w:styleId="Naslov5">
    <w:name w:val="Naslov 5"/>
    <w:basedOn w:val="11111Naslovpetogreda"/>
    <w:qFormat/>
    <w:rsid w:val="00CB76CD"/>
    <w:pPr>
      <w:numPr>
        <w:numId w:val="0"/>
      </w:numPr>
    </w:pPr>
    <w:rPr>
      <w:rFonts w:ascii="Arial" w:hAnsi="Arial"/>
      <w:i/>
      <w:color w:val="005837"/>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4343">
      <w:bodyDiv w:val="1"/>
      <w:marLeft w:val="0"/>
      <w:marRight w:val="0"/>
      <w:marTop w:val="0"/>
      <w:marBottom w:val="0"/>
      <w:divBdr>
        <w:top w:val="none" w:sz="0" w:space="0" w:color="auto"/>
        <w:left w:val="none" w:sz="0" w:space="0" w:color="auto"/>
        <w:bottom w:val="none" w:sz="0" w:space="0" w:color="auto"/>
        <w:right w:val="none" w:sz="0" w:space="0" w:color="auto"/>
      </w:divBdr>
    </w:div>
    <w:div w:id="362947557">
      <w:bodyDiv w:val="1"/>
      <w:marLeft w:val="0"/>
      <w:marRight w:val="0"/>
      <w:marTop w:val="0"/>
      <w:marBottom w:val="0"/>
      <w:divBdr>
        <w:top w:val="none" w:sz="0" w:space="0" w:color="auto"/>
        <w:left w:val="none" w:sz="0" w:space="0" w:color="auto"/>
        <w:bottom w:val="none" w:sz="0" w:space="0" w:color="auto"/>
        <w:right w:val="none" w:sz="0" w:space="0" w:color="auto"/>
      </w:divBdr>
    </w:div>
    <w:div w:id="433019569">
      <w:bodyDiv w:val="1"/>
      <w:marLeft w:val="0"/>
      <w:marRight w:val="0"/>
      <w:marTop w:val="0"/>
      <w:marBottom w:val="0"/>
      <w:divBdr>
        <w:top w:val="none" w:sz="0" w:space="0" w:color="auto"/>
        <w:left w:val="none" w:sz="0" w:space="0" w:color="auto"/>
        <w:bottom w:val="none" w:sz="0" w:space="0" w:color="auto"/>
        <w:right w:val="none" w:sz="0" w:space="0" w:color="auto"/>
      </w:divBdr>
    </w:div>
    <w:div w:id="467169340">
      <w:bodyDiv w:val="1"/>
      <w:marLeft w:val="0"/>
      <w:marRight w:val="0"/>
      <w:marTop w:val="0"/>
      <w:marBottom w:val="0"/>
      <w:divBdr>
        <w:top w:val="none" w:sz="0" w:space="0" w:color="auto"/>
        <w:left w:val="none" w:sz="0" w:space="0" w:color="auto"/>
        <w:bottom w:val="none" w:sz="0" w:space="0" w:color="auto"/>
        <w:right w:val="none" w:sz="0" w:space="0" w:color="auto"/>
      </w:divBdr>
    </w:div>
    <w:div w:id="601298928">
      <w:bodyDiv w:val="1"/>
      <w:marLeft w:val="0"/>
      <w:marRight w:val="0"/>
      <w:marTop w:val="0"/>
      <w:marBottom w:val="0"/>
      <w:divBdr>
        <w:top w:val="none" w:sz="0" w:space="0" w:color="auto"/>
        <w:left w:val="none" w:sz="0" w:space="0" w:color="auto"/>
        <w:bottom w:val="none" w:sz="0" w:space="0" w:color="auto"/>
        <w:right w:val="none" w:sz="0" w:space="0" w:color="auto"/>
      </w:divBdr>
    </w:div>
    <w:div w:id="650207764">
      <w:bodyDiv w:val="1"/>
      <w:marLeft w:val="0"/>
      <w:marRight w:val="0"/>
      <w:marTop w:val="0"/>
      <w:marBottom w:val="0"/>
      <w:divBdr>
        <w:top w:val="none" w:sz="0" w:space="0" w:color="auto"/>
        <w:left w:val="none" w:sz="0" w:space="0" w:color="auto"/>
        <w:bottom w:val="none" w:sz="0" w:space="0" w:color="auto"/>
        <w:right w:val="none" w:sz="0" w:space="0" w:color="auto"/>
      </w:divBdr>
    </w:div>
    <w:div w:id="870142841">
      <w:bodyDiv w:val="1"/>
      <w:marLeft w:val="0"/>
      <w:marRight w:val="0"/>
      <w:marTop w:val="0"/>
      <w:marBottom w:val="0"/>
      <w:divBdr>
        <w:top w:val="none" w:sz="0" w:space="0" w:color="auto"/>
        <w:left w:val="none" w:sz="0" w:space="0" w:color="auto"/>
        <w:bottom w:val="none" w:sz="0" w:space="0" w:color="auto"/>
        <w:right w:val="none" w:sz="0" w:space="0" w:color="auto"/>
      </w:divBdr>
    </w:div>
    <w:div w:id="1053431476">
      <w:bodyDiv w:val="1"/>
      <w:marLeft w:val="0"/>
      <w:marRight w:val="0"/>
      <w:marTop w:val="0"/>
      <w:marBottom w:val="0"/>
      <w:divBdr>
        <w:top w:val="none" w:sz="0" w:space="0" w:color="auto"/>
        <w:left w:val="none" w:sz="0" w:space="0" w:color="auto"/>
        <w:bottom w:val="none" w:sz="0" w:space="0" w:color="auto"/>
        <w:right w:val="none" w:sz="0" w:space="0" w:color="auto"/>
      </w:divBdr>
    </w:div>
    <w:div w:id="1253277603">
      <w:bodyDiv w:val="1"/>
      <w:marLeft w:val="0"/>
      <w:marRight w:val="0"/>
      <w:marTop w:val="0"/>
      <w:marBottom w:val="0"/>
      <w:divBdr>
        <w:top w:val="none" w:sz="0" w:space="0" w:color="auto"/>
        <w:left w:val="none" w:sz="0" w:space="0" w:color="auto"/>
        <w:bottom w:val="none" w:sz="0" w:space="0" w:color="auto"/>
        <w:right w:val="none" w:sz="0" w:space="0" w:color="auto"/>
      </w:divBdr>
    </w:div>
    <w:div w:id="1580746454">
      <w:bodyDiv w:val="1"/>
      <w:marLeft w:val="0"/>
      <w:marRight w:val="0"/>
      <w:marTop w:val="0"/>
      <w:marBottom w:val="0"/>
      <w:divBdr>
        <w:top w:val="none" w:sz="0" w:space="0" w:color="auto"/>
        <w:left w:val="none" w:sz="0" w:space="0" w:color="auto"/>
        <w:bottom w:val="none" w:sz="0" w:space="0" w:color="auto"/>
        <w:right w:val="none" w:sz="0" w:space="0" w:color="auto"/>
      </w:divBdr>
    </w:div>
    <w:div w:id="1675063684">
      <w:bodyDiv w:val="1"/>
      <w:marLeft w:val="0"/>
      <w:marRight w:val="0"/>
      <w:marTop w:val="0"/>
      <w:marBottom w:val="0"/>
      <w:divBdr>
        <w:top w:val="none" w:sz="0" w:space="0" w:color="auto"/>
        <w:left w:val="none" w:sz="0" w:space="0" w:color="auto"/>
        <w:bottom w:val="none" w:sz="0" w:space="0" w:color="auto"/>
        <w:right w:val="none" w:sz="0" w:space="0" w:color="auto"/>
      </w:divBdr>
    </w:div>
    <w:div w:id="1989433782">
      <w:bodyDiv w:val="1"/>
      <w:marLeft w:val="0"/>
      <w:marRight w:val="0"/>
      <w:marTop w:val="0"/>
      <w:marBottom w:val="0"/>
      <w:divBdr>
        <w:top w:val="none" w:sz="0" w:space="0" w:color="auto"/>
        <w:left w:val="none" w:sz="0" w:space="0" w:color="auto"/>
        <w:bottom w:val="none" w:sz="0" w:space="0" w:color="auto"/>
        <w:right w:val="none" w:sz="0" w:space="0" w:color="auto"/>
      </w:divBdr>
    </w:div>
    <w:div w:id="2026710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usaideia.ba/en/" TargetMode="External"/><Relationship Id="rId26" Type="http://schemas.openxmlformats.org/officeDocument/2006/relationships/chart" Target="charts/chart5.xml"/><Relationship Id="rId39" Type="http://schemas.openxmlformats.org/officeDocument/2006/relationships/chart" Target="charts/chart17.xml"/><Relationship Id="rId21" Type="http://schemas.openxmlformats.org/officeDocument/2006/relationships/chart" Target="charts/chart2.xml"/><Relationship Id="rId34" Type="http://schemas.openxmlformats.org/officeDocument/2006/relationships/chart" Target="charts/chart12.xml"/><Relationship Id="rId42" Type="http://schemas.openxmlformats.org/officeDocument/2006/relationships/chart" Target="charts/chart20.xml"/><Relationship Id="rId47" Type="http://schemas.openxmlformats.org/officeDocument/2006/relationships/chart" Target="charts/chart25.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file:///R:\02%20Energija\P-2922%20GIZ_FBIH%20building%20renovation%20strategy%20upgrade\5-finalni-dok\Final%20SOZ_24.04.2023\SOZFBiH%20draft_07_02_2023_rev%2027.04.2023_hbz.docx" TargetMode="External"/><Relationship Id="rId29" Type="http://schemas.openxmlformats.org/officeDocument/2006/relationships/chart" Target="charts/chart8.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header" Target="header2.xml"/><Relationship Id="rId37" Type="http://schemas.openxmlformats.org/officeDocument/2006/relationships/chart" Target="charts/chart15.xml"/><Relationship Id="rId40" Type="http://schemas.openxmlformats.org/officeDocument/2006/relationships/chart" Target="charts/chart18.xml"/><Relationship Id="rId45" Type="http://schemas.openxmlformats.org/officeDocument/2006/relationships/chart" Target="charts/chart23.xml"/><Relationship Id="rId5" Type="http://schemas.openxmlformats.org/officeDocument/2006/relationships/settings" Target="settings.xml"/><Relationship Id="rId15" Type="http://schemas.openxmlformats.org/officeDocument/2006/relationships/hyperlink" Target="file:///R:\02%20Energija\P-2922%20GIZ_FBIH%20building%20renovation%20strategy%20upgrade\5-finalni-dok\Final%20SOZ_24.04.2023\SOZFBiH%20draft_07_02_2023_rev%2027.04.2023_hbz.docx" TargetMode="External"/><Relationship Id="rId23" Type="http://schemas.openxmlformats.org/officeDocument/2006/relationships/chart" Target="charts/chart4.xml"/><Relationship Id="rId28" Type="http://schemas.openxmlformats.org/officeDocument/2006/relationships/chart" Target="charts/chart7.xml"/><Relationship Id="rId36" Type="http://schemas.openxmlformats.org/officeDocument/2006/relationships/chart" Target="charts/chart14.xml"/><Relationship Id="rId49"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s://www.kfw-entwicklungsbank.de/International-financing/KfW-Development-Bank/" TargetMode="External"/><Relationship Id="rId31" Type="http://schemas.openxmlformats.org/officeDocument/2006/relationships/chart" Target="charts/chart10.xml"/><Relationship Id="rId44" Type="http://schemas.openxmlformats.org/officeDocument/2006/relationships/chart" Target="charts/chart22.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ceteor.ba" TargetMode="External"/><Relationship Id="rId22" Type="http://schemas.openxmlformats.org/officeDocument/2006/relationships/chart" Target="charts/chart3.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3.xml"/><Relationship Id="rId43" Type="http://schemas.openxmlformats.org/officeDocument/2006/relationships/chart" Target="charts/chart21.xml"/><Relationship Id="rId48" Type="http://schemas.openxmlformats.org/officeDocument/2006/relationships/chart" Target="charts/chart26.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image" Target="media/image4.gif"/><Relationship Id="rId17" Type="http://schemas.openxmlformats.org/officeDocument/2006/relationships/hyperlink" Target="file:///R:\02%20Energija\P-2922%20GIZ_FBIH%20building%20renovation%20strategy%20upgrade\5-finalni-dok\Final%20SOZ_24.04.2023\SOZFBiH%20draft_07_02_2023_rev%2027.04.2023_hbz.docx" TargetMode="External"/><Relationship Id="rId25" Type="http://schemas.openxmlformats.org/officeDocument/2006/relationships/footer" Target="footer1.xml"/><Relationship Id="rId33" Type="http://schemas.openxmlformats.org/officeDocument/2006/relationships/chart" Target="charts/chart11.xml"/><Relationship Id="rId38" Type="http://schemas.openxmlformats.org/officeDocument/2006/relationships/chart" Target="charts/chart16.xml"/><Relationship Id="rId46" Type="http://schemas.openxmlformats.org/officeDocument/2006/relationships/chart" Target="charts/chart24.xml"/><Relationship Id="rId20" Type="http://schemas.openxmlformats.org/officeDocument/2006/relationships/chart" Target="charts/chart1.xml"/><Relationship Id="rId41"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3" Type="http://schemas.openxmlformats.org/officeDocument/2006/relationships/hyperlink" Target="http://www.unfccc.ba/site/publikacije/spkp.pdf" TargetMode="External"/><Relationship Id="rId18" Type="http://schemas.openxmlformats.org/officeDocument/2006/relationships/hyperlink" Target="https://eur-lex.europa.eu/legal-content/HR/TXT/?uri=CELEX%3A32010L0031" TargetMode="External"/><Relationship Id="rId26" Type="http://schemas.openxmlformats.org/officeDocument/2006/relationships/hyperlink" Target="https://fmpu.gov.ba/legislativa/zakoni/" TargetMode="External"/><Relationship Id="rId39" Type="http://schemas.openxmlformats.org/officeDocument/2006/relationships/hyperlink" Target="https://www.undp.org/bosnia-herzegovina/projects/ged-project" TargetMode="External"/><Relationship Id="rId21" Type="http://schemas.openxmlformats.org/officeDocument/2006/relationships/hyperlink" Target="https://ec.europa.eu/clima/policies/strategies/2030_en" TargetMode="External"/><Relationship Id="rId34" Type="http://schemas.openxmlformats.org/officeDocument/2006/relationships/hyperlink" Target="https://neighbourhood-enlargement.ec.europa.eu/system/files/2020-10/green_agenda_for_the_western_balkans_en.pdf" TargetMode="External"/><Relationship Id="rId42" Type="http://schemas.openxmlformats.org/officeDocument/2006/relationships/hyperlink" Target="https://fmpu.gov.ba/projekti/beep/" TargetMode="External"/><Relationship Id="rId47" Type="http://schemas.openxmlformats.org/officeDocument/2006/relationships/hyperlink" Target="http://ebrdgeff.com/" TargetMode="External"/><Relationship Id="rId50" Type="http://schemas.openxmlformats.org/officeDocument/2006/relationships/hyperlink" Target="https://ebrdgeff.com/ba/" TargetMode="External"/><Relationship Id="rId55" Type="http://schemas.openxmlformats.org/officeDocument/2006/relationships/hyperlink" Target="https://globalabc.org/sites/default/files/inline-files/2020%20Buildings%20GSR_FULL%20REPORT.pdf?rel=outbound" TargetMode="External"/><Relationship Id="rId7" Type="http://schemas.openxmlformats.org/officeDocument/2006/relationships/hyperlink" Target="https://fmpu.gov.ba/projekti/beep/" TargetMode="External"/><Relationship Id="rId2" Type="http://schemas.openxmlformats.org/officeDocument/2006/relationships/hyperlink" Target="https://eur-lex.europa.eu/legal-content/EN/TXT/?uri=CELEX%3A52020SC0223" TargetMode="External"/><Relationship Id="rId16" Type="http://schemas.openxmlformats.org/officeDocument/2006/relationships/hyperlink" Target="https://zamisli2030.ba/wp-content/uploads/2019/12/Okvir-za-realizaciju-Ciljeva-odrzivog-razvoja-u-BiH-latinica.pdf" TargetMode="External"/><Relationship Id="rId29" Type="http://schemas.openxmlformats.org/officeDocument/2006/relationships/hyperlink" Target="https://fmeri.gov.ba/media/1819/okvirna_energetska_strategija_bosne_i_hercegovine_do_2035_bih_finalna.pdf" TargetMode="External"/><Relationship Id="rId11" Type="http://schemas.openxmlformats.org/officeDocument/2006/relationships/hyperlink" Target="https://neighbourhood-enlargement.ec.europa.eu/system/files/2020-10/green_agenda_for_the_western_balkans_en.pdf" TargetMode="External"/><Relationship Id="rId24" Type="http://schemas.openxmlformats.org/officeDocument/2006/relationships/hyperlink" Target="https://eur-lex.europa.eu/legal-content/HR/TXT/?uri=CELEX%3A32010L0031" TargetMode="External"/><Relationship Id="rId32" Type="http://schemas.openxmlformats.org/officeDocument/2006/relationships/hyperlink" Target="https://www.fzzpr.gov.ba/files/Strategije/Strategija%20razvoja%20FBiH%202021.-2027..pdf" TargetMode="External"/><Relationship Id="rId37" Type="http://schemas.openxmlformats.org/officeDocument/2006/relationships/hyperlink" Target="http://ppipo.bdbih.gov.ba/data/dokumenti/pdf/NDC_BiH_Mapa_puta_i_akcijski_plan_Nacrt-april_2020.pdf" TargetMode="External"/><Relationship Id="rId40" Type="http://schemas.openxmlformats.org/officeDocument/2006/relationships/hyperlink" Target="https://www.undp.org/bosnia-herzegovina/projects/scaling-investment-low-carbon-public-buildings" TargetMode="External"/><Relationship Id="rId45" Type="http://schemas.openxmlformats.org/officeDocument/2006/relationships/hyperlink" Target="http://www.centar.ba/novost/16144/zajednicki-projekt-bbi-banke-i-opcine-centar-na-smanjenju-zagadenosti-u-sarajevu" TargetMode="External"/><Relationship Id="rId53" Type="http://schemas.openxmlformats.org/officeDocument/2006/relationships/hyperlink" Target="https://fmeri.gov.ba/media/1988/operativni-plan-ee-fbihdocx.pdf" TargetMode="External"/><Relationship Id="rId5" Type="http://schemas.openxmlformats.org/officeDocument/2006/relationships/hyperlink" Target="https://fmpu.gov.ba/projekti/beep/" TargetMode="External"/><Relationship Id="rId10" Type="http://schemas.openxmlformats.org/officeDocument/2006/relationships/hyperlink" Target="https://zamisli2030.ba/bs/okvir-ciljeva-odrzivog-razvoja-u-bih/" TargetMode="External"/><Relationship Id="rId19" Type="http://schemas.openxmlformats.org/officeDocument/2006/relationships/hyperlink" Target="https://www.energy-community.org/legal/acquis/LFs.html" TargetMode="External"/><Relationship Id="rId31" Type="http://schemas.openxmlformats.org/officeDocument/2006/relationships/hyperlink" Target="https://fmeri.gov.ba/media/1988/operativni-plan-ee-fbihdocx.pdf" TargetMode="External"/><Relationship Id="rId44" Type="http://schemas.openxmlformats.org/officeDocument/2006/relationships/hyperlink" Target="https://fmpu.gov.ba/projekti/kfw/" TargetMode="External"/><Relationship Id="rId52" Type="http://schemas.openxmlformats.org/officeDocument/2006/relationships/hyperlink" Target="http://www.mvteo.gov.ba/attachments/bs_Home/Ostale_stranice/Energetika/Ostali_dokumenti/12052022%20Okvir_za_finansiranje_projekata_i_mjera_EE_za_ulaganja_u_javne_zgrade_institucija_BIH.pdf" TargetMode="External"/><Relationship Id="rId4" Type="http://schemas.openxmlformats.org/officeDocument/2006/relationships/hyperlink" Target="https://fmeri.gov.ba/media/1988/operativni-plan-ee-fbihdocx.pdf" TargetMode="External"/><Relationship Id="rId9" Type="http://schemas.openxmlformats.org/officeDocument/2006/relationships/hyperlink" Target="https://www.fzzpr.gov.ba/files/Strategije/Strategija%20razvoja%20FBiH%202021.-2027..pdf" TargetMode="External"/><Relationship Id="rId14" Type="http://schemas.openxmlformats.org/officeDocument/2006/relationships/hyperlink" Target="http://www.unfccc.ba/site/upload/PDF_dokumenti/NDC%20BiH_novembar%202020.pdf" TargetMode="External"/><Relationship Id="rId22" Type="http://schemas.openxmlformats.org/officeDocument/2006/relationships/hyperlink" Target="https://eur-lex.europa.eu/legal-content/EN/TXT/?qid=1588580774040&amp;uri=CELEX:52019DC0640" TargetMode="External"/><Relationship Id="rId27" Type="http://schemas.openxmlformats.org/officeDocument/2006/relationships/hyperlink" Target="https://iseefbih.ba/" TargetMode="External"/><Relationship Id="rId30" Type="http://schemas.openxmlformats.org/officeDocument/2006/relationships/hyperlink" Target="https://fmeri.gov.ba/media/1983/eeapf-bih-2019_2021.pdf" TargetMode="External"/><Relationship Id="rId35" Type="http://schemas.openxmlformats.org/officeDocument/2006/relationships/hyperlink" Target="http://www.unfccc.ba/site/publikacije/spkp.pdf" TargetMode="External"/><Relationship Id="rId43" Type="http://schemas.openxmlformats.org/officeDocument/2006/relationships/hyperlink" Target="https://www.unionbank.ba/revolving-fond-fonda-za-zastitu-okolisa-federacije-bosne-i-hercegovine" TargetMode="External"/><Relationship Id="rId48" Type="http://schemas.openxmlformats.org/officeDocument/2006/relationships/hyperlink" Target="https://balkangreenenergynews.com/kfw-signs-eur-18-5-million-financing-agreement-with-raiffeisen-to-fund-energy-efficiency-projects/" TargetMode="External"/><Relationship Id="rId8" Type="http://schemas.openxmlformats.org/officeDocument/2006/relationships/hyperlink" Target="https://fmeri.gov.ba/media/1359/okvirna_energetska_strategija_fbih_radna_verzija.pdf" TargetMode="External"/><Relationship Id="rId51" Type="http://schemas.openxmlformats.org/officeDocument/2006/relationships/hyperlink" Target="https://raiffeisenbank.ba/vijesti/povrat-novca-do-20-od-iznosa-raiffeisen-kredita-za-energetsku-efikasnost" TargetMode="External"/><Relationship Id="rId3" Type="http://schemas.openxmlformats.org/officeDocument/2006/relationships/hyperlink" Target="https://globalabc.org/sites/default/files/inline-files/2020%20Buildings%20GSR_FULL%20REPORT.pdf?rel=outbound" TargetMode="External"/><Relationship Id="rId12" Type="http://schemas.openxmlformats.org/officeDocument/2006/relationships/hyperlink" Target="https://www.rcc.int/docs/543/common-regional-market-action-plan" TargetMode="External"/><Relationship Id="rId17" Type="http://schemas.openxmlformats.org/officeDocument/2006/relationships/hyperlink" Target="https://eur-lex.europa.eu/legal-content/EN/TXT/?uri=CELEX%3A52020SC0223" TargetMode="External"/><Relationship Id="rId25" Type="http://schemas.openxmlformats.org/officeDocument/2006/relationships/hyperlink" Target="https://www.energy-community.org/legal/acquis/LFs.html" TargetMode="External"/><Relationship Id="rId33" Type="http://schemas.openxmlformats.org/officeDocument/2006/relationships/hyperlink" Target="https://zamisli2030.ba/bs/okvir-ciljeva-odrzivog-razvoja-u-bih/" TargetMode="External"/><Relationship Id="rId38" Type="http://schemas.openxmlformats.org/officeDocument/2006/relationships/hyperlink" Target="https://www.fmoit.gov.ba/upload/file/2020/Eday/Federalna%20strategija%20za%C5%A1tite%20okoli%C5%A1a%202022-2032..pdf" TargetMode="External"/><Relationship Id="rId46" Type="http://schemas.openxmlformats.org/officeDocument/2006/relationships/hyperlink" Target="https://serda.ba/bs/projekti/model-poboljsanja-energetske-efikasnosti-u-zgradarstvu-na-podrucju-kantona-sarajevo/20" TargetMode="External"/><Relationship Id="rId20" Type="http://schemas.openxmlformats.org/officeDocument/2006/relationships/hyperlink" Target="https://zamisli2030.ba/wp-content/uploads/2019/12/Okvir-za-realizaciju-Ciljeva-odrzivog-razvoja-u-BiH-latinica.pdf" TargetMode="External"/><Relationship Id="rId41" Type="http://schemas.openxmlformats.org/officeDocument/2006/relationships/hyperlink" Target="https://www.undp.org/bs/bosnia-herzegovina/news/%C5%A1vedska-osigurala-14-miliona-km-za-pove%C4%87anje-energijske-efikasnosti-u-javnom-i-stambenom-sektoru-u-bosni-i-hercegovini" TargetMode="External"/><Relationship Id="rId54" Type="http://schemas.openxmlformats.org/officeDocument/2006/relationships/hyperlink" Target="https://ebrdgeff.com/ba/" TargetMode="External"/><Relationship Id="rId1" Type="http://schemas.openxmlformats.org/officeDocument/2006/relationships/hyperlink" Target="https://zamisli2030.ba/wp-content/uploads/2019/12/Okvir-za-realizaciju-Ciljeva-odrzivog-razvoja-u-BiH-latinica.pdf" TargetMode="External"/><Relationship Id="rId6" Type="http://schemas.openxmlformats.org/officeDocument/2006/relationships/hyperlink" Target="https://fmeri.gov.ba/media/1988/operativni-plan-ee-fbihdocx.pdf" TargetMode="External"/><Relationship Id="rId15" Type="http://schemas.openxmlformats.org/officeDocument/2006/relationships/hyperlink" Target="https://www.fmoit.gov.ba/upload/file/2020/Eday/Federalna%20strategija%20za%C5%A1tite%20okoli%C5%A1a%202022-2032..pdf" TargetMode="External"/><Relationship Id="rId23" Type="http://schemas.openxmlformats.org/officeDocument/2006/relationships/hyperlink" Target="https://eur-lex.europa.eu/legal-content/EN/TXT/?uri=CELEX%3A52020SC0223" TargetMode="External"/><Relationship Id="rId28" Type="http://schemas.openxmlformats.org/officeDocument/2006/relationships/hyperlink" Target="http://www.energy-community.org" TargetMode="External"/><Relationship Id="rId36" Type="http://schemas.openxmlformats.org/officeDocument/2006/relationships/hyperlink" Target="http://www.unfccc.ba/site/upload/PDF_dokumenti/NDC%20BiH_novembar%202020.pdf" TargetMode="External"/><Relationship Id="rId49" Type="http://schemas.openxmlformats.org/officeDocument/2006/relationships/hyperlink" Target="http://www.ggf.lu/portfoli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2020\Strategija_obnove_zgrada_FBiH\Copy%20of%20Dijagrami.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E:\2020\Strategija_obnove_zgrada_FBiH\Revizija_Mart_2023\KONACNI_BILANSI\Bilansi_sanacije_24_01_JAVNI_LINEAR_POVEC_Operativni.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2020\Strategija_obnove_zgrada_FBiH\Copy%20of%20Dijagrami.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E:\2020\Strategija_obnove_zgrada_FBiH\Copy%20of%20Dijagrami.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E:\2020\Strategija_obnove_zgrada_FBiH\Copy%20of%20Dijagrami_JAVNI_2020_bazna_V1.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E:\2020\Strategija_obnove_zgrada_FBiH\Copy%20of%20Dijagrami_JAVNI_2020_bazna_V1.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E:\2020\Strategija_obnove_zgrada_FBiH\Kantoni.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E:\2020\Strategija_obnove_zgrada_FBiH\Dijagrami_JAVNI_2020_bazna.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E:\2020\Strategija_obnove_zgrada_FBiH\Kantoni.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E:\2020\Strategija_obnove_zgrada_FBiH\Dijagrami.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E:\2020\Strategija_obnove_zgrada_FBiH\Dijagrami.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E:\2020\Strategija_obnove_zgrada_FBiH\Copy%20of%20Dijagrami.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E:\2020\Strategija_obnove_zgrada_FBiH\Dijagrami.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E:\2020\Strategija_obnove_zgrada_FBiH\Copy%20of%20Dijagrami_JAVNI_2020_bazna_V1.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E:\2020\Strategija_obnove_zgrada_FBiH\Copy%20of%20Dijagrami_JAVNI_2020_bazna_V1.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E:\2020\Strategija_obnove_zgrada_FBiH\Decembar_2022\KONACNI_BILANSI\Bilansi_sanacije_24_01_REZIDENCIJALNI.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E:\2020\Strategija_obnove_zgrada_FBiH\Revizija_Mart_2023\KONACNI_BILANSI\Bilansi_sanacije_24_01_JAVNI_LINEAR_POVEC_Operativni.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E:\2020\Strategija_obnove_zgrada_FBiH\Decembar_2022\Cijene%20BiH_EU_Dzana_Sandra_Nijaz_2.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E:\2020\Strategija_obnove_zgrada_FBiH\Decembar_2022\Cijene%20BiH_EU_Dzana_Sandra_Nijaz_2.xlsx" TargetMode="External"/><Relationship Id="rId2" Type="http://schemas.microsoft.com/office/2011/relationships/chartColorStyle" Target="colors26.xml"/><Relationship Id="rId1" Type="http://schemas.microsoft.com/office/2011/relationships/chartStyle" Target="style26.xml"/></Relationships>
</file>

<file path=word/charts/_rels/chart3.xml.rels><?xml version="1.0" encoding="UTF-8" standalone="yes"?>
<Relationships xmlns="http://schemas.openxmlformats.org/package/2006/relationships"><Relationship Id="rId3" Type="http://schemas.openxmlformats.org/officeDocument/2006/relationships/oleObject" Target="file:///E:\2020\Strategija_obnove_zgrada_FBiH\Copy%20of%20Dijagrami_JAVNI_2020_bazna_V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2020\Strategija_obnove_zgrada_FBiH\Copy%20of%20Dijagrami_JAVNI_2020_bazna_V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E:\2020\Strategija_obnove_zgrada_FBiH\Decembar_2022\KONACNI_BILANSI\Proracun_ustede_NOV_21_RAD_AMAR.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E:\2020\Strategija_obnove_zgrada_FBiH\Decembar_2022\KONACNI_BILANSI\Proracun_ustede_NOV_21_RAD_AMAR.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E:\2020\Strategija_obnove_zgrada_FBiH\Revizija_Mart_2023\KONACNI_BILANSI\Bilansi_sanacije_24_01_REZIDENCIJALNI.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E:\2020\Strategija_obnove_zgrada_FBiH\Decembar_2022\KONACNI_BILANSI\Bilansi_sanacije_24_01_REZIDENCIJALNI.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E:\2020\Strategija_obnove_zgrada_FBiH\Revizija_Mart_2023\KONACNI_BILANSI\Bilansi_sanacije_24_01_JAVNI_LINEAR_POVEC_Operativni.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3962866225542"/>
          <c:y val="3.0263606023934683E-2"/>
          <c:w val="0.79789235086485855"/>
          <c:h val="0.7847673667713202"/>
        </c:manualLayout>
      </c:layout>
      <c:lineChart>
        <c:grouping val="standard"/>
        <c:varyColors val="0"/>
        <c:ser>
          <c:idx val="4"/>
          <c:order val="0"/>
          <c:tx>
            <c:v>Korisna grijana površina, linearni model 1</c:v>
          </c:tx>
          <c:spPr>
            <a:ln w="22225" cap="rnd">
              <a:solidFill>
                <a:srgbClr val="00643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7289-4C8B-8AF9-A6BFF0B583EA}"/>
                </c:ext>
              </c:extLst>
            </c:dLbl>
            <c:dLbl>
              <c:idx val="1"/>
              <c:delete val="1"/>
              <c:extLst>
                <c:ext xmlns:c15="http://schemas.microsoft.com/office/drawing/2012/chart" uri="{CE6537A1-D6FC-4f65-9D91-7224C49458BB}"/>
                <c:ext xmlns:c16="http://schemas.microsoft.com/office/drawing/2014/chart" uri="{C3380CC4-5D6E-409C-BE32-E72D297353CC}">
                  <c16:uniqueId val="{00000001-7289-4C8B-8AF9-A6BFF0B583EA}"/>
                </c:ext>
              </c:extLst>
            </c:dLbl>
            <c:dLbl>
              <c:idx val="2"/>
              <c:delete val="1"/>
              <c:extLst>
                <c:ext xmlns:c15="http://schemas.microsoft.com/office/drawing/2012/chart" uri="{CE6537A1-D6FC-4f65-9D91-7224C49458BB}"/>
                <c:ext xmlns:c16="http://schemas.microsoft.com/office/drawing/2014/chart" uri="{C3380CC4-5D6E-409C-BE32-E72D297353CC}">
                  <c16:uniqueId val="{00000002-7289-4C8B-8AF9-A6BFF0B583EA}"/>
                </c:ext>
              </c:extLst>
            </c:dLbl>
            <c:dLbl>
              <c:idx val="3"/>
              <c:delete val="1"/>
              <c:extLst>
                <c:ext xmlns:c15="http://schemas.microsoft.com/office/drawing/2012/chart" uri="{CE6537A1-D6FC-4f65-9D91-7224C49458BB}"/>
                <c:ext xmlns:c16="http://schemas.microsoft.com/office/drawing/2014/chart" uri="{C3380CC4-5D6E-409C-BE32-E72D297353CC}">
                  <c16:uniqueId val="{00000003-7289-4C8B-8AF9-A6BFF0B583EA}"/>
                </c:ext>
              </c:extLst>
            </c:dLbl>
            <c:dLbl>
              <c:idx val="4"/>
              <c:delete val="1"/>
              <c:extLst>
                <c:ext xmlns:c15="http://schemas.microsoft.com/office/drawing/2012/chart" uri="{CE6537A1-D6FC-4f65-9D91-7224C49458BB}"/>
                <c:ext xmlns:c16="http://schemas.microsoft.com/office/drawing/2014/chart" uri="{C3380CC4-5D6E-409C-BE32-E72D297353CC}">
                  <c16:uniqueId val="{00000004-7289-4C8B-8AF9-A6BFF0B583EA}"/>
                </c:ext>
              </c:extLst>
            </c:dLbl>
            <c:dLbl>
              <c:idx val="5"/>
              <c:delete val="1"/>
              <c:extLst>
                <c:ext xmlns:c15="http://schemas.microsoft.com/office/drawing/2012/chart" uri="{CE6537A1-D6FC-4f65-9D91-7224C49458BB}"/>
                <c:ext xmlns:c16="http://schemas.microsoft.com/office/drawing/2014/chart" uri="{C3380CC4-5D6E-409C-BE32-E72D297353CC}">
                  <c16:uniqueId val="{00000005-7289-4C8B-8AF9-A6BFF0B583EA}"/>
                </c:ext>
              </c:extLst>
            </c:dLbl>
            <c:dLbl>
              <c:idx val="6"/>
              <c:delete val="1"/>
              <c:extLst>
                <c:ext xmlns:c15="http://schemas.microsoft.com/office/drawing/2012/chart" uri="{CE6537A1-D6FC-4f65-9D91-7224C49458BB}"/>
                <c:ext xmlns:c16="http://schemas.microsoft.com/office/drawing/2014/chart" uri="{C3380CC4-5D6E-409C-BE32-E72D297353CC}">
                  <c16:uniqueId val="{00000006-7289-4C8B-8AF9-A6BFF0B583EA}"/>
                </c:ext>
              </c:extLst>
            </c:dLbl>
            <c:dLbl>
              <c:idx val="7"/>
              <c:layout>
                <c:manualLayout>
                  <c:x val="-2.3203946059412697E-3"/>
                  <c:y val="4.7698509365245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289-4C8B-8AF9-A6BFF0B583E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Stambeni_brojevi_porast_2021!$Z$7:$Z$14</c:f>
              <c:strCache>
                <c:ptCount val="8"/>
                <c:pt idx="0">
                  <c:v>do 1945.</c:v>
                </c:pt>
                <c:pt idx="1">
                  <c:v>1946.-1960.</c:v>
                </c:pt>
                <c:pt idx="2">
                  <c:v>1961.-1970.</c:v>
                </c:pt>
                <c:pt idx="3">
                  <c:v>1971.-1980.</c:v>
                </c:pt>
                <c:pt idx="4">
                  <c:v>1981.-1991</c:v>
                </c:pt>
                <c:pt idx="5">
                  <c:v>1992-2002.</c:v>
                </c:pt>
                <c:pt idx="6">
                  <c:v>2003.-2013.</c:v>
                </c:pt>
                <c:pt idx="7">
                  <c:v>2014.-2020.</c:v>
                </c:pt>
              </c:strCache>
            </c:strRef>
          </c:cat>
          <c:val>
            <c:numRef>
              <c:f>'Stambeni_korisn površina_Porast'!$BH$7:$BH$14</c:f>
              <c:numCache>
                <c:formatCode>#,##0</c:formatCode>
                <c:ptCount val="8"/>
                <c:pt idx="0">
                  <c:v>421.49226715809101</c:v>
                </c:pt>
                <c:pt idx="1">
                  <c:v>1877.8055069631091</c:v>
                </c:pt>
                <c:pt idx="2">
                  <c:v>7654.813949246537</c:v>
                </c:pt>
                <c:pt idx="3">
                  <c:v>19997.870026837161</c:v>
                </c:pt>
                <c:pt idx="4">
                  <c:v>32044.934193905596</c:v>
                </c:pt>
                <c:pt idx="5">
                  <c:v>38225.685093905595</c:v>
                </c:pt>
                <c:pt idx="6">
                  <c:v>45779.936193905596</c:v>
                </c:pt>
                <c:pt idx="7">
                  <c:v>50477.074925184708</c:v>
                </c:pt>
              </c:numCache>
            </c:numRef>
          </c:val>
          <c:smooth val="0"/>
          <c:extLst>
            <c:ext xmlns:c16="http://schemas.microsoft.com/office/drawing/2014/chart" uri="{C3380CC4-5D6E-409C-BE32-E72D297353CC}">
              <c16:uniqueId val="{00000008-7289-4C8B-8AF9-A6BFF0B583EA}"/>
            </c:ext>
          </c:extLst>
        </c:ser>
        <c:ser>
          <c:idx val="1"/>
          <c:order val="1"/>
          <c:tx>
            <c:v>Korisna grijana površina, linearni model 2</c:v>
          </c:tx>
          <c:spPr>
            <a:ln w="2222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7289-4C8B-8AF9-A6BFF0B583EA}"/>
                </c:ext>
              </c:extLst>
            </c:dLbl>
            <c:dLbl>
              <c:idx val="1"/>
              <c:delete val="1"/>
              <c:extLst>
                <c:ext xmlns:c15="http://schemas.microsoft.com/office/drawing/2012/chart" uri="{CE6537A1-D6FC-4f65-9D91-7224C49458BB}"/>
                <c:ext xmlns:c16="http://schemas.microsoft.com/office/drawing/2014/chart" uri="{C3380CC4-5D6E-409C-BE32-E72D297353CC}">
                  <c16:uniqueId val="{0000000A-7289-4C8B-8AF9-A6BFF0B583EA}"/>
                </c:ext>
              </c:extLst>
            </c:dLbl>
            <c:dLbl>
              <c:idx val="2"/>
              <c:delete val="1"/>
              <c:extLst>
                <c:ext xmlns:c15="http://schemas.microsoft.com/office/drawing/2012/chart" uri="{CE6537A1-D6FC-4f65-9D91-7224C49458BB}"/>
                <c:ext xmlns:c16="http://schemas.microsoft.com/office/drawing/2014/chart" uri="{C3380CC4-5D6E-409C-BE32-E72D297353CC}">
                  <c16:uniqueId val="{0000000B-7289-4C8B-8AF9-A6BFF0B583EA}"/>
                </c:ext>
              </c:extLst>
            </c:dLbl>
            <c:dLbl>
              <c:idx val="3"/>
              <c:delete val="1"/>
              <c:extLst>
                <c:ext xmlns:c15="http://schemas.microsoft.com/office/drawing/2012/chart" uri="{CE6537A1-D6FC-4f65-9D91-7224C49458BB}"/>
                <c:ext xmlns:c16="http://schemas.microsoft.com/office/drawing/2014/chart" uri="{C3380CC4-5D6E-409C-BE32-E72D297353CC}">
                  <c16:uniqueId val="{0000000C-7289-4C8B-8AF9-A6BFF0B583EA}"/>
                </c:ext>
              </c:extLst>
            </c:dLbl>
            <c:dLbl>
              <c:idx val="4"/>
              <c:delete val="1"/>
              <c:extLst>
                <c:ext xmlns:c15="http://schemas.microsoft.com/office/drawing/2012/chart" uri="{CE6537A1-D6FC-4f65-9D91-7224C49458BB}"/>
                <c:ext xmlns:c16="http://schemas.microsoft.com/office/drawing/2014/chart" uri="{C3380CC4-5D6E-409C-BE32-E72D297353CC}">
                  <c16:uniqueId val="{0000000D-7289-4C8B-8AF9-A6BFF0B583EA}"/>
                </c:ext>
              </c:extLst>
            </c:dLbl>
            <c:dLbl>
              <c:idx val="5"/>
              <c:delete val="1"/>
              <c:extLst>
                <c:ext xmlns:c15="http://schemas.microsoft.com/office/drawing/2012/chart" uri="{CE6537A1-D6FC-4f65-9D91-7224C49458BB}"/>
                <c:ext xmlns:c16="http://schemas.microsoft.com/office/drawing/2014/chart" uri="{C3380CC4-5D6E-409C-BE32-E72D297353CC}">
                  <c16:uniqueId val="{0000000E-7289-4C8B-8AF9-A6BFF0B583EA}"/>
                </c:ext>
              </c:extLst>
            </c:dLbl>
            <c:dLbl>
              <c:idx val="6"/>
              <c:layout>
                <c:manualLayout>
                  <c:x val="-8.1267101285683943E-2"/>
                  <c:y val="-5.2890662091138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289-4C8B-8AF9-A6BFF0B583EA}"/>
                </c:ext>
              </c:extLst>
            </c:dLbl>
            <c:dLbl>
              <c:idx val="7"/>
              <c:layout>
                <c:manualLayout>
                  <c:x val="-8.1166307066407196E-3"/>
                  <c:y val="-4.7413445045495738E-2"/>
                </c:manualLayout>
              </c:layout>
              <c:showLegendKey val="0"/>
              <c:showVal val="1"/>
              <c:showCatName val="0"/>
              <c:showSerName val="0"/>
              <c:showPercent val="0"/>
              <c:showBubbleSize val="0"/>
              <c:extLst>
                <c:ext xmlns:c15="http://schemas.microsoft.com/office/drawing/2012/chart" uri="{CE6537A1-D6FC-4f65-9D91-7224C49458BB}">
                  <c15:layout>
                    <c:manualLayout>
                      <c:w val="8.5564459739965987E-2"/>
                      <c:h val="7.2525771279262755E-2"/>
                    </c:manualLayout>
                  </c15:layout>
                </c:ext>
                <c:ext xmlns:c16="http://schemas.microsoft.com/office/drawing/2014/chart" uri="{C3380CC4-5D6E-409C-BE32-E72D297353CC}">
                  <c16:uniqueId val="{00000010-7289-4C8B-8AF9-A6BFF0B583E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Stambeni_brojevi_porast_2021!$Z$7:$Z$14</c:f>
              <c:strCache>
                <c:ptCount val="8"/>
                <c:pt idx="0">
                  <c:v>do 1945.</c:v>
                </c:pt>
                <c:pt idx="1">
                  <c:v>1946.-1960.</c:v>
                </c:pt>
                <c:pt idx="2">
                  <c:v>1961.-1970.</c:v>
                </c:pt>
                <c:pt idx="3">
                  <c:v>1971.-1980.</c:v>
                </c:pt>
                <c:pt idx="4">
                  <c:v>1981.-1991</c:v>
                </c:pt>
                <c:pt idx="5">
                  <c:v>1992-2002.</c:v>
                </c:pt>
                <c:pt idx="6">
                  <c:v>2003.-2013.</c:v>
                </c:pt>
                <c:pt idx="7">
                  <c:v>2014.-2020.</c:v>
                </c:pt>
              </c:strCache>
            </c:strRef>
          </c:cat>
          <c:val>
            <c:numRef>
              <c:f>'Stambeni_korisn površina_Porast'!$BG$7:$BG$14</c:f>
              <c:numCache>
                <c:formatCode>#,##0</c:formatCode>
                <c:ptCount val="8"/>
                <c:pt idx="0">
                  <c:v>421.49226715809101</c:v>
                </c:pt>
                <c:pt idx="1">
                  <c:v>1877.8055069631091</c:v>
                </c:pt>
                <c:pt idx="2">
                  <c:v>7654.813949246537</c:v>
                </c:pt>
                <c:pt idx="3">
                  <c:v>19997.870026837161</c:v>
                </c:pt>
                <c:pt idx="4">
                  <c:v>32044.934193905596</c:v>
                </c:pt>
                <c:pt idx="5">
                  <c:v>38225.685093905595</c:v>
                </c:pt>
                <c:pt idx="6">
                  <c:v>45779.936193905596</c:v>
                </c:pt>
                <c:pt idx="7">
                  <c:v>52142.34144935834</c:v>
                </c:pt>
              </c:numCache>
            </c:numRef>
          </c:val>
          <c:smooth val="0"/>
          <c:extLst>
            <c:ext xmlns:c16="http://schemas.microsoft.com/office/drawing/2014/chart" uri="{C3380CC4-5D6E-409C-BE32-E72D297353CC}">
              <c16:uniqueId val="{00000011-7289-4C8B-8AF9-A6BFF0B583EA}"/>
            </c:ext>
          </c:extLst>
        </c:ser>
        <c:ser>
          <c:idx val="3"/>
          <c:order val="2"/>
          <c:tx>
            <c:v>Korisna grijana površina, LEAP</c:v>
          </c:tx>
          <c:spPr>
            <a:ln w="2222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2-7289-4C8B-8AF9-A6BFF0B583EA}"/>
                </c:ext>
              </c:extLst>
            </c:dLbl>
            <c:dLbl>
              <c:idx val="1"/>
              <c:delete val="1"/>
              <c:extLst>
                <c:ext xmlns:c15="http://schemas.microsoft.com/office/drawing/2012/chart" uri="{CE6537A1-D6FC-4f65-9D91-7224C49458BB}"/>
                <c:ext xmlns:c16="http://schemas.microsoft.com/office/drawing/2014/chart" uri="{C3380CC4-5D6E-409C-BE32-E72D297353CC}">
                  <c16:uniqueId val="{00000013-7289-4C8B-8AF9-A6BFF0B583EA}"/>
                </c:ext>
              </c:extLst>
            </c:dLbl>
            <c:dLbl>
              <c:idx val="2"/>
              <c:delete val="1"/>
              <c:extLst>
                <c:ext xmlns:c15="http://schemas.microsoft.com/office/drawing/2012/chart" uri="{CE6537A1-D6FC-4f65-9D91-7224C49458BB}"/>
                <c:ext xmlns:c16="http://schemas.microsoft.com/office/drawing/2014/chart" uri="{C3380CC4-5D6E-409C-BE32-E72D297353CC}">
                  <c16:uniqueId val="{00000014-7289-4C8B-8AF9-A6BFF0B583EA}"/>
                </c:ext>
              </c:extLst>
            </c:dLbl>
            <c:dLbl>
              <c:idx val="3"/>
              <c:delete val="1"/>
              <c:extLst>
                <c:ext xmlns:c15="http://schemas.microsoft.com/office/drawing/2012/chart" uri="{CE6537A1-D6FC-4f65-9D91-7224C49458BB}"/>
                <c:ext xmlns:c16="http://schemas.microsoft.com/office/drawing/2014/chart" uri="{C3380CC4-5D6E-409C-BE32-E72D297353CC}">
                  <c16:uniqueId val="{00000015-7289-4C8B-8AF9-A6BFF0B583EA}"/>
                </c:ext>
              </c:extLst>
            </c:dLbl>
            <c:dLbl>
              <c:idx val="4"/>
              <c:delete val="1"/>
              <c:extLst>
                <c:ext xmlns:c15="http://schemas.microsoft.com/office/drawing/2012/chart" uri="{CE6537A1-D6FC-4f65-9D91-7224C49458BB}"/>
                <c:ext xmlns:c16="http://schemas.microsoft.com/office/drawing/2014/chart" uri="{C3380CC4-5D6E-409C-BE32-E72D297353CC}">
                  <c16:uniqueId val="{00000016-7289-4C8B-8AF9-A6BFF0B583EA}"/>
                </c:ext>
              </c:extLst>
            </c:dLbl>
            <c:dLbl>
              <c:idx val="5"/>
              <c:delete val="1"/>
              <c:extLst>
                <c:ext xmlns:c15="http://schemas.microsoft.com/office/drawing/2012/chart" uri="{CE6537A1-D6FC-4f65-9D91-7224C49458BB}"/>
                <c:ext xmlns:c16="http://schemas.microsoft.com/office/drawing/2014/chart" uri="{C3380CC4-5D6E-409C-BE32-E72D297353CC}">
                  <c16:uniqueId val="{00000017-7289-4C8B-8AF9-A6BFF0B583EA}"/>
                </c:ext>
              </c:extLst>
            </c:dLbl>
            <c:dLbl>
              <c:idx val="6"/>
              <c:delete val="1"/>
              <c:extLst>
                <c:ext xmlns:c15="http://schemas.microsoft.com/office/drawing/2012/chart" uri="{CE6537A1-D6FC-4f65-9D91-7224C49458BB}"/>
                <c:ext xmlns:c16="http://schemas.microsoft.com/office/drawing/2014/chart" uri="{C3380CC4-5D6E-409C-BE32-E72D297353CC}">
                  <c16:uniqueId val="{00000018-7289-4C8B-8AF9-A6BFF0B583EA}"/>
                </c:ext>
              </c:extLst>
            </c:dLbl>
            <c:dLbl>
              <c:idx val="7"/>
              <c:layout>
                <c:manualLayout>
                  <c:x val="6.9388939039072284E-18"/>
                  <c:y val="3.10040310874095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15:layout>
                    <c:manualLayout>
                      <c:w val="7.8603275922142182E-2"/>
                      <c:h val="9.6375025961885519E-2"/>
                    </c:manualLayout>
                  </c15:layout>
                </c:ext>
                <c:ext xmlns:c16="http://schemas.microsoft.com/office/drawing/2014/chart" uri="{C3380CC4-5D6E-409C-BE32-E72D297353CC}">
                  <c16:uniqueId val="{00000019-7289-4C8B-8AF9-A6BFF0B583E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Stambeni_brojevi_porast_2021!$Z$7:$Z$14</c:f>
              <c:strCache>
                <c:ptCount val="8"/>
                <c:pt idx="0">
                  <c:v>do 1945.</c:v>
                </c:pt>
                <c:pt idx="1">
                  <c:v>1946.-1960.</c:v>
                </c:pt>
                <c:pt idx="2">
                  <c:v>1961.-1970.</c:v>
                </c:pt>
                <c:pt idx="3">
                  <c:v>1971.-1980.</c:v>
                </c:pt>
                <c:pt idx="4">
                  <c:v>1981.-1991</c:v>
                </c:pt>
                <c:pt idx="5">
                  <c:v>1992-2002.</c:v>
                </c:pt>
                <c:pt idx="6">
                  <c:v>2003.-2013.</c:v>
                </c:pt>
                <c:pt idx="7">
                  <c:v>2014.-2020.</c:v>
                </c:pt>
              </c:strCache>
            </c:strRef>
          </c:cat>
          <c:val>
            <c:numRef>
              <c:f>'Stambeni_korisn površina_Porast'!$BI$7:$BI$14</c:f>
              <c:numCache>
                <c:formatCode>#,##0</c:formatCode>
                <c:ptCount val="8"/>
                <c:pt idx="0">
                  <c:v>421.49226715809101</c:v>
                </c:pt>
                <c:pt idx="1">
                  <c:v>1877.8055069631091</c:v>
                </c:pt>
                <c:pt idx="2">
                  <c:v>7654.813949246537</c:v>
                </c:pt>
                <c:pt idx="3">
                  <c:v>19997.870026837161</c:v>
                </c:pt>
                <c:pt idx="4">
                  <c:v>32044.934193905596</c:v>
                </c:pt>
                <c:pt idx="5">
                  <c:v>38225.685093905595</c:v>
                </c:pt>
                <c:pt idx="6">
                  <c:v>45779.936193905596</c:v>
                </c:pt>
                <c:pt idx="7">
                  <c:v>47278.01652723892</c:v>
                </c:pt>
              </c:numCache>
            </c:numRef>
          </c:val>
          <c:smooth val="0"/>
          <c:extLst>
            <c:ext xmlns:c16="http://schemas.microsoft.com/office/drawing/2014/chart" uri="{C3380CC4-5D6E-409C-BE32-E72D297353CC}">
              <c16:uniqueId val="{0000001A-7289-4C8B-8AF9-A6BFF0B583EA}"/>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Površina, </a:t>
                </a:r>
                <a:r>
                  <a:rPr lang="hr-HR">
                    <a:latin typeface="Calibri" panose="020F0502020204030204" pitchFamily="34" charset="0"/>
                    <a:cs typeface="Calibri" panose="020F0502020204030204" pitchFamily="34" charset="0"/>
                  </a:rPr>
                  <a:t>·</a:t>
                </a:r>
                <a:r>
                  <a:rPr lang="hr-HR"/>
                  <a:t>1000 m</a:t>
                </a:r>
                <a:r>
                  <a:rPr lang="hr-HR" baseline="30000"/>
                  <a:t>2</a:t>
                </a:r>
                <a:endParaRPr lang="en-GB" baseline="30000"/>
              </a:p>
            </c:rich>
          </c:tx>
          <c:layout>
            <c:manualLayout>
              <c:xMode val="edge"/>
              <c:yMode val="edge"/>
              <c:x val="1.2640674705169051E-2"/>
              <c:y val="0.198057620147274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4143098641360838"/>
          <c:y val="5.0279958263283006E-2"/>
          <c:w val="0.49762830932414387"/>
          <c:h val="0.1876103561191732"/>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4493825291069384"/>
          <c:y val="4.471526525280848E-2"/>
          <c:w val="0.82300222087623642"/>
          <c:h val="0.7935614842712061"/>
        </c:manualLayout>
      </c:layout>
      <c:lineChart>
        <c:grouping val="standard"/>
        <c:varyColors val="0"/>
        <c:ser>
          <c:idx val="2"/>
          <c:order val="0"/>
          <c:tx>
            <c:v>Postojeći fond i novoizgrađene zgrade</c:v>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AA24-4288-9FA3-ABAA664B4BF9}"/>
                </c:ext>
              </c:extLst>
            </c:dLbl>
            <c:dLbl>
              <c:idx val="1"/>
              <c:delete val="1"/>
              <c:extLst>
                <c:ext xmlns:c15="http://schemas.microsoft.com/office/drawing/2012/chart" uri="{CE6537A1-D6FC-4f65-9D91-7224C49458BB}"/>
                <c:ext xmlns:c16="http://schemas.microsoft.com/office/drawing/2014/chart" uri="{C3380CC4-5D6E-409C-BE32-E72D297353CC}">
                  <c16:uniqueId val="{00000001-AA24-4288-9FA3-ABAA664B4BF9}"/>
                </c:ext>
              </c:extLst>
            </c:dLbl>
            <c:dLbl>
              <c:idx val="2"/>
              <c:delete val="1"/>
              <c:extLst>
                <c:ext xmlns:c15="http://schemas.microsoft.com/office/drawing/2012/chart" uri="{CE6537A1-D6FC-4f65-9D91-7224C49458BB}"/>
                <c:ext xmlns:c16="http://schemas.microsoft.com/office/drawing/2014/chart" uri="{C3380CC4-5D6E-409C-BE32-E72D297353CC}">
                  <c16:uniqueId val="{00000002-AA24-4288-9FA3-ABAA664B4BF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'[1]ULAZNI PODACI'!$B$78:$E$78</c:f>
              <c:numCache>
                <c:formatCode>General</c:formatCode>
                <c:ptCount val="4"/>
                <c:pt idx="0">
                  <c:v>2020</c:v>
                </c:pt>
                <c:pt idx="1">
                  <c:v>2030</c:v>
                </c:pt>
                <c:pt idx="2">
                  <c:v>2040</c:v>
                </c:pt>
                <c:pt idx="3">
                  <c:v>2050</c:v>
                </c:pt>
              </c:numCache>
            </c:numRef>
          </c:cat>
          <c:val>
            <c:numRef>
              <c:f>'ULAZNI PODACI'!$H$72:$K$72</c:f>
              <c:numCache>
                <c:formatCode>#,##0</c:formatCode>
                <c:ptCount val="4"/>
                <c:pt idx="0">
                  <c:v>1355.5008686496653</c:v>
                </c:pt>
                <c:pt idx="1">
                  <c:v>1390.1594209116561</c:v>
                </c:pt>
                <c:pt idx="2">
                  <c:v>1417.6423518351769</c:v>
                </c:pt>
                <c:pt idx="3">
                  <c:v>1445.0895401475491</c:v>
                </c:pt>
              </c:numCache>
            </c:numRef>
          </c:val>
          <c:smooth val="0"/>
          <c:extLst>
            <c:ext xmlns:c16="http://schemas.microsoft.com/office/drawing/2014/chart" uri="{C3380CC4-5D6E-409C-BE32-E72D297353CC}">
              <c16:uniqueId val="{00000003-AA24-4288-9FA3-ABAA664B4BF9}"/>
            </c:ext>
          </c:extLst>
        </c:ser>
        <c:ser>
          <c:idx val="1"/>
          <c:order val="1"/>
          <c:tx>
            <c:v>Sanacija postojećeg fonda zgrada</c:v>
          </c:tx>
          <c:spPr>
            <a:ln w="28575" cap="rnd">
              <a:solidFill>
                <a:srgbClr val="00B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AA24-4288-9FA3-ABAA664B4BF9}"/>
                </c:ext>
              </c:extLst>
            </c:dLbl>
            <c:dLbl>
              <c:idx val="1"/>
              <c:delete val="1"/>
              <c:extLst>
                <c:ext xmlns:c15="http://schemas.microsoft.com/office/drawing/2012/chart" uri="{CE6537A1-D6FC-4f65-9D91-7224C49458BB}"/>
                <c:ext xmlns:c16="http://schemas.microsoft.com/office/drawing/2014/chart" uri="{C3380CC4-5D6E-409C-BE32-E72D297353CC}">
                  <c16:uniqueId val="{00000005-AA24-4288-9FA3-ABAA664B4BF9}"/>
                </c:ext>
              </c:extLst>
            </c:dLbl>
            <c:dLbl>
              <c:idx val="2"/>
              <c:delete val="1"/>
              <c:extLst>
                <c:ext xmlns:c15="http://schemas.microsoft.com/office/drawing/2012/chart" uri="{CE6537A1-D6FC-4f65-9D91-7224C49458BB}"/>
                <c:ext xmlns:c16="http://schemas.microsoft.com/office/drawing/2014/chart" uri="{C3380CC4-5D6E-409C-BE32-E72D297353CC}">
                  <c16:uniqueId val="{00000006-AA24-4288-9FA3-ABAA664B4BF9}"/>
                </c:ext>
              </c:extLst>
            </c:dLbl>
            <c:dLbl>
              <c:idx val="3"/>
              <c:layout>
                <c:manualLayout>
                  <c:x val="0"/>
                  <c:y val="3.2144783867006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A24-4288-9FA3-ABAA664B4BF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'[1]ULAZNI PODACI'!$B$78:$E$78</c:f>
              <c:numCache>
                <c:formatCode>General</c:formatCode>
                <c:ptCount val="4"/>
                <c:pt idx="0">
                  <c:v>2020</c:v>
                </c:pt>
                <c:pt idx="1">
                  <c:v>2030</c:v>
                </c:pt>
                <c:pt idx="2">
                  <c:v>2040</c:v>
                </c:pt>
                <c:pt idx="3">
                  <c:v>2050</c:v>
                </c:pt>
              </c:numCache>
            </c:numRef>
          </c:cat>
          <c:val>
            <c:numRef>
              <c:f>'ULAZNI PODACI'!$H$71:$K$71</c:f>
              <c:numCache>
                <c:formatCode>#,##0</c:formatCode>
                <c:ptCount val="4"/>
                <c:pt idx="0">
                  <c:v>1328.3587327055952</c:v>
                </c:pt>
                <c:pt idx="1">
                  <c:v>1090.7529514516184</c:v>
                </c:pt>
                <c:pt idx="2">
                  <c:v>822.02216122433708</c:v>
                </c:pt>
                <c:pt idx="3">
                  <c:v>553.42929802082131</c:v>
                </c:pt>
              </c:numCache>
            </c:numRef>
          </c:val>
          <c:smooth val="0"/>
          <c:extLst>
            <c:ext xmlns:c16="http://schemas.microsoft.com/office/drawing/2014/chart" uri="{C3380CC4-5D6E-409C-BE32-E72D297353CC}">
              <c16:uniqueId val="{00000008-AA24-4288-9FA3-ABAA664B4BF9}"/>
            </c:ext>
          </c:extLst>
        </c:ser>
        <c:ser>
          <c:idx val="0"/>
          <c:order val="2"/>
          <c:tx>
            <c:v>Ukupna potrošnja energije </c:v>
          </c:tx>
          <c:spPr>
            <a:ln w="28575" cap="rnd">
              <a:solidFill>
                <a:srgbClr val="FF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AA24-4288-9FA3-ABAA664B4BF9}"/>
                </c:ext>
              </c:extLst>
            </c:dLbl>
            <c:dLbl>
              <c:idx val="1"/>
              <c:delete val="1"/>
              <c:extLst>
                <c:ext xmlns:c15="http://schemas.microsoft.com/office/drawing/2012/chart" uri="{CE6537A1-D6FC-4f65-9D91-7224C49458BB}"/>
                <c:ext xmlns:c16="http://schemas.microsoft.com/office/drawing/2014/chart" uri="{C3380CC4-5D6E-409C-BE32-E72D297353CC}">
                  <c16:uniqueId val="{0000000A-AA24-4288-9FA3-ABAA664B4BF9}"/>
                </c:ext>
              </c:extLst>
            </c:dLbl>
            <c:dLbl>
              <c:idx val="2"/>
              <c:delete val="1"/>
              <c:extLst>
                <c:ext xmlns:c15="http://schemas.microsoft.com/office/drawing/2012/chart" uri="{CE6537A1-D6FC-4f65-9D91-7224C49458BB}"/>
                <c:ext xmlns:c16="http://schemas.microsoft.com/office/drawing/2014/chart" uri="{C3380CC4-5D6E-409C-BE32-E72D297353CC}">
                  <c16:uniqueId val="{0000000B-AA24-4288-9FA3-ABAA664B4BF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'[1]ULAZNI PODACI'!$B$78:$E$78</c:f>
              <c:numCache>
                <c:formatCode>General</c:formatCode>
                <c:ptCount val="4"/>
                <c:pt idx="0">
                  <c:v>2020</c:v>
                </c:pt>
                <c:pt idx="1">
                  <c:v>2030</c:v>
                </c:pt>
                <c:pt idx="2">
                  <c:v>2040</c:v>
                </c:pt>
                <c:pt idx="3">
                  <c:v>2050</c:v>
                </c:pt>
              </c:numCache>
            </c:numRef>
          </c:cat>
          <c:val>
            <c:numRef>
              <c:f>'ULAZNI PODACI'!$H$73:$K$73</c:f>
              <c:numCache>
                <c:formatCode>#,##0</c:formatCode>
                <c:ptCount val="4"/>
                <c:pt idx="0">
                  <c:v>1330.5464149750605</c:v>
                </c:pt>
                <c:pt idx="1">
                  <c:v>1114.0049923437675</c:v>
                </c:pt>
                <c:pt idx="2">
                  <c:v>859.02638409143174</c:v>
                </c:pt>
                <c:pt idx="3">
                  <c:v>604.01203322794777</c:v>
                </c:pt>
              </c:numCache>
            </c:numRef>
          </c:val>
          <c:smooth val="0"/>
          <c:extLst>
            <c:ext xmlns:c16="http://schemas.microsoft.com/office/drawing/2014/chart" uri="{C3380CC4-5D6E-409C-BE32-E72D297353CC}">
              <c16:uniqueId val="{0000000C-AA24-4288-9FA3-ABAA664B4BF9}"/>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sz="1000" b="0" i="0" baseline="0">
                    <a:effectLst/>
                  </a:rPr>
                  <a:t>Vremenski okvir</a:t>
                </a:r>
                <a:endParaRPr lang="en-GB" sz="10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5"/>
        <c:noMultiLvlLbl val="0"/>
      </c:catAx>
      <c:valAx>
        <c:axId val="1999058864"/>
        <c:scaling>
          <c:orientation val="minMax"/>
          <c:max val="2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Potrebna energija za grijanje, GWh/god.</a:t>
                </a:r>
                <a:endParaRPr lang="en-GB" baseline="30000"/>
              </a:p>
            </c:rich>
          </c:tx>
          <c:layout>
            <c:manualLayout>
              <c:xMode val="edge"/>
              <c:yMode val="edge"/>
              <c:x val="1.8729490197344333E-2"/>
              <c:y val="8.920996144152414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w="25400">
          <a:noFill/>
        </a:ln>
        <a:effectLst/>
      </c:spPr>
    </c:plotArea>
    <c:legend>
      <c:legendPos val="l"/>
      <c:layout>
        <c:manualLayout>
          <c:xMode val="edge"/>
          <c:yMode val="edge"/>
          <c:x val="0.1274475065616798"/>
          <c:y val="4.6717660292463443E-2"/>
          <c:w val="0.42334448064723512"/>
          <c:h val="0.20298492688413949"/>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93962866225542"/>
          <c:y val="3.0263606023934683E-2"/>
          <c:w val="0.79789235086485855"/>
          <c:h val="0.7847673667713202"/>
        </c:manualLayout>
      </c:layout>
      <c:lineChart>
        <c:grouping val="standard"/>
        <c:varyColors val="0"/>
        <c:ser>
          <c:idx val="4"/>
          <c:order val="0"/>
          <c:tx>
            <c:v>Korisna grijana površina, linearni model 1</c:v>
          </c:tx>
          <c:spPr>
            <a:ln w="22225" cap="rnd">
              <a:solidFill>
                <a:srgbClr val="00643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A85E-4713-8C1C-5C523EEA57C2}"/>
                </c:ext>
              </c:extLst>
            </c:dLbl>
            <c:dLbl>
              <c:idx val="1"/>
              <c:delete val="1"/>
              <c:extLst>
                <c:ext xmlns:c15="http://schemas.microsoft.com/office/drawing/2012/chart" uri="{CE6537A1-D6FC-4f65-9D91-7224C49458BB}"/>
                <c:ext xmlns:c16="http://schemas.microsoft.com/office/drawing/2014/chart" uri="{C3380CC4-5D6E-409C-BE32-E72D297353CC}">
                  <c16:uniqueId val="{00000001-A85E-4713-8C1C-5C523EEA57C2}"/>
                </c:ext>
              </c:extLst>
            </c:dLbl>
            <c:dLbl>
              <c:idx val="2"/>
              <c:delete val="1"/>
              <c:extLst>
                <c:ext xmlns:c15="http://schemas.microsoft.com/office/drawing/2012/chart" uri="{CE6537A1-D6FC-4f65-9D91-7224C49458BB}"/>
                <c:ext xmlns:c16="http://schemas.microsoft.com/office/drawing/2014/chart" uri="{C3380CC4-5D6E-409C-BE32-E72D297353CC}">
                  <c16:uniqueId val="{00000002-A85E-4713-8C1C-5C523EEA57C2}"/>
                </c:ext>
              </c:extLst>
            </c:dLbl>
            <c:dLbl>
              <c:idx val="3"/>
              <c:delete val="1"/>
              <c:extLst>
                <c:ext xmlns:c15="http://schemas.microsoft.com/office/drawing/2012/chart" uri="{CE6537A1-D6FC-4f65-9D91-7224C49458BB}"/>
                <c:ext xmlns:c16="http://schemas.microsoft.com/office/drawing/2014/chart" uri="{C3380CC4-5D6E-409C-BE32-E72D297353CC}">
                  <c16:uniqueId val="{00000003-A85E-4713-8C1C-5C523EEA57C2}"/>
                </c:ext>
              </c:extLst>
            </c:dLbl>
            <c:dLbl>
              <c:idx val="4"/>
              <c:delete val="1"/>
              <c:extLst>
                <c:ext xmlns:c15="http://schemas.microsoft.com/office/drawing/2012/chart" uri="{CE6537A1-D6FC-4f65-9D91-7224C49458BB}"/>
                <c:ext xmlns:c16="http://schemas.microsoft.com/office/drawing/2014/chart" uri="{C3380CC4-5D6E-409C-BE32-E72D297353CC}">
                  <c16:uniqueId val="{00000004-A85E-4713-8C1C-5C523EEA57C2}"/>
                </c:ext>
              </c:extLst>
            </c:dLbl>
            <c:dLbl>
              <c:idx val="5"/>
              <c:delete val="1"/>
              <c:extLst>
                <c:ext xmlns:c15="http://schemas.microsoft.com/office/drawing/2012/chart" uri="{CE6537A1-D6FC-4f65-9D91-7224C49458BB}"/>
                <c:ext xmlns:c16="http://schemas.microsoft.com/office/drawing/2014/chart" uri="{C3380CC4-5D6E-409C-BE32-E72D297353CC}">
                  <c16:uniqueId val="{00000005-A85E-4713-8C1C-5C523EEA57C2}"/>
                </c:ext>
              </c:extLst>
            </c:dLbl>
            <c:dLbl>
              <c:idx val="6"/>
              <c:delete val="1"/>
              <c:extLst>
                <c:ext xmlns:c15="http://schemas.microsoft.com/office/drawing/2012/chart" uri="{CE6537A1-D6FC-4f65-9D91-7224C49458BB}"/>
                <c:ext xmlns:c16="http://schemas.microsoft.com/office/drawing/2014/chart" uri="{C3380CC4-5D6E-409C-BE32-E72D297353CC}">
                  <c16:uniqueId val="{00000006-A85E-4713-8C1C-5C523EEA57C2}"/>
                </c:ext>
              </c:extLst>
            </c:dLbl>
            <c:dLbl>
              <c:idx val="7"/>
              <c:layout>
                <c:manualLayout>
                  <c:x val="-2.3203946059412697E-3"/>
                  <c:y val="4.76985093652452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5E-4713-8C1C-5C523EEA57C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Stambeni_brojevi_porast_2021!$Z$7:$Z$14</c:f>
              <c:strCache>
                <c:ptCount val="8"/>
                <c:pt idx="0">
                  <c:v>do 1945.</c:v>
                </c:pt>
                <c:pt idx="1">
                  <c:v>1946.-1960.</c:v>
                </c:pt>
                <c:pt idx="2">
                  <c:v>1961.-1970.</c:v>
                </c:pt>
                <c:pt idx="3">
                  <c:v>1971.-1980.</c:v>
                </c:pt>
                <c:pt idx="4">
                  <c:v>1981.-1991</c:v>
                </c:pt>
                <c:pt idx="5">
                  <c:v>1992-2002.</c:v>
                </c:pt>
                <c:pt idx="6">
                  <c:v>2003.-2013.</c:v>
                </c:pt>
                <c:pt idx="7">
                  <c:v>2014.-2020.</c:v>
                </c:pt>
              </c:strCache>
            </c:strRef>
          </c:cat>
          <c:val>
            <c:numRef>
              <c:f>'Stambeni_korisn površina_Porast'!$BH$7:$BH$14</c:f>
              <c:numCache>
                <c:formatCode>#,##0</c:formatCode>
                <c:ptCount val="8"/>
                <c:pt idx="0">
                  <c:v>421.49226715809101</c:v>
                </c:pt>
                <c:pt idx="1">
                  <c:v>1877.8055069631091</c:v>
                </c:pt>
                <c:pt idx="2">
                  <c:v>7654.813949246537</c:v>
                </c:pt>
                <c:pt idx="3">
                  <c:v>19997.870026837161</c:v>
                </c:pt>
                <c:pt idx="4">
                  <c:v>32044.934193905596</c:v>
                </c:pt>
                <c:pt idx="5">
                  <c:v>38225.685093905595</c:v>
                </c:pt>
                <c:pt idx="6">
                  <c:v>45779.936193905596</c:v>
                </c:pt>
                <c:pt idx="7">
                  <c:v>50477.074925184708</c:v>
                </c:pt>
              </c:numCache>
            </c:numRef>
          </c:val>
          <c:smooth val="0"/>
          <c:extLst>
            <c:ext xmlns:c16="http://schemas.microsoft.com/office/drawing/2014/chart" uri="{C3380CC4-5D6E-409C-BE32-E72D297353CC}">
              <c16:uniqueId val="{00000008-A85E-4713-8C1C-5C523EEA57C2}"/>
            </c:ext>
          </c:extLst>
        </c:ser>
        <c:ser>
          <c:idx val="1"/>
          <c:order val="1"/>
          <c:tx>
            <c:v>Korisna grijana površina, linearni model 2</c:v>
          </c:tx>
          <c:spPr>
            <a:ln w="2222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A85E-4713-8C1C-5C523EEA57C2}"/>
                </c:ext>
              </c:extLst>
            </c:dLbl>
            <c:dLbl>
              <c:idx val="1"/>
              <c:delete val="1"/>
              <c:extLst>
                <c:ext xmlns:c15="http://schemas.microsoft.com/office/drawing/2012/chart" uri="{CE6537A1-D6FC-4f65-9D91-7224C49458BB}"/>
                <c:ext xmlns:c16="http://schemas.microsoft.com/office/drawing/2014/chart" uri="{C3380CC4-5D6E-409C-BE32-E72D297353CC}">
                  <c16:uniqueId val="{0000000A-A85E-4713-8C1C-5C523EEA57C2}"/>
                </c:ext>
              </c:extLst>
            </c:dLbl>
            <c:dLbl>
              <c:idx val="2"/>
              <c:delete val="1"/>
              <c:extLst>
                <c:ext xmlns:c15="http://schemas.microsoft.com/office/drawing/2012/chart" uri="{CE6537A1-D6FC-4f65-9D91-7224C49458BB}"/>
                <c:ext xmlns:c16="http://schemas.microsoft.com/office/drawing/2014/chart" uri="{C3380CC4-5D6E-409C-BE32-E72D297353CC}">
                  <c16:uniqueId val="{0000000B-A85E-4713-8C1C-5C523EEA57C2}"/>
                </c:ext>
              </c:extLst>
            </c:dLbl>
            <c:dLbl>
              <c:idx val="3"/>
              <c:delete val="1"/>
              <c:extLst>
                <c:ext xmlns:c15="http://schemas.microsoft.com/office/drawing/2012/chart" uri="{CE6537A1-D6FC-4f65-9D91-7224C49458BB}"/>
                <c:ext xmlns:c16="http://schemas.microsoft.com/office/drawing/2014/chart" uri="{C3380CC4-5D6E-409C-BE32-E72D297353CC}">
                  <c16:uniqueId val="{0000000C-A85E-4713-8C1C-5C523EEA57C2}"/>
                </c:ext>
              </c:extLst>
            </c:dLbl>
            <c:dLbl>
              <c:idx val="4"/>
              <c:delete val="1"/>
              <c:extLst>
                <c:ext xmlns:c15="http://schemas.microsoft.com/office/drawing/2012/chart" uri="{CE6537A1-D6FC-4f65-9D91-7224C49458BB}"/>
                <c:ext xmlns:c16="http://schemas.microsoft.com/office/drawing/2014/chart" uri="{C3380CC4-5D6E-409C-BE32-E72D297353CC}">
                  <c16:uniqueId val="{0000000D-A85E-4713-8C1C-5C523EEA57C2}"/>
                </c:ext>
              </c:extLst>
            </c:dLbl>
            <c:dLbl>
              <c:idx val="5"/>
              <c:delete val="1"/>
              <c:extLst>
                <c:ext xmlns:c15="http://schemas.microsoft.com/office/drawing/2012/chart" uri="{CE6537A1-D6FC-4f65-9D91-7224C49458BB}"/>
                <c:ext xmlns:c16="http://schemas.microsoft.com/office/drawing/2014/chart" uri="{C3380CC4-5D6E-409C-BE32-E72D297353CC}">
                  <c16:uniqueId val="{0000000E-A85E-4713-8C1C-5C523EEA57C2}"/>
                </c:ext>
              </c:extLst>
            </c:dLbl>
            <c:dLbl>
              <c:idx val="6"/>
              <c:layout>
                <c:manualLayout>
                  <c:x val="-8.1267101285683943E-2"/>
                  <c:y val="-5.2890662091138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A85E-4713-8C1C-5C523EEA57C2}"/>
                </c:ext>
              </c:extLst>
            </c:dLbl>
            <c:dLbl>
              <c:idx val="7"/>
              <c:layout>
                <c:manualLayout>
                  <c:x val="-8.1166307066407196E-3"/>
                  <c:y val="-4.7413445045495738E-2"/>
                </c:manualLayout>
              </c:layout>
              <c:showLegendKey val="0"/>
              <c:showVal val="1"/>
              <c:showCatName val="0"/>
              <c:showSerName val="0"/>
              <c:showPercent val="0"/>
              <c:showBubbleSize val="0"/>
              <c:extLst>
                <c:ext xmlns:c15="http://schemas.microsoft.com/office/drawing/2012/chart" uri="{CE6537A1-D6FC-4f65-9D91-7224C49458BB}">
                  <c15:layout>
                    <c:manualLayout>
                      <c:w val="8.5564459739965987E-2"/>
                      <c:h val="7.2525771279262755E-2"/>
                    </c:manualLayout>
                  </c15:layout>
                </c:ext>
                <c:ext xmlns:c16="http://schemas.microsoft.com/office/drawing/2014/chart" uri="{C3380CC4-5D6E-409C-BE32-E72D297353CC}">
                  <c16:uniqueId val="{00000010-A85E-4713-8C1C-5C523EEA57C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Stambeni_brojevi_porast_2021!$Z$7:$Z$14</c:f>
              <c:strCache>
                <c:ptCount val="8"/>
                <c:pt idx="0">
                  <c:v>do 1945.</c:v>
                </c:pt>
                <c:pt idx="1">
                  <c:v>1946.-1960.</c:v>
                </c:pt>
                <c:pt idx="2">
                  <c:v>1961.-1970.</c:v>
                </c:pt>
                <c:pt idx="3">
                  <c:v>1971.-1980.</c:v>
                </c:pt>
                <c:pt idx="4">
                  <c:v>1981.-1991</c:v>
                </c:pt>
                <c:pt idx="5">
                  <c:v>1992-2002.</c:v>
                </c:pt>
                <c:pt idx="6">
                  <c:v>2003.-2013.</c:v>
                </c:pt>
                <c:pt idx="7">
                  <c:v>2014.-2020.</c:v>
                </c:pt>
              </c:strCache>
            </c:strRef>
          </c:cat>
          <c:val>
            <c:numRef>
              <c:f>'Stambeni_korisn površina_Porast'!$BG$7:$BG$14</c:f>
              <c:numCache>
                <c:formatCode>#,##0</c:formatCode>
                <c:ptCount val="8"/>
                <c:pt idx="0">
                  <c:v>421.49226715809101</c:v>
                </c:pt>
                <c:pt idx="1">
                  <c:v>1877.8055069631091</c:v>
                </c:pt>
                <c:pt idx="2">
                  <c:v>7654.813949246537</c:v>
                </c:pt>
                <c:pt idx="3">
                  <c:v>19997.870026837161</c:v>
                </c:pt>
                <c:pt idx="4">
                  <c:v>32044.934193905596</c:v>
                </c:pt>
                <c:pt idx="5">
                  <c:v>38225.685093905595</c:v>
                </c:pt>
                <c:pt idx="6">
                  <c:v>45779.936193905596</c:v>
                </c:pt>
                <c:pt idx="7">
                  <c:v>52142.34144935834</c:v>
                </c:pt>
              </c:numCache>
            </c:numRef>
          </c:val>
          <c:smooth val="0"/>
          <c:extLst>
            <c:ext xmlns:c16="http://schemas.microsoft.com/office/drawing/2014/chart" uri="{C3380CC4-5D6E-409C-BE32-E72D297353CC}">
              <c16:uniqueId val="{00000011-A85E-4713-8C1C-5C523EEA57C2}"/>
            </c:ext>
          </c:extLst>
        </c:ser>
        <c:ser>
          <c:idx val="3"/>
          <c:order val="2"/>
          <c:tx>
            <c:v>Korisna grijana površina, LEAP</c:v>
          </c:tx>
          <c:spPr>
            <a:ln w="2222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2-A85E-4713-8C1C-5C523EEA57C2}"/>
                </c:ext>
              </c:extLst>
            </c:dLbl>
            <c:dLbl>
              <c:idx val="1"/>
              <c:delete val="1"/>
              <c:extLst>
                <c:ext xmlns:c15="http://schemas.microsoft.com/office/drawing/2012/chart" uri="{CE6537A1-D6FC-4f65-9D91-7224C49458BB}"/>
                <c:ext xmlns:c16="http://schemas.microsoft.com/office/drawing/2014/chart" uri="{C3380CC4-5D6E-409C-BE32-E72D297353CC}">
                  <c16:uniqueId val="{00000013-A85E-4713-8C1C-5C523EEA57C2}"/>
                </c:ext>
              </c:extLst>
            </c:dLbl>
            <c:dLbl>
              <c:idx val="2"/>
              <c:delete val="1"/>
              <c:extLst>
                <c:ext xmlns:c15="http://schemas.microsoft.com/office/drawing/2012/chart" uri="{CE6537A1-D6FC-4f65-9D91-7224C49458BB}"/>
                <c:ext xmlns:c16="http://schemas.microsoft.com/office/drawing/2014/chart" uri="{C3380CC4-5D6E-409C-BE32-E72D297353CC}">
                  <c16:uniqueId val="{00000014-A85E-4713-8C1C-5C523EEA57C2}"/>
                </c:ext>
              </c:extLst>
            </c:dLbl>
            <c:dLbl>
              <c:idx val="3"/>
              <c:delete val="1"/>
              <c:extLst>
                <c:ext xmlns:c15="http://schemas.microsoft.com/office/drawing/2012/chart" uri="{CE6537A1-D6FC-4f65-9D91-7224C49458BB}"/>
                <c:ext xmlns:c16="http://schemas.microsoft.com/office/drawing/2014/chart" uri="{C3380CC4-5D6E-409C-BE32-E72D297353CC}">
                  <c16:uniqueId val="{00000015-A85E-4713-8C1C-5C523EEA57C2}"/>
                </c:ext>
              </c:extLst>
            </c:dLbl>
            <c:dLbl>
              <c:idx val="4"/>
              <c:delete val="1"/>
              <c:extLst>
                <c:ext xmlns:c15="http://schemas.microsoft.com/office/drawing/2012/chart" uri="{CE6537A1-D6FC-4f65-9D91-7224C49458BB}"/>
                <c:ext xmlns:c16="http://schemas.microsoft.com/office/drawing/2014/chart" uri="{C3380CC4-5D6E-409C-BE32-E72D297353CC}">
                  <c16:uniqueId val="{00000016-A85E-4713-8C1C-5C523EEA57C2}"/>
                </c:ext>
              </c:extLst>
            </c:dLbl>
            <c:dLbl>
              <c:idx val="5"/>
              <c:delete val="1"/>
              <c:extLst>
                <c:ext xmlns:c15="http://schemas.microsoft.com/office/drawing/2012/chart" uri="{CE6537A1-D6FC-4f65-9D91-7224C49458BB}"/>
                <c:ext xmlns:c16="http://schemas.microsoft.com/office/drawing/2014/chart" uri="{C3380CC4-5D6E-409C-BE32-E72D297353CC}">
                  <c16:uniqueId val="{00000017-A85E-4713-8C1C-5C523EEA57C2}"/>
                </c:ext>
              </c:extLst>
            </c:dLbl>
            <c:dLbl>
              <c:idx val="6"/>
              <c:delete val="1"/>
              <c:extLst>
                <c:ext xmlns:c15="http://schemas.microsoft.com/office/drawing/2012/chart" uri="{CE6537A1-D6FC-4f65-9D91-7224C49458BB}"/>
                <c:ext xmlns:c16="http://schemas.microsoft.com/office/drawing/2014/chart" uri="{C3380CC4-5D6E-409C-BE32-E72D297353CC}">
                  <c16:uniqueId val="{00000018-A85E-4713-8C1C-5C523EEA57C2}"/>
                </c:ext>
              </c:extLst>
            </c:dLbl>
            <c:dLbl>
              <c:idx val="7"/>
              <c:layout>
                <c:manualLayout>
                  <c:x val="6.9388939039072284E-18"/>
                  <c:y val="3.1004031087409543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extLst>
                <c:ext xmlns:c15="http://schemas.microsoft.com/office/drawing/2012/chart" uri="{CE6537A1-D6FC-4f65-9D91-7224C49458BB}">
                  <c15:layout>
                    <c:manualLayout>
                      <c:w val="7.8603275922142182E-2"/>
                      <c:h val="9.6375025961885519E-2"/>
                    </c:manualLayout>
                  </c15:layout>
                </c:ext>
                <c:ext xmlns:c16="http://schemas.microsoft.com/office/drawing/2014/chart" uri="{C3380CC4-5D6E-409C-BE32-E72D297353CC}">
                  <c16:uniqueId val="{00000019-A85E-4713-8C1C-5C523EEA57C2}"/>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Stambeni_brojevi_porast_2021!$Z$7:$Z$14</c:f>
              <c:strCache>
                <c:ptCount val="8"/>
                <c:pt idx="0">
                  <c:v>do 1945.</c:v>
                </c:pt>
                <c:pt idx="1">
                  <c:v>1946.-1960.</c:v>
                </c:pt>
                <c:pt idx="2">
                  <c:v>1961.-1970.</c:v>
                </c:pt>
                <c:pt idx="3">
                  <c:v>1971.-1980.</c:v>
                </c:pt>
                <c:pt idx="4">
                  <c:v>1981.-1991</c:v>
                </c:pt>
                <c:pt idx="5">
                  <c:v>1992-2002.</c:v>
                </c:pt>
                <c:pt idx="6">
                  <c:v>2003.-2013.</c:v>
                </c:pt>
                <c:pt idx="7">
                  <c:v>2014.-2020.</c:v>
                </c:pt>
              </c:strCache>
            </c:strRef>
          </c:cat>
          <c:val>
            <c:numRef>
              <c:f>'Stambeni_korisn površina_Porast'!$BI$7:$BI$14</c:f>
              <c:numCache>
                <c:formatCode>#,##0</c:formatCode>
                <c:ptCount val="8"/>
                <c:pt idx="0">
                  <c:v>421.49226715809101</c:v>
                </c:pt>
                <c:pt idx="1">
                  <c:v>1877.8055069631091</c:v>
                </c:pt>
                <c:pt idx="2">
                  <c:v>7654.813949246537</c:v>
                </c:pt>
                <c:pt idx="3">
                  <c:v>19997.870026837161</c:v>
                </c:pt>
                <c:pt idx="4">
                  <c:v>32044.934193905596</c:v>
                </c:pt>
                <c:pt idx="5">
                  <c:v>38225.685093905595</c:v>
                </c:pt>
                <c:pt idx="6">
                  <c:v>45779.936193905596</c:v>
                </c:pt>
                <c:pt idx="7">
                  <c:v>47278.01652723892</c:v>
                </c:pt>
              </c:numCache>
            </c:numRef>
          </c:val>
          <c:smooth val="0"/>
          <c:extLst>
            <c:ext xmlns:c16="http://schemas.microsoft.com/office/drawing/2014/chart" uri="{C3380CC4-5D6E-409C-BE32-E72D297353CC}">
              <c16:uniqueId val="{0000001A-A85E-4713-8C1C-5C523EEA57C2}"/>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Površina, </a:t>
                </a:r>
                <a:r>
                  <a:rPr lang="hr-HR">
                    <a:latin typeface="Calibri" panose="020F0502020204030204" pitchFamily="34" charset="0"/>
                    <a:cs typeface="Calibri" panose="020F0502020204030204" pitchFamily="34" charset="0"/>
                  </a:rPr>
                  <a:t>·</a:t>
                </a:r>
                <a:r>
                  <a:rPr lang="hr-HR"/>
                  <a:t>1000 m</a:t>
                </a:r>
                <a:r>
                  <a:rPr lang="hr-HR" baseline="30000"/>
                  <a:t>2</a:t>
                </a:r>
                <a:endParaRPr lang="en-GB" baseline="30000"/>
              </a:p>
            </c:rich>
          </c:tx>
          <c:layout>
            <c:manualLayout>
              <c:xMode val="edge"/>
              <c:yMode val="edge"/>
              <c:x val="1.2640674705169051E-2"/>
              <c:y val="0.198057620147274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4143098641360838"/>
          <c:y val="5.0279958263283006E-2"/>
          <c:w val="0.49762830932414387"/>
          <c:h val="0.1876103561191732"/>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7092592592592"/>
          <c:y val="4.4345690615864207E-2"/>
          <c:w val="0.78137833333333329"/>
          <c:h val="0.80515501407113155"/>
        </c:manualLayout>
      </c:layout>
      <c:lineChart>
        <c:grouping val="standard"/>
        <c:varyColors val="0"/>
        <c:ser>
          <c:idx val="1"/>
          <c:order val="0"/>
          <c:tx>
            <c:v>Logistički model</c:v>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73BA-41AB-8DF0-DA16DC5562DC}"/>
                </c:ext>
              </c:extLst>
            </c:dLbl>
            <c:dLbl>
              <c:idx val="1"/>
              <c:delete val="1"/>
              <c:extLst>
                <c:ext xmlns:c15="http://schemas.microsoft.com/office/drawing/2012/chart" uri="{CE6537A1-D6FC-4f65-9D91-7224C49458BB}"/>
                <c:ext xmlns:c16="http://schemas.microsoft.com/office/drawing/2014/chart" uri="{C3380CC4-5D6E-409C-BE32-E72D297353CC}">
                  <c16:uniqueId val="{00000001-73BA-41AB-8DF0-DA16DC5562DC}"/>
                </c:ext>
              </c:extLst>
            </c:dLbl>
            <c:dLbl>
              <c:idx val="2"/>
              <c:delete val="1"/>
              <c:extLst>
                <c:ext xmlns:c15="http://schemas.microsoft.com/office/drawing/2012/chart" uri="{CE6537A1-D6FC-4f65-9D91-7224C49458BB}"/>
                <c:ext xmlns:c16="http://schemas.microsoft.com/office/drawing/2014/chart" uri="{C3380CC4-5D6E-409C-BE32-E72D297353CC}">
                  <c16:uniqueId val="{00000002-73BA-41AB-8DF0-DA16DC5562DC}"/>
                </c:ext>
              </c:extLst>
            </c:dLbl>
            <c:dLbl>
              <c:idx val="3"/>
              <c:delete val="1"/>
              <c:extLst>
                <c:ext xmlns:c15="http://schemas.microsoft.com/office/drawing/2012/chart" uri="{CE6537A1-D6FC-4f65-9D91-7224C49458BB}"/>
                <c:ext xmlns:c16="http://schemas.microsoft.com/office/drawing/2014/chart" uri="{C3380CC4-5D6E-409C-BE32-E72D297353CC}">
                  <c16:uniqueId val="{00000003-73BA-41AB-8DF0-DA16DC5562DC}"/>
                </c:ext>
              </c:extLst>
            </c:dLbl>
            <c:dLbl>
              <c:idx val="4"/>
              <c:delete val="1"/>
              <c:extLst>
                <c:ext xmlns:c15="http://schemas.microsoft.com/office/drawing/2012/chart" uri="{CE6537A1-D6FC-4f65-9D91-7224C49458BB}"/>
                <c:ext xmlns:c16="http://schemas.microsoft.com/office/drawing/2014/chart" uri="{C3380CC4-5D6E-409C-BE32-E72D297353CC}">
                  <c16:uniqueId val="{00000004-73BA-41AB-8DF0-DA16DC5562DC}"/>
                </c:ext>
              </c:extLst>
            </c:dLbl>
            <c:dLbl>
              <c:idx val="5"/>
              <c:delete val="1"/>
              <c:extLst>
                <c:ext xmlns:c15="http://schemas.microsoft.com/office/drawing/2012/chart" uri="{CE6537A1-D6FC-4f65-9D91-7224C49458BB}"/>
                <c:ext xmlns:c16="http://schemas.microsoft.com/office/drawing/2014/chart" uri="{C3380CC4-5D6E-409C-BE32-E72D297353CC}">
                  <c16:uniqueId val="{00000005-73BA-41AB-8DF0-DA16DC5562DC}"/>
                </c:ext>
              </c:extLst>
            </c:dLbl>
            <c:dLbl>
              <c:idx val="6"/>
              <c:delete val="1"/>
              <c:extLst>
                <c:ext xmlns:c15="http://schemas.microsoft.com/office/drawing/2012/chart" uri="{CE6537A1-D6FC-4f65-9D91-7224C49458BB}"/>
                <c:ext xmlns:c16="http://schemas.microsoft.com/office/drawing/2014/chart" uri="{C3380CC4-5D6E-409C-BE32-E72D297353CC}">
                  <c16:uniqueId val="{00000006-73BA-41AB-8DF0-DA16DC5562DC}"/>
                </c:ext>
              </c:extLst>
            </c:dLbl>
            <c:dLbl>
              <c:idx val="7"/>
              <c:delete val="1"/>
              <c:extLst>
                <c:ext xmlns:c15="http://schemas.microsoft.com/office/drawing/2012/chart" uri="{CE6537A1-D6FC-4f65-9D91-7224C49458BB}"/>
                <c:ext xmlns:c16="http://schemas.microsoft.com/office/drawing/2014/chart" uri="{C3380CC4-5D6E-409C-BE32-E72D297353CC}">
                  <c16:uniqueId val="{00000007-73BA-41AB-8DF0-DA16DC5562DC}"/>
                </c:ext>
              </c:extLst>
            </c:dLbl>
            <c:dLbl>
              <c:idx val="8"/>
              <c:delete val="1"/>
              <c:extLst>
                <c:ext xmlns:c15="http://schemas.microsoft.com/office/drawing/2012/chart" uri="{CE6537A1-D6FC-4f65-9D91-7224C49458BB}"/>
                <c:ext xmlns:c16="http://schemas.microsoft.com/office/drawing/2014/chart" uri="{C3380CC4-5D6E-409C-BE32-E72D297353CC}">
                  <c16:uniqueId val="{00000008-73BA-41AB-8DF0-DA16DC5562D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'25_09_Porast_broja'!$M$16:$M$25</c:f>
              <c:strCache>
                <c:ptCount val="10"/>
                <c:pt idx="0">
                  <c:v>do 1945.</c:v>
                </c:pt>
                <c:pt idx="1">
                  <c:v>1946.-1960.</c:v>
                </c:pt>
                <c:pt idx="2">
                  <c:v>1961.-1970.</c:v>
                </c:pt>
                <c:pt idx="3">
                  <c:v>1971.-1980.</c:v>
                </c:pt>
                <c:pt idx="4">
                  <c:v>1981.-1991.</c:v>
                </c:pt>
                <c:pt idx="5">
                  <c:v>1992.-2002.</c:v>
                </c:pt>
                <c:pt idx="6">
                  <c:v>2003.-2013.</c:v>
                </c:pt>
                <c:pt idx="7">
                  <c:v>2014.-2024.</c:v>
                </c:pt>
                <c:pt idx="8">
                  <c:v>2025.-2035.</c:v>
                </c:pt>
                <c:pt idx="9">
                  <c:v>2036.-2050.</c:v>
                </c:pt>
              </c:strCache>
            </c:strRef>
          </c:cat>
          <c:val>
            <c:numRef>
              <c:f>'25_09_Porast_broja'!$P$16:$P$25</c:f>
              <c:numCache>
                <c:formatCode>#,##0</c:formatCode>
                <c:ptCount val="10"/>
                <c:pt idx="0">
                  <c:v>7999</c:v>
                </c:pt>
                <c:pt idx="1">
                  <c:v>31084</c:v>
                </c:pt>
                <c:pt idx="2">
                  <c:v>101045</c:v>
                </c:pt>
                <c:pt idx="3">
                  <c:v>240670</c:v>
                </c:pt>
                <c:pt idx="4">
                  <c:v>422574</c:v>
                </c:pt>
                <c:pt idx="5">
                  <c:v>513558.6</c:v>
                </c:pt>
                <c:pt idx="6">
                  <c:v>624762</c:v>
                </c:pt>
                <c:pt idx="7">
                  <c:v>655805.59499999997</c:v>
                </c:pt>
                <c:pt idx="8">
                  <c:v>668854.10581271595</c:v>
                </c:pt>
                <c:pt idx="9">
                  <c:v>674820.25817136012</c:v>
                </c:pt>
              </c:numCache>
            </c:numRef>
          </c:val>
          <c:smooth val="0"/>
          <c:extLst>
            <c:ext xmlns:c16="http://schemas.microsoft.com/office/drawing/2014/chart" uri="{C3380CC4-5D6E-409C-BE32-E72D297353CC}">
              <c16:uniqueId val="{00000009-73BA-41AB-8DF0-DA16DC5562DC}"/>
            </c:ext>
          </c:extLst>
        </c:ser>
        <c:ser>
          <c:idx val="0"/>
          <c:order val="1"/>
          <c:tx>
            <c:v>Linearni model 1 </c:v>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73BA-41AB-8DF0-DA16DC5562DC}"/>
                </c:ext>
              </c:extLst>
            </c:dLbl>
            <c:dLbl>
              <c:idx val="1"/>
              <c:delete val="1"/>
              <c:extLst>
                <c:ext xmlns:c15="http://schemas.microsoft.com/office/drawing/2012/chart" uri="{CE6537A1-D6FC-4f65-9D91-7224C49458BB}"/>
                <c:ext xmlns:c16="http://schemas.microsoft.com/office/drawing/2014/chart" uri="{C3380CC4-5D6E-409C-BE32-E72D297353CC}">
                  <c16:uniqueId val="{0000000B-73BA-41AB-8DF0-DA16DC5562DC}"/>
                </c:ext>
              </c:extLst>
            </c:dLbl>
            <c:dLbl>
              <c:idx val="2"/>
              <c:delete val="1"/>
              <c:extLst>
                <c:ext xmlns:c15="http://schemas.microsoft.com/office/drawing/2012/chart" uri="{CE6537A1-D6FC-4f65-9D91-7224C49458BB}"/>
                <c:ext xmlns:c16="http://schemas.microsoft.com/office/drawing/2014/chart" uri="{C3380CC4-5D6E-409C-BE32-E72D297353CC}">
                  <c16:uniqueId val="{0000000C-73BA-41AB-8DF0-DA16DC5562DC}"/>
                </c:ext>
              </c:extLst>
            </c:dLbl>
            <c:dLbl>
              <c:idx val="3"/>
              <c:delete val="1"/>
              <c:extLst>
                <c:ext xmlns:c15="http://schemas.microsoft.com/office/drawing/2012/chart" uri="{CE6537A1-D6FC-4f65-9D91-7224C49458BB}"/>
                <c:ext xmlns:c16="http://schemas.microsoft.com/office/drawing/2014/chart" uri="{C3380CC4-5D6E-409C-BE32-E72D297353CC}">
                  <c16:uniqueId val="{0000000D-73BA-41AB-8DF0-DA16DC5562DC}"/>
                </c:ext>
              </c:extLst>
            </c:dLbl>
            <c:dLbl>
              <c:idx val="4"/>
              <c:delete val="1"/>
              <c:extLst>
                <c:ext xmlns:c15="http://schemas.microsoft.com/office/drawing/2012/chart" uri="{CE6537A1-D6FC-4f65-9D91-7224C49458BB}"/>
                <c:ext xmlns:c16="http://schemas.microsoft.com/office/drawing/2014/chart" uri="{C3380CC4-5D6E-409C-BE32-E72D297353CC}">
                  <c16:uniqueId val="{0000000E-73BA-41AB-8DF0-DA16DC5562DC}"/>
                </c:ext>
              </c:extLst>
            </c:dLbl>
            <c:dLbl>
              <c:idx val="5"/>
              <c:delete val="1"/>
              <c:extLst>
                <c:ext xmlns:c15="http://schemas.microsoft.com/office/drawing/2012/chart" uri="{CE6537A1-D6FC-4f65-9D91-7224C49458BB}"/>
                <c:ext xmlns:c16="http://schemas.microsoft.com/office/drawing/2014/chart" uri="{C3380CC4-5D6E-409C-BE32-E72D297353CC}">
                  <c16:uniqueId val="{0000000F-73BA-41AB-8DF0-DA16DC5562DC}"/>
                </c:ext>
              </c:extLst>
            </c:dLbl>
            <c:dLbl>
              <c:idx val="6"/>
              <c:delete val="1"/>
              <c:extLst>
                <c:ext xmlns:c15="http://schemas.microsoft.com/office/drawing/2012/chart" uri="{CE6537A1-D6FC-4f65-9D91-7224C49458BB}"/>
                <c:ext xmlns:c16="http://schemas.microsoft.com/office/drawing/2014/chart" uri="{C3380CC4-5D6E-409C-BE32-E72D297353CC}">
                  <c16:uniqueId val="{00000010-73BA-41AB-8DF0-DA16DC5562DC}"/>
                </c:ext>
              </c:extLst>
            </c:dLbl>
            <c:dLbl>
              <c:idx val="7"/>
              <c:delete val="1"/>
              <c:extLst>
                <c:ext xmlns:c15="http://schemas.microsoft.com/office/drawing/2012/chart" uri="{CE6537A1-D6FC-4f65-9D91-7224C49458BB}"/>
                <c:ext xmlns:c16="http://schemas.microsoft.com/office/drawing/2014/chart" uri="{C3380CC4-5D6E-409C-BE32-E72D297353CC}">
                  <c16:uniqueId val="{00000011-73BA-41AB-8DF0-DA16DC5562DC}"/>
                </c:ext>
              </c:extLst>
            </c:dLbl>
            <c:dLbl>
              <c:idx val="8"/>
              <c:delete val="1"/>
              <c:extLst>
                <c:ext xmlns:c15="http://schemas.microsoft.com/office/drawing/2012/chart" uri="{CE6537A1-D6FC-4f65-9D91-7224C49458BB}"/>
                <c:ext xmlns:c16="http://schemas.microsoft.com/office/drawing/2014/chart" uri="{C3380CC4-5D6E-409C-BE32-E72D297353CC}">
                  <c16:uniqueId val="{00000012-73BA-41AB-8DF0-DA16DC5562DC}"/>
                </c:ext>
              </c:extLst>
            </c:dLbl>
            <c:dLbl>
              <c:idx val="9"/>
              <c:layout>
                <c:manualLayout>
                  <c:x val="3.2688385482031513E-3"/>
                  <c:y val="4.3448288838750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73BA-41AB-8DF0-DA16DC5562D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'25_09_Porast_broja'!$M$16:$M$25</c:f>
              <c:strCache>
                <c:ptCount val="10"/>
                <c:pt idx="0">
                  <c:v>do 1945.</c:v>
                </c:pt>
                <c:pt idx="1">
                  <c:v>1946.-1960.</c:v>
                </c:pt>
                <c:pt idx="2">
                  <c:v>1961.-1970.</c:v>
                </c:pt>
                <c:pt idx="3">
                  <c:v>1971.-1980.</c:v>
                </c:pt>
                <c:pt idx="4">
                  <c:v>1981.-1991.</c:v>
                </c:pt>
                <c:pt idx="5">
                  <c:v>1992.-2002.</c:v>
                </c:pt>
                <c:pt idx="6">
                  <c:v>2003.-2013.</c:v>
                </c:pt>
                <c:pt idx="7">
                  <c:v>2014.-2024.</c:v>
                </c:pt>
                <c:pt idx="8">
                  <c:v>2025.-2035.</c:v>
                </c:pt>
                <c:pt idx="9">
                  <c:v>2036.-2050.</c:v>
                </c:pt>
              </c:strCache>
            </c:strRef>
          </c:cat>
          <c:val>
            <c:numRef>
              <c:f>'25_09_Porast_broja'!$N$16:$N$25</c:f>
              <c:numCache>
                <c:formatCode>#,##0</c:formatCode>
                <c:ptCount val="10"/>
                <c:pt idx="0">
                  <c:v>7999</c:v>
                </c:pt>
                <c:pt idx="1">
                  <c:v>31084</c:v>
                </c:pt>
                <c:pt idx="2">
                  <c:v>101045</c:v>
                </c:pt>
                <c:pt idx="3">
                  <c:v>240670</c:v>
                </c:pt>
                <c:pt idx="4">
                  <c:v>422574</c:v>
                </c:pt>
                <c:pt idx="5">
                  <c:v>513558.6</c:v>
                </c:pt>
                <c:pt idx="6">
                  <c:v>624762</c:v>
                </c:pt>
                <c:pt idx="7">
                  <c:v>725494.00000000012</c:v>
                </c:pt>
                <c:pt idx="8">
                  <c:v>837521.52857142896</c:v>
                </c:pt>
                <c:pt idx="9">
                  <c:v>990286.13571428659</c:v>
                </c:pt>
              </c:numCache>
            </c:numRef>
          </c:val>
          <c:smooth val="0"/>
          <c:extLst>
            <c:ext xmlns:c16="http://schemas.microsoft.com/office/drawing/2014/chart" uri="{C3380CC4-5D6E-409C-BE32-E72D297353CC}">
              <c16:uniqueId val="{00000014-73BA-41AB-8DF0-DA16DC5562DC}"/>
            </c:ext>
          </c:extLst>
        </c:ser>
        <c:ser>
          <c:idx val="2"/>
          <c:order val="2"/>
          <c:tx>
            <c:v>Linearni model 2</c:v>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5-73BA-41AB-8DF0-DA16DC5562DC}"/>
                </c:ext>
              </c:extLst>
            </c:dLbl>
            <c:dLbl>
              <c:idx val="1"/>
              <c:delete val="1"/>
              <c:extLst>
                <c:ext xmlns:c15="http://schemas.microsoft.com/office/drawing/2012/chart" uri="{CE6537A1-D6FC-4f65-9D91-7224C49458BB}"/>
                <c:ext xmlns:c16="http://schemas.microsoft.com/office/drawing/2014/chart" uri="{C3380CC4-5D6E-409C-BE32-E72D297353CC}">
                  <c16:uniqueId val="{00000016-73BA-41AB-8DF0-DA16DC5562DC}"/>
                </c:ext>
              </c:extLst>
            </c:dLbl>
            <c:dLbl>
              <c:idx val="2"/>
              <c:delete val="1"/>
              <c:extLst>
                <c:ext xmlns:c15="http://schemas.microsoft.com/office/drawing/2012/chart" uri="{CE6537A1-D6FC-4f65-9D91-7224C49458BB}"/>
                <c:ext xmlns:c16="http://schemas.microsoft.com/office/drawing/2014/chart" uri="{C3380CC4-5D6E-409C-BE32-E72D297353CC}">
                  <c16:uniqueId val="{00000017-73BA-41AB-8DF0-DA16DC5562DC}"/>
                </c:ext>
              </c:extLst>
            </c:dLbl>
            <c:dLbl>
              <c:idx val="3"/>
              <c:delete val="1"/>
              <c:extLst>
                <c:ext xmlns:c15="http://schemas.microsoft.com/office/drawing/2012/chart" uri="{CE6537A1-D6FC-4f65-9D91-7224C49458BB}"/>
                <c:ext xmlns:c16="http://schemas.microsoft.com/office/drawing/2014/chart" uri="{C3380CC4-5D6E-409C-BE32-E72D297353CC}">
                  <c16:uniqueId val="{00000018-73BA-41AB-8DF0-DA16DC5562DC}"/>
                </c:ext>
              </c:extLst>
            </c:dLbl>
            <c:dLbl>
              <c:idx val="4"/>
              <c:delete val="1"/>
              <c:extLst>
                <c:ext xmlns:c15="http://schemas.microsoft.com/office/drawing/2012/chart" uri="{CE6537A1-D6FC-4f65-9D91-7224C49458BB}"/>
                <c:ext xmlns:c16="http://schemas.microsoft.com/office/drawing/2014/chart" uri="{C3380CC4-5D6E-409C-BE32-E72D297353CC}">
                  <c16:uniqueId val="{00000019-73BA-41AB-8DF0-DA16DC5562DC}"/>
                </c:ext>
              </c:extLst>
            </c:dLbl>
            <c:dLbl>
              <c:idx val="5"/>
              <c:delete val="1"/>
              <c:extLst>
                <c:ext xmlns:c15="http://schemas.microsoft.com/office/drawing/2012/chart" uri="{CE6537A1-D6FC-4f65-9D91-7224C49458BB}"/>
                <c:ext xmlns:c16="http://schemas.microsoft.com/office/drawing/2014/chart" uri="{C3380CC4-5D6E-409C-BE32-E72D297353CC}">
                  <c16:uniqueId val="{0000001A-73BA-41AB-8DF0-DA16DC5562DC}"/>
                </c:ext>
              </c:extLst>
            </c:dLbl>
            <c:dLbl>
              <c:idx val="6"/>
              <c:layout>
                <c:manualLayout>
                  <c:x val="-7.0391473442606878E-2"/>
                  <c:y val="-3.5383325747046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3BA-41AB-8DF0-DA16DC5562DC}"/>
                </c:ext>
              </c:extLst>
            </c:dLbl>
            <c:dLbl>
              <c:idx val="7"/>
              <c:delete val="1"/>
              <c:extLst>
                <c:ext xmlns:c15="http://schemas.microsoft.com/office/drawing/2012/chart" uri="{CE6537A1-D6FC-4f65-9D91-7224C49458BB}"/>
                <c:ext xmlns:c16="http://schemas.microsoft.com/office/drawing/2014/chart" uri="{C3380CC4-5D6E-409C-BE32-E72D297353CC}">
                  <c16:uniqueId val="{0000001C-73BA-41AB-8DF0-DA16DC5562DC}"/>
                </c:ext>
              </c:extLst>
            </c:dLbl>
            <c:dLbl>
              <c:idx val="8"/>
              <c:delete val="1"/>
              <c:extLst>
                <c:ext xmlns:c15="http://schemas.microsoft.com/office/drawing/2012/chart" uri="{CE6537A1-D6FC-4f65-9D91-7224C49458BB}"/>
                <c:ext xmlns:c16="http://schemas.microsoft.com/office/drawing/2014/chart" uri="{C3380CC4-5D6E-409C-BE32-E72D297353CC}">
                  <c16:uniqueId val="{0000001D-73BA-41AB-8DF0-DA16DC5562DC}"/>
                </c:ext>
              </c:extLst>
            </c:dLbl>
            <c:dLbl>
              <c:idx val="9"/>
              <c:layout>
                <c:manualLayout>
                  <c:x val="1.6344192741015158E-3"/>
                  <c:y val="-6.517243325812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3BA-41AB-8DF0-DA16DC5562D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'25_09_Porast_broja'!$M$16:$M$25</c:f>
              <c:strCache>
                <c:ptCount val="10"/>
                <c:pt idx="0">
                  <c:v>do 1945.</c:v>
                </c:pt>
                <c:pt idx="1">
                  <c:v>1946.-1960.</c:v>
                </c:pt>
                <c:pt idx="2">
                  <c:v>1961.-1970.</c:v>
                </c:pt>
                <c:pt idx="3">
                  <c:v>1971.-1980.</c:v>
                </c:pt>
                <c:pt idx="4">
                  <c:v>1981.-1991.</c:v>
                </c:pt>
                <c:pt idx="5">
                  <c:v>1992.-2002.</c:v>
                </c:pt>
                <c:pt idx="6">
                  <c:v>2003.-2013.</c:v>
                </c:pt>
                <c:pt idx="7">
                  <c:v>2014.-2024.</c:v>
                </c:pt>
                <c:pt idx="8">
                  <c:v>2025.-2035.</c:v>
                </c:pt>
                <c:pt idx="9">
                  <c:v>2036.-2050.</c:v>
                </c:pt>
              </c:strCache>
            </c:strRef>
          </c:cat>
          <c:val>
            <c:numRef>
              <c:f>'25_09_Porast_broja'!$O$16:$O$25</c:f>
              <c:numCache>
                <c:formatCode>#,##0</c:formatCode>
                <c:ptCount val="10"/>
                <c:pt idx="0">
                  <c:v>7999</c:v>
                </c:pt>
                <c:pt idx="1">
                  <c:v>31084</c:v>
                </c:pt>
                <c:pt idx="2">
                  <c:v>101045</c:v>
                </c:pt>
                <c:pt idx="3">
                  <c:v>240670</c:v>
                </c:pt>
                <c:pt idx="4">
                  <c:v>422574</c:v>
                </c:pt>
                <c:pt idx="5">
                  <c:v>513558.6</c:v>
                </c:pt>
                <c:pt idx="6">
                  <c:v>624762</c:v>
                </c:pt>
                <c:pt idx="7">
                  <c:v>761206.3</c:v>
                </c:pt>
                <c:pt idx="8">
                  <c:v>855377.67857142887</c:v>
                </c:pt>
                <c:pt idx="9">
                  <c:v>1012200.5016233765</c:v>
                </c:pt>
              </c:numCache>
            </c:numRef>
          </c:val>
          <c:smooth val="0"/>
          <c:extLst>
            <c:ext xmlns:c16="http://schemas.microsoft.com/office/drawing/2014/chart" uri="{C3380CC4-5D6E-409C-BE32-E72D297353CC}">
              <c16:uniqueId val="{0000001F-73BA-41AB-8DF0-DA16DC5562DC}"/>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layout>
            <c:manualLayout>
              <c:xMode val="edge"/>
              <c:yMode val="edge"/>
              <c:x val="0.47537654916667932"/>
              <c:y val="0.912015291830076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1.5646282841531856E-2"/>
              <c:y val="0.162670507449784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6441851851851852"/>
          <c:y val="5.0567592592592601E-2"/>
          <c:w val="0.28543555555555555"/>
          <c:h val="0.20342465277697389"/>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3106062390257"/>
          <c:y val="3.0564540720345892E-2"/>
          <c:w val="0.84302926740338913"/>
          <c:h val="0.79112996307934957"/>
        </c:manualLayout>
      </c:layout>
      <c:barChart>
        <c:barDir val="col"/>
        <c:grouping val="clustered"/>
        <c:varyColors val="0"/>
        <c:ser>
          <c:idx val="1"/>
          <c:order val="0"/>
          <c:tx>
            <c:v>Ukupan broja zgrada; LEAP</c:v>
          </c:tx>
          <c:spPr>
            <a:solidFill>
              <a:schemeClr val="accent6"/>
            </a:solidFill>
            <a:ln>
              <a:noFill/>
            </a:ln>
            <a:effectLst/>
          </c:spPr>
          <c:invertIfNegative val="0"/>
          <c:dLbls>
            <c:dLbl>
              <c:idx val="1"/>
              <c:layout>
                <c:manualLayout>
                  <c:x val="2.6586905948820207E-2"/>
                  <c:y val="3.034901365705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8A-4780-A1C0-4DCE74C3189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JAVNI_LEAP_LOG_2020!$X$3:$X$9</c:f>
              <c:strCache>
                <c:ptCount val="7"/>
                <c:pt idx="0">
                  <c:v>do 1945.</c:v>
                </c:pt>
                <c:pt idx="1">
                  <c:v>1946.-1965.</c:v>
                </c:pt>
                <c:pt idx="2">
                  <c:v>1966.-1973.</c:v>
                </c:pt>
                <c:pt idx="3">
                  <c:v>1974.-1987.</c:v>
                </c:pt>
                <c:pt idx="4">
                  <c:v>1988.-2009.</c:v>
                </c:pt>
                <c:pt idx="5">
                  <c:v>2010.-2016.</c:v>
                </c:pt>
                <c:pt idx="6">
                  <c:v>2017.-2020.</c:v>
                </c:pt>
              </c:strCache>
            </c:strRef>
          </c:cat>
          <c:val>
            <c:numRef>
              <c:f>JAVNI_LEAP_LOG_2020!$U$3:$U$9</c:f>
              <c:numCache>
                <c:formatCode>General</c:formatCode>
                <c:ptCount val="7"/>
                <c:pt idx="0">
                  <c:v>281</c:v>
                </c:pt>
                <c:pt idx="1">
                  <c:v>1141</c:v>
                </c:pt>
                <c:pt idx="2">
                  <c:v>650</c:v>
                </c:pt>
                <c:pt idx="3">
                  <c:v>1392</c:v>
                </c:pt>
                <c:pt idx="4">
                  <c:v>798</c:v>
                </c:pt>
                <c:pt idx="5">
                  <c:v>157</c:v>
                </c:pt>
                <c:pt idx="6">
                  <c:v>189</c:v>
                </c:pt>
              </c:numCache>
            </c:numRef>
          </c:val>
          <c:extLst>
            <c:ext xmlns:c16="http://schemas.microsoft.com/office/drawing/2014/chart" uri="{C3380CC4-5D6E-409C-BE32-E72D297353CC}">
              <c16:uniqueId val="{00000001-438A-4780-A1C0-4DCE74C31892}"/>
            </c:ext>
          </c:extLst>
        </c:ser>
        <c:dLbls>
          <c:showLegendKey val="0"/>
          <c:showVal val="0"/>
          <c:showCatName val="0"/>
          <c:showSerName val="0"/>
          <c:showPercent val="0"/>
          <c:showBubbleSize val="0"/>
        </c:dLbls>
        <c:gapWidth val="150"/>
        <c:axId val="1954506000"/>
        <c:axId val="1999058864"/>
      </c:barChart>
      <c:lineChart>
        <c:grouping val="standard"/>
        <c:varyColors val="0"/>
        <c:ser>
          <c:idx val="0"/>
          <c:order val="1"/>
          <c:tx>
            <c:v>Ukupan broja zgrada; LEAP</c:v>
          </c:tx>
          <c:spPr>
            <a:ln w="22225" cap="rnd">
              <a:solidFill>
                <a:schemeClr val="accent6"/>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2-438A-4780-A1C0-4DCE74C31892}"/>
                </c:ext>
              </c:extLst>
            </c:dLbl>
            <c:dLbl>
              <c:idx val="1"/>
              <c:delete val="1"/>
              <c:extLst>
                <c:ext xmlns:c15="http://schemas.microsoft.com/office/drawing/2012/chart" uri="{CE6537A1-D6FC-4f65-9D91-7224C49458BB}"/>
                <c:ext xmlns:c16="http://schemas.microsoft.com/office/drawing/2014/chart" uri="{C3380CC4-5D6E-409C-BE32-E72D297353CC}">
                  <c16:uniqueId val="{00000003-438A-4780-A1C0-4DCE74C31892}"/>
                </c:ext>
              </c:extLst>
            </c:dLbl>
            <c:dLbl>
              <c:idx val="2"/>
              <c:delete val="1"/>
              <c:extLst>
                <c:ext xmlns:c15="http://schemas.microsoft.com/office/drawing/2012/chart" uri="{CE6537A1-D6FC-4f65-9D91-7224C49458BB}"/>
                <c:ext xmlns:c16="http://schemas.microsoft.com/office/drawing/2014/chart" uri="{C3380CC4-5D6E-409C-BE32-E72D297353CC}">
                  <c16:uniqueId val="{00000004-438A-4780-A1C0-4DCE74C31892}"/>
                </c:ext>
              </c:extLst>
            </c:dLbl>
            <c:dLbl>
              <c:idx val="3"/>
              <c:delete val="1"/>
              <c:extLst>
                <c:ext xmlns:c15="http://schemas.microsoft.com/office/drawing/2012/chart" uri="{CE6537A1-D6FC-4f65-9D91-7224C49458BB}"/>
                <c:ext xmlns:c16="http://schemas.microsoft.com/office/drawing/2014/chart" uri="{C3380CC4-5D6E-409C-BE32-E72D297353CC}">
                  <c16:uniqueId val="{00000005-438A-4780-A1C0-4DCE74C31892}"/>
                </c:ext>
              </c:extLst>
            </c:dLbl>
            <c:dLbl>
              <c:idx val="4"/>
              <c:delete val="1"/>
              <c:extLst>
                <c:ext xmlns:c15="http://schemas.microsoft.com/office/drawing/2012/chart" uri="{CE6537A1-D6FC-4f65-9D91-7224C49458BB}"/>
                <c:ext xmlns:c16="http://schemas.microsoft.com/office/drawing/2014/chart" uri="{C3380CC4-5D6E-409C-BE32-E72D297353CC}">
                  <c16:uniqueId val="{00000006-438A-4780-A1C0-4DCE74C31892}"/>
                </c:ext>
              </c:extLst>
            </c:dLbl>
            <c:dLbl>
              <c:idx val="5"/>
              <c:delete val="1"/>
              <c:extLst>
                <c:ext xmlns:c15="http://schemas.microsoft.com/office/drawing/2012/chart" uri="{CE6537A1-D6FC-4f65-9D91-7224C49458BB}"/>
                <c:ext xmlns:c16="http://schemas.microsoft.com/office/drawing/2014/chart" uri="{C3380CC4-5D6E-409C-BE32-E72D297353CC}">
                  <c16:uniqueId val="{00000007-438A-4780-A1C0-4DCE74C31892}"/>
                </c:ext>
              </c:extLst>
            </c:dLbl>
            <c:dLbl>
              <c:idx val="6"/>
              <c:layout>
                <c:manualLayout>
                  <c:x val="-7.0021872186376349E-3"/>
                  <c:y val="-5.0214805783365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8A-4780-A1C0-4DCE74C31892}"/>
                </c:ext>
              </c:extLst>
            </c:dLbl>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JAVNI_LEAP_LOG_2020!$K$3:$K$9</c:f>
              <c:numCache>
                <c:formatCode>General</c:formatCode>
                <c:ptCount val="7"/>
                <c:pt idx="0">
                  <c:v>281</c:v>
                </c:pt>
                <c:pt idx="1">
                  <c:v>1422</c:v>
                </c:pt>
                <c:pt idx="2">
                  <c:v>2072</c:v>
                </c:pt>
                <c:pt idx="3">
                  <c:v>3464</c:v>
                </c:pt>
                <c:pt idx="4">
                  <c:v>4262</c:v>
                </c:pt>
                <c:pt idx="5">
                  <c:v>4419</c:v>
                </c:pt>
                <c:pt idx="6">
                  <c:v>4749</c:v>
                </c:pt>
              </c:numCache>
            </c:numRef>
          </c:val>
          <c:smooth val="0"/>
          <c:extLst>
            <c:ext xmlns:c16="http://schemas.microsoft.com/office/drawing/2014/chart" uri="{C3380CC4-5D6E-409C-BE32-E72D297353CC}">
              <c16:uniqueId val="{00000009-438A-4780-A1C0-4DCE74C31892}"/>
            </c:ext>
          </c:extLst>
        </c:ser>
        <c:ser>
          <c:idx val="3"/>
          <c:order val="2"/>
          <c:tx>
            <c:v>Ukupan broj zgrada; logistički model</c:v>
          </c:tx>
          <c:spPr>
            <a:ln w="2222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438A-4780-A1C0-4DCE74C31892}"/>
                </c:ext>
              </c:extLst>
            </c:dLbl>
            <c:dLbl>
              <c:idx val="1"/>
              <c:delete val="1"/>
              <c:extLst>
                <c:ext xmlns:c15="http://schemas.microsoft.com/office/drawing/2012/chart" uri="{CE6537A1-D6FC-4f65-9D91-7224C49458BB}"/>
                <c:ext xmlns:c16="http://schemas.microsoft.com/office/drawing/2014/chart" uri="{C3380CC4-5D6E-409C-BE32-E72D297353CC}">
                  <c16:uniqueId val="{0000000B-438A-4780-A1C0-4DCE74C31892}"/>
                </c:ext>
              </c:extLst>
            </c:dLbl>
            <c:dLbl>
              <c:idx val="2"/>
              <c:delete val="1"/>
              <c:extLst>
                <c:ext xmlns:c15="http://schemas.microsoft.com/office/drawing/2012/chart" uri="{CE6537A1-D6FC-4f65-9D91-7224C49458BB}"/>
                <c:ext xmlns:c16="http://schemas.microsoft.com/office/drawing/2014/chart" uri="{C3380CC4-5D6E-409C-BE32-E72D297353CC}">
                  <c16:uniqueId val="{0000000C-438A-4780-A1C0-4DCE74C31892}"/>
                </c:ext>
              </c:extLst>
            </c:dLbl>
            <c:dLbl>
              <c:idx val="3"/>
              <c:delete val="1"/>
              <c:extLst>
                <c:ext xmlns:c15="http://schemas.microsoft.com/office/drawing/2012/chart" uri="{CE6537A1-D6FC-4f65-9D91-7224C49458BB}"/>
                <c:ext xmlns:c16="http://schemas.microsoft.com/office/drawing/2014/chart" uri="{C3380CC4-5D6E-409C-BE32-E72D297353CC}">
                  <c16:uniqueId val="{0000000D-438A-4780-A1C0-4DCE74C31892}"/>
                </c:ext>
              </c:extLst>
            </c:dLbl>
            <c:dLbl>
              <c:idx val="4"/>
              <c:delete val="1"/>
              <c:extLst>
                <c:ext xmlns:c15="http://schemas.microsoft.com/office/drawing/2012/chart" uri="{CE6537A1-D6FC-4f65-9D91-7224C49458BB}"/>
                <c:ext xmlns:c16="http://schemas.microsoft.com/office/drawing/2014/chart" uri="{C3380CC4-5D6E-409C-BE32-E72D297353CC}">
                  <c16:uniqueId val="{0000000E-438A-4780-A1C0-4DCE74C31892}"/>
                </c:ext>
              </c:extLst>
            </c:dLbl>
            <c:dLbl>
              <c:idx val="5"/>
              <c:layout>
                <c:manualLayout>
                  <c:x val="-2.6258202069890779E-2"/>
                  <c:y val="-4.1548271057576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438A-4780-A1C0-4DCE74C31892}"/>
                </c:ext>
              </c:extLst>
            </c:dLbl>
            <c:dLbl>
              <c:idx val="6"/>
              <c:layout>
                <c:manualLayout>
                  <c:x val="-5.2516404139782581E-3"/>
                  <c:y val="3.2522084450016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438A-4780-A1C0-4DCE74C3189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JAVNI_LEAP_LOG_2020!$AG$3:$AG$9</c:f>
              <c:numCache>
                <c:formatCode>General</c:formatCode>
                <c:ptCount val="7"/>
                <c:pt idx="0">
                  <c:v>281</c:v>
                </c:pt>
                <c:pt idx="1">
                  <c:v>1422</c:v>
                </c:pt>
                <c:pt idx="2">
                  <c:v>2072</c:v>
                </c:pt>
                <c:pt idx="3">
                  <c:v>3464</c:v>
                </c:pt>
                <c:pt idx="4">
                  <c:v>4262</c:v>
                </c:pt>
                <c:pt idx="5">
                  <c:v>4419</c:v>
                </c:pt>
                <c:pt idx="6">
                  <c:v>4559</c:v>
                </c:pt>
              </c:numCache>
            </c:numRef>
          </c:val>
          <c:smooth val="0"/>
          <c:extLst>
            <c:ext xmlns:c16="http://schemas.microsoft.com/office/drawing/2014/chart" uri="{C3380CC4-5D6E-409C-BE32-E72D297353CC}">
              <c16:uniqueId val="{00000011-438A-4780-A1C0-4DCE74C31892}"/>
            </c:ext>
          </c:extLst>
        </c:ser>
        <c:ser>
          <c:idx val="2"/>
          <c:order val="3"/>
          <c:tx>
            <c:v>Ukupan broj zgrada; linearni model</c:v>
          </c:tx>
          <c:spPr>
            <a:ln w="22225" cap="rnd">
              <a:solidFill>
                <a:schemeClr val="tx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2-438A-4780-A1C0-4DCE74C31892}"/>
                </c:ext>
              </c:extLst>
            </c:dLbl>
            <c:dLbl>
              <c:idx val="1"/>
              <c:delete val="1"/>
              <c:extLst>
                <c:ext xmlns:c15="http://schemas.microsoft.com/office/drawing/2012/chart" uri="{CE6537A1-D6FC-4f65-9D91-7224C49458BB}"/>
                <c:ext xmlns:c16="http://schemas.microsoft.com/office/drawing/2014/chart" uri="{C3380CC4-5D6E-409C-BE32-E72D297353CC}">
                  <c16:uniqueId val="{00000013-438A-4780-A1C0-4DCE74C31892}"/>
                </c:ext>
              </c:extLst>
            </c:dLbl>
            <c:dLbl>
              <c:idx val="2"/>
              <c:delete val="1"/>
              <c:extLst>
                <c:ext xmlns:c15="http://schemas.microsoft.com/office/drawing/2012/chart" uri="{CE6537A1-D6FC-4f65-9D91-7224C49458BB}"/>
                <c:ext xmlns:c16="http://schemas.microsoft.com/office/drawing/2014/chart" uri="{C3380CC4-5D6E-409C-BE32-E72D297353CC}">
                  <c16:uniqueId val="{00000014-438A-4780-A1C0-4DCE74C31892}"/>
                </c:ext>
              </c:extLst>
            </c:dLbl>
            <c:dLbl>
              <c:idx val="3"/>
              <c:delete val="1"/>
              <c:extLst>
                <c:ext xmlns:c15="http://schemas.microsoft.com/office/drawing/2012/chart" uri="{CE6537A1-D6FC-4f65-9D91-7224C49458BB}"/>
                <c:ext xmlns:c16="http://schemas.microsoft.com/office/drawing/2014/chart" uri="{C3380CC4-5D6E-409C-BE32-E72D297353CC}">
                  <c16:uniqueId val="{00000015-438A-4780-A1C0-4DCE74C31892}"/>
                </c:ext>
              </c:extLst>
            </c:dLbl>
            <c:dLbl>
              <c:idx val="4"/>
              <c:delete val="1"/>
              <c:extLst>
                <c:ext xmlns:c15="http://schemas.microsoft.com/office/drawing/2012/chart" uri="{CE6537A1-D6FC-4f65-9D91-7224C49458BB}"/>
                <c:ext xmlns:c16="http://schemas.microsoft.com/office/drawing/2014/chart" uri="{C3380CC4-5D6E-409C-BE32-E72D297353CC}">
                  <c16:uniqueId val="{00000016-438A-4780-A1C0-4DCE74C31892}"/>
                </c:ext>
              </c:extLst>
            </c:dLbl>
            <c:dLbl>
              <c:idx val="5"/>
              <c:delete val="1"/>
              <c:extLst>
                <c:ext xmlns:c15="http://schemas.microsoft.com/office/drawing/2012/chart" uri="{CE6537A1-D6FC-4f65-9D91-7224C49458BB}"/>
                <c:ext xmlns:c16="http://schemas.microsoft.com/office/drawing/2014/chart" uri="{C3380CC4-5D6E-409C-BE32-E72D297353CC}">
                  <c16:uniqueId val="{00000017-438A-4780-A1C0-4DCE74C31892}"/>
                </c:ext>
              </c:extLst>
            </c:dLbl>
            <c:dLbl>
              <c:idx val="6"/>
              <c:layout>
                <c:manualLayout>
                  <c:x val="-7.0021872186376349E-3"/>
                  <c:y val="-1.817330254546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438A-4780-A1C0-4DCE74C31892}"/>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JAVNI_LEAP_LOG_2020!$V$3:$V$9</c:f>
              <c:numCache>
                <c:formatCode>General</c:formatCode>
                <c:ptCount val="7"/>
                <c:pt idx="0">
                  <c:v>281</c:v>
                </c:pt>
                <c:pt idx="1">
                  <c:v>1422</c:v>
                </c:pt>
                <c:pt idx="2">
                  <c:v>2072</c:v>
                </c:pt>
                <c:pt idx="3">
                  <c:v>3464</c:v>
                </c:pt>
                <c:pt idx="4">
                  <c:v>4262</c:v>
                </c:pt>
                <c:pt idx="5">
                  <c:v>4419</c:v>
                </c:pt>
                <c:pt idx="6">
                  <c:v>4608</c:v>
                </c:pt>
              </c:numCache>
            </c:numRef>
          </c:val>
          <c:smooth val="0"/>
          <c:extLst>
            <c:ext xmlns:c16="http://schemas.microsoft.com/office/drawing/2014/chart" uri="{C3380CC4-5D6E-409C-BE32-E72D297353CC}">
              <c16:uniqueId val="{00000019-438A-4780-A1C0-4DCE74C31892}"/>
            </c:ext>
          </c:extLst>
        </c:ser>
        <c:dLbls>
          <c:showLegendKey val="0"/>
          <c:showVal val="0"/>
          <c:showCatName val="0"/>
          <c:showSerName val="0"/>
          <c:showPercent val="0"/>
          <c:showBubbleSize val="0"/>
        </c:dLbls>
        <c:marker val="1"/>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1.4957249351637685E-2"/>
              <c:y val="0.297141585471300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majorUnit val="1000"/>
      </c:valAx>
      <c:spPr>
        <a:noFill/>
        <a:ln>
          <a:noFill/>
        </a:ln>
        <a:effectLst/>
      </c:spPr>
    </c:plotArea>
    <c:legend>
      <c:legendPos val="r"/>
      <c:layout>
        <c:manualLayout>
          <c:xMode val="edge"/>
          <c:yMode val="edge"/>
          <c:x val="0.11190540364907028"/>
          <c:y val="4.3616073028807663E-2"/>
          <c:w val="0.38327362619054478"/>
          <c:h val="0.30210459656124167"/>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r-Latn-R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60175380970536"/>
          <c:y val="4.4715447154471545E-2"/>
          <c:w val="0.86697640037655521"/>
          <c:h val="0.80933946643766719"/>
        </c:manualLayout>
      </c:layout>
      <c:lineChart>
        <c:grouping val="standard"/>
        <c:varyColors val="0"/>
        <c:ser>
          <c:idx val="1"/>
          <c:order val="0"/>
          <c:tx>
            <c:v>Ukupan broja zgrada; LEAP</c:v>
          </c:tx>
          <c:spPr>
            <a:ln w="22225" cap="rnd">
              <a:solidFill>
                <a:schemeClr val="accent1">
                  <a:lumMod val="75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CAAC-4C12-ACBE-DF4D21941A67}"/>
                </c:ext>
              </c:extLst>
            </c:dLbl>
            <c:dLbl>
              <c:idx val="1"/>
              <c:delete val="1"/>
              <c:extLst>
                <c:ext xmlns:c15="http://schemas.microsoft.com/office/drawing/2012/chart" uri="{CE6537A1-D6FC-4f65-9D91-7224C49458BB}"/>
                <c:ext xmlns:c16="http://schemas.microsoft.com/office/drawing/2014/chart" uri="{C3380CC4-5D6E-409C-BE32-E72D297353CC}">
                  <c16:uniqueId val="{00000001-CAAC-4C12-ACBE-DF4D21941A67}"/>
                </c:ext>
              </c:extLst>
            </c:dLbl>
            <c:dLbl>
              <c:idx val="2"/>
              <c:delete val="1"/>
              <c:extLst>
                <c:ext xmlns:c15="http://schemas.microsoft.com/office/drawing/2012/chart" uri="{CE6537A1-D6FC-4f65-9D91-7224C49458BB}"/>
                <c:ext xmlns:c16="http://schemas.microsoft.com/office/drawing/2014/chart" uri="{C3380CC4-5D6E-409C-BE32-E72D297353CC}">
                  <c16:uniqueId val="{00000002-CAAC-4C12-ACBE-DF4D21941A67}"/>
                </c:ext>
              </c:extLst>
            </c:dLbl>
            <c:dLbl>
              <c:idx val="3"/>
              <c:delete val="1"/>
              <c:extLst>
                <c:ext xmlns:c15="http://schemas.microsoft.com/office/drawing/2012/chart" uri="{CE6537A1-D6FC-4f65-9D91-7224C49458BB}"/>
                <c:ext xmlns:c16="http://schemas.microsoft.com/office/drawing/2014/chart" uri="{C3380CC4-5D6E-409C-BE32-E72D297353CC}">
                  <c16:uniqueId val="{00000003-CAAC-4C12-ACBE-DF4D21941A67}"/>
                </c:ext>
              </c:extLst>
            </c:dLbl>
            <c:dLbl>
              <c:idx val="4"/>
              <c:delete val="1"/>
              <c:extLst>
                <c:ext xmlns:c15="http://schemas.microsoft.com/office/drawing/2012/chart" uri="{CE6537A1-D6FC-4f65-9D91-7224C49458BB}"/>
                <c:ext xmlns:c16="http://schemas.microsoft.com/office/drawing/2014/chart" uri="{C3380CC4-5D6E-409C-BE32-E72D297353CC}">
                  <c16:uniqueId val="{00000004-CAAC-4C12-ACBE-DF4D21941A67}"/>
                </c:ext>
              </c:extLst>
            </c:dLbl>
            <c:dLbl>
              <c:idx val="5"/>
              <c:delete val="1"/>
              <c:extLst>
                <c:ext xmlns:c15="http://schemas.microsoft.com/office/drawing/2012/chart" uri="{CE6537A1-D6FC-4f65-9D91-7224C49458BB}"/>
                <c:ext xmlns:c16="http://schemas.microsoft.com/office/drawing/2014/chart" uri="{C3380CC4-5D6E-409C-BE32-E72D297353CC}">
                  <c16:uniqueId val="{00000005-CAAC-4C12-ACBE-DF4D21941A67}"/>
                </c:ext>
              </c:extLst>
            </c:dLbl>
            <c:dLbl>
              <c:idx val="6"/>
              <c:delete val="1"/>
              <c:extLst>
                <c:ext xmlns:c15="http://schemas.microsoft.com/office/drawing/2012/chart" uri="{CE6537A1-D6FC-4f65-9D91-7224C49458BB}"/>
                <c:ext xmlns:c16="http://schemas.microsoft.com/office/drawing/2014/chart" uri="{C3380CC4-5D6E-409C-BE32-E72D297353CC}">
                  <c16:uniqueId val="{00000006-CAAC-4C12-ACBE-DF4D21941A67}"/>
                </c:ext>
              </c:extLst>
            </c:dLbl>
            <c:dLbl>
              <c:idx val="7"/>
              <c:delete val="1"/>
              <c:extLst>
                <c:ext xmlns:c15="http://schemas.microsoft.com/office/drawing/2012/chart" uri="{CE6537A1-D6FC-4f65-9D91-7224C49458BB}"/>
                <c:ext xmlns:c16="http://schemas.microsoft.com/office/drawing/2014/chart" uri="{C3380CC4-5D6E-409C-BE32-E72D297353CC}">
                  <c16:uniqueId val="{00000007-CAAC-4C12-ACBE-DF4D21941A67}"/>
                </c:ext>
              </c:extLst>
            </c:dLbl>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JAVNI_LEAP_LOG_2050!$X$3:$X$11</c:f>
              <c:strCache>
                <c:ptCount val="9"/>
                <c:pt idx="0">
                  <c:v>do 1945.</c:v>
                </c:pt>
                <c:pt idx="1">
                  <c:v>1946.-1965.</c:v>
                </c:pt>
                <c:pt idx="2">
                  <c:v>1966.-1973.</c:v>
                </c:pt>
                <c:pt idx="3">
                  <c:v>1974.-1987.</c:v>
                </c:pt>
                <c:pt idx="4">
                  <c:v>1988.-2009.</c:v>
                </c:pt>
                <c:pt idx="5">
                  <c:v>2010.-2016.</c:v>
                </c:pt>
                <c:pt idx="6">
                  <c:v>2017.-2027.</c:v>
                </c:pt>
                <c:pt idx="7">
                  <c:v>2028.-2038.</c:v>
                </c:pt>
                <c:pt idx="8">
                  <c:v>2039.-2050.</c:v>
                </c:pt>
              </c:strCache>
            </c:strRef>
          </c:cat>
          <c:val>
            <c:numRef>
              <c:f>JAVNI_LEAP_LOG_2050!$K$3:$K$11</c:f>
              <c:numCache>
                <c:formatCode>General</c:formatCode>
                <c:ptCount val="9"/>
                <c:pt idx="0">
                  <c:v>281</c:v>
                </c:pt>
                <c:pt idx="1">
                  <c:v>1422</c:v>
                </c:pt>
                <c:pt idx="2">
                  <c:v>2072</c:v>
                </c:pt>
                <c:pt idx="3">
                  <c:v>3464</c:v>
                </c:pt>
                <c:pt idx="4">
                  <c:v>4262</c:v>
                </c:pt>
                <c:pt idx="5">
                  <c:v>4419</c:v>
                </c:pt>
                <c:pt idx="6">
                  <c:v>5501</c:v>
                </c:pt>
                <c:pt idx="7">
                  <c:v>6808</c:v>
                </c:pt>
                <c:pt idx="8">
                  <c:v>8467</c:v>
                </c:pt>
              </c:numCache>
            </c:numRef>
          </c:val>
          <c:smooth val="0"/>
          <c:extLst>
            <c:ext xmlns:c16="http://schemas.microsoft.com/office/drawing/2014/chart" uri="{C3380CC4-5D6E-409C-BE32-E72D297353CC}">
              <c16:uniqueId val="{00000008-CAAC-4C12-ACBE-DF4D21941A67}"/>
            </c:ext>
          </c:extLst>
        </c:ser>
        <c:ser>
          <c:idx val="3"/>
          <c:order val="1"/>
          <c:tx>
            <c:v>Ukupan broj zgrada; logistički model</c:v>
          </c:tx>
          <c:spPr>
            <a:ln w="2222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CAAC-4C12-ACBE-DF4D21941A67}"/>
                </c:ext>
              </c:extLst>
            </c:dLbl>
            <c:dLbl>
              <c:idx val="1"/>
              <c:delete val="1"/>
              <c:extLst>
                <c:ext xmlns:c15="http://schemas.microsoft.com/office/drawing/2012/chart" uri="{CE6537A1-D6FC-4f65-9D91-7224C49458BB}"/>
                <c:ext xmlns:c16="http://schemas.microsoft.com/office/drawing/2014/chart" uri="{C3380CC4-5D6E-409C-BE32-E72D297353CC}">
                  <c16:uniqueId val="{0000000A-CAAC-4C12-ACBE-DF4D21941A67}"/>
                </c:ext>
              </c:extLst>
            </c:dLbl>
            <c:dLbl>
              <c:idx val="2"/>
              <c:delete val="1"/>
              <c:extLst>
                <c:ext xmlns:c15="http://schemas.microsoft.com/office/drawing/2012/chart" uri="{CE6537A1-D6FC-4f65-9D91-7224C49458BB}"/>
                <c:ext xmlns:c16="http://schemas.microsoft.com/office/drawing/2014/chart" uri="{C3380CC4-5D6E-409C-BE32-E72D297353CC}">
                  <c16:uniqueId val="{0000000B-CAAC-4C12-ACBE-DF4D21941A67}"/>
                </c:ext>
              </c:extLst>
            </c:dLbl>
            <c:dLbl>
              <c:idx val="3"/>
              <c:delete val="1"/>
              <c:extLst>
                <c:ext xmlns:c15="http://schemas.microsoft.com/office/drawing/2012/chart" uri="{CE6537A1-D6FC-4f65-9D91-7224C49458BB}"/>
                <c:ext xmlns:c16="http://schemas.microsoft.com/office/drawing/2014/chart" uri="{C3380CC4-5D6E-409C-BE32-E72D297353CC}">
                  <c16:uniqueId val="{0000000C-CAAC-4C12-ACBE-DF4D21941A67}"/>
                </c:ext>
              </c:extLst>
            </c:dLbl>
            <c:dLbl>
              <c:idx val="4"/>
              <c:delete val="1"/>
              <c:extLst>
                <c:ext xmlns:c15="http://schemas.microsoft.com/office/drawing/2012/chart" uri="{CE6537A1-D6FC-4f65-9D91-7224C49458BB}"/>
                <c:ext xmlns:c16="http://schemas.microsoft.com/office/drawing/2014/chart" uri="{C3380CC4-5D6E-409C-BE32-E72D297353CC}">
                  <c16:uniqueId val="{0000000D-CAAC-4C12-ACBE-DF4D21941A67}"/>
                </c:ext>
              </c:extLst>
            </c:dLbl>
            <c:dLbl>
              <c:idx val="5"/>
              <c:layout>
                <c:manualLayout>
                  <c:x val="-2.6258202069890779E-2"/>
                  <c:y val="-4.1548271057576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CAAC-4C12-ACBE-DF4D21941A67}"/>
                </c:ext>
              </c:extLst>
            </c:dLbl>
            <c:dLbl>
              <c:idx val="6"/>
              <c:delete val="1"/>
              <c:extLst>
                <c:ext xmlns:c15="http://schemas.microsoft.com/office/drawing/2012/chart" uri="{CE6537A1-D6FC-4f65-9D91-7224C49458BB}"/>
                <c:ext xmlns:c16="http://schemas.microsoft.com/office/drawing/2014/chart" uri="{C3380CC4-5D6E-409C-BE32-E72D297353CC}">
                  <c16:uniqueId val="{0000000F-CAAC-4C12-ACBE-DF4D21941A67}"/>
                </c:ext>
              </c:extLst>
            </c:dLbl>
            <c:dLbl>
              <c:idx val="7"/>
              <c:delete val="1"/>
              <c:extLst>
                <c:ext xmlns:c15="http://schemas.microsoft.com/office/drawing/2012/chart" uri="{CE6537A1-D6FC-4f65-9D91-7224C49458BB}"/>
                <c:ext xmlns:c16="http://schemas.microsoft.com/office/drawing/2014/chart" uri="{C3380CC4-5D6E-409C-BE32-E72D297353CC}">
                  <c16:uniqueId val="{00000010-CAAC-4C12-ACBE-DF4D21941A6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JAVNI_LEAP_LOG_2050!$X$3:$X$11</c:f>
              <c:strCache>
                <c:ptCount val="9"/>
                <c:pt idx="0">
                  <c:v>do 1945.</c:v>
                </c:pt>
                <c:pt idx="1">
                  <c:v>1946.-1965.</c:v>
                </c:pt>
                <c:pt idx="2">
                  <c:v>1966.-1973.</c:v>
                </c:pt>
                <c:pt idx="3">
                  <c:v>1974.-1987.</c:v>
                </c:pt>
                <c:pt idx="4">
                  <c:v>1988.-2009.</c:v>
                </c:pt>
                <c:pt idx="5">
                  <c:v>2010.-2016.</c:v>
                </c:pt>
                <c:pt idx="6">
                  <c:v>2017.-2027.</c:v>
                </c:pt>
                <c:pt idx="7">
                  <c:v>2028.-2038.</c:v>
                </c:pt>
                <c:pt idx="8">
                  <c:v>2039.-2050.</c:v>
                </c:pt>
              </c:strCache>
            </c:strRef>
          </c:cat>
          <c:val>
            <c:numRef>
              <c:f>JAVNI_LEAP_LOG_2050!$AG$3:$AG$11</c:f>
              <c:numCache>
                <c:formatCode>General</c:formatCode>
                <c:ptCount val="9"/>
                <c:pt idx="0">
                  <c:v>281</c:v>
                </c:pt>
                <c:pt idx="1">
                  <c:v>1422</c:v>
                </c:pt>
                <c:pt idx="2">
                  <c:v>2072</c:v>
                </c:pt>
                <c:pt idx="3">
                  <c:v>3464</c:v>
                </c:pt>
                <c:pt idx="4">
                  <c:v>4262</c:v>
                </c:pt>
                <c:pt idx="5">
                  <c:v>4419</c:v>
                </c:pt>
                <c:pt idx="6">
                  <c:v>4735</c:v>
                </c:pt>
                <c:pt idx="7">
                  <c:v>4968</c:v>
                </c:pt>
                <c:pt idx="8">
                  <c:v>5171</c:v>
                </c:pt>
              </c:numCache>
            </c:numRef>
          </c:val>
          <c:smooth val="0"/>
          <c:extLst>
            <c:ext xmlns:c16="http://schemas.microsoft.com/office/drawing/2014/chart" uri="{C3380CC4-5D6E-409C-BE32-E72D297353CC}">
              <c16:uniqueId val="{00000011-CAAC-4C12-ACBE-DF4D21941A67}"/>
            </c:ext>
          </c:extLst>
        </c:ser>
        <c:ser>
          <c:idx val="2"/>
          <c:order val="2"/>
          <c:tx>
            <c:v>Ukupan broj zgrada; linearni model</c:v>
          </c:tx>
          <c:spPr>
            <a:ln w="2222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2-CAAC-4C12-ACBE-DF4D21941A67}"/>
                </c:ext>
              </c:extLst>
            </c:dLbl>
            <c:dLbl>
              <c:idx val="1"/>
              <c:delete val="1"/>
              <c:extLst>
                <c:ext xmlns:c15="http://schemas.microsoft.com/office/drawing/2012/chart" uri="{CE6537A1-D6FC-4f65-9D91-7224C49458BB}"/>
                <c:ext xmlns:c16="http://schemas.microsoft.com/office/drawing/2014/chart" uri="{C3380CC4-5D6E-409C-BE32-E72D297353CC}">
                  <c16:uniqueId val="{00000013-CAAC-4C12-ACBE-DF4D21941A67}"/>
                </c:ext>
              </c:extLst>
            </c:dLbl>
            <c:dLbl>
              <c:idx val="2"/>
              <c:delete val="1"/>
              <c:extLst>
                <c:ext xmlns:c15="http://schemas.microsoft.com/office/drawing/2012/chart" uri="{CE6537A1-D6FC-4f65-9D91-7224C49458BB}"/>
                <c:ext xmlns:c16="http://schemas.microsoft.com/office/drawing/2014/chart" uri="{C3380CC4-5D6E-409C-BE32-E72D297353CC}">
                  <c16:uniqueId val="{00000014-CAAC-4C12-ACBE-DF4D21941A67}"/>
                </c:ext>
              </c:extLst>
            </c:dLbl>
            <c:dLbl>
              <c:idx val="3"/>
              <c:delete val="1"/>
              <c:extLst>
                <c:ext xmlns:c15="http://schemas.microsoft.com/office/drawing/2012/chart" uri="{CE6537A1-D6FC-4f65-9D91-7224C49458BB}"/>
                <c:ext xmlns:c16="http://schemas.microsoft.com/office/drawing/2014/chart" uri="{C3380CC4-5D6E-409C-BE32-E72D297353CC}">
                  <c16:uniqueId val="{00000015-CAAC-4C12-ACBE-DF4D21941A67}"/>
                </c:ext>
              </c:extLst>
            </c:dLbl>
            <c:dLbl>
              <c:idx val="4"/>
              <c:delete val="1"/>
              <c:extLst>
                <c:ext xmlns:c15="http://schemas.microsoft.com/office/drawing/2012/chart" uri="{CE6537A1-D6FC-4f65-9D91-7224C49458BB}"/>
                <c:ext xmlns:c16="http://schemas.microsoft.com/office/drawing/2014/chart" uri="{C3380CC4-5D6E-409C-BE32-E72D297353CC}">
                  <c16:uniqueId val="{00000016-CAAC-4C12-ACBE-DF4D21941A67}"/>
                </c:ext>
              </c:extLst>
            </c:dLbl>
            <c:dLbl>
              <c:idx val="5"/>
              <c:delete val="1"/>
              <c:extLst>
                <c:ext xmlns:c15="http://schemas.microsoft.com/office/drawing/2012/chart" uri="{CE6537A1-D6FC-4f65-9D91-7224C49458BB}"/>
                <c:ext xmlns:c16="http://schemas.microsoft.com/office/drawing/2014/chart" uri="{C3380CC4-5D6E-409C-BE32-E72D297353CC}">
                  <c16:uniqueId val="{00000017-CAAC-4C12-ACBE-DF4D21941A67}"/>
                </c:ext>
              </c:extLst>
            </c:dLbl>
            <c:dLbl>
              <c:idx val="6"/>
              <c:delete val="1"/>
              <c:extLst>
                <c:ext xmlns:c15="http://schemas.microsoft.com/office/drawing/2012/chart" uri="{CE6537A1-D6FC-4f65-9D91-7224C49458BB}"/>
                <c:ext xmlns:c16="http://schemas.microsoft.com/office/drawing/2014/chart" uri="{C3380CC4-5D6E-409C-BE32-E72D297353CC}">
                  <c16:uniqueId val="{00000018-CAAC-4C12-ACBE-DF4D21941A67}"/>
                </c:ext>
              </c:extLst>
            </c:dLbl>
            <c:dLbl>
              <c:idx val="7"/>
              <c:delete val="1"/>
              <c:extLst>
                <c:ext xmlns:c15="http://schemas.microsoft.com/office/drawing/2012/chart" uri="{CE6537A1-D6FC-4f65-9D91-7224C49458BB}"/>
                <c:ext xmlns:c16="http://schemas.microsoft.com/office/drawing/2014/chart" uri="{C3380CC4-5D6E-409C-BE32-E72D297353CC}">
                  <c16:uniqueId val="{00000019-CAAC-4C12-ACBE-DF4D21941A67}"/>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JAVNI_LEAP_LOG_2050!$X$3:$X$11</c:f>
              <c:strCache>
                <c:ptCount val="9"/>
                <c:pt idx="0">
                  <c:v>do 1945.</c:v>
                </c:pt>
                <c:pt idx="1">
                  <c:v>1946.-1965.</c:v>
                </c:pt>
                <c:pt idx="2">
                  <c:v>1966.-1973.</c:v>
                </c:pt>
                <c:pt idx="3">
                  <c:v>1974.-1987.</c:v>
                </c:pt>
                <c:pt idx="4">
                  <c:v>1988.-2009.</c:v>
                </c:pt>
                <c:pt idx="5">
                  <c:v>2010.-2016.</c:v>
                </c:pt>
                <c:pt idx="6">
                  <c:v>2017.-2027.</c:v>
                </c:pt>
                <c:pt idx="7">
                  <c:v>2028.-2038.</c:v>
                </c:pt>
                <c:pt idx="8">
                  <c:v>2039.-2050.</c:v>
                </c:pt>
              </c:strCache>
            </c:strRef>
          </c:cat>
          <c:val>
            <c:numRef>
              <c:f>JAVNI_LEAP_LOG_2050!$V$3:$V$11</c:f>
              <c:numCache>
                <c:formatCode>General</c:formatCode>
                <c:ptCount val="9"/>
                <c:pt idx="0">
                  <c:v>281</c:v>
                </c:pt>
                <c:pt idx="1">
                  <c:v>1422</c:v>
                </c:pt>
                <c:pt idx="2">
                  <c:v>2072</c:v>
                </c:pt>
                <c:pt idx="3">
                  <c:v>3464</c:v>
                </c:pt>
                <c:pt idx="4">
                  <c:v>4262</c:v>
                </c:pt>
                <c:pt idx="5">
                  <c:v>4419</c:v>
                </c:pt>
                <c:pt idx="6">
                  <c:v>4846</c:v>
                </c:pt>
                <c:pt idx="7">
                  <c:v>5222</c:v>
                </c:pt>
                <c:pt idx="8">
                  <c:v>5632</c:v>
                </c:pt>
              </c:numCache>
            </c:numRef>
          </c:val>
          <c:smooth val="0"/>
          <c:extLst>
            <c:ext xmlns:c16="http://schemas.microsoft.com/office/drawing/2014/chart" uri="{C3380CC4-5D6E-409C-BE32-E72D297353CC}">
              <c16:uniqueId val="{0000001A-CAAC-4C12-ACBE-DF4D21941A67}"/>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1.4957249351637685E-2"/>
              <c:y val="0.297141585471300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406644955993161"/>
          <c:y val="6.047279196988934E-2"/>
          <c:w val="0.28506910386890139"/>
          <c:h val="0.24077909534402575"/>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r-Latn-R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0.14687529990266018"/>
          <c:y val="6.6425068643895774E-2"/>
          <c:w val="0.81873823810328994"/>
          <c:h val="0.8219191593879529"/>
        </c:manualLayout>
      </c:layout>
      <c:barChart>
        <c:barDir val="col"/>
        <c:grouping val="clustered"/>
        <c:varyColors val="0"/>
        <c:ser>
          <c:idx val="0"/>
          <c:order val="0"/>
          <c:tx>
            <c:strRef>
              <c:f>Bespravni!$AE$21</c:f>
              <c:strCache>
                <c:ptCount val="1"/>
                <c:pt idx="0">
                  <c:v>Klimatska regija sjever</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Bespravni!$AG$20:$AH$20</c:f>
              <c:strCache>
                <c:ptCount val="2"/>
                <c:pt idx="0">
                  <c:v>Zgrade individualnog stanovanja </c:v>
                </c:pt>
                <c:pt idx="1">
                  <c:v>Zgrade kolektivnog stanovanja </c:v>
                </c:pt>
              </c:strCache>
            </c:strRef>
          </c:cat>
          <c:val>
            <c:numRef>
              <c:f>Bespravni!$AG$21:$AG$22</c:f>
              <c:numCache>
                <c:formatCode>#,##0</c:formatCode>
                <c:ptCount val="2"/>
                <c:pt idx="0">
                  <c:v>599387</c:v>
                </c:pt>
                <c:pt idx="1">
                  <c:v>15145</c:v>
                </c:pt>
              </c:numCache>
            </c:numRef>
          </c:val>
          <c:extLst>
            <c:ext xmlns:c16="http://schemas.microsoft.com/office/drawing/2014/chart" uri="{C3380CC4-5D6E-409C-BE32-E72D297353CC}">
              <c16:uniqueId val="{00000000-F3DF-445D-801C-73A740764F43}"/>
            </c:ext>
          </c:extLst>
        </c:ser>
        <c:ser>
          <c:idx val="1"/>
          <c:order val="1"/>
          <c:tx>
            <c:strRef>
              <c:f>Bespravni!$AE$22</c:f>
              <c:strCache>
                <c:ptCount val="1"/>
                <c:pt idx="0">
                  <c:v>Klimatska regija jug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Bespravni!$AG$20:$AH$20</c:f>
              <c:strCache>
                <c:ptCount val="2"/>
                <c:pt idx="0">
                  <c:v>Zgrade individualnog stanovanja </c:v>
                </c:pt>
                <c:pt idx="1">
                  <c:v>Zgrade kolektivnog stanovanja </c:v>
                </c:pt>
              </c:strCache>
            </c:strRef>
          </c:cat>
          <c:val>
            <c:numRef>
              <c:f>Bespravni!$AH$21:$AH$22</c:f>
              <c:numCache>
                <c:formatCode>#,##0</c:formatCode>
                <c:ptCount val="2"/>
                <c:pt idx="0">
                  <c:v>93919</c:v>
                </c:pt>
                <c:pt idx="1">
                  <c:v>3139</c:v>
                </c:pt>
              </c:numCache>
            </c:numRef>
          </c:val>
          <c:extLst>
            <c:ext xmlns:c16="http://schemas.microsoft.com/office/drawing/2014/chart" uri="{C3380CC4-5D6E-409C-BE32-E72D297353CC}">
              <c16:uniqueId val="{00000001-F3DF-445D-801C-73A740764F43}"/>
            </c:ext>
          </c:extLst>
        </c:ser>
        <c:dLbls>
          <c:showLegendKey val="0"/>
          <c:showVal val="0"/>
          <c:showCatName val="0"/>
          <c:showSerName val="0"/>
          <c:showPercent val="0"/>
          <c:showBubbleSize val="0"/>
        </c:dLbls>
        <c:gapWidth val="219"/>
        <c:axId val="1954506000"/>
        <c:axId val="1999058864"/>
      </c:barChart>
      <c:catAx>
        <c:axId val="195450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3.3630485700242253E-3"/>
              <c:y val="0.267460016305307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70002367231664242"/>
          <c:y val="7.4727294095022379E-2"/>
          <c:w val="0.26795581776886129"/>
          <c:h val="0.15547124368870061"/>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9.5285800023530487E-2"/>
          <c:y val="4.4715447154471545E-2"/>
          <c:w val="0.87729248652681335"/>
          <c:h val="0.78303486148356283"/>
        </c:manualLayout>
      </c:layout>
      <c:barChart>
        <c:barDir val="col"/>
        <c:grouping val="clustered"/>
        <c:varyColors val="0"/>
        <c:ser>
          <c:idx val="1"/>
          <c:order val="0"/>
          <c:tx>
            <c:v>Klimatska regija sjever </c:v>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Javni_REGIJE!$O$15:$U$15</c:f>
              <c:numCache>
                <c:formatCode>#,##0</c:formatCode>
                <c:ptCount val="7"/>
                <c:pt idx="0">
                  <c:v>88</c:v>
                </c:pt>
                <c:pt idx="1">
                  <c:v>136</c:v>
                </c:pt>
                <c:pt idx="2">
                  <c:v>149</c:v>
                </c:pt>
                <c:pt idx="3">
                  <c:v>411</c:v>
                </c:pt>
                <c:pt idx="4">
                  <c:v>430</c:v>
                </c:pt>
                <c:pt idx="5">
                  <c:v>1242</c:v>
                </c:pt>
                <c:pt idx="6">
                  <c:v>1337</c:v>
                </c:pt>
              </c:numCache>
            </c:numRef>
          </c:val>
          <c:extLst>
            <c:ext xmlns:c16="http://schemas.microsoft.com/office/drawing/2014/chart" uri="{C3380CC4-5D6E-409C-BE32-E72D297353CC}">
              <c16:uniqueId val="{00000000-6B96-4CE1-B88A-7C0B8BC50DA5}"/>
            </c:ext>
          </c:extLst>
        </c:ser>
        <c:ser>
          <c:idx val="0"/>
          <c:order val="1"/>
          <c:tx>
            <c:v>Klimatska regija jug </c:v>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Javni_REGIJE!$C$14:$I$14</c:f>
              <c:strCache>
                <c:ptCount val="7"/>
                <c:pt idx="0">
                  <c:v>Obdanište</c:v>
                </c:pt>
                <c:pt idx="1">
                  <c:v>Kultura</c:v>
                </c:pt>
                <c:pt idx="2">
                  <c:v>Cjelodnevni bor.</c:v>
                </c:pt>
                <c:pt idx="3">
                  <c:v>Zdravstvo</c:v>
                </c:pt>
                <c:pt idx="4">
                  <c:v>Sport</c:v>
                </c:pt>
                <c:pt idx="5">
                  <c:v>Obrazovanje</c:v>
                </c:pt>
                <c:pt idx="6">
                  <c:v>Administrativni</c:v>
                </c:pt>
              </c:strCache>
            </c:strRef>
          </c:cat>
          <c:val>
            <c:numRef>
              <c:f>Javni_REGIJE!$O$30:$U$30</c:f>
              <c:numCache>
                <c:formatCode>#,##0</c:formatCode>
                <c:ptCount val="7"/>
                <c:pt idx="0">
                  <c:v>23</c:v>
                </c:pt>
                <c:pt idx="1">
                  <c:v>26</c:v>
                </c:pt>
                <c:pt idx="2">
                  <c:v>31</c:v>
                </c:pt>
                <c:pt idx="3">
                  <c:v>83</c:v>
                </c:pt>
                <c:pt idx="4">
                  <c:v>75</c:v>
                </c:pt>
                <c:pt idx="5">
                  <c:v>273</c:v>
                </c:pt>
                <c:pt idx="6">
                  <c:v>304</c:v>
                </c:pt>
              </c:numCache>
            </c:numRef>
          </c:val>
          <c:extLst>
            <c:ext xmlns:c16="http://schemas.microsoft.com/office/drawing/2014/chart" uri="{C3380CC4-5D6E-409C-BE32-E72D297353CC}">
              <c16:uniqueId val="{00000001-6B96-4CE1-B88A-7C0B8BC50DA5}"/>
            </c:ext>
          </c:extLst>
        </c:ser>
        <c:dLbls>
          <c:showLegendKey val="0"/>
          <c:showVal val="0"/>
          <c:showCatName val="0"/>
          <c:showSerName val="0"/>
          <c:showPercent val="0"/>
          <c:showBubbleSize val="0"/>
        </c:dLbls>
        <c:gapWidth val="219"/>
        <c:axId val="1954506000"/>
        <c:axId val="1999058864"/>
      </c:barChart>
      <c:catAx>
        <c:axId val="1954506000"/>
        <c:scaling>
          <c:orientation val="minMax"/>
        </c:scaling>
        <c:delete val="0"/>
        <c:axPos val="b"/>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hr-HR" sz="1000" b="0" i="0" baseline="0">
                    <a:effectLst/>
                  </a:rPr>
                  <a:t>Namjena zgrade</a:t>
                </a:r>
                <a:endParaRPr lang="en-GB" sz="1000">
                  <a:effectLst/>
                </a:endParaRPr>
              </a:p>
            </c:rich>
          </c:tx>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baseline="30000"/>
              </a:p>
            </c:rich>
          </c:tx>
          <c:layout>
            <c:manualLayout>
              <c:xMode val="edge"/>
              <c:yMode val="edge"/>
              <c:x val="9.7007554018257638E-3"/>
              <c:y val="0.3018625165202504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0849644318860358"/>
          <c:y val="6.4056612903168206E-2"/>
          <c:w val="0.20930580337761656"/>
          <c:h val="0.17793811829214437"/>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r-Latn-R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83989653643843"/>
          <c:y val="4.4715447154471545E-2"/>
          <c:w val="0.81873823810328994"/>
          <c:h val="0.8219191593879529"/>
        </c:manualLayout>
      </c:layout>
      <c:barChart>
        <c:barDir val="col"/>
        <c:grouping val="clustered"/>
        <c:varyColors val="0"/>
        <c:ser>
          <c:idx val="0"/>
          <c:order val="0"/>
          <c:tx>
            <c:v>Urbana naselja</c:v>
          </c:tx>
          <c:spPr>
            <a:solidFill>
              <a:schemeClr val="accent6"/>
            </a:solidFill>
            <a:ln>
              <a:noFill/>
            </a:ln>
            <a:effectLst/>
          </c:spPr>
          <c:invertIfNegative val="0"/>
          <c:dLbls>
            <c:dLbl>
              <c:idx val="0"/>
              <c:layout>
                <c:manualLayout>
                  <c:x val="-1.392919326755658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FC-4D05-9198-12C09699E55C}"/>
                </c:ext>
              </c:extLst>
            </c:dLbl>
            <c:dLbl>
              <c:idx val="1"/>
              <c:layout>
                <c:manualLayout>
                  <c:x val="-6.964596633778293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FC-4D05-9198-12C09699E55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Ruralno_Urbano!$V$26:$X$26</c:f>
              <c:strCache>
                <c:ptCount val="3"/>
                <c:pt idx="0">
                  <c:v>Individualno stanovanje, SH</c:v>
                </c:pt>
                <c:pt idx="1">
                  <c:v>Individualno stanovanje, TH</c:v>
                </c:pt>
                <c:pt idx="2">
                  <c:v>Kolektivno stanovanje</c:v>
                </c:pt>
              </c:strCache>
            </c:strRef>
          </c:cat>
          <c:val>
            <c:numRef>
              <c:f>Ruralno_Urbano!$V$22:$X$22</c:f>
              <c:numCache>
                <c:formatCode>#,##0</c:formatCode>
                <c:ptCount val="3"/>
                <c:pt idx="0">
                  <c:v>286061</c:v>
                </c:pt>
                <c:pt idx="1">
                  <c:v>14140.498000000021</c:v>
                </c:pt>
                <c:pt idx="2">
                  <c:v>11884.6</c:v>
                </c:pt>
              </c:numCache>
            </c:numRef>
          </c:val>
          <c:extLst>
            <c:ext xmlns:c16="http://schemas.microsoft.com/office/drawing/2014/chart" uri="{C3380CC4-5D6E-409C-BE32-E72D297353CC}">
              <c16:uniqueId val="{00000002-05FC-4D05-9198-12C09699E55C}"/>
            </c:ext>
          </c:extLst>
        </c:ser>
        <c:ser>
          <c:idx val="1"/>
          <c:order val="1"/>
          <c:tx>
            <c:v>Ruralna naselja</c:v>
          </c:tx>
          <c:spPr>
            <a:solidFill>
              <a:schemeClr val="accent5"/>
            </a:solidFill>
            <a:ln>
              <a:noFill/>
            </a:ln>
            <a:effectLst/>
          </c:spPr>
          <c:invertIfNegative val="0"/>
          <c:dLbls>
            <c:dLbl>
              <c:idx val="1"/>
              <c:layout>
                <c:manualLayout>
                  <c:x val="1.1607661056297071E-2"/>
                  <c:y val="1.08548168249660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5FC-4D05-9198-12C09699E55C}"/>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Ruralno_Urbano!$V$26:$X$26</c:f>
              <c:strCache>
                <c:ptCount val="3"/>
                <c:pt idx="0">
                  <c:v>Individualno stanovanje, SH</c:v>
                </c:pt>
                <c:pt idx="1">
                  <c:v>Individualno stanovanje, TH</c:v>
                </c:pt>
                <c:pt idx="2">
                  <c:v>Kolektivno stanovanje</c:v>
                </c:pt>
              </c:strCache>
            </c:strRef>
          </c:cat>
          <c:val>
            <c:numRef>
              <c:f>Ruralno_Urbano!$V$23:$X$23</c:f>
              <c:numCache>
                <c:formatCode>#,##0</c:formatCode>
                <c:ptCount val="3"/>
                <c:pt idx="0">
                  <c:v>379275</c:v>
                </c:pt>
                <c:pt idx="1">
                  <c:v>13829.501999999979</c:v>
                </c:pt>
                <c:pt idx="2">
                  <c:v>6399.4</c:v>
                </c:pt>
              </c:numCache>
            </c:numRef>
          </c:val>
          <c:extLst>
            <c:ext xmlns:c16="http://schemas.microsoft.com/office/drawing/2014/chart" uri="{C3380CC4-5D6E-409C-BE32-E72D297353CC}">
              <c16:uniqueId val="{00000004-05FC-4D05-9198-12C09699E55C}"/>
            </c:ext>
          </c:extLst>
        </c:ser>
        <c:dLbls>
          <c:showLegendKey val="0"/>
          <c:showVal val="0"/>
          <c:showCatName val="0"/>
          <c:showSerName val="0"/>
          <c:showPercent val="0"/>
          <c:showBubbleSize val="0"/>
        </c:dLbls>
        <c:gapWidth val="219"/>
        <c:axId val="1954506000"/>
        <c:axId val="1999058864"/>
      </c:barChart>
      <c:catAx>
        <c:axId val="195450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3.3630485700242253E-3"/>
              <c:y val="0.267460016305307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70698826895042055"/>
          <c:y val="5.8445171493238933E-2"/>
          <c:w val="0.26795581776886129"/>
          <c:h val="0.15547124368870061"/>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9806196086966"/>
          <c:y val="3.5488094347203465E-2"/>
          <c:w val="0.86049894136730498"/>
          <c:h val="0.80495458019631116"/>
        </c:manualLayout>
      </c:layout>
      <c:lineChart>
        <c:grouping val="standard"/>
        <c:varyColors val="0"/>
        <c:ser>
          <c:idx val="0"/>
          <c:order val="0"/>
          <c:tx>
            <c:strRef>
              <c:f>Stambeni_ovojnica!$C$4</c:f>
              <c:strCache>
                <c:ptCount val="1"/>
                <c:pt idx="0">
                  <c:v>SH</c:v>
                </c:pt>
              </c:strCache>
            </c:strRef>
          </c:tx>
          <c:spPr>
            <a:ln w="12700" cap="rnd">
              <a:solidFill>
                <a:schemeClr val="accent1"/>
              </a:solidFill>
              <a:round/>
            </a:ln>
            <a:effectLst/>
          </c:spPr>
          <c:marker>
            <c:symbol val="circle"/>
            <c:size val="5"/>
            <c:spPr>
              <a:solidFill>
                <a:schemeClr val="accent1"/>
              </a:solidFill>
              <a:ln w="9525">
                <a:solidFill>
                  <a:schemeClr val="accent1"/>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Stambeni_ovojnica!$C$5:$C$11</c:f>
              <c:numCache>
                <c:formatCode>0.00</c:formatCode>
                <c:ptCount val="7"/>
                <c:pt idx="0">
                  <c:v>1.1000000000000001</c:v>
                </c:pt>
                <c:pt idx="1">
                  <c:v>1.7</c:v>
                </c:pt>
                <c:pt idx="2">
                  <c:v>1.7</c:v>
                </c:pt>
                <c:pt idx="3">
                  <c:v>1.64</c:v>
                </c:pt>
                <c:pt idx="4">
                  <c:v>0.5</c:v>
                </c:pt>
                <c:pt idx="5">
                  <c:v>0.52</c:v>
                </c:pt>
                <c:pt idx="6">
                  <c:v>0.39</c:v>
                </c:pt>
              </c:numCache>
            </c:numRef>
          </c:val>
          <c:smooth val="0"/>
          <c:extLst>
            <c:ext xmlns:c16="http://schemas.microsoft.com/office/drawing/2014/chart" uri="{C3380CC4-5D6E-409C-BE32-E72D297353CC}">
              <c16:uniqueId val="{00000000-F85E-479A-B3EC-19827AC7DE4B}"/>
            </c:ext>
          </c:extLst>
        </c:ser>
        <c:ser>
          <c:idx val="4"/>
          <c:order val="1"/>
          <c:tx>
            <c:strRef>
              <c:f>Stambeni_ovojnica!$D$4</c:f>
              <c:strCache>
                <c:ptCount val="1"/>
                <c:pt idx="0">
                  <c:v>TH</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Stambeni_ovojnica!$D$5:$D$11</c:f>
              <c:numCache>
                <c:formatCode>0.00</c:formatCode>
                <c:ptCount val="7"/>
                <c:pt idx="0">
                  <c:v>0.93</c:v>
                </c:pt>
                <c:pt idx="1">
                  <c:v>1.87</c:v>
                </c:pt>
                <c:pt idx="2">
                  <c:v>1.58</c:v>
                </c:pt>
                <c:pt idx="3">
                  <c:v>1.29</c:v>
                </c:pt>
                <c:pt idx="4">
                  <c:v>1.3</c:v>
                </c:pt>
                <c:pt idx="6">
                  <c:v>0.39</c:v>
                </c:pt>
              </c:numCache>
            </c:numRef>
          </c:val>
          <c:smooth val="0"/>
          <c:extLst>
            <c:ext xmlns:c16="http://schemas.microsoft.com/office/drawing/2014/chart" uri="{C3380CC4-5D6E-409C-BE32-E72D297353CC}">
              <c16:uniqueId val="{00000001-F85E-479A-B3EC-19827AC7DE4B}"/>
            </c:ext>
          </c:extLst>
        </c:ser>
        <c:ser>
          <c:idx val="6"/>
          <c:order val="2"/>
          <c:tx>
            <c:strRef>
              <c:f>Stambeni_ovojnica!$E$4</c:f>
              <c:strCache>
                <c:ptCount val="1"/>
                <c:pt idx="0">
                  <c:v>MF</c:v>
                </c:pt>
              </c:strCache>
            </c:strRef>
          </c:tx>
          <c:spPr>
            <a:ln w="12700" cap="rnd">
              <a:solidFill>
                <a:schemeClr val="bg2">
                  <a:lumMod val="50000"/>
                </a:schemeClr>
              </a:solidFill>
              <a:round/>
            </a:ln>
            <a:effectLst/>
          </c:spPr>
          <c:marker>
            <c:symbol val="circle"/>
            <c:size val="5"/>
            <c:spPr>
              <a:solidFill>
                <a:schemeClr val="bg2">
                  <a:lumMod val="50000"/>
                </a:schemeClr>
              </a:solidFill>
              <a:ln w="9525">
                <a:solidFill>
                  <a:schemeClr val="bg2">
                    <a:lumMod val="50000"/>
                  </a:schemeClr>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Stambeni_ovojnica!$E$5:$E$11</c:f>
              <c:numCache>
                <c:formatCode>0.00</c:formatCode>
                <c:ptCount val="7"/>
                <c:pt idx="0">
                  <c:v>1.05</c:v>
                </c:pt>
                <c:pt idx="1">
                  <c:v>1.04</c:v>
                </c:pt>
                <c:pt idx="2">
                  <c:v>1.88</c:v>
                </c:pt>
                <c:pt idx="3">
                  <c:v>1.04</c:v>
                </c:pt>
                <c:pt idx="4">
                  <c:v>1.45</c:v>
                </c:pt>
                <c:pt idx="5">
                  <c:v>0.66</c:v>
                </c:pt>
                <c:pt idx="6">
                  <c:v>0.39</c:v>
                </c:pt>
              </c:numCache>
            </c:numRef>
          </c:val>
          <c:smooth val="0"/>
          <c:extLst>
            <c:ext xmlns:c16="http://schemas.microsoft.com/office/drawing/2014/chart" uri="{C3380CC4-5D6E-409C-BE32-E72D297353CC}">
              <c16:uniqueId val="{00000002-F85E-479A-B3EC-19827AC7DE4B}"/>
            </c:ext>
          </c:extLst>
        </c:ser>
        <c:ser>
          <c:idx val="2"/>
          <c:order val="3"/>
          <c:tx>
            <c:strRef>
              <c:f>Stambeni_ovojnica!$F$4</c:f>
              <c:strCache>
                <c:ptCount val="1"/>
                <c:pt idx="0">
                  <c:v>AB1</c:v>
                </c:pt>
              </c:strCache>
            </c:strRef>
          </c:tx>
          <c:spPr>
            <a:ln w="12700" cap="rnd">
              <a:solidFill>
                <a:schemeClr val="accent3"/>
              </a:solidFill>
              <a:round/>
            </a:ln>
            <a:effectLst/>
          </c:spPr>
          <c:marker>
            <c:symbol val="circle"/>
            <c:size val="5"/>
            <c:spPr>
              <a:solidFill>
                <a:schemeClr val="accent3"/>
              </a:solidFill>
              <a:ln w="9525">
                <a:solidFill>
                  <a:schemeClr val="accent3"/>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Stambeni_ovojnica!$F$5:$F$11</c:f>
              <c:numCache>
                <c:formatCode>0.00</c:formatCode>
                <c:ptCount val="7"/>
                <c:pt idx="0">
                  <c:v>1.3</c:v>
                </c:pt>
                <c:pt idx="1">
                  <c:v>1.5</c:v>
                </c:pt>
                <c:pt idx="2">
                  <c:v>1.79</c:v>
                </c:pt>
                <c:pt idx="4">
                  <c:v>0.49</c:v>
                </c:pt>
                <c:pt idx="5">
                  <c:v>0.36</c:v>
                </c:pt>
                <c:pt idx="6">
                  <c:v>0.39</c:v>
                </c:pt>
              </c:numCache>
            </c:numRef>
          </c:val>
          <c:smooth val="0"/>
          <c:extLst>
            <c:ext xmlns:c16="http://schemas.microsoft.com/office/drawing/2014/chart" uri="{C3380CC4-5D6E-409C-BE32-E72D297353CC}">
              <c16:uniqueId val="{00000003-F85E-479A-B3EC-19827AC7DE4B}"/>
            </c:ext>
          </c:extLst>
        </c:ser>
        <c:ser>
          <c:idx val="3"/>
          <c:order val="4"/>
          <c:tx>
            <c:strRef>
              <c:f>Stambeni_ovojnica!$G$4</c:f>
              <c:strCache>
                <c:ptCount val="1"/>
                <c:pt idx="0">
                  <c:v>AB2</c:v>
                </c:pt>
              </c:strCache>
            </c:strRef>
          </c:tx>
          <c:spPr>
            <a:ln w="12700" cap="rnd">
              <a:solidFill>
                <a:schemeClr val="accent4"/>
              </a:solidFill>
              <a:round/>
            </a:ln>
            <a:effectLst/>
          </c:spPr>
          <c:marker>
            <c:symbol val="circle"/>
            <c:size val="5"/>
            <c:spPr>
              <a:solidFill>
                <a:schemeClr val="accent4"/>
              </a:solidFill>
              <a:ln w="9525">
                <a:solidFill>
                  <a:schemeClr val="accent4"/>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Stambeni_ovojnica!$G$5:$G$11</c:f>
              <c:numCache>
                <c:formatCode>0.00</c:formatCode>
                <c:ptCount val="7"/>
                <c:pt idx="1">
                  <c:v>1.37</c:v>
                </c:pt>
                <c:pt idx="2">
                  <c:v>2.31</c:v>
                </c:pt>
                <c:pt idx="3">
                  <c:v>1.1299999999999999</c:v>
                </c:pt>
                <c:pt idx="4">
                  <c:v>0.49</c:v>
                </c:pt>
                <c:pt idx="5">
                  <c:v>0.55000000000000004</c:v>
                </c:pt>
                <c:pt idx="6">
                  <c:v>0.39</c:v>
                </c:pt>
              </c:numCache>
            </c:numRef>
          </c:val>
          <c:smooth val="0"/>
          <c:extLst>
            <c:ext xmlns:c16="http://schemas.microsoft.com/office/drawing/2014/chart" uri="{C3380CC4-5D6E-409C-BE32-E72D297353CC}">
              <c16:uniqueId val="{00000004-F85E-479A-B3EC-19827AC7DE4B}"/>
            </c:ext>
          </c:extLst>
        </c:ser>
        <c:ser>
          <c:idx val="1"/>
          <c:order val="5"/>
          <c:tx>
            <c:strRef>
              <c:f>Stambeni_ovojnica!$H$4</c:f>
              <c:strCache>
                <c:ptCount val="1"/>
                <c:pt idx="0">
                  <c:v>H</c:v>
                </c:pt>
              </c:strCache>
            </c:strRef>
          </c:tx>
          <c:spPr>
            <a:ln w="12700" cap="rnd">
              <a:solidFill>
                <a:schemeClr val="accent2"/>
              </a:solidFill>
              <a:round/>
            </a:ln>
            <a:effectLst/>
          </c:spPr>
          <c:marker>
            <c:symbol val="circle"/>
            <c:size val="5"/>
            <c:spPr>
              <a:solidFill>
                <a:schemeClr val="accent2"/>
              </a:solidFill>
              <a:ln w="9525">
                <a:solidFill>
                  <a:schemeClr val="accent2"/>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Stambeni_ovojnica!$H$5:$H$10</c:f>
              <c:numCache>
                <c:formatCode>General</c:formatCode>
                <c:ptCount val="6"/>
                <c:pt idx="2" formatCode="0.00">
                  <c:v>1.71</c:v>
                </c:pt>
                <c:pt idx="3" formatCode="0.00">
                  <c:v>0.94</c:v>
                </c:pt>
              </c:numCache>
            </c:numRef>
          </c:val>
          <c:smooth val="0"/>
          <c:extLst>
            <c:ext xmlns:c16="http://schemas.microsoft.com/office/drawing/2014/chart" uri="{C3380CC4-5D6E-409C-BE32-E72D297353CC}">
              <c16:uniqueId val="{00000005-F85E-479A-B3EC-19827AC7DE4B}"/>
            </c:ext>
          </c:extLst>
        </c:ser>
        <c:ser>
          <c:idx val="5"/>
          <c:order val="6"/>
          <c:tx>
            <c:v>Prosjek</c:v>
          </c:tx>
          <c:spPr>
            <a:ln w="19050"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9.2753606252907253E-3"/>
                  <c:y val="6.3734841646520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5E-479A-B3EC-19827AC7DE4B}"/>
                </c:ext>
              </c:extLst>
            </c:dLbl>
            <c:dLbl>
              <c:idx val="3"/>
              <c:layout>
                <c:manualLayout>
                  <c:x val="2.3188401563226072E-3"/>
                  <c:y val="-9.34777677482296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5E-479A-B3EC-19827AC7DE4B}"/>
                </c:ext>
              </c:extLst>
            </c:dLbl>
            <c:dLbl>
              <c:idx val="4"/>
              <c:layout>
                <c:manualLayout>
                  <c:x val="-9.2753606252907687E-3"/>
                  <c:y val="-2.54939366586080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5E-479A-B3EC-19827AC7DE4B}"/>
                </c:ext>
              </c:extLst>
            </c:dLbl>
            <c:dLbl>
              <c:idx val="5"/>
              <c:layout>
                <c:manualLayout>
                  <c:x val="-1.159420078161363E-2"/>
                  <c:y val="-8.07307994189256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5E-479A-B3EC-19827AC7DE4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Stambeni_ovojnica!$I$5:$I$11</c:f>
              <c:numCache>
                <c:formatCode>0.00</c:formatCode>
                <c:ptCount val="7"/>
                <c:pt idx="0">
                  <c:v>1.095</c:v>
                </c:pt>
                <c:pt idx="1">
                  <c:v>1.496</c:v>
                </c:pt>
                <c:pt idx="2">
                  <c:v>1.8283333333333331</c:v>
                </c:pt>
                <c:pt idx="3">
                  <c:v>1.2079999999999997</c:v>
                </c:pt>
                <c:pt idx="4">
                  <c:v>0.84600000000000009</c:v>
                </c:pt>
                <c:pt idx="5">
                  <c:v>0.52249999999999996</c:v>
                </c:pt>
                <c:pt idx="6">
                  <c:v>0.39</c:v>
                </c:pt>
              </c:numCache>
            </c:numRef>
          </c:val>
          <c:smooth val="0"/>
          <c:extLst>
            <c:ext xmlns:c16="http://schemas.microsoft.com/office/drawing/2014/chart" uri="{C3380CC4-5D6E-409C-BE32-E72D297353CC}">
              <c16:uniqueId val="{0000000A-F85E-479A-B3EC-19827AC7DE4B}"/>
            </c:ext>
          </c:extLst>
        </c:ser>
        <c:dLbls>
          <c:showLegendKey val="0"/>
          <c:showVal val="0"/>
          <c:showCatName val="0"/>
          <c:showSerName val="0"/>
          <c:showPercent val="0"/>
          <c:showBubbleSize val="0"/>
        </c:dLbls>
        <c:marker val="1"/>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1"/>
        <c:noMultiLvlLbl val="0"/>
      </c:catAx>
      <c:valAx>
        <c:axId val="1999058864"/>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Koeficijent prolaza toplote, W/m</a:t>
                </a:r>
                <a:r>
                  <a:rPr lang="hr-HR" baseline="30000"/>
                  <a:t>2</a:t>
                </a:r>
                <a:r>
                  <a:rPr lang="hr-HR"/>
                  <a:t>K</a:t>
                </a:r>
                <a:endParaRPr lang="en-GB"/>
              </a:p>
            </c:rich>
          </c:tx>
          <c:layout>
            <c:manualLayout>
              <c:xMode val="edge"/>
              <c:yMode val="edge"/>
              <c:x val="1.0319569038992301E-2"/>
              <c:y val="0.116493977242922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7312825778783381"/>
          <c:y val="5.4612950660399652E-2"/>
          <c:w val="0.76528809489205163"/>
          <c:h val="9.8176082520686506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r-Latn-R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9806196086966"/>
          <c:y val="3.5488094347203465E-2"/>
          <c:w val="0.86049894136730498"/>
          <c:h val="0.81896157781291579"/>
        </c:manualLayout>
      </c:layout>
      <c:lineChart>
        <c:grouping val="standard"/>
        <c:varyColors val="0"/>
        <c:ser>
          <c:idx val="0"/>
          <c:order val="0"/>
          <c:tx>
            <c:strRef>
              <c:f>Stambeni_ovojnica!$C$4</c:f>
              <c:strCache>
                <c:ptCount val="1"/>
                <c:pt idx="0">
                  <c:v>SH</c:v>
                </c:pt>
              </c:strCache>
            </c:strRef>
          </c:tx>
          <c:spPr>
            <a:ln w="12700" cap="rnd">
              <a:solidFill>
                <a:schemeClr val="accent1"/>
              </a:solidFill>
              <a:round/>
            </a:ln>
            <a:effectLst/>
          </c:spPr>
          <c:marker>
            <c:symbol val="circle"/>
            <c:size val="5"/>
            <c:spPr>
              <a:solidFill>
                <a:schemeClr val="accent1"/>
              </a:solidFill>
              <a:ln w="9525">
                <a:solidFill>
                  <a:schemeClr val="accent1"/>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Stambeni_ovojnica!$C$19:$C$25</c:f>
              <c:numCache>
                <c:formatCode>0.00</c:formatCode>
                <c:ptCount val="7"/>
                <c:pt idx="0">
                  <c:v>3.5</c:v>
                </c:pt>
                <c:pt idx="1">
                  <c:v>3.09</c:v>
                </c:pt>
                <c:pt idx="2">
                  <c:v>3</c:v>
                </c:pt>
                <c:pt idx="3">
                  <c:v>3</c:v>
                </c:pt>
                <c:pt idx="4">
                  <c:v>2.93</c:v>
                </c:pt>
                <c:pt idx="5">
                  <c:v>2.85</c:v>
                </c:pt>
                <c:pt idx="6">
                  <c:v>1.39</c:v>
                </c:pt>
              </c:numCache>
            </c:numRef>
          </c:val>
          <c:smooth val="0"/>
          <c:extLst>
            <c:ext xmlns:c16="http://schemas.microsoft.com/office/drawing/2014/chart" uri="{C3380CC4-5D6E-409C-BE32-E72D297353CC}">
              <c16:uniqueId val="{00000000-2CF2-44B7-B95C-038ADF653D8D}"/>
            </c:ext>
          </c:extLst>
        </c:ser>
        <c:ser>
          <c:idx val="4"/>
          <c:order val="1"/>
          <c:tx>
            <c:strRef>
              <c:f>Stambeni_ovojnica!$D$4</c:f>
              <c:strCache>
                <c:ptCount val="1"/>
                <c:pt idx="0">
                  <c:v>TH</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Stambeni_ovojnica!$D$19:$D$25</c:f>
              <c:numCache>
                <c:formatCode>0.00</c:formatCode>
                <c:ptCount val="7"/>
                <c:pt idx="0">
                  <c:v>5.2</c:v>
                </c:pt>
                <c:pt idx="1">
                  <c:v>3.5</c:v>
                </c:pt>
                <c:pt idx="2">
                  <c:v>2.9</c:v>
                </c:pt>
                <c:pt idx="3">
                  <c:v>2.91</c:v>
                </c:pt>
                <c:pt idx="4">
                  <c:v>3</c:v>
                </c:pt>
                <c:pt idx="6">
                  <c:v>1.39</c:v>
                </c:pt>
              </c:numCache>
            </c:numRef>
          </c:val>
          <c:smooth val="0"/>
          <c:extLst>
            <c:ext xmlns:c16="http://schemas.microsoft.com/office/drawing/2014/chart" uri="{C3380CC4-5D6E-409C-BE32-E72D297353CC}">
              <c16:uniqueId val="{00000001-2CF2-44B7-B95C-038ADF653D8D}"/>
            </c:ext>
          </c:extLst>
        </c:ser>
        <c:ser>
          <c:idx val="6"/>
          <c:order val="2"/>
          <c:tx>
            <c:strRef>
              <c:f>Stambeni_ovojnica!$E$4</c:f>
              <c:strCache>
                <c:ptCount val="1"/>
                <c:pt idx="0">
                  <c:v>MF</c:v>
                </c:pt>
              </c:strCache>
            </c:strRef>
          </c:tx>
          <c:spPr>
            <a:ln w="12700" cap="rnd">
              <a:solidFill>
                <a:schemeClr val="accent1">
                  <a:lumMod val="60000"/>
                </a:schemeClr>
              </a:solidFill>
              <a:round/>
            </a:ln>
            <a:effectLst/>
          </c:spPr>
          <c:marker>
            <c:symbol val="circle"/>
            <c:size val="5"/>
            <c:spPr>
              <a:solidFill>
                <a:schemeClr val="bg2">
                  <a:lumMod val="50000"/>
                </a:schemeClr>
              </a:solidFill>
              <a:ln w="9525">
                <a:solidFill>
                  <a:schemeClr val="bg2">
                    <a:lumMod val="50000"/>
                  </a:schemeClr>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Stambeni_ovojnica!$E$19:$E$25</c:f>
              <c:numCache>
                <c:formatCode>0.00</c:formatCode>
                <c:ptCount val="7"/>
                <c:pt idx="0">
                  <c:v>3.5</c:v>
                </c:pt>
                <c:pt idx="1">
                  <c:v>5.27</c:v>
                </c:pt>
                <c:pt idx="2">
                  <c:v>4.5</c:v>
                </c:pt>
                <c:pt idx="3">
                  <c:v>2.92</c:v>
                </c:pt>
                <c:pt idx="4">
                  <c:v>2.94</c:v>
                </c:pt>
                <c:pt idx="5">
                  <c:v>2.2000000000000002</c:v>
                </c:pt>
                <c:pt idx="6">
                  <c:v>1.39</c:v>
                </c:pt>
              </c:numCache>
            </c:numRef>
          </c:val>
          <c:smooth val="0"/>
          <c:extLst>
            <c:ext xmlns:c16="http://schemas.microsoft.com/office/drawing/2014/chart" uri="{C3380CC4-5D6E-409C-BE32-E72D297353CC}">
              <c16:uniqueId val="{00000002-2CF2-44B7-B95C-038ADF653D8D}"/>
            </c:ext>
          </c:extLst>
        </c:ser>
        <c:ser>
          <c:idx val="2"/>
          <c:order val="3"/>
          <c:tx>
            <c:strRef>
              <c:f>Stambeni_ovojnica!$F$4</c:f>
              <c:strCache>
                <c:ptCount val="1"/>
                <c:pt idx="0">
                  <c:v>AB1</c:v>
                </c:pt>
              </c:strCache>
            </c:strRef>
          </c:tx>
          <c:spPr>
            <a:ln w="12700" cap="rnd">
              <a:solidFill>
                <a:schemeClr val="accent3"/>
              </a:solidFill>
              <a:round/>
            </a:ln>
            <a:effectLst/>
          </c:spPr>
          <c:marker>
            <c:symbol val="circle"/>
            <c:size val="5"/>
            <c:spPr>
              <a:solidFill>
                <a:schemeClr val="accent3"/>
              </a:solidFill>
              <a:ln w="9525">
                <a:solidFill>
                  <a:schemeClr val="accent3"/>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Stambeni_ovojnica!$F$19:$F$25</c:f>
              <c:numCache>
                <c:formatCode>0.00</c:formatCode>
                <c:ptCount val="7"/>
                <c:pt idx="0">
                  <c:v>3</c:v>
                </c:pt>
                <c:pt idx="1">
                  <c:v>3.5</c:v>
                </c:pt>
                <c:pt idx="2">
                  <c:v>3.5</c:v>
                </c:pt>
                <c:pt idx="4">
                  <c:v>3.5</c:v>
                </c:pt>
                <c:pt idx="5">
                  <c:v>2.2000000000000002</c:v>
                </c:pt>
                <c:pt idx="6">
                  <c:v>1.39</c:v>
                </c:pt>
              </c:numCache>
            </c:numRef>
          </c:val>
          <c:smooth val="0"/>
          <c:extLst>
            <c:ext xmlns:c16="http://schemas.microsoft.com/office/drawing/2014/chart" uri="{C3380CC4-5D6E-409C-BE32-E72D297353CC}">
              <c16:uniqueId val="{00000003-2CF2-44B7-B95C-038ADF653D8D}"/>
            </c:ext>
          </c:extLst>
        </c:ser>
        <c:ser>
          <c:idx val="3"/>
          <c:order val="4"/>
          <c:tx>
            <c:strRef>
              <c:f>Stambeni_ovojnica!$G$4</c:f>
              <c:strCache>
                <c:ptCount val="1"/>
                <c:pt idx="0">
                  <c:v>AB2</c:v>
                </c:pt>
              </c:strCache>
            </c:strRef>
          </c:tx>
          <c:spPr>
            <a:ln w="12700" cap="rnd">
              <a:solidFill>
                <a:schemeClr val="accent4"/>
              </a:solidFill>
              <a:round/>
            </a:ln>
            <a:effectLst/>
          </c:spPr>
          <c:marker>
            <c:symbol val="circle"/>
            <c:size val="5"/>
            <c:spPr>
              <a:solidFill>
                <a:schemeClr val="accent4"/>
              </a:solidFill>
              <a:ln w="9525">
                <a:solidFill>
                  <a:schemeClr val="accent4"/>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Stambeni_ovojnica!$G$19:$G$25</c:f>
              <c:numCache>
                <c:formatCode>0.00</c:formatCode>
                <c:ptCount val="7"/>
                <c:pt idx="1">
                  <c:v>3.6</c:v>
                </c:pt>
                <c:pt idx="2">
                  <c:v>4.5</c:v>
                </c:pt>
                <c:pt idx="3">
                  <c:v>3</c:v>
                </c:pt>
                <c:pt idx="4">
                  <c:v>3</c:v>
                </c:pt>
                <c:pt idx="5">
                  <c:v>2.59</c:v>
                </c:pt>
                <c:pt idx="6">
                  <c:v>1.39</c:v>
                </c:pt>
              </c:numCache>
            </c:numRef>
          </c:val>
          <c:smooth val="0"/>
          <c:extLst>
            <c:ext xmlns:c16="http://schemas.microsoft.com/office/drawing/2014/chart" uri="{C3380CC4-5D6E-409C-BE32-E72D297353CC}">
              <c16:uniqueId val="{00000004-2CF2-44B7-B95C-038ADF653D8D}"/>
            </c:ext>
          </c:extLst>
        </c:ser>
        <c:ser>
          <c:idx val="1"/>
          <c:order val="5"/>
          <c:tx>
            <c:strRef>
              <c:f>Stambeni_ovojnica!$H$4</c:f>
              <c:strCache>
                <c:ptCount val="1"/>
                <c:pt idx="0">
                  <c:v>H</c:v>
                </c:pt>
              </c:strCache>
            </c:strRef>
          </c:tx>
          <c:spPr>
            <a:ln w="12700" cap="rnd">
              <a:solidFill>
                <a:schemeClr val="accent2"/>
              </a:solidFill>
              <a:round/>
            </a:ln>
            <a:effectLst/>
          </c:spPr>
          <c:marker>
            <c:symbol val="circle"/>
            <c:size val="5"/>
            <c:spPr>
              <a:solidFill>
                <a:schemeClr val="accent2"/>
              </a:solidFill>
              <a:ln w="9525">
                <a:solidFill>
                  <a:schemeClr val="accent2"/>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Stambeni_ovojnica!$H$19:$H$24</c:f>
              <c:numCache>
                <c:formatCode>General</c:formatCode>
                <c:ptCount val="6"/>
                <c:pt idx="2" formatCode="0.00">
                  <c:v>3.09</c:v>
                </c:pt>
                <c:pt idx="3" formatCode="0.00">
                  <c:v>3.14</c:v>
                </c:pt>
              </c:numCache>
            </c:numRef>
          </c:val>
          <c:smooth val="0"/>
          <c:extLst>
            <c:ext xmlns:c16="http://schemas.microsoft.com/office/drawing/2014/chart" uri="{C3380CC4-5D6E-409C-BE32-E72D297353CC}">
              <c16:uniqueId val="{00000005-2CF2-44B7-B95C-038ADF653D8D}"/>
            </c:ext>
          </c:extLst>
        </c:ser>
        <c:ser>
          <c:idx val="5"/>
          <c:order val="6"/>
          <c:tx>
            <c:v>Prosjek</c:v>
          </c:tx>
          <c:spPr>
            <a:ln w="19050"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2.7826081875872325E-2"/>
                  <c:y val="-5.1118193716487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CF2-44B7-B95C-038ADF653D8D}"/>
                </c:ext>
              </c:extLst>
            </c:dLbl>
            <c:dLbl>
              <c:idx val="1"/>
              <c:layout>
                <c:manualLayout>
                  <c:x val="-2.0869561406904269E-2"/>
                  <c:y val="-5.1118193716487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CF2-44B7-B95C-038ADF653D8D}"/>
                </c:ext>
              </c:extLst>
            </c:dLbl>
            <c:dLbl>
              <c:idx val="3"/>
              <c:layout>
                <c:manualLayout>
                  <c:x val="-8.50231568704019E-17"/>
                  <c:y val="-4.6858344240113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CF2-44B7-B95C-038ADF653D8D}"/>
                </c:ext>
              </c:extLst>
            </c:dLbl>
            <c:dLbl>
              <c:idx val="4"/>
              <c:layout>
                <c:manualLayout>
                  <c:x val="-2.7826081875872304E-2"/>
                  <c:y val="-4.6858344240113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CF2-44B7-B95C-038ADF653D8D}"/>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Stambeni_ovojnica!$I$19:$I$25</c:f>
              <c:numCache>
                <c:formatCode>0.00</c:formatCode>
                <c:ptCount val="7"/>
                <c:pt idx="0">
                  <c:v>3.8</c:v>
                </c:pt>
                <c:pt idx="1">
                  <c:v>3.7920000000000003</c:v>
                </c:pt>
                <c:pt idx="2">
                  <c:v>3.5816666666666666</c:v>
                </c:pt>
                <c:pt idx="3">
                  <c:v>2.9940000000000002</c:v>
                </c:pt>
                <c:pt idx="4">
                  <c:v>3.0739999999999998</c:v>
                </c:pt>
                <c:pt idx="5">
                  <c:v>2.46</c:v>
                </c:pt>
                <c:pt idx="6">
                  <c:v>1.39</c:v>
                </c:pt>
              </c:numCache>
            </c:numRef>
          </c:val>
          <c:smooth val="0"/>
          <c:extLst>
            <c:ext xmlns:c16="http://schemas.microsoft.com/office/drawing/2014/chart" uri="{C3380CC4-5D6E-409C-BE32-E72D297353CC}">
              <c16:uniqueId val="{0000000A-2CF2-44B7-B95C-038ADF653D8D}"/>
            </c:ext>
          </c:extLst>
        </c:ser>
        <c:dLbls>
          <c:showLegendKey val="0"/>
          <c:showVal val="0"/>
          <c:showCatName val="0"/>
          <c:showSerName val="0"/>
          <c:showPercent val="0"/>
          <c:showBubbleSize val="0"/>
        </c:dLbls>
        <c:marker val="1"/>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1"/>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hr-HR"/>
                  <a:t>Koeficijent prolaza toplote, W/m2K</a:t>
                </a:r>
                <a:endParaRPr lang="en-GB"/>
              </a:p>
            </c:rich>
          </c:tx>
          <c:layout>
            <c:manualLayout>
              <c:xMode val="edge"/>
              <c:yMode val="edge"/>
              <c:x val="1.0319569038992301E-2"/>
              <c:y val="0.1164939772429221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5225869638092956"/>
          <c:y val="0.78304720785314996"/>
          <c:w val="0.76528809489205163"/>
          <c:h val="8.9834187874791291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497092592592592"/>
          <c:y val="4.4345690615864207E-2"/>
          <c:w val="0.78137833333333329"/>
          <c:h val="0.80515501407113155"/>
        </c:manualLayout>
      </c:layout>
      <c:lineChart>
        <c:grouping val="standard"/>
        <c:varyColors val="0"/>
        <c:ser>
          <c:idx val="1"/>
          <c:order val="0"/>
          <c:tx>
            <c:v>Logistički model</c:v>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0447-4573-9E90-51E41EA01488}"/>
                </c:ext>
              </c:extLst>
            </c:dLbl>
            <c:dLbl>
              <c:idx val="1"/>
              <c:delete val="1"/>
              <c:extLst>
                <c:ext xmlns:c15="http://schemas.microsoft.com/office/drawing/2012/chart" uri="{CE6537A1-D6FC-4f65-9D91-7224C49458BB}"/>
                <c:ext xmlns:c16="http://schemas.microsoft.com/office/drawing/2014/chart" uri="{C3380CC4-5D6E-409C-BE32-E72D297353CC}">
                  <c16:uniqueId val="{00000001-0447-4573-9E90-51E41EA01488}"/>
                </c:ext>
              </c:extLst>
            </c:dLbl>
            <c:dLbl>
              <c:idx val="2"/>
              <c:delete val="1"/>
              <c:extLst>
                <c:ext xmlns:c15="http://schemas.microsoft.com/office/drawing/2012/chart" uri="{CE6537A1-D6FC-4f65-9D91-7224C49458BB}"/>
                <c:ext xmlns:c16="http://schemas.microsoft.com/office/drawing/2014/chart" uri="{C3380CC4-5D6E-409C-BE32-E72D297353CC}">
                  <c16:uniqueId val="{00000002-0447-4573-9E90-51E41EA01488}"/>
                </c:ext>
              </c:extLst>
            </c:dLbl>
            <c:dLbl>
              <c:idx val="3"/>
              <c:delete val="1"/>
              <c:extLst>
                <c:ext xmlns:c15="http://schemas.microsoft.com/office/drawing/2012/chart" uri="{CE6537A1-D6FC-4f65-9D91-7224C49458BB}"/>
                <c:ext xmlns:c16="http://schemas.microsoft.com/office/drawing/2014/chart" uri="{C3380CC4-5D6E-409C-BE32-E72D297353CC}">
                  <c16:uniqueId val="{00000003-0447-4573-9E90-51E41EA01488}"/>
                </c:ext>
              </c:extLst>
            </c:dLbl>
            <c:dLbl>
              <c:idx val="4"/>
              <c:delete val="1"/>
              <c:extLst>
                <c:ext xmlns:c15="http://schemas.microsoft.com/office/drawing/2012/chart" uri="{CE6537A1-D6FC-4f65-9D91-7224C49458BB}"/>
                <c:ext xmlns:c16="http://schemas.microsoft.com/office/drawing/2014/chart" uri="{C3380CC4-5D6E-409C-BE32-E72D297353CC}">
                  <c16:uniqueId val="{00000004-0447-4573-9E90-51E41EA01488}"/>
                </c:ext>
              </c:extLst>
            </c:dLbl>
            <c:dLbl>
              <c:idx val="5"/>
              <c:delete val="1"/>
              <c:extLst>
                <c:ext xmlns:c15="http://schemas.microsoft.com/office/drawing/2012/chart" uri="{CE6537A1-D6FC-4f65-9D91-7224C49458BB}"/>
                <c:ext xmlns:c16="http://schemas.microsoft.com/office/drawing/2014/chart" uri="{C3380CC4-5D6E-409C-BE32-E72D297353CC}">
                  <c16:uniqueId val="{00000005-0447-4573-9E90-51E41EA01488}"/>
                </c:ext>
              </c:extLst>
            </c:dLbl>
            <c:dLbl>
              <c:idx val="6"/>
              <c:delete val="1"/>
              <c:extLst>
                <c:ext xmlns:c15="http://schemas.microsoft.com/office/drawing/2012/chart" uri="{CE6537A1-D6FC-4f65-9D91-7224C49458BB}"/>
                <c:ext xmlns:c16="http://schemas.microsoft.com/office/drawing/2014/chart" uri="{C3380CC4-5D6E-409C-BE32-E72D297353CC}">
                  <c16:uniqueId val="{00000006-0447-4573-9E90-51E41EA01488}"/>
                </c:ext>
              </c:extLst>
            </c:dLbl>
            <c:dLbl>
              <c:idx val="7"/>
              <c:delete val="1"/>
              <c:extLst>
                <c:ext xmlns:c15="http://schemas.microsoft.com/office/drawing/2012/chart" uri="{CE6537A1-D6FC-4f65-9D91-7224C49458BB}"/>
                <c:ext xmlns:c16="http://schemas.microsoft.com/office/drawing/2014/chart" uri="{C3380CC4-5D6E-409C-BE32-E72D297353CC}">
                  <c16:uniqueId val="{00000007-0447-4573-9E90-51E41EA01488}"/>
                </c:ext>
              </c:extLst>
            </c:dLbl>
            <c:dLbl>
              <c:idx val="8"/>
              <c:delete val="1"/>
              <c:extLst>
                <c:ext xmlns:c15="http://schemas.microsoft.com/office/drawing/2012/chart" uri="{CE6537A1-D6FC-4f65-9D91-7224C49458BB}"/>
                <c:ext xmlns:c16="http://schemas.microsoft.com/office/drawing/2014/chart" uri="{C3380CC4-5D6E-409C-BE32-E72D297353CC}">
                  <c16:uniqueId val="{00000008-0447-4573-9E90-51E41EA014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'25_09_Porast_broja'!$M$16:$M$25</c:f>
              <c:strCache>
                <c:ptCount val="10"/>
                <c:pt idx="0">
                  <c:v>do 1945.</c:v>
                </c:pt>
                <c:pt idx="1">
                  <c:v>1946.-1960.</c:v>
                </c:pt>
                <c:pt idx="2">
                  <c:v>1961.-1970.</c:v>
                </c:pt>
                <c:pt idx="3">
                  <c:v>1971.-1980.</c:v>
                </c:pt>
                <c:pt idx="4">
                  <c:v>1981.-1991.</c:v>
                </c:pt>
                <c:pt idx="5">
                  <c:v>1992.-2002.</c:v>
                </c:pt>
                <c:pt idx="6">
                  <c:v>2003.-2013.</c:v>
                </c:pt>
                <c:pt idx="7">
                  <c:v>2014.-2024.</c:v>
                </c:pt>
                <c:pt idx="8">
                  <c:v>2025.-2035.</c:v>
                </c:pt>
                <c:pt idx="9">
                  <c:v>2036.-2050.</c:v>
                </c:pt>
              </c:strCache>
            </c:strRef>
          </c:cat>
          <c:val>
            <c:numRef>
              <c:f>'25_09_Porast_broja'!$P$16:$P$25</c:f>
              <c:numCache>
                <c:formatCode>#,##0</c:formatCode>
                <c:ptCount val="10"/>
                <c:pt idx="0">
                  <c:v>7999</c:v>
                </c:pt>
                <c:pt idx="1">
                  <c:v>31084</c:v>
                </c:pt>
                <c:pt idx="2">
                  <c:v>101045</c:v>
                </c:pt>
                <c:pt idx="3">
                  <c:v>240670</c:v>
                </c:pt>
                <c:pt idx="4">
                  <c:v>422574</c:v>
                </c:pt>
                <c:pt idx="5">
                  <c:v>513558.6</c:v>
                </c:pt>
                <c:pt idx="6">
                  <c:v>624762</c:v>
                </c:pt>
                <c:pt idx="7">
                  <c:v>655805.59499999997</c:v>
                </c:pt>
                <c:pt idx="8">
                  <c:v>668854.10581271595</c:v>
                </c:pt>
                <c:pt idx="9">
                  <c:v>674820.25817136012</c:v>
                </c:pt>
              </c:numCache>
            </c:numRef>
          </c:val>
          <c:smooth val="0"/>
          <c:extLst>
            <c:ext xmlns:c16="http://schemas.microsoft.com/office/drawing/2014/chart" uri="{C3380CC4-5D6E-409C-BE32-E72D297353CC}">
              <c16:uniqueId val="{00000009-0447-4573-9E90-51E41EA01488}"/>
            </c:ext>
          </c:extLst>
        </c:ser>
        <c:ser>
          <c:idx val="0"/>
          <c:order val="1"/>
          <c:tx>
            <c:v>Linearni model 1 </c:v>
          </c:tx>
          <c:spPr>
            <a:ln w="28575" cap="rnd">
              <a:solidFill>
                <a:schemeClr val="accent1"/>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0447-4573-9E90-51E41EA01488}"/>
                </c:ext>
              </c:extLst>
            </c:dLbl>
            <c:dLbl>
              <c:idx val="1"/>
              <c:delete val="1"/>
              <c:extLst>
                <c:ext xmlns:c15="http://schemas.microsoft.com/office/drawing/2012/chart" uri="{CE6537A1-D6FC-4f65-9D91-7224C49458BB}"/>
                <c:ext xmlns:c16="http://schemas.microsoft.com/office/drawing/2014/chart" uri="{C3380CC4-5D6E-409C-BE32-E72D297353CC}">
                  <c16:uniqueId val="{0000000B-0447-4573-9E90-51E41EA01488}"/>
                </c:ext>
              </c:extLst>
            </c:dLbl>
            <c:dLbl>
              <c:idx val="2"/>
              <c:delete val="1"/>
              <c:extLst>
                <c:ext xmlns:c15="http://schemas.microsoft.com/office/drawing/2012/chart" uri="{CE6537A1-D6FC-4f65-9D91-7224C49458BB}"/>
                <c:ext xmlns:c16="http://schemas.microsoft.com/office/drawing/2014/chart" uri="{C3380CC4-5D6E-409C-BE32-E72D297353CC}">
                  <c16:uniqueId val="{0000000C-0447-4573-9E90-51E41EA01488}"/>
                </c:ext>
              </c:extLst>
            </c:dLbl>
            <c:dLbl>
              <c:idx val="3"/>
              <c:delete val="1"/>
              <c:extLst>
                <c:ext xmlns:c15="http://schemas.microsoft.com/office/drawing/2012/chart" uri="{CE6537A1-D6FC-4f65-9D91-7224C49458BB}"/>
                <c:ext xmlns:c16="http://schemas.microsoft.com/office/drawing/2014/chart" uri="{C3380CC4-5D6E-409C-BE32-E72D297353CC}">
                  <c16:uniqueId val="{0000000D-0447-4573-9E90-51E41EA01488}"/>
                </c:ext>
              </c:extLst>
            </c:dLbl>
            <c:dLbl>
              <c:idx val="4"/>
              <c:delete val="1"/>
              <c:extLst>
                <c:ext xmlns:c15="http://schemas.microsoft.com/office/drawing/2012/chart" uri="{CE6537A1-D6FC-4f65-9D91-7224C49458BB}"/>
                <c:ext xmlns:c16="http://schemas.microsoft.com/office/drawing/2014/chart" uri="{C3380CC4-5D6E-409C-BE32-E72D297353CC}">
                  <c16:uniqueId val="{0000000E-0447-4573-9E90-51E41EA01488}"/>
                </c:ext>
              </c:extLst>
            </c:dLbl>
            <c:dLbl>
              <c:idx val="5"/>
              <c:delete val="1"/>
              <c:extLst>
                <c:ext xmlns:c15="http://schemas.microsoft.com/office/drawing/2012/chart" uri="{CE6537A1-D6FC-4f65-9D91-7224C49458BB}"/>
                <c:ext xmlns:c16="http://schemas.microsoft.com/office/drawing/2014/chart" uri="{C3380CC4-5D6E-409C-BE32-E72D297353CC}">
                  <c16:uniqueId val="{0000000F-0447-4573-9E90-51E41EA01488}"/>
                </c:ext>
              </c:extLst>
            </c:dLbl>
            <c:dLbl>
              <c:idx val="6"/>
              <c:delete val="1"/>
              <c:extLst>
                <c:ext xmlns:c15="http://schemas.microsoft.com/office/drawing/2012/chart" uri="{CE6537A1-D6FC-4f65-9D91-7224C49458BB}"/>
                <c:ext xmlns:c16="http://schemas.microsoft.com/office/drawing/2014/chart" uri="{C3380CC4-5D6E-409C-BE32-E72D297353CC}">
                  <c16:uniqueId val="{00000010-0447-4573-9E90-51E41EA01488}"/>
                </c:ext>
              </c:extLst>
            </c:dLbl>
            <c:dLbl>
              <c:idx val="7"/>
              <c:delete val="1"/>
              <c:extLst>
                <c:ext xmlns:c15="http://schemas.microsoft.com/office/drawing/2012/chart" uri="{CE6537A1-D6FC-4f65-9D91-7224C49458BB}"/>
                <c:ext xmlns:c16="http://schemas.microsoft.com/office/drawing/2014/chart" uri="{C3380CC4-5D6E-409C-BE32-E72D297353CC}">
                  <c16:uniqueId val="{00000011-0447-4573-9E90-51E41EA01488}"/>
                </c:ext>
              </c:extLst>
            </c:dLbl>
            <c:dLbl>
              <c:idx val="8"/>
              <c:delete val="1"/>
              <c:extLst>
                <c:ext xmlns:c15="http://schemas.microsoft.com/office/drawing/2012/chart" uri="{CE6537A1-D6FC-4f65-9D91-7224C49458BB}"/>
                <c:ext xmlns:c16="http://schemas.microsoft.com/office/drawing/2014/chart" uri="{C3380CC4-5D6E-409C-BE32-E72D297353CC}">
                  <c16:uniqueId val="{00000012-0447-4573-9E90-51E41EA01488}"/>
                </c:ext>
              </c:extLst>
            </c:dLbl>
            <c:dLbl>
              <c:idx val="9"/>
              <c:layout>
                <c:manualLayout>
                  <c:x val="3.2688385482031513E-3"/>
                  <c:y val="4.34482888387503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0447-4573-9E90-51E41EA014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'25_09_Porast_broja'!$M$16:$M$25</c:f>
              <c:strCache>
                <c:ptCount val="10"/>
                <c:pt idx="0">
                  <c:v>do 1945.</c:v>
                </c:pt>
                <c:pt idx="1">
                  <c:v>1946.-1960.</c:v>
                </c:pt>
                <c:pt idx="2">
                  <c:v>1961.-1970.</c:v>
                </c:pt>
                <c:pt idx="3">
                  <c:v>1971.-1980.</c:v>
                </c:pt>
                <c:pt idx="4">
                  <c:v>1981.-1991.</c:v>
                </c:pt>
                <c:pt idx="5">
                  <c:v>1992.-2002.</c:v>
                </c:pt>
                <c:pt idx="6">
                  <c:v>2003.-2013.</c:v>
                </c:pt>
                <c:pt idx="7">
                  <c:v>2014.-2024.</c:v>
                </c:pt>
                <c:pt idx="8">
                  <c:v>2025.-2035.</c:v>
                </c:pt>
                <c:pt idx="9">
                  <c:v>2036.-2050.</c:v>
                </c:pt>
              </c:strCache>
            </c:strRef>
          </c:cat>
          <c:val>
            <c:numRef>
              <c:f>'25_09_Porast_broja'!$N$16:$N$25</c:f>
              <c:numCache>
                <c:formatCode>#,##0</c:formatCode>
                <c:ptCount val="10"/>
                <c:pt idx="0">
                  <c:v>7999</c:v>
                </c:pt>
                <c:pt idx="1">
                  <c:v>31084</c:v>
                </c:pt>
                <c:pt idx="2">
                  <c:v>101045</c:v>
                </c:pt>
                <c:pt idx="3">
                  <c:v>240670</c:v>
                </c:pt>
                <c:pt idx="4">
                  <c:v>422574</c:v>
                </c:pt>
                <c:pt idx="5">
                  <c:v>513558.6</c:v>
                </c:pt>
                <c:pt idx="6">
                  <c:v>624762</c:v>
                </c:pt>
                <c:pt idx="7">
                  <c:v>725494.00000000012</c:v>
                </c:pt>
                <c:pt idx="8">
                  <c:v>837521.52857142896</c:v>
                </c:pt>
                <c:pt idx="9">
                  <c:v>990286.13571428659</c:v>
                </c:pt>
              </c:numCache>
            </c:numRef>
          </c:val>
          <c:smooth val="0"/>
          <c:extLst>
            <c:ext xmlns:c16="http://schemas.microsoft.com/office/drawing/2014/chart" uri="{C3380CC4-5D6E-409C-BE32-E72D297353CC}">
              <c16:uniqueId val="{00000014-0447-4573-9E90-51E41EA01488}"/>
            </c:ext>
          </c:extLst>
        </c:ser>
        <c:ser>
          <c:idx val="2"/>
          <c:order val="2"/>
          <c:tx>
            <c:v>Linearni model 2</c:v>
          </c:tx>
          <c:spPr>
            <a:ln w="2857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5-0447-4573-9E90-51E41EA01488}"/>
                </c:ext>
              </c:extLst>
            </c:dLbl>
            <c:dLbl>
              <c:idx val="1"/>
              <c:delete val="1"/>
              <c:extLst>
                <c:ext xmlns:c15="http://schemas.microsoft.com/office/drawing/2012/chart" uri="{CE6537A1-D6FC-4f65-9D91-7224C49458BB}"/>
                <c:ext xmlns:c16="http://schemas.microsoft.com/office/drawing/2014/chart" uri="{C3380CC4-5D6E-409C-BE32-E72D297353CC}">
                  <c16:uniqueId val="{00000016-0447-4573-9E90-51E41EA01488}"/>
                </c:ext>
              </c:extLst>
            </c:dLbl>
            <c:dLbl>
              <c:idx val="2"/>
              <c:delete val="1"/>
              <c:extLst>
                <c:ext xmlns:c15="http://schemas.microsoft.com/office/drawing/2012/chart" uri="{CE6537A1-D6FC-4f65-9D91-7224C49458BB}"/>
                <c:ext xmlns:c16="http://schemas.microsoft.com/office/drawing/2014/chart" uri="{C3380CC4-5D6E-409C-BE32-E72D297353CC}">
                  <c16:uniqueId val="{00000017-0447-4573-9E90-51E41EA01488}"/>
                </c:ext>
              </c:extLst>
            </c:dLbl>
            <c:dLbl>
              <c:idx val="3"/>
              <c:delete val="1"/>
              <c:extLst>
                <c:ext xmlns:c15="http://schemas.microsoft.com/office/drawing/2012/chart" uri="{CE6537A1-D6FC-4f65-9D91-7224C49458BB}"/>
                <c:ext xmlns:c16="http://schemas.microsoft.com/office/drawing/2014/chart" uri="{C3380CC4-5D6E-409C-BE32-E72D297353CC}">
                  <c16:uniqueId val="{00000018-0447-4573-9E90-51E41EA01488}"/>
                </c:ext>
              </c:extLst>
            </c:dLbl>
            <c:dLbl>
              <c:idx val="4"/>
              <c:delete val="1"/>
              <c:extLst>
                <c:ext xmlns:c15="http://schemas.microsoft.com/office/drawing/2012/chart" uri="{CE6537A1-D6FC-4f65-9D91-7224C49458BB}"/>
                <c:ext xmlns:c16="http://schemas.microsoft.com/office/drawing/2014/chart" uri="{C3380CC4-5D6E-409C-BE32-E72D297353CC}">
                  <c16:uniqueId val="{00000019-0447-4573-9E90-51E41EA01488}"/>
                </c:ext>
              </c:extLst>
            </c:dLbl>
            <c:dLbl>
              <c:idx val="5"/>
              <c:delete val="1"/>
              <c:extLst>
                <c:ext xmlns:c15="http://schemas.microsoft.com/office/drawing/2012/chart" uri="{CE6537A1-D6FC-4f65-9D91-7224C49458BB}"/>
                <c:ext xmlns:c16="http://schemas.microsoft.com/office/drawing/2014/chart" uri="{C3380CC4-5D6E-409C-BE32-E72D297353CC}">
                  <c16:uniqueId val="{0000001A-0447-4573-9E90-51E41EA01488}"/>
                </c:ext>
              </c:extLst>
            </c:dLbl>
            <c:dLbl>
              <c:idx val="6"/>
              <c:layout>
                <c:manualLayout>
                  <c:x val="-7.0391473442606878E-2"/>
                  <c:y val="-3.5383325747046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0447-4573-9E90-51E41EA01488}"/>
                </c:ext>
              </c:extLst>
            </c:dLbl>
            <c:dLbl>
              <c:idx val="7"/>
              <c:delete val="1"/>
              <c:extLst>
                <c:ext xmlns:c15="http://schemas.microsoft.com/office/drawing/2012/chart" uri="{CE6537A1-D6FC-4f65-9D91-7224C49458BB}"/>
                <c:ext xmlns:c16="http://schemas.microsoft.com/office/drawing/2014/chart" uri="{C3380CC4-5D6E-409C-BE32-E72D297353CC}">
                  <c16:uniqueId val="{0000001C-0447-4573-9E90-51E41EA01488}"/>
                </c:ext>
              </c:extLst>
            </c:dLbl>
            <c:dLbl>
              <c:idx val="8"/>
              <c:delete val="1"/>
              <c:extLst>
                <c:ext xmlns:c15="http://schemas.microsoft.com/office/drawing/2012/chart" uri="{CE6537A1-D6FC-4f65-9D91-7224C49458BB}"/>
                <c:ext xmlns:c16="http://schemas.microsoft.com/office/drawing/2014/chart" uri="{C3380CC4-5D6E-409C-BE32-E72D297353CC}">
                  <c16:uniqueId val="{0000001D-0447-4573-9E90-51E41EA01488}"/>
                </c:ext>
              </c:extLst>
            </c:dLbl>
            <c:dLbl>
              <c:idx val="9"/>
              <c:layout>
                <c:manualLayout>
                  <c:x val="1.6344192741015158E-3"/>
                  <c:y val="-6.51724332581256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0447-4573-9E90-51E41EA0148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'25_09_Porast_broja'!$M$16:$M$25</c:f>
              <c:strCache>
                <c:ptCount val="10"/>
                <c:pt idx="0">
                  <c:v>do 1945.</c:v>
                </c:pt>
                <c:pt idx="1">
                  <c:v>1946.-1960.</c:v>
                </c:pt>
                <c:pt idx="2">
                  <c:v>1961.-1970.</c:v>
                </c:pt>
                <c:pt idx="3">
                  <c:v>1971.-1980.</c:v>
                </c:pt>
                <c:pt idx="4">
                  <c:v>1981.-1991.</c:v>
                </c:pt>
                <c:pt idx="5">
                  <c:v>1992.-2002.</c:v>
                </c:pt>
                <c:pt idx="6">
                  <c:v>2003.-2013.</c:v>
                </c:pt>
                <c:pt idx="7">
                  <c:v>2014.-2024.</c:v>
                </c:pt>
                <c:pt idx="8">
                  <c:v>2025.-2035.</c:v>
                </c:pt>
                <c:pt idx="9">
                  <c:v>2036.-2050.</c:v>
                </c:pt>
              </c:strCache>
            </c:strRef>
          </c:cat>
          <c:val>
            <c:numRef>
              <c:f>'25_09_Porast_broja'!$O$16:$O$25</c:f>
              <c:numCache>
                <c:formatCode>#,##0</c:formatCode>
                <c:ptCount val="10"/>
                <c:pt idx="0">
                  <c:v>7999</c:v>
                </c:pt>
                <c:pt idx="1">
                  <c:v>31084</c:v>
                </c:pt>
                <c:pt idx="2">
                  <c:v>101045</c:v>
                </c:pt>
                <c:pt idx="3">
                  <c:v>240670</c:v>
                </c:pt>
                <c:pt idx="4">
                  <c:v>422574</c:v>
                </c:pt>
                <c:pt idx="5">
                  <c:v>513558.6</c:v>
                </c:pt>
                <c:pt idx="6">
                  <c:v>624762</c:v>
                </c:pt>
                <c:pt idx="7">
                  <c:v>761206.3</c:v>
                </c:pt>
                <c:pt idx="8">
                  <c:v>855377.67857142887</c:v>
                </c:pt>
                <c:pt idx="9">
                  <c:v>1012200.5016233765</c:v>
                </c:pt>
              </c:numCache>
            </c:numRef>
          </c:val>
          <c:smooth val="0"/>
          <c:extLst>
            <c:ext xmlns:c16="http://schemas.microsoft.com/office/drawing/2014/chart" uri="{C3380CC4-5D6E-409C-BE32-E72D297353CC}">
              <c16:uniqueId val="{0000001F-0447-4573-9E90-51E41EA01488}"/>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layout>
            <c:manualLayout>
              <c:xMode val="edge"/>
              <c:yMode val="edge"/>
              <c:x val="0.47537654916667932"/>
              <c:y val="0.91201529183007612"/>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1.5646282841531856E-2"/>
              <c:y val="0.1626705074497849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6441851851851852"/>
          <c:y val="5.0567592592592601E-2"/>
          <c:w val="0.28543555555555555"/>
          <c:h val="0.20342465277697389"/>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9806196086966"/>
          <c:y val="3.5488094347203465E-2"/>
          <c:w val="0.86049894136730498"/>
          <c:h val="0.8236990693775299"/>
        </c:manualLayout>
      </c:layout>
      <c:lineChart>
        <c:grouping val="standard"/>
        <c:varyColors val="0"/>
        <c:ser>
          <c:idx val="0"/>
          <c:order val="0"/>
          <c:tx>
            <c:strRef>
              <c:f>Stambeni_ovojnica!$C$4</c:f>
              <c:strCache>
                <c:ptCount val="1"/>
                <c:pt idx="0">
                  <c:v>SH</c:v>
                </c:pt>
              </c:strCache>
            </c:strRef>
          </c:tx>
          <c:spPr>
            <a:ln w="12700" cap="rnd">
              <a:solidFill>
                <a:schemeClr val="accent1"/>
              </a:solidFill>
              <a:round/>
            </a:ln>
            <a:effectLst/>
          </c:spPr>
          <c:marker>
            <c:symbol val="circle"/>
            <c:size val="5"/>
            <c:spPr>
              <a:solidFill>
                <a:schemeClr val="accent1"/>
              </a:solidFill>
              <a:ln w="9525">
                <a:solidFill>
                  <a:schemeClr val="accent1"/>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Stambeni_ovojnica!$C$34:$C$40</c:f>
              <c:numCache>
                <c:formatCode>0.00</c:formatCode>
                <c:ptCount val="7"/>
                <c:pt idx="0">
                  <c:v>2.52</c:v>
                </c:pt>
                <c:pt idx="1">
                  <c:v>2.52</c:v>
                </c:pt>
                <c:pt idx="2">
                  <c:v>2.52</c:v>
                </c:pt>
                <c:pt idx="3">
                  <c:v>1.75</c:v>
                </c:pt>
                <c:pt idx="4">
                  <c:v>0.34</c:v>
                </c:pt>
                <c:pt idx="5">
                  <c:v>0.34</c:v>
                </c:pt>
                <c:pt idx="6">
                  <c:v>0.25</c:v>
                </c:pt>
              </c:numCache>
            </c:numRef>
          </c:val>
          <c:smooth val="0"/>
          <c:extLst>
            <c:ext xmlns:c16="http://schemas.microsoft.com/office/drawing/2014/chart" uri="{C3380CC4-5D6E-409C-BE32-E72D297353CC}">
              <c16:uniqueId val="{00000000-B772-4FCE-B86F-0CBA958043F9}"/>
            </c:ext>
          </c:extLst>
        </c:ser>
        <c:ser>
          <c:idx val="4"/>
          <c:order val="1"/>
          <c:tx>
            <c:strRef>
              <c:f>Stambeni_ovojnica!$D$4</c:f>
              <c:strCache>
                <c:ptCount val="1"/>
                <c:pt idx="0">
                  <c:v>TH</c:v>
                </c:pt>
              </c:strCache>
            </c:strRef>
          </c:tx>
          <c:spPr>
            <a:ln w="12700" cap="rnd">
              <a:solidFill>
                <a:schemeClr val="accent5"/>
              </a:solidFill>
              <a:round/>
            </a:ln>
            <a:effectLst/>
          </c:spPr>
          <c:marker>
            <c:symbol val="circle"/>
            <c:size val="5"/>
            <c:spPr>
              <a:solidFill>
                <a:schemeClr val="accent5"/>
              </a:solidFill>
              <a:ln w="9525">
                <a:solidFill>
                  <a:schemeClr val="accent5"/>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Stambeni_ovojnica!$D$34:$D$40</c:f>
              <c:numCache>
                <c:formatCode>0.00</c:formatCode>
                <c:ptCount val="7"/>
                <c:pt idx="0">
                  <c:v>0.55000000000000004</c:v>
                </c:pt>
                <c:pt idx="1">
                  <c:v>1.3</c:v>
                </c:pt>
                <c:pt idx="2">
                  <c:v>1.82</c:v>
                </c:pt>
                <c:pt idx="3">
                  <c:v>0.97</c:v>
                </c:pt>
                <c:pt idx="4">
                  <c:v>2.36</c:v>
                </c:pt>
                <c:pt idx="6">
                  <c:v>0.25</c:v>
                </c:pt>
              </c:numCache>
            </c:numRef>
          </c:val>
          <c:smooth val="0"/>
          <c:extLst>
            <c:ext xmlns:c16="http://schemas.microsoft.com/office/drawing/2014/chart" uri="{C3380CC4-5D6E-409C-BE32-E72D297353CC}">
              <c16:uniqueId val="{00000001-B772-4FCE-B86F-0CBA958043F9}"/>
            </c:ext>
          </c:extLst>
        </c:ser>
        <c:ser>
          <c:idx val="6"/>
          <c:order val="2"/>
          <c:tx>
            <c:strRef>
              <c:f>Stambeni_ovojnica!$E$4</c:f>
              <c:strCache>
                <c:ptCount val="1"/>
                <c:pt idx="0">
                  <c:v>MF</c:v>
                </c:pt>
              </c:strCache>
            </c:strRef>
          </c:tx>
          <c:spPr>
            <a:ln w="12700" cap="rnd">
              <a:solidFill>
                <a:schemeClr val="accent1">
                  <a:lumMod val="60000"/>
                </a:schemeClr>
              </a:solidFill>
              <a:round/>
            </a:ln>
            <a:effectLst/>
          </c:spPr>
          <c:marker>
            <c:symbol val="circle"/>
            <c:size val="5"/>
            <c:spPr>
              <a:solidFill>
                <a:schemeClr val="bg2">
                  <a:lumMod val="50000"/>
                </a:schemeClr>
              </a:solidFill>
              <a:ln w="9525">
                <a:solidFill>
                  <a:schemeClr val="bg2">
                    <a:lumMod val="50000"/>
                  </a:schemeClr>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Stambeni_ovojnica!$E$34:$E$40</c:f>
              <c:numCache>
                <c:formatCode>0.00</c:formatCode>
                <c:ptCount val="7"/>
                <c:pt idx="0">
                  <c:v>1.23</c:v>
                </c:pt>
                <c:pt idx="1">
                  <c:v>2.21</c:v>
                </c:pt>
                <c:pt idx="2">
                  <c:v>0.68</c:v>
                </c:pt>
                <c:pt idx="3">
                  <c:v>0.91</c:v>
                </c:pt>
                <c:pt idx="4">
                  <c:v>0.87</c:v>
                </c:pt>
                <c:pt idx="5">
                  <c:v>0.51</c:v>
                </c:pt>
                <c:pt idx="6">
                  <c:v>0.25</c:v>
                </c:pt>
              </c:numCache>
            </c:numRef>
          </c:val>
          <c:smooth val="0"/>
          <c:extLst>
            <c:ext xmlns:c16="http://schemas.microsoft.com/office/drawing/2014/chart" uri="{C3380CC4-5D6E-409C-BE32-E72D297353CC}">
              <c16:uniqueId val="{00000002-B772-4FCE-B86F-0CBA958043F9}"/>
            </c:ext>
          </c:extLst>
        </c:ser>
        <c:ser>
          <c:idx val="2"/>
          <c:order val="3"/>
          <c:tx>
            <c:strRef>
              <c:f>Stambeni_ovojnica!$F$4</c:f>
              <c:strCache>
                <c:ptCount val="1"/>
                <c:pt idx="0">
                  <c:v>AB1</c:v>
                </c:pt>
              </c:strCache>
            </c:strRef>
          </c:tx>
          <c:spPr>
            <a:ln w="12700" cap="rnd">
              <a:solidFill>
                <a:schemeClr val="accent3"/>
              </a:solidFill>
              <a:round/>
            </a:ln>
            <a:effectLst/>
          </c:spPr>
          <c:marker>
            <c:symbol val="circle"/>
            <c:size val="5"/>
            <c:spPr>
              <a:solidFill>
                <a:schemeClr val="accent3"/>
              </a:solidFill>
              <a:ln w="9525">
                <a:solidFill>
                  <a:schemeClr val="accent3"/>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Stambeni_ovojnica!$F$34:$F$40</c:f>
              <c:numCache>
                <c:formatCode>0.00</c:formatCode>
                <c:ptCount val="7"/>
                <c:pt idx="0">
                  <c:v>0.49</c:v>
                </c:pt>
                <c:pt idx="1">
                  <c:v>0.41</c:v>
                </c:pt>
                <c:pt idx="2">
                  <c:v>1.64</c:v>
                </c:pt>
                <c:pt idx="4">
                  <c:v>2.39</c:v>
                </c:pt>
                <c:pt idx="5">
                  <c:v>0.62</c:v>
                </c:pt>
                <c:pt idx="6">
                  <c:v>0.25</c:v>
                </c:pt>
              </c:numCache>
            </c:numRef>
          </c:val>
          <c:smooth val="0"/>
          <c:extLst>
            <c:ext xmlns:c16="http://schemas.microsoft.com/office/drawing/2014/chart" uri="{C3380CC4-5D6E-409C-BE32-E72D297353CC}">
              <c16:uniqueId val="{00000003-B772-4FCE-B86F-0CBA958043F9}"/>
            </c:ext>
          </c:extLst>
        </c:ser>
        <c:ser>
          <c:idx val="3"/>
          <c:order val="4"/>
          <c:tx>
            <c:strRef>
              <c:f>Stambeni_ovojnica!$G$4</c:f>
              <c:strCache>
                <c:ptCount val="1"/>
                <c:pt idx="0">
                  <c:v>AB2</c:v>
                </c:pt>
              </c:strCache>
            </c:strRef>
          </c:tx>
          <c:spPr>
            <a:ln w="12700" cap="rnd">
              <a:solidFill>
                <a:schemeClr val="accent4"/>
              </a:solidFill>
              <a:round/>
            </a:ln>
            <a:effectLst/>
          </c:spPr>
          <c:marker>
            <c:symbol val="circle"/>
            <c:size val="5"/>
            <c:spPr>
              <a:solidFill>
                <a:schemeClr val="accent4"/>
              </a:solidFill>
              <a:ln w="9525">
                <a:solidFill>
                  <a:schemeClr val="accent4"/>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Stambeni_ovojnica!$G$34:$G$40</c:f>
              <c:numCache>
                <c:formatCode>0.00</c:formatCode>
                <c:ptCount val="7"/>
                <c:pt idx="1">
                  <c:v>0.39</c:v>
                </c:pt>
                <c:pt idx="2">
                  <c:v>1.1100000000000001</c:v>
                </c:pt>
                <c:pt idx="3">
                  <c:v>0.59</c:v>
                </c:pt>
                <c:pt idx="4">
                  <c:v>0.51</c:v>
                </c:pt>
                <c:pt idx="5">
                  <c:v>0.36</c:v>
                </c:pt>
                <c:pt idx="6">
                  <c:v>0.25</c:v>
                </c:pt>
              </c:numCache>
            </c:numRef>
          </c:val>
          <c:smooth val="0"/>
          <c:extLst>
            <c:ext xmlns:c16="http://schemas.microsoft.com/office/drawing/2014/chart" uri="{C3380CC4-5D6E-409C-BE32-E72D297353CC}">
              <c16:uniqueId val="{00000004-B772-4FCE-B86F-0CBA958043F9}"/>
            </c:ext>
          </c:extLst>
        </c:ser>
        <c:ser>
          <c:idx val="1"/>
          <c:order val="5"/>
          <c:tx>
            <c:strRef>
              <c:f>Stambeni_ovojnica!$H$4</c:f>
              <c:strCache>
                <c:ptCount val="1"/>
                <c:pt idx="0">
                  <c:v>H</c:v>
                </c:pt>
              </c:strCache>
            </c:strRef>
          </c:tx>
          <c:spPr>
            <a:ln w="12700" cap="rnd">
              <a:solidFill>
                <a:schemeClr val="accent2"/>
              </a:solidFill>
              <a:round/>
            </a:ln>
            <a:effectLst/>
          </c:spPr>
          <c:marker>
            <c:symbol val="circle"/>
            <c:size val="5"/>
            <c:spPr>
              <a:solidFill>
                <a:schemeClr val="accent2"/>
              </a:solidFill>
              <a:ln w="9525">
                <a:solidFill>
                  <a:schemeClr val="accent2"/>
                </a:solidFill>
              </a:ln>
              <a:effectLst/>
            </c:spPr>
          </c:marker>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Stambeni_ovojnica!$H$34:$H$39</c:f>
              <c:numCache>
                <c:formatCode>General</c:formatCode>
                <c:ptCount val="6"/>
                <c:pt idx="3" formatCode="0.00">
                  <c:v>1.53</c:v>
                </c:pt>
                <c:pt idx="4" formatCode="0.00">
                  <c:v>0.59</c:v>
                </c:pt>
              </c:numCache>
            </c:numRef>
          </c:val>
          <c:smooth val="0"/>
          <c:extLst>
            <c:ext xmlns:c16="http://schemas.microsoft.com/office/drawing/2014/chart" uri="{C3380CC4-5D6E-409C-BE32-E72D297353CC}">
              <c16:uniqueId val="{00000005-B772-4FCE-B86F-0CBA958043F9}"/>
            </c:ext>
          </c:extLst>
        </c:ser>
        <c:ser>
          <c:idx val="5"/>
          <c:order val="6"/>
          <c:tx>
            <c:v>Prosjek</c:v>
          </c:tx>
          <c:spPr>
            <a:ln w="19050" cap="rnd">
              <a:solidFill>
                <a:schemeClr val="accent6"/>
              </a:solidFill>
              <a:round/>
            </a:ln>
            <a:effectLst/>
          </c:spPr>
          <c:marker>
            <c:symbol val="circle"/>
            <c:size val="5"/>
            <c:spPr>
              <a:solidFill>
                <a:schemeClr val="accent6"/>
              </a:solidFill>
              <a:ln w="9525">
                <a:solidFill>
                  <a:schemeClr val="accent6"/>
                </a:solidFill>
              </a:ln>
              <a:effectLst/>
            </c:spPr>
          </c:marker>
          <c:dLbls>
            <c:dLbl>
              <c:idx val="0"/>
              <c:layout>
                <c:manualLayout>
                  <c:x val="-2.5507241719549632E-2"/>
                  <c:y val="4.64700399635690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72-4FCE-B86F-0CBA958043F9}"/>
                </c:ext>
              </c:extLst>
            </c:dLbl>
            <c:dLbl>
              <c:idx val="1"/>
              <c:layout>
                <c:manualLayout>
                  <c:x val="-2.7826081875872346E-2"/>
                  <c:y val="-5.06945890511662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72-4FCE-B86F-0CBA958043F9}"/>
                </c:ext>
              </c:extLst>
            </c:dLbl>
            <c:dLbl>
              <c:idx val="2"/>
              <c:layout>
                <c:manualLayout>
                  <c:x val="-3.9420282657485761E-2"/>
                  <c:y val="-9.71646290147354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72-4FCE-B86F-0CBA958043F9}"/>
                </c:ext>
              </c:extLst>
            </c:dLbl>
            <c:dLbl>
              <c:idx val="5"/>
              <c:layout>
                <c:manualLayout>
                  <c:x val="0"/>
                  <c:y val="-6.65181792350671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772-4FCE-B86F-0CBA958043F9}"/>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Stambeni_ovojnica!$B$5:$B$11</c:f>
              <c:strCache>
                <c:ptCount val="7"/>
                <c:pt idx="0">
                  <c:v>do 1945.</c:v>
                </c:pt>
                <c:pt idx="1">
                  <c:v>1946.-1960.</c:v>
                </c:pt>
                <c:pt idx="2">
                  <c:v>1961.-1970.</c:v>
                </c:pt>
                <c:pt idx="3">
                  <c:v>1971.-1980.</c:v>
                </c:pt>
                <c:pt idx="4">
                  <c:v>1981.-1991.</c:v>
                </c:pt>
                <c:pt idx="5">
                  <c:v>1992.-2013.</c:v>
                </c:pt>
                <c:pt idx="6">
                  <c:v>2014.-2020.</c:v>
                </c:pt>
              </c:strCache>
            </c:strRef>
          </c:cat>
          <c:val>
            <c:numRef>
              <c:f>Stambeni_ovojnica!$I$34:$I$40</c:f>
              <c:numCache>
                <c:formatCode>0.00</c:formatCode>
                <c:ptCount val="7"/>
                <c:pt idx="0">
                  <c:v>1.1975000000000002</c:v>
                </c:pt>
                <c:pt idx="1">
                  <c:v>1.3660000000000001</c:v>
                </c:pt>
                <c:pt idx="2">
                  <c:v>1.5539999999999998</c:v>
                </c:pt>
                <c:pt idx="3">
                  <c:v>1.1499999999999999</c:v>
                </c:pt>
                <c:pt idx="4">
                  <c:v>1.294</c:v>
                </c:pt>
                <c:pt idx="5">
                  <c:v>0.45750000000000002</c:v>
                </c:pt>
                <c:pt idx="6">
                  <c:v>0.25</c:v>
                </c:pt>
              </c:numCache>
            </c:numRef>
          </c:val>
          <c:smooth val="0"/>
          <c:extLst>
            <c:ext xmlns:c16="http://schemas.microsoft.com/office/drawing/2014/chart" uri="{C3380CC4-5D6E-409C-BE32-E72D297353CC}">
              <c16:uniqueId val="{0000000A-B772-4FCE-B86F-0CBA958043F9}"/>
            </c:ext>
          </c:extLst>
        </c:ser>
        <c:dLbls>
          <c:showLegendKey val="0"/>
          <c:showVal val="0"/>
          <c:showCatName val="0"/>
          <c:showSerName val="0"/>
          <c:showPercent val="0"/>
          <c:showBubbleSize val="0"/>
        </c:dLbls>
        <c:marker val="1"/>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1"/>
        <c:noMultiLvlLbl val="0"/>
      </c:catAx>
      <c:valAx>
        <c:axId val="1999058864"/>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hr-HR"/>
                  <a:t>Koeficijent prolaza toplote, W/m2K</a:t>
                </a:r>
                <a:endParaRPr lang="en-GB"/>
              </a:p>
            </c:rich>
          </c:tx>
          <c:layout>
            <c:manualLayout>
              <c:xMode val="edge"/>
              <c:yMode val="edge"/>
              <c:x val="1.0319569038992301E-2"/>
              <c:y val="0.1164939772429221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5689637669357495"/>
          <c:y val="4.6810531870457153E-2"/>
          <c:w val="0.76528809489205163"/>
          <c:h val="9.0882486799156323E-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sr-Latn-R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9806196086966"/>
          <c:y val="3.5488094347203465E-2"/>
          <c:w val="0.86049894136730498"/>
          <c:h val="0.81946005523252219"/>
        </c:manualLayout>
      </c:layout>
      <c:lineChart>
        <c:grouping val="standard"/>
        <c:varyColors val="0"/>
        <c:ser>
          <c:idx val="0"/>
          <c:order val="0"/>
          <c:tx>
            <c:strRef>
              <c:f>Javni_ovojnica!$N$4</c:f>
              <c:strCache>
                <c:ptCount val="1"/>
                <c:pt idx="0">
                  <c:v>Obdanište</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Javni_ovojnica!$N$5:$N$11</c:f>
              <c:numCache>
                <c:formatCode>General</c:formatCode>
                <c:ptCount val="7"/>
                <c:pt idx="1">
                  <c:v>1.86</c:v>
                </c:pt>
                <c:pt idx="2">
                  <c:v>1.53</c:v>
                </c:pt>
                <c:pt idx="3">
                  <c:v>1.62</c:v>
                </c:pt>
                <c:pt idx="4">
                  <c:v>1.22</c:v>
                </c:pt>
                <c:pt idx="5">
                  <c:v>0.96</c:v>
                </c:pt>
                <c:pt idx="6">
                  <c:v>0.253</c:v>
                </c:pt>
              </c:numCache>
            </c:numRef>
          </c:val>
          <c:smooth val="0"/>
          <c:extLst>
            <c:ext xmlns:c16="http://schemas.microsoft.com/office/drawing/2014/chart" uri="{C3380CC4-5D6E-409C-BE32-E72D297353CC}">
              <c16:uniqueId val="{00000000-24F8-4555-92B8-6E1662268632}"/>
            </c:ext>
          </c:extLst>
        </c:ser>
        <c:ser>
          <c:idx val="4"/>
          <c:order val="1"/>
          <c:tx>
            <c:strRef>
              <c:f>Javni_ovojnica!$R$4</c:f>
              <c:strCache>
                <c:ptCount val="1"/>
                <c:pt idx="0">
                  <c:v>Kultura</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Javni_ovojnica!$R$5:$R$11</c:f>
              <c:numCache>
                <c:formatCode>General</c:formatCode>
                <c:ptCount val="7"/>
                <c:pt idx="0">
                  <c:v>1.69</c:v>
                </c:pt>
                <c:pt idx="1">
                  <c:v>1.88</c:v>
                </c:pt>
                <c:pt idx="2">
                  <c:v>1.75</c:v>
                </c:pt>
                <c:pt idx="3">
                  <c:v>1.82</c:v>
                </c:pt>
                <c:pt idx="4">
                  <c:v>1.1000000000000001</c:v>
                </c:pt>
                <c:pt idx="6">
                  <c:v>0.253</c:v>
                </c:pt>
              </c:numCache>
            </c:numRef>
          </c:val>
          <c:smooth val="0"/>
          <c:extLst>
            <c:ext xmlns:c16="http://schemas.microsoft.com/office/drawing/2014/chart" uri="{C3380CC4-5D6E-409C-BE32-E72D297353CC}">
              <c16:uniqueId val="{00000001-24F8-4555-92B8-6E1662268632}"/>
            </c:ext>
          </c:extLst>
        </c:ser>
        <c:ser>
          <c:idx val="6"/>
          <c:order val="2"/>
          <c:tx>
            <c:strRef>
              <c:f>Javni_ovojnica!$T$4</c:f>
              <c:strCache>
                <c:ptCount val="1"/>
                <c:pt idx="0">
                  <c:v>Cjelodnevni bor.</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Javni_ovojnica!$T$5:$T$11</c:f>
              <c:numCache>
                <c:formatCode>General</c:formatCode>
                <c:ptCount val="7"/>
                <c:pt idx="1">
                  <c:v>1.8</c:v>
                </c:pt>
                <c:pt idx="2">
                  <c:v>1.7</c:v>
                </c:pt>
                <c:pt idx="3">
                  <c:v>1.86</c:v>
                </c:pt>
                <c:pt idx="4">
                  <c:v>1.1599999999999999</c:v>
                </c:pt>
                <c:pt idx="6">
                  <c:v>0.253</c:v>
                </c:pt>
              </c:numCache>
            </c:numRef>
          </c:val>
          <c:smooth val="0"/>
          <c:extLst>
            <c:ext xmlns:c16="http://schemas.microsoft.com/office/drawing/2014/chart" uri="{C3380CC4-5D6E-409C-BE32-E72D297353CC}">
              <c16:uniqueId val="{00000002-24F8-4555-92B8-6E1662268632}"/>
            </c:ext>
          </c:extLst>
        </c:ser>
        <c:ser>
          <c:idx val="2"/>
          <c:order val="3"/>
          <c:tx>
            <c:strRef>
              <c:f>Javni_ovojnica!$P$4</c:f>
              <c:strCache>
                <c:ptCount val="1"/>
                <c:pt idx="0">
                  <c:v>Zdravstvo</c:v>
                </c:pt>
              </c:strCache>
            </c:strRef>
          </c:tx>
          <c:spPr>
            <a:ln w="19050" cap="rnd">
              <a:solidFill>
                <a:schemeClr val="bg2">
                  <a:lumMod val="50000"/>
                </a:schemeClr>
              </a:solidFill>
              <a:round/>
            </a:ln>
            <a:effectLst/>
          </c:spPr>
          <c:marker>
            <c:symbol val="circle"/>
            <c:size val="5"/>
            <c:spPr>
              <a:solidFill>
                <a:schemeClr val="bg2">
                  <a:lumMod val="50000"/>
                </a:schemeClr>
              </a:solidFill>
              <a:ln w="9525">
                <a:solidFill>
                  <a:schemeClr val="bg2">
                    <a:lumMod val="50000"/>
                  </a:schemeClr>
                </a:solidFill>
              </a:ln>
              <a:effectLst/>
            </c:spPr>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Javni_ovojnica!$P$5:$P$11</c:f>
              <c:numCache>
                <c:formatCode>General</c:formatCode>
                <c:ptCount val="7"/>
                <c:pt idx="0">
                  <c:v>1.59</c:v>
                </c:pt>
                <c:pt idx="1">
                  <c:v>1.73</c:v>
                </c:pt>
                <c:pt idx="2">
                  <c:v>1.71</c:v>
                </c:pt>
                <c:pt idx="3">
                  <c:v>1.78</c:v>
                </c:pt>
                <c:pt idx="4">
                  <c:v>1.48</c:v>
                </c:pt>
                <c:pt idx="6">
                  <c:v>0.253</c:v>
                </c:pt>
              </c:numCache>
            </c:numRef>
          </c:val>
          <c:smooth val="0"/>
          <c:extLst>
            <c:ext xmlns:c16="http://schemas.microsoft.com/office/drawing/2014/chart" uri="{C3380CC4-5D6E-409C-BE32-E72D297353CC}">
              <c16:uniqueId val="{00000003-24F8-4555-92B8-6E1662268632}"/>
            </c:ext>
          </c:extLst>
        </c:ser>
        <c:ser>
          <c:idx val="3"/>
          <c:order val="4"/>
          <c:tx>
            <c:strRef>
              <c:f>Javni_ovojnica!$Q$4</c:f>
              <c:strCache>
                <c:ptCount val="1"/>
                <c:pt idx="0">
                  <c:v>Sport</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Javni_ovojnica!$Q$5:$Q$11</c:f>
              <c:numCache>
                <c:formatCode>General</c:formatCode>
                <c:ptCount val="7"/>
                <c:pt idx="1">
                  <c:v>1.8</c:v>
                </c:pt>
                <c:pt idx="2">
                  <c:v>1.72</c:v>
                </c:pt>
                <c:pt idx="3">
                  <c:v>1.64</c:v>
                </c:pt>
                <c:pt idx="4">
                  <c:v>1.1100000000000001</c:v>
                </c:pt>
                <c:pt idx="5">
                  <c:v>1.2</c:v>
                </c:pt>
                <c:pt idx="6">
                  <c:v>0.253</c:v>
                </c:pt>
              </c:numCache>
            </c:numRef>
          </c:val>
          <c:smooth val="0"/>
          <c:extLst>
            <c:ext xmlns:c16="http://schemas.microsoft.com/office/drawing/2014/chart" uri="{C3380CC4-5D6E-409C-BE32-E72D297353CC}">
              <c16:uniqueId val="{00000004-24F8-4555-92B8-6E1662268632}"/>
            </c:ext>
          </c:extLst>
        </c:ser>
        <c:ser>
          <c:idx val="1"/>
          <c:order val="5"/>
          <c:tx>
            <c:strRef>
              <c:f>Javni_ovojnica!$O$4</c:f>
              <c:strCache>
                <c:ptCount val="1"/>
                <c:pt idx="0">
                  <c:v>Obrazovanje</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Javni_ovojnica!$O$5:$O$11</c:f>
              <c:numCache>
                <c:formatCode>General</c:formatCode>
                <c:ptCount val="7"/>
                <c:pt idx="0">
                  <c:v>1.66</c:v>
                </c:pt>
                <c:pt idx="1">
                  <c:v>1.81</c:v>
                </c:pt>
                <c:pt idx="2">
                  <c:v>1.78</c:v>
                </c:pt>
                <c:pt idx="3">
                  <c:v>1.78</c:v>
                </c:pt>
                <c:pt idx="4">
                  <c:v>1.2</c:v>
                </c:pt>
                <c:pt idx="5">
                  <c:v>1</c:v>
                </c:pt>
                <c:pt idx="6">
                  <c:v>0.253</c:v>
                </c:pt>
              </c:numCache>
            </c:numRef>
          </c:val>
          <c:smooth val="0"/>
          <c:extLst>
            <c:ext xmlns:c16="http://schemas.microsoft.com/office/drawing/2014/chart" uri="{C3380CC4-5D6E-409C-BE32-E72D297353CC}">
              <c16:uniqueId val="{00000005-24F8-4555-92B8-6E1662268632}"/>
            </c:ext>
          </c:extLst>
        </c:ser>
        <c:ser>
          <c:idx val="5"/>
          <c:order val="6"/>
          <c:tx>
            <c:strRef>
              <c:f>Javni_ovojnica!$S$4</c:f>
              <c:strCache>
                <c:ptCount val="1"/>
                <c:pt idx="0">
                  <c:v>Administrativni</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Javni_ovojnica!$S$5:$S$11</c:f>
              <c:numCache>
                <c:formatCode>General</c:formatCode>
                <c:ptCount val="7"/>
                <c:pt idx="0">
                  <c:v>1.63</c:v>
                </c:pt>
                <c:pt idx="1">
                  <c:v>1.78</c:v>
                </c:pt>
                <c:pt idx="2">
                  <c:v>1.7</c:v>
                </c:pt>
                <c:pt idx="3">
                  <c:v>1.73</c:v>
                </c:pt>
                <c:pt idx="4">
                  <c:v>1.34</c:v>
                </c:pt>
                <c:pt idx="5">
                  <c:v>1.2</c:v>
                </c:pt>
                <c:pt idx="6">
                  <c:v>0.253</c:v>
                </c:pt>
              </c:numCache>
            </c:numRef>
          </c:val>
          <c:smooth val="0"/>
          <c:extLst>
            <c:ext xmlns:c16="http://schemas.microsoft.com/office/drawing/2014/chart" uri="{C3380CC4-5D6E-409C-BE32-E72D297353CC}">
              <c16:uniqueId val="{00000006-24F8-4555-92B8-6E1662268632}"/>
            </c:ext>
          </c:extLst>
        </c:ser>
        <c:ser>
          <c:idx val="7"/>
          <c:order val="7"/>
          <c:tx>
            <c:v>Prosjek</c:v>
          </c:tx>
          <c:spPr>
            <a:ln w="19050" cap="rnd">
              <a:solidFill>
                <a:srgbClr val="FF0000"/>
              </a:solidFill>
              <a:round/>
            </a:ln>
            <a:effectLst/>
          </c:spPr>
          <c:marker>
            <c:symbol val="none"/>
          </c:marker>
          <c:dLbls>
            <c:dLbl>
              <c:idx val="0"/>
              <c:layout>
                <c:manualLayout>
                  <c:x val="-1.3913040937936173E-2"/>
                  <c:y val="-6.32291758905517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4F8-4555-92B8-6E1662268632}"/>
                </c:ext>
              </c:extLst>
            </c:dLbl>
            <c:dLbl>
              <c:idx val="1"/>
              <c:layout>
                <c:manualLayout>
                  <c:x val="4.6376803126453418E-3"/>
                  <c:y val="-6.3229175890551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4F8-4555-92B8-6E1662268632}"/>
                </c:ext>
              </c:extLst>
            </c:dLbl>
            <c:dLbl>
              <c:idx val="2"/>
              <c:layout>
                <c:manualLayout>
                  <c:x val="-1.3913040937936152E-2"/>
                  <c:y val="-8.58110244228915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4F8-4555-92B8-6E1662268632}"/>
                </c:ext>
              </c:extLst>
            </c:dLbl>
            <c:dLbl>
              <c:idx val="3"/>
              <c:layout>
                <c:manualLayout>
                  <c:x val="-8.50231568704019E-17"/>
                  <c:y val="-6.77455455970196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4F8-4555-92B8-6E1662268632}"/>
                </c:ext>
              </c:extLst>
            </c:dLbl>
            <c:dLbl>
              <c:idx val="4"/>
              <c:layout>
                <c:manualLayout>
                  <c:x val="6.9565204689680761E-3"/>
                  <c:y val="-9.936013354229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4F8-4555-92B8-6E16622686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Javni_ovojnica!$U$5:$U$11</c:f>
              <c:numCache>
                <c:formatCode>0.00</c:formatCode>
                <c:ptCount val="7"/>
                <c:pt idx="0">
                  <c:v>1.6424999999999998</c:v>
                </c:pt>
                <c:pt idx="1">
                  <c:v>1.8085714285714285</c:v>
                </c:pt>
                <c:pt idx="2">
                  <c:v>1.6985714285714282</c:v>
                </c:pt>
                <c:pt idx="3">
                  <c:v>1.7471428571428571</c:v>
                </c:pt>
                <c:pt idx="4">
                  <c:v>1.23</c:v>
                </c:pt>
                <c:pt idx="5">
                  <c:v>1.0900000000000001</c:v>
                </c:pt>
                <c:pt idx="6" formatCode="General">
                  <c:v>0.253</c:v>
                </c:pt>
              </c:numCache>
            </c:numRef>
          </c:val>
          <c:smooth val="0"/>
          <c:extLst>
            <c:ext xmlns:c16="http://schemas.microsoft.com/office/drawing/2014/chart" uri="{C3380CC4-5D6E-409C-BE32-E72D297353CC}">
              <c16:uniqueId val="{0000000C-24F8-4555-92B8-6E1662268632}"/>
            </c:ext>
          </c:extLst>
        </c:ser>
        <c:dLbls>
          <c:showLegendKey val="0"/>
          <c:showVal val="0"/>
          <c:showCatName val="0"/>
          <c:showSerName val="0"/>
          <c:showPercent val="0"/>
          <c:showBubbleSize val="0"/>
        </c:dLbls>
        <c:marker val="1"/>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1"/>
        <c:noMultiLvlLbl val="0"/>
      </c:catAx>
      <c:valAx>
        <c:axId val="1999058864"/>
        <c:scaling>
          <c:orientation val="minMax"/>
          <c:max val="3"/>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Koeficijent prolaza toplote, W/m</a:t>
                </a:r>
                <a:r>
                  <a:rPr lang="hr-HR" baseline="30000"/>
                  <a:t>2</a:t>
                </a:r>
                <a:r>
                  <a:rPr lang="hr-HR"/>
                  <a:t>K</a:t>
                </a:r>
                <a:endParaRPr lang="en-GB"/>
              </a:p>
            </c:rich>
          </c:tx>
          <c:layout>
            <c:manualLayout>
              <c:xMode val="edge"/>
              <c:yMode val="edge"/>
              <c:x val="1.0319569038992301E-2"/>
              <c:y val="0.1164939772429221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406644955993161"/>
          <c:y val="4.6275946098521911E-2"/>
          <c:w val="0.77414898566262957"/>
          <c:h val="0.13379900505898518"/>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r-Latn-R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39806196086966"/>
          <c:y val="3.5488094347203465E-2"/>
          <c:w val="0.86049894136730498"/>
          <c:h val="0.83343726152997488"/>
        </c:manualLayout>
      </c:layout>
      <c:lineChart>
        <c:grouping val="standard"/>
        <c:varyColors val="0"/>
        <c:ser>
          <c:idx val="0"/>
          <c:order val="0"/>
          <c:tx>
            <c:strRef>
              <c:f>Javni_ovojnica!$Z$26</c:f>
              <c:strCache>
                <c:ptCount val="1"/>
                <c:pt idx="0">
                  <c:v>Fasadni zidovi</c:v>
                </c:pt>
              </c:strCache>
            </c:strRef>
          </c:tx>
          <c:spPr>
            <a:ln w="19050" cap="rnd">
              <a:solidFill>
                <a:schemeClr val="accent1"/>
              </a:solidFill>
              <a:round/>
            </a:ln>
            <a:effectLst/>
          </c:spPr>
          <c:marker>
            <c:symbol val="none"/>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Javni_ovojnica!$AA$26:$AG$26</c:f>
              <c:numCache>
                <c:formatCode>General</c:formatCode>
                <c:ptCount val="7"/>
                <c:pt idx="0">
                  <c:v>1.5</c:v>
                </c:pt>
                <c:pt idx="1">
                  <c:v>1.53</c:v>
                </c:pt>
                <c:pt idx="2">
                  <c:v>1.46</c:v>
                </c:pt>
                <c:pt idx="3">
                  <c:v>1.43</c:v>
                </c:pt>
                <c:pt idx="4">
                  <c:v>1.1299999999999999</c:v>
                </c:pt>
                <c:pt idx="5">
                  <c:v>0.93</c:v>
                </c:pt>
                <c:pt idx="6">
                  <c:v>0.27100000000000002</c:v>
                </c:pt>
              </c:numCache>
            </c:numRef>
          </c:val>
          <c:smooth val="0"/>
          <c:extLst>
            <c:ext xmlns:c16="http://schemas.microsoft.com/office/drawing/2014/chart" uri="{C3380CC4-5D6E-409C-BE32-E72D297353CC}">
              <c16:uniqueId val="{00000000-78BC-43A2-AB28-A2AA4506E065}"/>
            </c:ext>
          </c:extLst>
        </c:ser>
        <c:ser>
          <c:idx val="2"/>
          <c:order val="1"/>
          <c:tx>
            <c:strRef>
              <c:f>Javni_ovojnica!$Z$28</c:f>
              <c:strCache>
                <c:ptCount val="1"/>
                <c:pt idx="0">
                  <c:v>Stropovi</c:v>
                </c:pt>
              </c:strCache>
            </c:strRef>
          </c:tx>
          <c:spPr>
            <a:ln w="19050" cap="rnd">
              <a:solidFill>
                <a:schemeClr val="accent3"/>
              </a:solidFill>
              <a:round/>
            </a:ln>
            <a:effectLst/>
          </c:spPr>
          <c:marker>
            <c:symbol val="none"/>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Javni_ovojnica!$AA$28:$AG$28</c:f>
              <c:numCache>
                <c:formatCode>General</c:formatCode>
                <c:ptCount val="7"/>
                <c:pt idx="0">
                  <c:v>1.33</c:v>
                </c:pt>
                <c:pt idx="1">
                  <c:v>1.7</c:v>
                </c:pt>
                <c:pt idx="2">
                  <c:v>1.82</c:v>
                </c:pt>
                <c:pt idx="3">
                  <c:v>1.89</c:v>
                </c:pt>
                <c:pt idx="4">
                  <c:v>1.21</c:v>
                </c:pt>
                <c:pt idx="5">
                  <c:v>1.0900000000000001</c:v>
                </c:pt>
                <c:pt idx="6">
                  <c:v>0.21249999999999999</c:v>
                </c:pt>
              </c:numCache>
            </c:numRef>
          </c:val>
          <c:smooth val="0"/>
          <c:extLst>
            <c:ext xmlns:c16="http://schemas.microsoft.com/office/drawing/2014/chart" uri="{C3380CC4-5D6E-409C-BE32-E72D297353CC}">
              <c16:uniqueId val="{00000001-78BC-43A2-AB28-A2AA4506E065}"/>
            </c:ext>
          </c:extLst>
        </c:ser>
        <c:ser>
          <c:idx val="3"/>
          <c:order val="2"/>
          <c:tx>
            <c:strRef>
              <c:f>Javni_ovojnica!$Z$29</c:f>
              <c:strCache>
                <c:ptCount val="1"/>
                <c:pt idx="0">
                  <c:v>Podovi</c:v>
                </c:pt>
              </c:strCache>
            </c:strRef>
          </c:tx>
          <c:spPr>
            <a:ln w="19050" cap="rnd">
              <a:solidFill>
                <a:schemeClr val="accent4"/>
              </a:solidFill>
              <a:round/>
            </a:ln>
            <a:effectLst/>
          </c:spPr>
          <c:marker>
            <c:symbol val="none"/>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Javni_ovojnica!$AA$29:$AG$29</c:f>
              <c:numCache>
                <c:formatCode>General</c:formatCode>
                <c:ptCount val="7"/>
                <c:pt idx="0">
                  <c:v>1.7</c:v>
                </c:pt>
                <c:pt idx="1">
                  <c:v>1.71</c:v>
                </c:pt>
                <c:pt idx="2">
                  <c:v>1.58</c:v>
                </c:pt>
                <c:pt idx="3">
                  <c:v>1.53</c:v>
                </c:pt>
                <c:pt idx="4">
                  <c:v>0.94</c:v>
                </c:pt>
                <c:pt idx="5">
                  <c:v>0.86</c:v>
                </c:pt>
                <c:pt idx="6">
                  <c:v>0.53</c:v>
                </c:pt>
              </c:numCache>
            </c:numRef>
          </c:val>
          <c:smooth val="0"/>
          <c:extLst>
            <c:ext xmlns:c16="http://schemas.microsoft.com/office/drawing/2014/chart" uri="{C3380CC4-5D6E-409C-BE32-E72D297353CC}">
              <c16:uniqueId val="{00000002-78BC-43A2-AB28-A2AA4506E065}"/>
            </c:ext>
          </c:extLst>
        </c:ser>
        <c:ser>
          <c:idx val="5"/>
          <c:order val="3"/>
          <c:tx>
            <c:v>Fasadni otvori</c:v>
          </c:tx>
          <c:spPr>
            <a:ln w="19050" cap="rnd">
              <a:solidFill>
                <a:schemeClr val="accent6"/>
              </a:solidFill>
              <a:round/>
            </a:ln>
            <a:effectLst/>
          </c:spPr>
          <c:marker>
            <c:symbol val="none"/>
          </c:marker>
          <c:cat>
            <c:strRef>
              <c:f>Javni_ovojnica!$M$5:$M$11</c:f>
              <c:strCache>
                <c:ptCount val="7"/>
                <c:pt idx="0">
                  <c:v>do 1945.</c:v>
                </c:pt>
                <c:pt idx="1">
                  <c:v>1946.-1965.</c:v>
                </c:pt>
                <c:pt idx="2">
                  <c:v>1966.-1973.</c:v>
                </c:pt>
                <c:pt idx="3">
                  <c:v>1974.-1987.</c:v>
                </c:pt>
                <c:pt idx="4">
                  <c:v>1988.-2009.</c:v>
                </c:pt>
                <c:pt idx="5">
                  <c:v>2010.-2016.</c:v>
                </c:pt>
                <c:pt idx="6">
                  <c:v>2017.-2020.</c:v>
                </c:pt>
              </c:strCache>
            </c:strRef>
          </c:cat>
          <c:val>
            <c:numRef>
              <c:f>Javni_ovojnica!$AA$27:$AG$27</c:f>
              <c:numCache>
                <c:formatCode>General</c:formatCode>
                <c:ptCount val="7"/>
                <c:pt idx="0">
                  <c:v>3.29</c:v>
                </c:pt>
                <c:pt idx="1">
                  <c:v>3.23</c:v>
                </c:pt>
                <c:pt idx="2">
                  <c:v>2.75</c:v>
                </c:pt>
                <c:pt idx="3">
                  <c:v>2.81</c:v>
                </c:pt>
                <c:pt idx="4">
                  <c:v>2.2599999999999998</c:v>
                </c:pt>
                <c:pt idx="5">
                  <c:v>1.9</c:v>
                </c:pt>
                <c:pt idx="6">
                  <c:v>0.97</c:v>
                </c:pt>
              </c:numCache>
            </c:numRef>
          </c:val>
          <c:smooth val="0"/>
          <c:extLst>
            <c:ext xmlns:c16="http://schemas.microsoft.com/office/drawing/2014/chart" uri="{C3380CC4-5D6E-409C-BE32-E72D297353CC}">
              <c16:uniqueId val="{00000003-78BC-43A2-AB28-A2AA4506E065}"/>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hr-HR"/>
                  <a:t>Koeficijent prolaza toplote, W/m</a:t>
                </a:r>
                <a:r>
                  <a:rPr lang="hr-HR" baseline="30000"/>
                  <a:t>2</a:t>
                </a:r>
                <a:r>
                  <a:rPr lang="hr-HR"/>
                  <a:t>K</a:t>
                </a:r>
                <a:endParaRPr lang="en-GB"/>
              </a:p>
            </c:rich>
          </c:tx>
          <c:layout>
            <c:manualLayout>
              <c:xMode val="edge"/>
              <c:yMode val="edge"/>
              <c:x val="1.0319569038992301E-2"/>
              <c:y val="0.11649397724292211"/>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75283825174027164"/>
          <c:y val="4.6845121875315927E-2"/>
          <c:w val="0.21938623758986647"/>
          <c:h val="0.21681344583993112"/>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a:solidFill>
            <a:sysClr val="windowText" lastClr="000000"/>
          </a:solidFill>
        </a:defRPr>
      </a:pPr>
      <a:endParaRPr lang="sr-Latn-R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62535522535968"/>
          <c:y val="4.471526525280848E-2"/>
          <c:w val="0.8116869679120593"/>
          <c:h val="0.75372077494297274"/>
        </c:manualLayout>
      </c:layout>
      <c:lineChart>
        <c:grouping val="standard"/>
        <c:varyColors val="0"/>
        <c:ser>
          <c:idx val="1"/>
          <c:order val="0"/>
          <c:tx>
            <c:v>Sanacija 1,5% korisne grijane površine</c:v>
          </c:tx>
          <c:spPr>
            <a:ln w="28575" cap="rnd">
              <a:solidFill>
                <a:srgbClr val="00B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2931-4CAA-B546-8F01AA29E475}"/>
                </c:ext>
              </c:extLst>
            </c:dLbl>
            <c:dLbl>
              <c:idx val="1"/>
              <c:delete val="1"/>
              <c:extLst>
                <c:ext xmlns:c15="http://schemas.microsoft.com/office/drawing/2012/chart" uri="{CE6537A1-D6FC-4f65-9D91-7224C49458BB}"/>
                <c:ext xmlns:c16="http://schemas.microsoft.com/office/drawing/2014/chart" uri="{C3380CC4-5D6E-409C-BE32-E72D297353CC}">
                  <c16:uniqueId val="{00000001-2931-4CAA-B546-8F01AA29E475}"/>
                </c:ext>
              </c:extLst>
            </c:dLbl>
            <c:dLbl>
              <c:idx val="2"/>
              <c:delete val="1"/>
              <c:extLst>
                <c:ext xmlns:c15="http://schemas.microsoft.com/office/drawing/2012/chart" uri="{CE6537A1-D6FC-4f65-9D91-7224C49458BB}"/>
                <c:ext xmlns:c16="http://schemas.microsoft.com/office/drawing/2014/chart" uri="{C3380CC4-5D6E-409C-BE32-E72D297353CC}">
                  <c16:uniqueId val="{00000002-2931-4CAA-B546-8F01AA29E47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'ULAZNI PODACI'!$H$78:$K$78</c:f>
              <c:numCache>
                <c:formatCode>General</c:formatCode>
                <c:ptCount val="4"/>
                <c:pt idx="0">
                  <c:v>2020</c:v>
                </c:pt>
                <c:pt idx="1">
                  <c:v>2030</c:v>
                </c:pt>
                <c:pt idx="2">
                  <c:v>2040</c:v>
                </c:pt>
                <c:pt idx="3">
                  <c:v>2050</c:v>
                </c:pt>
              </c:numCache>
            </c:numRef>
          </c:cat>
          <c:val>
            <c:numRef>
              <c:f>'ULAZNI PODACI'!$H$83:$K$83</c:f>
              <c:numCache>
                <c:formatCode>#,##0</c:formatCode>
                <c:ptCount val="4"/>
                <c:pt idx="0">
                  <c:v>79.545081790943811</c:v>
                </c:pt>
                <c:pt idx="1">
                  <c:v>927.79533493856081</c:v>
                </c:pt>
                <c:pt idx="2">
                  <c:v>2151.1727783061124</c:v>
                </c:pt>
                <c:pt idx="3">
                  <c:v>3532.0012794199738</c:v>
                </c:pt>
              </c:numCache>
            </c:numRef>
          </c:val>
          <c:smooth val="0"/>
          <c:extLst>
            <c:ext xmlns:c16="http://schemas.microsoft.com/office/drawing/2014/chart" uri="{C3380CC4-5D6E-409C-BE32-E72D297353CC}">
              <c16:uniqueId val="{00000003-2931-4CAA-B546-8F01AA29E475}"/>
            </c:ext>
          </c:extLst>
        </c:ser>
        <c:ser>
          <c:idx val="0"/>
          <c:order val="1"/>
          <c:tx>
            <c:v>Sanacija 1,0% korisne grijane površine</c:v>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2931-4CAA-B546-8F01AA29E475}"/>
                </c:ext>
              </c:extLst>
            </c:dLbl>
            <c:dLbl>
              <c:idx val="1"/>
              <c:delete val="1"/>
              <c:extLst>
                <c:ext xmlns:c15="http://schemas.microsoft.com/office/drawing/2012/chart" uri="{CE6537A1-D6FC-4f65-9D91-7224C49458BB}"/>
                <c:ext xmlns:c16="http://schemas.microsoft.com/office/drawing/2014/chart" uri="{C3380CC4-5D6E-409C-BE32-E72D297353CC}">
                  <c16:uniqueId val="{00000005-2931-4CAA-B546-8F01AA29E475}"/>
                </c:ext>
              </c:extLst>
            </c:dLbl>
            <c:dLbl>
              <c:idx val="2"/>
              <c:delete val="1"/>
              <c:extLst>
                <c:ext xmlns:c15="http://schemas.microsoft.com/office/drawing/2012/chart" uri="{CE6537A1-D6FC-4f65-9D91-7224C49458BB}"/>
                <c:ext xmlns:c16="http://schemas.microsoft.com/office/drawing/2014/chart" uri="{C3380CC4-5D6E-409C-BE32-E72D297353CC}">
                  <c16:uniqueId val="{00000006-2931-4CAA-B546-8F01AA29E47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'ULAZNI PODACI'!$H$78:$K$78</c:f>
              <c:numCache>
                <c:formatCode>General</c:formatCode>
                <c:ptCount val="4"/>
                <c:pt idx="0">
                  <c:v>2020</c:v>
                </c:pt>
                <c:pt idx="1">
                  <c:v>2030</c:v>
                </c:pt>
                <c:pt idx="2">
                  <c:v>2040</c:v>
                </c:pt>
                <c:pt idx="3">
                  <c:v>2050</c:v>
                </c:pt>
              </c:numCache>
            </c:numRef>
          </c:cat>
          <c:val>
            <c:numRef>
              <c:f>'ULAZNI PODACI'!$N$83:$Q$83</c:f>
              <c:numCache>
                <c:formatCode>#,##0</c:formatCode>
                <c:ptCount val="4"/>
                <c:pt idx="0">
                  <c:v>52.726720508150223</c:v>
                </c:pt>
                <c:pt idx="1">
                  <c:v>615.70033686859529</c:v>
                </c:pt>
                <c:pt idx="2">
                  <c:v>1393.1188521809956</c:v>
                </c:pt>
                <c:pt idx="3">
                  <c:v>2272.2167644289134</c:v>
                </c:pt>
              </c:numCache>
            </c:numRef>
          </c:val>
          <c:smooth val="0"/>
          <c:extLst>
            <c:ext xmlns:c16="http://schemas.microsoft.com/office/drawing/2014/chart" uri="{C3380CC4-5D6E-409C-BE32-E72D297353CC}">
              <c16:uniqueId val="{00000007-2931-4CAA-B546-8F01AA29E475}"/>
            </c:ext>
          </c:extLst>
        </c:ser>
        <c:ser>
          <c:idx val="2"/>
          <c:order val="2"/>
          <c:tx>
            <c:v>Sanacija 0,8% korisne grijane površine</c:v>
          </c:tx>
          <c:spPr>
            <a:ln w="28575" cap="rnd">
              <a:solidFill>
                <a:srgbClr val="FF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2931-4CAA-B546-8F01AA29E475}"/>
                </c:ext>
              </c:extLst>
            </c:dLbl>
            <c:dLbl>
              <c:idx val="1"/>
              <c:delete val="1"/>
              <c:extLst>
                <c:ext xmlns:c15="http://schemas.microsoft.com/office/drawing/2012/chart" uri="{CE6537A1-D6FC-4f65-9D91-7224C49458BB}"/>
                <c:ext xmlns:c16="http://schemas.microsoft.com/office/drawing/2014/chart" uri="{C3380CC4-5D6E-409C-BE32-E72D297353CC}">
                  <c16:uniqueId val="{00000009-2931-4CAA-B546-8F01AA29E475}"/>
                </c:ext>
              </c:extLst>
            </c:dLbl>
            <c:dLbl>
              <c:idx val="2"/>
              <c:delete val="1"/>
              <c:extLst>
                <c:ext xmlns:c15="http://schemas.microsoft.com/office/drawing/2012/chart" uri="{CE6537A1-D6FC-4f65-9D91-7224C49458BB}"/>
                <c:ext xmlns:c16="http://schemas.microsoft.com/office/drawing/2014/chart" uri="{C3380CC4-5D6E-409C-BE32-E72D297353CC}">
                  <c16:uniqueId val="{0000000A-2931-4CAA-B546-8F01AA29E47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'ULAZNI PODACI'!$H$78:$K$78</c:f>
              <c:numCache>
                <c:formatCode>General</c:formatCode>
                <c:ptCount val="4"/>
                <c:pt idx="0">
                  <c:v>2020</c:v>
                </c:pt>
                <c:pt idx="1">
                  <c:v>2030</c:v>
                </c:pt>
                <c:pt idx="2">
                  <c:v>2040</c:v>
                </c:pt>
                <c:pt idx="3">
                  <c:v>2050</c:v>
                </c:pt>
              </c:numCache>
            </c:numRef>
          </c:cat>
          <c:val>
            <c:numRef>
              <c:f>'ULAZNI PODACI'!$T$83:$W$83</c:f>
              <c:numCache>
                <c:formatCode>#,##0</c:formatCode>
                <c:ptCount val="4"/>
                <c:pt idx="0">
                  <c:v>42.644426130208949</c:v>
                </c:pt>
                <c:pt idx="1">
                  <c:v>497.39962092447013</c:v>
                </c:pt>
                <c:pt idx="2">
                  <c:v>1153.0227272968218</c:v>
                </c:pt>
                <c:pt idx="3">
                  <c:v>1893.0371608415869</c:v>
                </c:pt>
              </c:numCache>
            </c:numRef>
          </c:val>
          <c:smooth val="0"/>
          <c:extLst>
            <c:ext xmlns:c16="http://schemas.microsoft.com/office/drawing/2014/chart" uri="{C3380CC4-5D6E-409C-BE32-E72D297353CC}">
              <c16:uniqueId val="{0000000B-2931-4CAA-B546-8F01AA29E475}"/>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sz="1000" b="0" i="0" baseline="0">
                    <a:effectLst/>
                  </a:rPr>
                  <a:t>Vremenski okvir</a:t>
                </a:r>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5"/>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Ušteda finalne energije za grijanje, GWh/god.</a:t>
                </a:r>
                <a:endParaRPr lang="en-GB" baseline="30000"/>
              </a:p>
            </c:rich>
          </c:tx>
          <c:layout>
            <c:manualLayout>
              <c:xMode val="edge"/>
              <c:yMode val="edge"/>
              <c:x val="1.8729490197344333E-2"/>
              <c:y val="8.920996144152414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w="25400">
          <a:noFill/>
        </a:ln>
        <a:effectLst/>
      </c:spPr>
    </c:plotArea>
    <c:legend>
      <c:legendPos val="l"/>
      <c:layout>
        <c:manualLayout>
          <c:xMode val="edge"/>
          <c:yMode val="edge"/>
          <c:x val="0.16355627056969654"/>
          <c:y val="5.7828021374528846E-2"/>
          <c:w val="0.45430933681893931"/>
          <c:h val="0.23848827512869267"/>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62535522535968"/>
          <c:y val="4.471526525280848E-2"/>
          <c:w val="0.8116869679120593"/>
          <c:h val="0.7935614842712061"/>
        </c:manualLayout>
      </c:layout>
      <c:lineChart>
        <c:grouping val="standard"/>
        <c:varyColors val="0"/>
        <c:ser>
          <c:idx val="1"/>
          <c:order val="0"/>
          <c:tx>
            <c:v>Sanacija 2,5% korisne grijane površine</c:v>
          </c:tx>
          <c:spPr>
            <a:ln w="28575" cap="rnd">
              <a:solidFill>
                <a:srgbClr val="00B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AA21-40FB-A810-3C0383086625}"/>
                </c:ext>
              </c:extLst>
            </c:dLbl>
            <c:dLbl>
              <c:idx val="1"/>
              <c:delete val="1"/>
              <c:extLst>
                <c:ext xmlns:c15="http://schemas.microsoft.com/office/drawing/2012/chart" uri="{CE6537A1-D6FC-4f65-9D91-7224C49458BB}"/>
                <c:ext xmlns:c16="http://schemas.microsoft.com/office/drawing/2014/chart" uri="{C3380CC4-5D6E-409C-BE32-E72D297353CC}">
                  <c16:uniqueId val="{00000001-AA21-40FB-A810-3C0383086625}"/>
                </c:ext>
              </c:extLst>
            </c:dLbl>
            <c:dLbl>
              <c:idx val="2"/>
              <c:delete val="1"/>
              <c:extLst>
                <c:ext xmlns:c15="http://schemas.microsoft.com/office/drawing/2012/chart" uri="{CE6537A1-D6FC-4f65-9D91-7224C49458BB}"/>
                <c:ext xmlns:c16="http://schemas.microsoft.com/office/drawing/2014/chart" uri="{C3380CC4-5D6E-409C-BE32-E72D297353CC}">
                  <c16:uniqueId val="{00000002-AA21-40FB-A810-3C038308662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'[Bilansi_sanacije_24_01_REZIDENCIJALNI.xlsx]ULAZNI PODACI'!$H$78:$K$78</c:f>
              <c:numCache>
                <c:formatCode>General</c:formatCode>
                <c:ptCount val="4"/>
                <c:pt idx="0">
                  <c:v>2020</c:v>
                </c:pt>
                <c:pt idx="1">
                  <c:v>2030</c:v>
                </c:pt>
                <c:pt idx="2">
                  <c:v>2040</c:v>
                </c:pt>
                <c:pt idx="3">
                  <c:v>2050</c:v>
                </c:pt>
              </c:numCache>
            </c:numRef>
          </c:cat>
          <c:val>
            <c:numRef>
              <c:f>'ULAZNI PODACI'!$H$63:$K$63</c:f>
              <c:numCache>
                <c:formatCode>#,##0</c:formatCode>
                <c:ptCount val="4"/>
                <c:pt idx="0">
                  <c:v>0</c:v>
                </c:pt>
                <c:pt idx="1">
                  <c:v>276.15442856788837</c:v>
                </c:pt>
                <c:pt idx="2">
                  <c:v>558.61596774374505</c:v>
                </c:pt>
                <c:pt idx="3">
                  <c:v>841.07750691960121</c:v>
                </c:pt>
              </c:numCache>
            </c:numRef>
          </c:val>
          <c:smooth val="0"/>
          <c:extLst>
            <c:ext xmlns:c16="http://schemas.microsoft.com/office/drawing/2014/chart" uri="{C3380CC4-5D6E-409C-BE32-E72D297353CC}">
              <c16:uniqueId val="{00000003-AA21-40FB-A810-3C0383086625}"/>
            </c:ext>
          </c:extLst>
        </c:ser>
        <c:ser>
          <c:idx val="0"/>
          <c:order val="1"/>
          <c:tx>
            <c:v>Sanacija 2% korisne grijane površine</c:v>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AA21-40FB-A810-3C0383086625}"/>
                </c:ext>
              </c:extLst>
            </c:dLbl>
            <c:dLbl>
              <c:idx val="1"/>
              <c:delete val="1"/>
              <c:extLst>
                <c:ext xmlns:c15="http://schemas.microsoft.com/office/drawing/2012/chart" uri="{CE6537A1-D6FC-4f65-9D91-7224C49458BB}"/>
                <c:ext xmlns:c16="http://schemas.microsoft.com/office/drawing/2014/chart" uri="{C3380CC4-5D6E-409C-BE32-E72D297353CC}">
                  <c16:uniqueId val="{00000005-AA21-40FB-A810-3C0383086625}"/>
                </c:ext>
              </c:extLst>
            </c:dLbl>
            <c:dLbl>
              <c:idx val="2"/>
              <c:delete val="1"/>
              <c:extLst>
                <c:ext xmlns:c15="http://schemas.microsoft.com/office/drawing/2012/chart" uri="{CE6537A1-D6FC-4f65-9D91-7224C49458BB}"/>
                <c:ext xmlns:c16="http://schemas.microsoft.com/office/drawing/2014/chart" uri="{C3380CC4-5D6E-409C-BE32-E72D297353CC}">
                  <c16:uniqueId val="{00000006-AA21-40FB-A810-3C038308662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'[Bilansi_sanacije_24_01_REZIDENCIJALNI.xlsx]ULAZNI PODACI'!$H$78:$K$78</c:f>
              <c:numCache>
                <c:formatCode>General</c:formatCode>
                <c:ptCount val="4"/>
                <c:pt idx="0">
                  <c:v>2020</c:v>
                </c:pt>
                <c:pt idx="1">
                  <c:v>2030</c:v>
                </c:pt>
                <c:pt idx="2">
                  <c:v>2040</c:v>
                </c:pt>
                <c:pt idx="3">
                  <c:v>2050</c:v>
                </c:pt>
              </c:numCache>
            </c:numRef>
          </c:cat>
          <c:val>
            <c:numRef>
              <c:f>'ULAZNI PODACI'!$N$63:$Q$63</c:f>
              <c:numCache>
                <c:formatCode>#,##0</c:formatCode>
                <c:ptCount val="4"/>
                <c:pt idx="0">
                  <c:v>0</c:v>
                </c:pt>
                <c:pt idx="1">
                  <c:v>222.69941924131339</c:v>
                </c:pt>
                <c:pt idx="2">
                  <c:v>450.44678085016187</c:v>
                </c:pt>
                <c:pt idx="3">
                  <c:v>678.19414245901032</c:v>
                </c:pt>
              </c:numCache>
            </c:numRef>
          </c:val>
          <c:smooth val="0"/>
          <c:extLst>
            <c:ext xmlns:c16="http://schemas.microsoft.com/office/drawing/2014/chart" uri="{C3380CC4-5D6E-409C-BE32-E72D297353CC}">
              <c16:uniqueId val="{00000007-AA21-40FB-A810-3C0383086625}"/>
            </c:ext>
          </c:extLst>
        </c:ser>
        <c:ser>
          <c:idx val="2"/>
          <c:order val="2"/>
          <c:tx>
            <c:v>Sanacija 1,5% korisne grijane površine</c:v>
          </c:tx>
          <c:spPr>
            <a:ln w="28575" cap="rnd">
              <a:solidFill>
                <a:srgbClr val="FF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AA21-40FB-A810-3C0383086625}"/>
                </c:ext>
              </c:extLst>
            </c:dLbl>
            <c:dLbl>
              <c:idx val="1"/>
              <c:delete val="1"/>
              <c:extLst>
                <c:ext xmlns:c15="http://schemas.microsoft.com/office/drawing/2012/chart" uri="{CE6537A1-D6FC-4f65-9D91-7224C49458BB}"/>
                <c:ext xmlns:c16="http://schemas.microsoft.com/office/drawing/2014/chart" uri="{C3380CC4-5D6E-409C-BE32-E72D297353CC}">
                  <c16:uniqueId val="{00000009-AA21-40FB-A810-3C0383086625}"/>
                </c:ext>
              </c:extLst>
            </c:dLbl>
            <c:dLbl>
              <c:idx val="2"/>
              <c:delete val="1"/>
              <c:extLst>
                <c:ext xmlns:c15="http://schemas.microsoft.com/office/drawing/2012/chart" uri="{CE6537A1-D6FC-4f65-9D91-7224C49458BB}"/>
                <c:ext xmlns:c16="http://schemas.microsoft.com/office/drawing/2014/chart" uri="{C3380CC4-5D6E-409C-BE32-E72D297353CC}">
                  <c16:uniqueId val="{0000000A-AA21-40FB-A810-3C0383086625}"/>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'[Bilansi_sanacije_24_01_REZIDENCIJALNI.xlsx]ULAZNI PODACI'!$H$78:$K$78</c:f>
              <c:numCache>
                <c:formatCode>General</c:formatCode>
                <c:ptCount val="4"/>
                <c:pt idx="0">
                  <c:v>2020</c:v>
                </c:pt>
                <c:pt idx="1">
                  <c:v>2030</c:v>
                </c:pt>
                <c:pt idx="2">
                  <c:v>2040</c:v>
                </c:pt>
                <c:pt idx="3">
                  <c:v>2050</c:v>
                </c:pt>
              </c:numCache>
            </c:numRef>
          </c:cat>
          <c:val>
            <c:numRef>
              <c:f>'ULAZNI PODACI'!$T$63:$W$63</c:f>
              <c:numCache>
                <c:formatCode>#,##0</c:formatCode>
                <c:ptCount val="4"/>
                <c:pt idx="0">
                  <c:v>0</c:v>
                </c:pt>
                <c:pt idx="1">
                  <c:v>167.15292873975744</c:v>
                </c:pt>
                <c:pt idx="2">
                  <c:v>338.12969400348243</c:v>
                </c:pt>
                <c:pt idx="3">
                  <c:v>509.10645926720736</c:v>
                </c:pt>
              </c:numCache>
            </c:numRef>
          </c:val>
          <c:smooth val="0"/>
          <c:extLst>
            <c:ext xmlns:c16="http://schemas.microsoft.com/office/drawing/2014/chart" uri="{C3380CC4-5D6E-409C-BE32-E72D297353CC}">
              <c16:uniqueId val="{0000000B-AA21-40FB-A810-3C0383086625}"/>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Vremenski okvir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5"/>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Ušteda finalne energije za grijanje, GWh/god.</a:t>
                </a:r>
                <a:endParaRPr lang="en-GB" baseline="30000"/>
              </a:p>
            </c:rich>
          </c:tx>
          <c:layout>
            <c:manualLayout>
              <c:xMode val="edge"/>
              <c:yMode val="edge"/>
              <c:x val="1.8729490197344333E-2"/>
              <c:y val="8.920996144152414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w="25400">
          <a:noFill/>
        </a:ln>
        <a:effectLst/>
      </c:spPr>
    </c:plotArea>
    <c:legend>
      <c:legendPos val="l"/>
      <c:layout>
        <c:manualLayout>
          <c:xMode val="edge"/>
          <c:yMode val="edge"/>
          <c:x val="0.16355627056969654"/>
          <c:y val="5.7828021374528846E-2"/>
          <c:w val="0.45430933681893931"/>
          <c:h val="0.23848827512869267"/>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38493346430521"/>
          <c:y val="5.881670750418732E-2"/>
          <c:w val="0.85334318530369835"/>
          <c:h val="0.82414308684199367"/>
        </c:manualLayout>
      </c:layout>
      <c:barChart>
        <c:barDir val="col"/>
        <c:grouping val="clustered"/>
        <c:varyColors val="0"/>
        <c:ser>
          <c:idx val="0"/>
          <c:order val="0"/>
          <c:tx>
            <c:strRef>
              <c:f>Spec_povrsini_sanira!$K$26</c:f>
              <c:strCache>
                <c:ptCount val="1"/>
                <c:pt idx="0">
                  <c:v>Bosna i Hercegovina</c:v>
                </c:pt>
              </c:strCache>
            </c:strRef>
          </c:tx>
          <c:spPr>
            <a:solidFill>
              <a:schemeClr val="accent1"/>
            </a:solidFill>
            <a:ln>
              <a:noFill/>
            </a:ln>
            <a:effectLst/>
          </c:spPr>
          <c:invertIfNegative val="0"/>
          <c:cat>
            <c:strRef>
              <c:f>Spec_povrsini_sanira!$L$24:$R$24</c:f>
              <c:strCache>
                <c:ptCount val="7"/>
                <c:pt idx="0">
                  <c:v>Zamjena otvora</c:v>
                </c:pt>
                <c:pt idx="1">
                  <c:v>Izolacija vanjskih zidova</c:v>
                </c:pt>
                <c:pt idx="2">
                  <c:v>Izolacija stropa </c:v>
                </c:pt>
                <c:pt idx="3">
                  <c:v>Izolacija krova </c:v>
                </c:pt>
                <c:pt idx="4">
                  <c:v>Exterior basement insulation </c:v>
                </c:pt>
                <c:pt idx="5">
                  <c:v>GDP</c:v>
                </c:pt>
                <c:pt idx="6">
                  <c:v>Total</c:v>
                </c:pt>
              </c:strCache>
            </c:strRef>
          </c:cat>
          <c:val>
            <c:numRef>
              <c:f>Spec_povrsini_sanira!$L$26:$O$26</c:f>
              <c:numCache>
                <c:formatCode>0.0</c:formatCode>
                <c:ptCount val="4"/>
                <c:pt idx="0">
                  <c:v>229.5</c:v>
                </c:pt>
                <c:pt idx="1">
                  <c:v>43.9</c:v>
                </c:pt>
                <c:pt idx="2">
                  <c:v>15</c:v>
                </c:pt>
                <c:pt idx="3">
                  <c:v>53.1</c:v>
                </c:pt>
              </c:numCache>
            </c:numRef>
          </c:val>
          <c:extLst>
            <c:ext xmlns:c16="http://schemas.microsoft.com/office/drawing/2014/chart" uri="{C3380CC4-5D6E-409C-BE32-E72D297353CC}">
              <c16:uniqueId val="{00000000-7CB2-4691-A16B-B64094E621DE}"/>
            </c:ext>
          </c:extLst>
        </c:ser>
        <c:ser>
          <c:idx val="1"/>
          <c:order val="1"/>
          <c:tx>
            <c:strRef>
              <c:f>Spec_povrsini_sanira!$K$27</c:f>
              <c:strCache>
                <c:ptCount val="1"/>
                <c:pt idx="0">
                  <c:v>Slovenija</c:v>
                </c:pt>
              </c:strCache>
            </c:strRef>
          </c:tx>
          <c:spPr>
            <a:solidFill>
              <a:schemeClr val="accent2"/>
            </a:solidFill>
            <a:ln>
              <a:noFill/>
            </a:ln>
            <a:effectLst/>
          </c:spPr>
          <c:invertIfNegative val="0"/>
          <c:cat>
            <c:strRef>
              <c:f>Spec_povrsini_sanira!$L$24:$R$24</c:f>
              <c:strCache>
                <c:ptCount val="7"/>
                <c:pt idx="0">
                  <c:v>Zamjena otvora</c:v>
                </c:pt>
                <c:pt idx="1">
                  <c:v>Izolacija vanjskih zidova</c:v>
                </c:pt>
                <c:pt idx="2">
                  <c:v>Izolacija stropa </c:v>
                </c:pt>
                <c:pt idx="3">
                  <c:v>Izolacija krova </c:v>
                </c:pt>
                <c:pt idx="4">
                  <c:v>Exterior basement insulation </c:v>
                </c:pt>
                <c:pt idx="5">
                  <c:v>GDP</c:v>
                </c:pt>
                <c:pt idx="6">
                  <c:v>Total</c:v>
                </c:pt>
              </c:strCache>
            </c:strRef>
          </c:cat>
          <c:val>
            <c:numRef>
              <c:f>Spec_povrsini_sanira!$L$27:$O$27</c:f>
              <c:numCache>
                <c:formatCode>0.0</c:formatCode>
                <c:ptCount val="4"/>
                <c:pt idx="0">
                  <c:v>231.9</c:v>
                </c:pt>
                <c:pt idx="1">
                  <c:v>35.1</c:v>
                </c:pt>
                <c:pt idx="2">
                  <c:v>10.76</c:v>
                </c:pt>
                <c:pt idx="3">
                  <c:v>69.72</c:v>
                </c:pt>
              </c:numCache>
            </c:numRef>
          </c:val>
          <c:extLst>
            <c:ext xmlns:c16="http://schemas.microsoft.com/office/drawing/2014/chart" uri="{C3380CC4-5D6E-409C-BE32-E72D297353CC}">
              <c16:uniqueId val="{00000001-7CB2-4691-A16B-B64094E621DE}"/>
            </c:ext>
          </c:extLst>
        </c:ser>
        <c:ser>
          <c:idx val="3"/>
          <c:order val="2"/>
          <c:tx>
            <c:strRef>
              <c:f>Spec_povrsini_sanira!$K$28</c:f>
              <c:strCache>
                <c:ptCount val="1"/>
                <c:pt idx="0">
                  <c:v>Češka Republika</c:v>
                </c:pt>
              </c:strCache>
            </c:strRef>
          </c:tx>
          <c:spPr>
            <a:solidFill>
              <a:schemeClr val="accent4"/>
            </a:solidFill>
            <a:ln>
              <a:noFill/>
            </a:ln>
            <a:effectLst/>
          </c:spPr>
          <c:invertIfNegative val="0"/>
          <c:cat>
            <c:strRef>
              <c:f>Spec_povrsini_sanira!$L$24:$R$24</c:f>
              <c:strCache>
                <c:ptCount val="7"/>
                <c:pt idx="0">
                  <c:v>Zamjena otvora</c:v>
                </c:pt>
                <c:pt idx="1">
                  <c:v>Izolacija vanjskih zidova</c:v>
                </c:pt>
                <c:pt idx="2">
                  <c:v>Izolacija stropa </c:v>
                </c:pt>
                <c:pt idx="3">
                  <c:v>Izolacija krova </c:v>
                </c:pt>
                <c:pt idx="4">
                  <c:v>Exterior basement insulation </c:v>
                </c:pt>
                <c:pt idx="5">
                  <c:v>GDP</c:v>
                </c:pt>
                <c:pt idx="6">
                  <c:v>Total</c:v>
                </c:pt>
              </c:strCache>
            </c:strRef>
          </c:cat>
          <c:val>
            <c:numRef>
              <c:f>Spec_povrsini_sanira!$L$28:$O$28</c:f>
              <c:numCache>
                <c:formatCode>0.0</c:formatCode>
                <c:ptCount val="4"/>
                <c:pt idx="0">
                  <c:v>202.67</c:v>
                </c:pt>
                <c:pt idx="1">
                  <c:v>38.799999999999997</c:v>
                </c:pt>
                <c:pt idx="2">
                  <c:v>11.84</c:v>
                </c:pt>
                <c:pt idx="3">
                  <c:v>76.790000000000006</c:v>
                </c:pt>
              </c:numCache>
            </c:numRef>
          </c:val>
          <c:extLst>
            <c:ext xmlns:c16="http://schemas.microsoft.com/office/drawing/2014/chart" uri="{C3380CC4-5D6E-409C-BE32-E72D297353CC}">
              <c16:uniqueId val="{00000002-7CB2-4691-A16B-B64094E621DE}"/>
            </c:ext>
          </c:extLst>
        </c:ser>
        <c:ser>
          <c:idx val="2"/>
          <c:order val="3"/>
          <c:tx>
            <c:strRef>
              <c:f>Spec_povrsini_sanira!$K$29</c:f>
              <c:strCache>
                <c:ptCount val="1"/>
                <c:pt idx="0">
                  <c:v>Italija</c:v>
                </c:pt>
              </c:strCache>
            </c:strRef>
          </c:tx>
          <c:spPr>
            <a:solidFill>
              <a:schemeClr val="accent3"/>
            </a:solidFill>
            <a:ln>
              <a:noFill/>
            </a:ln>
            <a:effectLst/>
          </c:spPr>
          <c:invertIfNegative val="0"/>
          <c:cat>
            <c:strRef>
              <c:f>Spec_povrsini_sanira!$L$24:$R$24</c:f>
              <c:strCache>
                <c:ptCount val="7"/>
                <c:pt idx="0">
                  <c:v>Zamjena otvora</c:v>
                </c:pt>
                <c:pt idx="1">
                  <c:v>Izolacija vanjskih zidova</c:v>
                </c:pt>
                <c:pt idx="2">
                  <c:v>Izolacija stropa </c:v>
                </c:pt>
                <c:pt idx="3">
                  <c:v>Izolacija krova </c:v>
                </c:pt>
                <c:pt idx="4">
                  <c:v>Exterior basement insulation </c:v>
                </c:pt>
                <c:pt idx="5">
                  <c:v>GDP</c:v>
                </c:pt>
                <c:pt idx="6">
                  <c:v>Total</c:v>
                </c:pt>
              </c:strCache>
            </c:strRef>
          </c:cat>
          <c:val>
            <c:numRef>
              <c:f>Spec_povrsini_sanira!$L$29:$O$29</c:f>
              <c:numCache>
                <c:formatCode>0.0</c:formatCode>
                <c:ptCount val="4"/>
                <c:pt idx="0">
                  <c:v>285.8</c:v>
                </c:pt>
                <c:pt idx="1">
                  <c:v>47.05</c:v>
                </c:pt>
                <c:pt idx="2">
                  <c:v>15</c:v>
                </c:pt>
                <c:pt idx="3">
                  <c:v>91.94</c:v>
                </c:pt>
              </c:numCache>
            </c:numRef>
          </c:val>
          <c:extLst>
            <c:ext xmlns:c16="http://schemas.microsoft.com/office/drawing/2014/chart" uri="{C3380CC4-5D6E-409C-BE32-E72D297353CC}">
              <c16:uniqueId val="{00000003-7CB2-4691-A16B-B64094E621DE}"/>
            </c:ext>
          </c:extLst>
        </c:ser>
        <c:dLbls>
          <c:showLegendKey val="0"/>
          <c:showVal val="0"/>
          <c:showCatName val="0"/>
          <c:showSerName val="0"/>
          <c:showPercent val="0"/>
          <c:showBubbleSize val="0"/>
        </c:dLbls>
        <c:gapWidth val="219"/>
        <c:overlap val="-27"/>
        <c:axId val="112558080"/>
        <c:axId val="88318528"/>
      </c:barChart>
      <c:catAx>
        <c:axId val="11255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crossAx val="88318528"/>
        <c:crosses val="autoZero"/>
        <c:auto val="1"/>
        <c:lblAlgn val="ctr"/>
        <c:lblOffset val="100"/>
        <c:noMultiLvlLbl val="0"/>
      </c:catAx>
      <c:valAx>
        <c:axId val="88318528"/>
        <c:scaling>
          <c:orientation val="minMax"/>
          <c:max val="3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hr-HR"/>
                  <a:t>Specifični trošak sanacije m</a:t>
                </a:r>
                <a:r>
                  <a:rPr lang="hr-HR" baseline="30000"/>
                  <a:t>2</a:t>
                </a:r>
                <a:r>
                  <a:rPr lang="hr-HR" baseline="0"/>
                  <a:t> površine</a:t>
                </a:r>
                <a:r>
                  <a:rPr lang="hr-HR"/>
                  <a:t> (€/m</a:t>
                </a:r>
                <a:r>
                  <a:rPr lang="hr-HR" baseline="30000"/>
                  <a:t>2</a:t>
                </a:r>
                <a:r>
                  <a:rPr lang="hr-HR"/>
                  <a:t>)</a:t>
                </a:r>
                <a:r>
                  <a:rPr lang="en-GB"/>
                  <a:t> </a:t>
                </a:r>
              </a:p>
            </c:rich>
          </c:tx>
          <c:layout>
            <c:manualLayout>
              <c:xMode val="edge"/>
              <c:yMode val="edge"/>
              <c:x val="5.8190598987003421E-3"/>
              <c:y val="0.111070114118586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crossAx val="112558080"/>
        <c:crosses val="autoZero"/>
        <c:crossBetween val="between"/>
      </c:valAx>
      <c:spPr>
        <a:noFill/>
        <a:ln>
          <a:noFill/>
        </a:ln>
        <a:effectLst/>
      </c:spPr>
    </c:plotArea>
    <c:legend>
      <c:legendPos val="r"/>
      <c:layout>
        <c:manualLayout>
          <c:xMode val="edge"/>
          <c:yMode val="edge"/>
          <c:x val="0.66210300601412186"/>
          <c:y val="6.2049978559309923E-2"/>
          <c:w val="0.27568140520896428"/>
          <c:h val="0.25686738406612447"/>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mn-lt"/>
          <a:cs typeface="Times New Roman" panose="02020603050405020304" pitchFamily="18" charset="0"/>
        </a:defRPr>
      </a:pPr>
      <a:endParaRPr lang="sr-Latn-R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5531728074913"/>
          <c:y val="5.146198830409357E-2"/>
          <c:w val="0.83861972757946912"/>
          <c:h val="0.81137692746625911"/>
        </c:manualLayout>
      </c:layout>
      <c:barChart>
        <c:barDir val="col"/>
        <c:grouping val="clustered"/>
        <c:varyColors val="0"/>
        <c:ser>
          <c:idx val="0"/>
          <c:order val="0"/>
          <c:tx>
            <c:strRef>
              <c:f>Spec_povrsini_sanira!$K$26</c:f>
              <c:strCache>
                <c:ptCount val="1"/>
                <c:pt idx="0">
                  <c:v>Bosna i Hercegovina</c:v>
                </c:pt>
              </c:strCache>
            </c:strRef>
          </c:tx>
          <c:spPr>
            <a:solidFill>
              <a:schemeClr val="accent1"/>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Spec_povrsini_sanira!$L$39:$N$39</c:f>
              <c:strCache>
                <c:ptCount val="3"/>
                <c:pt idx="0">
                  <c:v>Zamjena otvora</c:v>
                </c:pt>
                <c:pt idx="1">
                  <c:v>Izolacija vanjskih zidova</c:v>
                </c:pt>
                <c:pt idx="2">
                  <c:v>Izolacija krova </c:v>
                </c:pt>
              </c:strCache>
            </c:strRef>
          </c:cat>
          <c:val>
            <c:numRef>
              <c:f>Spec_povrsini_sanira!$L$40:$N$40</c:f>
              <c:numCache>
                <c:formatCode>General</c:formatCode>
                <c:ptCount val="3"/>
                <c:pt idx="0">
                  <c:v>22.7320261437909</c:v>
                </c:pt>
                <c:pt idx="1">
                  <c:v>118.83826879271071</c:v>
                </c:pt>
                <c:pt idx="2">
                  <c:v>98.248587570621496</c:v>
                </c:pt>
              </c:numCache>
            </c:numRef>
          </c:val>
          <c:extLst>
            <c:ext xmlns:c16="http://schemas.microsoft.com/office/drawing/2014/chart" uri="{C3380CC4-5D6E-409C-BE32-E72D297353CC}">
              <c16:uniqueId val="{00000000-4C3D-401C-B62F-134B40EA25EC}"/>
            </c:ext>
          </c:extLst>
        </c:ser>
        <c:ser>
          <c:idx val="1"/>
          <c:order val="1"/>
          <c:tx>
            <c:strRef>
              <c:f>Spec_povrsini_sanira!$K$27</c:f>
              <c:strCache>
                <c:ptCount val="1"/>
                <c:pt idx="0">
                  <c:v>Slovenija</c:v>
                </c:pt>
              </c:strCache>
            </c:strRef>
          </c:tx>
          <c:spPr>
            <a:solidFill>
              <a:schemeClr val="accent2"/>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Spec_povrsini_sanira!$L$39:$N$39</c:f>
              <c:strCache>
                <c:ptCount val="3"/>
                <c:pt idx="0">
                  <c:v>Zamjena otvora</c:v>
                </c:pt>
                <c:pt idx="1">
                  <c:v>Izolacija vanjskih zidova</c:v>
                </c:pt>
                <c:pt idx="2">
                  <c:v>Izolacija krova </c:v>
                </c:pt>
              </c:strCache>
            </c:strRef>
          </c:cat>
          <c:val>
            <c:numRef>
              <c:f>Spec_povrsini_sanira!$L$41:$N$41</c:f>
              <c:numCache>
                <c:formatCode>General</c:formatCode>
                <c:ptCount val="3"/>
                <c:pt idx="0">
                  <c:v>89.34885726606295</c:v>
                </c:pt>
                <c:pt idx="1">
                  <c:v>590.3133903133903</c:v>
                </c:pt>
                <c:pt idx="2">
                  <c:v>297.18875502008035</c:v>
                </c:pt>
              </c:numCache>
            </c:numRef>
          </c:val>
          <c:extLst>
            <c:ext xmlns:c16="http://schemas.microsoft.com/office/drawing/2014/chart" uri="{C3380CC4-5D6E-409C-BE32-E72D297353CC}">
              <c16:uniqueId val="{00000001-4C3D-401C-B62F-134B40EA25EC}"/>
            </c:ext>
          </c:extLst>
        </c:ser>
        <c:ser>
          <c:idx val="3"/>
          <c:order val="2"/>
          <c:tx>
            <c:strRef>
              <c:f>Spec_povrsini_sanira!$K$28</c:f>
              <c:strCache>
                <c:ptCount val="1"/>
                <c:pt idx="0">
                  <c:v>Češka Republika</c:v>
                </c:pt>
              </c:strCache>
            </c:strRef>
          </c:tx>
          <c:spPr>
            <a:solidFill>
              <a:schemeClr val="accent4"/>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Spec_povrsini_sanira!$L$39:$N$39</c:f>
              <c:strCache>
                <c:ptCount val="3"/>
                <c:pt idx="0">
                  <c:v>Zamjena otvora</c:v>
                </c:pt>
                <c:pt idx="1">
                  <c:v>Izolacija vanjskih zidova</c:v>
                </c:pt>
                <c:pt idx="2">
                  <c:v>Izolacija krova </c:v>
                </c:pt>
              </c:strCache>
            </c:strRef>
          </c:cat>
          <c:val>
            <c:numRef>
              <c:f>Spec_povrsini_sanira!$L$42:$N$42</c:f>
              <c:numCache>
                <c:formatCode>0.0</c:formatCode>
                <c:ptCount val="3"/>
                <c:pt idx="0">
                  <c:v>91.084028223220017</c:v>
                </c:pt>
                <c:pt idx="1">
                  <c:v>475.7731958762887</c:v>
                </c:pt>
                <c:pt idx="2">
                  <c:v>240.39588488084385</c:v>
                </c:pt>
              </c:numCache>
            </c:numRef>
          </c:val>
          <c:extLst>
            <c:ext xmlns:c16="http://schemas.microsoft.com/office/drawing/2014/chart" uri="{C3380CC4-5D6E-409C-BE32-E72D297353CC}">
              <c16:uniqueId val="{00000002-4C3D-401C-B62F-134B40EA25EC}"/>
            </c:ext>
          </c:extLst>
        </c:ser>
        <c:ser>
          <c:idx val="2"/>
          <c:order val="3"/>
          <c:tx>
            <c:strRef>
              <c:f>Spec_povrsini_sanira!$K$29</c:f>
              <c:strCache>
                <c:ptCount val="1"/>
                <c:pt idx="0">
                  <c:v>Italija</c:v>
                </c:pt>
              </c:strCache>
            </c:strRef>
          </c:tx>
          <c:spPr>
            <a:solidFill>
              <a:schemeClr val="accent3"/>
            </a:solidFill>
            <a:ln>
              <a:noFill/>
            </a:ln>
            <a:effectLst/>
          </c:spPr>
          <c:invertIfNegative val="0"/>
          <c:dLbls>
            <c:numFmt formatCode="#,##0"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mn-lt"/>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Spec_povrsini_sanira!$L$39:$N$39</c:f>
              <c:strCache>
                <c:ptCount val="3"/>
                <c:pt idx="0">
                  <c:v>Zamjena otvora</c:v>
                </c:pt>
                <c:pt idx="1">
                  <c:v>Izolacija vanjskih zidova</c:v>
                </c:pt>
                <c:pt idx="2">
                  <c:v>Izolacija krova </c:v>
                </c:pt>
              </c:strCache>
            </c:strRef>
          </c:cat>
          <c:val>
            <c:numRef>
              <c:f>Spec_povrsini_sanira!$L$43:$N$43</c:f>
              <c:numCache>
                <c:formatCode>General</c:formatCode>
                <c:ptCount val="3"/>
                <c:pt idx="0" formatCode="0.0">
                  <c:v>95.206438068579416</c:v>
                </c:pt>
                <c:pt idx="1">
                  <c:v>578.32093517534543</c:v>
                </c:pt>
                <c:pt idx="2">
                  <c:v>295.95388296715248</c:v>
                </c:pt>
              </c:numCache>
            </c:numRef>
          </c:val>
          <c:extLst>
            <c:ext xmlns:c16="http://schemas.microsoft.com/office/drawing/2014/chart" uri="{C3380CC4-5D6E-409C-BE32-E72D297353CC}">
              <c16:uniqueId val="{00000003-4C3D-401C-B62F-134B40EA25EC}"/>
            </c:ext>
          </c:extLst>
        </c:ser>
        <c:dLbls>
          <c:showLegendKey val="0"/>
          <c:showVal val="0"/>
          <c:showCatName val="0"/>
          <c:showSerName val="0"/>
          <c:showPercent val="0"/>
          <c:showBubbleSize val="0"/>
        </c:dLbls>
        <c:gapWidth val="219"/>
        <c:overlap val="-27"/>
        <c:axId val="112558080"/>
        <c:axId val="88318528"/>
      </c:barChart>
      <c:catAx>
        <c:axId val="11255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sr-Latn-RS"/>
          </a:p>
        </c:txPr>
        <c:crossAx val="88318528"/>
        <c:crosses val="autoZero"/>
        <c:auto val="1"/>
        <c:lblAlgn val="ctr"/>
        <c:lblOffset val="100"/>
        <c:noMultiLvlLbl val="0"/>
      </c:catAx>
      <c:valAx>
        <c:axId val="883185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r>
                  <a:rPr lang="hr-HR"/>
                  <a:t> Odnos BDP i specifičnih troškova investicije (m2/god.)</a:t>
                </a:r>
              </a:p>
            </c:rich>
          </c:tx>
          <c:layout>
            <c:manualLayout>
              <c:xMode val="edge"/>
              <c:yMode val="edge"/>
              <c:x val="1.7705287653848635E-2"/>
              <c:y val="0.1347133901592026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sr-Latn-RS"/>
          </a:p>
        </c:txPr>
        <c:crossAx val="112558080"/>
        <c:crosses val="autoZero"/>
        <c:crossBetween val="between"/>
      </c:valAx>
      <c:spPr>
        <a:noFill/>
        <a:ln>
          <a:noFill/>
        </a:ln>
        <a:effectLst/>
      </c:spPr>
    </c:plotArea>
    <c:legend>
      <c:legendPos val="r"/>
      <c:layout>
        <c:manualLayout>
          <c:xMode val="edge"/>
          <c:yMode val="edge"/>
          <c:x val="0.6740052505102232"/>
          <c:y val="5.808919889419991E-2"/>
          <c:w val="0.2978683501953871"/>
          <c:h val="0.25686738406612447"/>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Times New Roman" panose="02020603050405020304" pitchFamily="18" charset="0"/>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mn-lt"/>
          <a:cs typeface="Times New Roman" panose="02020603050405020304" pitchFamily="18" charset="0"/>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83106062390257"/>
          <c:y val="3.0564540720345892E-2"/>
          <c:w val="0.84302926740338913"/>
          <c:h val="0.79112996307934957"/>
        </c:manualLayout>
      </c:layout>
      <c:barChart>
        <c:barDir val="col"/>
        <c:grouping val="clustered"/>
        <c:varyColors val="0"/>
        <c:ser>
          <c:idx val="1"/>
          <c:order val="0"/>
          <c:tx>
            <c:v>Ukupan broja zgrada; LEAP</c:v>
          </c:tx>
          <c:spPr>
            <a:solidFill>
              <a:schemeClr val="accent6"/>
            </a:solidFill>
            <a:ln>
              <a:noFill/>
            </a:ln>
            <a:effectLst/>
          </c:spPr>
          <c:invertIfNegative val="0"/>
          <c:dLbls>
            <c:dLbl>
              <c:idx val="1"/>
              <c:layout>
                <c:manualLayout>
                  <c:x val="2.6586905948820207E-2"/>
                  <c:y val="3.03490136570560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2A22-4B3D-BABA-1404213335C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JAVNI_LEAP_LOG_2020!$X$3:$X$9</c:f>
              <c:strCache>
                <c:ptCount val="7"/>
                <c:pt idx="0">
                  <c:v>do 1945.</c:v>
                </c:pt>
                <c:pt idx="1">
                  <c:v>1946.-1965.</c:v>
                </c:pt>
                <c:pt idx="2">
                  <c:v>1966.-1973.</c:v>
                </c:pt>
                <c:pt idx="3">
                  <c:v>1974.-1987.</c:v>
                </c:pt>
                <c:pt idx="4">
                  <c:v>1988.-2009.</c:v>
                </c:pt>
                <c:pt idx="5">
                  <c:v>2010.-2016.</c:v>
                </c:pt>
                <c:pt idx="6">
                  <c:v>2017.-2020.</c:v>
                </c:pt>
              </c:strCache>
            </c:strRef>
          </c:cat>
          <c:val>
            <c:numRef>
              <c:f>JAVNI_LEAP_LOG_2020!$U$3:$U$9</c:f>
              <c:numCache>
                <c:formatCode>General</c:formatCode>
                <c:ptCount val="7"/>
                <c:pt idx="0">
                  <c:v>281</c:v>
                </c:pt>
                <c:pt idx="1">
                  <c:v>1141</c:v>
                </c:pt>
                <c:pt idx="2">
                  <c:v>650</c:v>
                </c:pt>
                <c:pt idx="3">
                  <c:v>1392</c:v>
                </c:pt>
                <c:pt idx="4">
                  <c:v>798</c:v>
                </c:pt>
                <c:pt idx="5">
                  <c:v>157</c:v>
                </c:pt>
                <c:pt idx="6">
                  <c:v>189</c:v>
                </c:pt>
              </c:numCache>
            </c:numRef>
          </c:val>
          <c:extLst>
            <c:ext xmlns:c16="http://schemas.microsoft.com/office/drawing/2014/chart" uri="{C3380CC4-5D6E-409C-BE32-E72D297353CC}">
              <c16:uniqueId val="{00000000-2A22-4B3D-BABA-1404213335C5}"/>
            </c:ext>
          </c:extLst>
        </c:ser>
        <c:dLbls>
          <c:showLegendKey val="0"/>
          <c:showVal val="0"/>
          <c:showCatName val="0"/>
          <c:showSerName val="0"/>
          <c:showPercent val="0"/>
          <c:showBubbleSize val="0"/>
        </c:dLbls>
        <c:gapWidth val="150"/>
        <c:axId val="1954506000"/>
        <c:axId val="1999058864"/>
      </c:barChart>
      <c:lineChart>
        <c:grouping val="standard"/>
        <c:varyColors val="0"/>
        <c:ser>
          <c:idx val="0"/>
          <c:order val="1"/>
          <c:tx>
            <c:v>Ukupan broja zgrada; LEAP</c:v>
          </c:tx>
          <c:spPr>
            <a:ln w="22225" cap="rnd">
              <a:solidFill>
                <a:schemeClr val="accent6"/>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1-2A22-4B3D-BABA-1404213335C5}"/>
                </c:ext>
              </c:extLst>
            </c:dLbl>
            <c:dLbl>
              <c:idx val="1"/>
              <c:delete val="1"/>
              <c:extLst>
                <c:ext xmlns:c15="http://schemas.microsoft.com/office/drawing/2012/chart" uri="{CE6537A1-D6FC-4f65-9D91-7224C49458BB}"/>
                <c:ext xmlns:c16="http://schemas.microsoft.com/office/drawing/2014/chart" uri="{C3380CC4-5D6E-409C-BE32-E72D297353CC}">
                  <c16:uniqueId val="{00000002-2A22-4B3D-BABA-1404213335C5}"/>
                </c:ext>
              </c:extLst>
            </c:dLbl>
            <c:dLbl>
              <c:idx val="2"/>
              <c:delete val="1"/>
              <c:extLst>
                <c:ext xmlns:c15="http://schemas.microsoft.com/office/drawing/2012/chart" uri="{CE6537A1-D6FC-4f65-9D91-7224C49458BB}"/>
                <c:ext xmlns:c16="http://schemas.microsoft.com/office/drawing/2014/chart" uri="{C3380CC4-5D6E-409C-BE32-E72D297353CC}">
                  <c16:uniqueId val="{00000003-2A22-4B3D-BABA-1404213335C5}"/>
                </c:ext>
              </c:extLst>
            </c:dLbl>
            <c:dLbl>
              <c:idx val="3"/>
              <c:delete val="1"/>
              <c:extLst>
                <c:ext xmlns:c15="http://schemas.microsoft.com/office/drawing/2012/chart" uri="{CE6537A1-D6FC-4f65-9D91-7224C49458BB}"/>
                <c:ext xmlns:c16="http://schemas.microsoft.com/office/drawing/2014/chart" uri="{C3380CC4-5D6E-409C-BE32-E72D297353CC}">
                  <c16:uniqueId val="{00000004-2A22-4B3D-BABA-1404213335C5}"/>
                </c:ext>
              </c:extLst>
            </c:dLbl>
            <c:dLbl>
              <c:idx val="4"/>
              <c:delete val="1"/>
              <c:extLst>
                <c:ext xmlns:c15="http://schemas.microsoft.com/office/drawing/2012/chart" uri="{CE6537A1-D6FC-4f65-9D91-7224C49458BB}"/>
                <c:ext xmlns:c16="http://schemas.microsoft.com/office/drawing/2014/chart" uri="{C3380CC4-5D6E-409C-BE32-E72D297353CC}">
                  <c16:uniqueId val="{00000005-2A22-4B3D-BABA-1404213335C5}"/>
                </c:ext>
              </c:extLst>
            </c:dLbl>
            <c:dLbl>
              <c:idx val="5"/>
              <c:delete val="1"/>
              <c:extLst>
                <c:ext xmlns:c15="http://schemas.microsoft.com/office/drawing/2012/chart" uri="{CE6537A1-D6FC-4f65-9D91-7224C49458BB}"/>
                <c:ext xmlns:c16="http://schemas.microsoft.com/office/drawing/2014/chart" uri="{C3380CC4-5D6E-409C-BE32-E72D297353CC}">
                  <c16:uniqueId val="{00000006-2A22-4B3D-BABA-1404213335C5}"/>
                </c:ext>
              </c:extLst>
            </c:dLbl>
            <c:dLbl>
              <c:idx val="6"/>
              <c:layout>
                <c:manualLayout>
                  <c:x val="-7.0021872186376349E-3"/>
                  <c:y val="-5.021480578336534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A22-4B3D-BABA-1404213335C5}"/>
                </c:ext>
              </c:extLst>
            </c:dLbl>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JAVNI_LEAP_LOG_2020!$K$3:$K$9</c:f>
              <c:numCache>
                <c:formatCode>General</c:formatCode>
                <c:ptCount val="7"/>
                <c:pt idx="0">
                  <c:v>281</c:v>
                </c:pt>
                <c:pt idx="1">
                  <c:v>1422</c:v>
                </c:pt>
                <c:pt idx="2">
                  <c:v>2072</c:v>
                </c:pt>
                <c:pt idx="3">
                  <c:v>3464</c:v>
                </c:pt>
                <c:pt idx="4">
                  <c:v>4262</c:v>
                </c:pt>
                <c:pt idx="5">
                  <c:v>4419</c:v>
                </c:pt>
                <c:pt idx="6">
                  <c:v>4749</c:v>
                </c:pt>
              </c:numCache>
            </c:numRef>
          </c:val>
          <c:smooth val="0"/>
          <c:extLst>
            <c:ext xmlns:c16="http://schemas.microsoft.com/office/drawing/2014/chart" uri="{C3380CC4-5D6E-409C-BE32-E72D297353CC}">
              <c16:uniqueId val="{00000008-2A22-4B3D-BABA-1404213335C5}"/>
            </c:ext>
          </c:extLst>
        </c:ser>
        <c:ser>
          <c:idx val="3"/>
          <c:order val="2"/>
          <c:tx>
            <c:v>Ukupan broj zgrada; logistički model</c:v>
          </c:tx>
          <c:spPr>
            <a:ln w="2222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2A22-4B3D-BABA-1404213335C5}"/>
                </c:ext>
              </c:extLst>
            </c:dLbl>
            <c:dLbl>
              <c:idx val="1"/>
              <c:delete val="1"/>
              <c:extLst>
                <c:ext xmlns:c15="http://schemas.microsoft.com/office/drawing/2012/chart" uri="{CE6537A1-D6FC-4f65-9D91-7224C49458BB}"/>
                <c:ext xmlns:c16="http://schemas.microsoft.com/office/drawing/2014/chart" uri="{C3380CC4-5D6E-409C-BE32-E72D297353CC}">
                  <c16:uniqueId val="{0000000A-2A22-4B3D-BABA-1404213335C5}"/>
                </c:ext>
              </c:extLst>
            </c:dLbl>
            <c:dLbl>
              <c:idx val="2"/>
              <c:delete val="1"/>
              <c:extLst>
                <c:ext xmlns:c15="http://schemas.microsoft.com/office/drawing/2012/chart" uri="{CE6537A1-D6FC-4f65-9D91-7224C49458BB}"/>
                <c:ext xmlns:c16="http://schemas.microsoft.com/office/drawing/2014/chart" uri="{C3380CC4-5D6E-409C-BE32-E72D297353CC}">
                  <c16:uniqueId val="{0000000B-2A22-4B3D-BABA-1404213335C5}"/>
                </c:ext>
              </c:extLst>
            </c:dLbl>
            <c:dLbl>
              <c:idx val="3"/>
              <c:delete val="1"/>
              <c:extLst>
                <c:ext xmlns:c15="http://schemas.microsoft.com/office/drawing/2012/chart" uri="{CE6537A1-D6FC-4f65-9D91-7224C49458BB}"/>
                <c:ext xmlns:c16="http://schemas.microsoft.com/office/drawing/2014/chart" uri="{C3380CC4-5D6E-409C-BE32-E72D297353CC}">
                  <c16:uniqueId val="{0000000C-2A22-4B3D-BABA-1404213335C5}"/>
                </c:ext>
              </c:extLst>
            </c:dLbl>
            <c:dLbl>
              <c:idx val="4"/>
              <c:delete val="1"/>
              <c:extLst>
                <c:ext xmlns:c15="http://schemas.microsoft.com/office/drawing/2012/chart" uri="{CE6537A1-D6FC-4f65-9D91-7224C49458BB}"/>
                <c:ext xmlns:c16="http://schemas.microsoft.com/office/drawing/2014/chart" uri="{C3380CC4-5D6E-409C-BE32-E72D297353CC}">
                  <c16:uniqueId val="{0000000D-2A22-4B3D-BABA-1404213335C5}"/>
                </c:ext>
              </c:extLst>
            </c:dLbl>
            <c:dLbl>
              <c:idx val="5"/>
              <c:layout>
                <c:manualLayout>
                  <c:x val="-2.6258202069890779E-2"/>
                  <c:y val="-4.1548271057576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A22-4B3D-BABA-1404213335C5}"/>
                </c:ext>
              </c:extLst>
            </c:dLbl>
            <c:dLbl>
              <c:idx val="6"/>
              <c:layout>
                <c:manualLayout>
                  <c:x val="-5.2516404139782581E-3"/>
                  <c:y val="3.25220844500166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A22-4B3D-BABA-1404213335C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JAVNI_LEAP_LOG_2020!$AG$3:$AG$9</c:f>
              <c:numCache>
                <c:formatCode>General</c:formatCode>
                <c:ptCount val="7"/>
                <c:pt idx="0">
                  <c:v>281</c:v>
                </c:pt>
                <c:pt idx="1">
                  <c:v>1422</c:v>
                </c:pt>
                <c:pt idx="2">
                  <c:v>2072</c:v>
                </c:pt>
                <c:pt idx="3">
                  <c:v>3464</c:v>
                </c:pt>
                <c:pt idx="4">
                  <c:v>4262</c:v>
                </c:pt>
                <c:pt idx="5">
                  <c:v>4419</c:v>
                </c:pt>
                <c:pt idx="6">
                  <c:v>4559</c:v>
                </c:pt>
              </c:numCache>
            </c:numRef>
          </c:val>
          <c:smooth val="0"/>
          <c:extLst>
            <c:ext xmlns:c16="http://schemas.microsoft.com/office/drawing/2014/chart" uri="{C3380CC4-5D6E-409C-BE32-E72D297353CC}">
              <c16:uniqueId val="{00000010-2A22-4B3D-BABA-1404213335C5}"/>
            </c:ext>
          </c:extLst>
        </c:ser>
        <c:ser>
          <c:idx val="2"/>
          <c:order val="3"/>
          <c:tx>
            <c:v>Ukupan broj zgrada; linearni model</c:v>
          </c:tx>
          <c:spPr>
            <a:ln w="22225" cap="rnd">
              <a:solidFill>
                <a:schemeClr val="tx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1-2A22-4B3D-BABA-1404213335C5}"/>
                </c:ext>
              </c:extLst>
            </c:dLbl>
            <c:dLbl>
              <c:idx val="1"/>
              <c:delete val="1"/>
              <c:extLst>
                <c:ext xmlns:c15="http://schemas.microsoft.com/office/drawing/2012/chart" uri="{CE6537A1-D6FC-4f65-9D91-7224C49458BB}"/>
                <c:ext xmlns:c16="http://schemas.microsoft.com/office/drawing/2014/chart" uri="{C3380CC4-5D6E-409C-BE32-E72D297353CC}">
                  <c16:uniqueId val="{00000012-2A22-4B3D-BABA-1404213335C5}"/>
                </c:ext>
              </c:extLst>
            </c:dLbl>
            <c:dLbl>
              <c:idx val="2"/>
              <c:delete val="1"/>
              <c:extLst>
                <c:ext xmlns:c15="http://schemas.microsoft.com/office/drawing/2012/chart" uri="{CE6537A1-D6FC-4f65-9D91-7224C49458BB}"/>
                <c:ext xmlns:c16="http://schemas.microsoft.com/office/drawing/2014/chart" uri="{C3380CC4-5D6E-409C-BE32-E72D297353CC}">
                  <c16:uniqueId val="{00000013-2A22-4B3D-BABA-1404213335C5}"/>
                </c:ext>
              </c:extLst>
            </c:dLbl>
            <c:dLbl>
              <c:idx val="3"/>
              <c:delete val="1"/>
              <c:extLst>
                <c:ext xmlns:c15="http://schemas.microsoft.com/office/drawing/2012/chart" uri="{CE6537A1-D6FC-4f65-9D91-7224C49458BB}"/>
                <c:ext xmlns:c16="http://schemas.microsoft.com/office/drawing/2014/chart" uri="{C3380CC4-5D6E-409C-BE32-E72D297353CC}">
                  <c16:uniqueId val="{00000014-2A22-4B3D-BABA-1404213335C5}"/>
                </c:ext>
              </c:extLst>
            </c:dLbl>
            <c:dLbl>
              <c:idx val="4"/>
              <c:delete val="1"/>
              <c:extLst>
                <c:ext xmlns:c15="http://schemas.microsoft.com/office/drawing/2012/chart" uri="{CE6537A1-D6FC-4f65-9D91-7224C49458BB}"/>
                <c:ext xmlns:c16="http://schemas.microsoft.com/office/drawing/2014/chart" uri="{C3380CC4-5D6E-409C-BE32-E72D297353CC}">
                  <c16:uniqueId val="{00000015-2A22-4B3D-BABA-1404213335C5}"/>
                </c:ext>
              </c:extLst>
            </c:dLbl>
            <c:dLbl>
              <c:idx val="5"/>
              <c:delete val="1"/>
              <c:extLst>
                <c:ext xmlns:c15="http://schemas.microsoft.com/office/drawing/2012/chart" uri="{CE6537A1-D6FC-4f65-9D91-7224C49458BB}"/>
                <c:ext xmlns:c16="http://schemas.microsoft.com/office/drawing/2014/chart" uri="{C3380CC4-5D6E-409C-BE32-E72D297353CC}">
                  <c16:uniqueId val="{00000016-2A22-4B3D-BABA-1404213335C5}"/>
                </c:ext>
              </c:extLst>
            </c:dLbl>
            <c:dLbl>
              <c:idx val="6"/>
              <c:layout>
                <c:manualLayout>
                  <c:x val="-7.0021872186376349E-3"/>
                  <c:y val="-1.817330254546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2A22-4B3D-BABA-1404213335C5}"/>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JAVNI_LEAP_LOG_2020!$V$3:$V$9</c:f>
              <c:numCache>
                <c:formatCode>General</c:formatCode>
                <c:ptCount val="7"/>
                <c:pt idx="0">
                  <c:v>281</c:v>
                </c:pt>
                <c:pt idx="1">
                  <c:v>1422</c:v>
                </c:pt>
                <c:pt idx="2">
                  <c:v>2072</c:v>
                </c:pt>
                <c:pt idx="3">
                  <c:v>3464</c:v>
                </c:pt>
                <c:pt idx="4">
                  <c:v>4262</c:v>
                </c:pt>
                <c:pt idx="5">
                  <c:v>4419</c:v>
                </c:pt>
                <c:pt idx="6">
                  <c:v>4608</c:v>
                </c:pt>
              </c:numCache>
            </c:numRef>
          </c:val>
          <c:smooth val="0"/>
          <c:extLst>
            <c:ext xmlns:c16="http://schemas.microsoft.com/office/drawing/2014/chart" uri="{C3380CC4-5D6E-409C-BE32-E72D297353CC}">
              <c16:uniqueId val="{00000018-2A22-4B3D-BABA-1404213335C5}"/>
            </c:ext>
          </c:extLst>
        </c:ser>
        <c:dLbls>
          <c:showLegendKey val="0"/>
          <c:showVal val="0"/>
          <c:showCatName val="0"/>
          <c:showSerName val="0"/>
          <c:showPercent val="0"/>
          <c:showBubbleSize val="0"/>
        </c:dLbls>
        <c:marker val="1"/>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1.4957249351637685E-2"/>
              <c:y val="0.297141585471300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majorUnit val="1000"/>
      </c:valAx>
      <c:spPr>
        <a:noFill/>
        <a:ln>
          <a:noFill/>
        </a:ln>
        <a:effectLst/>
      </c:spPr>
    </c:plotArea>
    <c:legend>
      <c:legendPos val="r"/>
      <c:layout>
        <c:manualLayout>
          <c:xMode val="edge"/>
          <c:yMode val="edge"/>
          <c:x val="0.11190540364907028"/>
          <c:y val="4.3616073028807663E-2"/>
          <c:w val="0.38327362619054478"/>
          <c:h val="0.30210459656124167"/>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560175380970536"/>
          <c:y val="4.4715447154471545E-2"/>
          <c:w val="0.86697640037655521"/>
          <c:h val="0.80933946643766719"/>
        </c:manualLayout>
      </c:layout>
      <c:lineChart>
        <c:grouping val="standard"/>
        <c:varyColors val="0"/>
        <c:ser>
          <c:idx val="1"/>
          <c:order val="0"/>
          <c:tx>
            <c:v>Ukupan broja zgrada; LEAP</c:v>
          </c:tx>
          <c:spPr>
            <a:ln w="22225" cap="rnd">
              <a:solidFill>
                <a:schemeClr val="accent1">
                  <a:lumMod val="75000"/>
                </a:schemeClr>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A-D0F3-4972-A946-8B1682D8FDCA}"/>
                </c:ext>
              </c:extLst>
            </c:dLbl>
            <c:dLbl>
              <c:idx val="1"/>
              <c:delete val="1"/>
              <c:extLst>
                <c:ext xmlns:c15="http://schemas.microsoft.com/office/drawing/2012/chart" uri="{CE6537A1-D6FC-4f65-9D91-7224C49458BB}"/>
                <c:ext xmlns:c16="http://schemas.microsoft.com/office/drawing/2014/chart" uri="{C3380CC4-5D6E-409C-BE32-E72D297353CC}">
                  <c16:uniqueId val="{00000000-D0F3-4972-A946-8B1682D8FDCA}"/>
                </c:ext>
              </c:extLst>
            </c:dLbl>
            <c:dLbl>
              <c:idx val="2"/>
              <c:delete val="1"/>
              <c:extLst>
                <c:ext xmlns:c15="http://schemas.microsoft.com/office/drawing/2012/chart" uri="{CE6537A1-D6FC-4f65-9D91-7224C49458BB}"/>
                <c:ext xmlns:c16="http://schemas.microsoft.com/office/drawing/2014/chart" uri="{C3380CC4-5D6E-409C-BE32-E72D297353CC}">
                  <c16:uniqueId val="{00000001-D0F3-4972-A946-8B1682D8FDCA}"/>
                </c:ext>
              </c:extLst>
            </c:dLbl>
            <c:dLbl>
              <c:idx val="3"/>
              <c:delete val="1"/>
              <c:extLst>
                <c:ext xmlns:c15="http://schemas.microsoft.com/office/drawing/2012/chart" uri="{CE6537A1-D6FC-4f65-9D91-7224C49458BB}"/>
                <c:ext xmlns:c16="http://schemas.microsoft.com/office/drawing/2014/chart" uri="{C3380CC4-5D6E-409C-BE32-E72D297353CC}">
                  <c16:uniqueId val="{00000002-D0F3-4972-A946-8B1682D8FDCA}"/>
                </c:ext>
              </c:extLst>
            </c:dLbl>
            <c:dLbl>
              <c:idx val="4"/>
              <c:delete val="1"/>
              <c:extLst>
                <c:ext xmlns:c15="http://schemas.microsoft.com/office/drawing/2012/chart" uri="{CE6537A1-D6FC-4f65-9D91-7224C49458BB}"/>
                <c:ext xmlns:c16="http://schemas.microsoft.com/office/drawing/2014/chart" uri="{C3380CC4-5D6E-409C-BE32-E72D297353CC}">
                  <c16:uniqueId val="{00000003-D0F3-4972-A946-8B1682D8FDCA}"/>
                </c:ext>
              </c:extLst>
            </c:dLbl>
            <c:dLbl>
              <c:idx val="5"/>
              <c:delete val="1"/>
              <c:extLst>
                <c:ext xmlns:c15="http://schemas.microsoft.com/office/drawing/2012/chart" uri="{CE6537A1-D6FC-4f65-9D91-7224C49458BB}"/>
                <c:ext xmlns:c16="http://schemas.microsoft.com/office/drawing/2014/chart" uri="{C3380CC4-5D6E-409C-BE32-E72D297353CC}">
                  <c16:uniqueId val="{00000004-D0F3-4972-A946-8B1682D8FDCA}"/>
                </c:ext>
              </c:extLst>
            </c:dLbl>
            <c:dLbl>
              <c:idx val="6"/>
              <c:delete val="1"/>
              <c:extLst>
                <c:ext xmlns:c15="http://schemas.microsoft.com/office/drawing/2012/chart" uri="{CE6537A1-D6FC-4f65-9D91-7224C49458BB}"/>
                <c:ext xmlns:c16="http://schemas.microsoft.com/office/drawing/2014/chart" uri="{C3380CC4-5D6E-409C-BE32-E72D297353CC}">
                  <c16:uniqueId val="{00000005-D0F3-4972-A946-8B1682D8FDCA}"/>
                </c:ext>
              </c:extLst>
            </c:dLbl>
            <c:dLbl>
              <c:idx val="7"/>
              <c:delete val="1"/>
              <c:extLst>
                <c:ext xmlns:c15="http://schemas.microsoft.com/office/drawing/2012/chart" uri="{CE6537A1-D6FC-4f65-9D91-7224C49458BB}"/>
                <c:ext xmlns:c16="http://schemas.microsoft.com/office/drawing/2014/chart" uri="{C3380CC4-5D6E-409C-BE32-E72D297353CC}">
                  <c16:uniqueId val="{00000006-D0F3-4972-A946-8B1682D8FDCA}"/>
                </c:ext>
              </c:extLst>
            </c:dLbl>
            <c:numFmt formatCode="#,##0" sourceLinked="0"/>
            <c:spPr>
              <a:solidFill>
                <a:schemeClr val="bg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JAVNI_LEAP_LOG_2050!$X$3:$X$11</c:f>
              <c:strCache>
                <c:ptCount val="9"/>
                <c:pt idx="0">
                  <c:v>do 1945.</c:v>
                </c:pt>
                <c:pt idx="1">
                  <c:v>1946.-1965.</c:v>
                </c:pt>
                <c:pt idx="2">
                  <c:v>1966.-1973.</c:v>
                </c:pt>
                <c:pt idx="3">
                  <c:v>1974.-1987.</c:v>
                </c:pt>
                <c:pt idx="4">
                  <c:v>1988.-2009.</c:v>
                </c:pt>
                <c:pt idx="5">
                  <c:v>2010.-2016.</c:v>
                </c:pt>
                <c:pt idx="6">
                  <c:v>2017.-2027.</c:v>
                </c:pt>
                <c:pt idx="7">
                  <c:v>2028.-2038.</c:v>
                </c:pt>
                <c:pt idx="8">
                  <c:v>2039.-2050.</c:v>
                </c:pt>
              </c:strCache>
            </c:strRef>
          </c:cat>
          <c:val>
            <c:numRef>
              <c:f>JAVNI_LEAP_LOG_2050!$K$3:$K$11</c:f>
              <c:numCache>
                <c:formatCode>General</c:formatCode>
                <c:ptCount val="9"/>
                <c:pt idx="0">
                  <c:v>281</c:v>
                </c:pt>
                <c:pt idx="1">
                  <c:v>1422</c:v>
                </c:pt>
                <c:pt idx="2">
                  <c:v>2072</c:v>
                </c:pt>
                <c:pt idx="3">
                  <c:v>3464</c:v>
                </c:pt>
                <c:pt idx="4">
                  <c:v>4262</c:v>
                </c:pt>
                <c:pt idx="5">
                  <c:v>4419</c:v>
                </c:pt>
                <c:pt idx="6">
                  <c:v>5501</c:v>
                </c:pt>
                <c:pt idx="7">
                  <c:v>6808</c:v>
                </c:pt>
                <c:pt idx="8">
                  <c:v>8467</c:v>
                </c:pt>
              </c:numCache>
            </c:numRef>
          </c:val>
          <c:smooth val="0"/>
          <c:extLst>
            <c:ext xmlns:c16="http://schemas.microsoft.com/office/drawing/2014/chart" uri="{C3380CC4-5D6E-409C-BE32-E72D297353CC}">
              <c16:uniqueId val="{00000007-D0F3-4972-A946-8B1682D8FDCA}"/>
            </c:ext>
          </c:extLst>
        </c:ser>
        <c:ser>
          <c:idx val="3"/>
          <c:order val="1"/>
          <c:tx>
            <c:v>Ukupan broj zgrada; logistički model</c:v>
          </c:tx>
          <c:spPr>
            <a:ln w="22225" cap="rnd">
              <a:solidFill>
                <a:schemeClr val="accent4"/>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8-D0F3-4972-A946-8B1682D8FDCA}"/>
                </c:ext>
              </c:extLst>
            </c:dLbl>
            <c:dLbl>
              <c:idx val="1"/>
              <c:delete val="1"/>
              <c:extLst>
                <c:ext xmlns:c15="http://schemas.microsoft.com/office/drawing/2012/chart" uri="{CE6537A1-D6FC-4f65-9D91-7224C49458BB}"/>
                <c:ext xmlns:c16="http://schemas.microsoft.com/office/drawing/2014/chart" uri="{C3380CC4-5D6E-409C-BE32-E72D297353CC}">
                  <c16:uniqueId val="{00000009-D0F3-4972-A946-8B1682D8FDCA}"/>
                </c:ext>
              </c:extLst>
            </c:dLbl>
            <c:dLbl>
              <c:idx val="2"/>
              <c:delete val="1"/>
              <c:extLst>
                <c:ext xmlns:c15="http://schemas.microsoft.com/office/drawing/2012/chart" uri="{CE6537A1-D6FC-4f65-9D91-7224C49458BB}"/>
                <c:ext xmlns:c16="http://schemas.microsoft.com/office/drawing/2014/chart" uri="{C3380CC4-5D6E-409C-BE32-E72D297353CC}">
                  <c16:uniqueId val="{0000000A-D0F3-4972-A946-8B1682D8FDCA}"/>
                </c:ext>
              </c:extLst>
            </c:dLbl>
            <c:dLbl>
              <c:idx val="3"/>
              <c:delete val="1"/>
              <c:extLst>
                <c:ext xmlns:c15="http://schemas.microsoft.com/office/drawing/2012/chart" uri="{CE6537A1-D6FC-4f65-9D91-7224C49458BB}"/>
                <c:ext xmlns:c16="http://schemas.microsoft.com/office/drawing/2014/chart" uri="{C3380CC4-5D6E-409C-BE32-E72D297353CC}">
                  <c16:uniqueId val="{0000000B-D0F3-4972-A946-8B1682D8FDCA}"/>
                </c:ext>
              </c:extLst>
            </c:dLbl>
            <c:dLbl>
              <c:idx val="4"/>
              <c:delete val="1"/>
              <c:extLst>
                <c:ext xmlns:c15="http://schemas.microsoft.com/office/drawing/2012/chart" uri="{CE6537A1-D6FC-4f65-9D91-7224C49458BB}"/>
                <c:ext xmlns:c16="http://schemas.microsoft.com/office/drawing/2014/chart" uri="{C3380CC4-5D6E-409C-BE32-E72D297353CC}">
                  <c16:uniqueId val="{0000000C-D0F3-4972-A946-8B1682D8FDCA}"/>
                </c:ext>
              </c:extLst>
            </c:dLbl>
            <c:dLbl>
              <c:idx val="5"/>
              <c:layout>
                <c:manualLayout>
                  <c:x val="-2.6258202069890779E-2"/>
                  <c:y val="-4.15482710575761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0F3-4972-A946-8B1682D8FDCA}"/>
                </c:ext>
              </c:extLst>
            </c:dLbl>
            <c:dLbl>
              <c:idx val="6"/>
              <c:delete val="1"/>
              <c:extLst>
                <c:ext xmlns:c15="http://schemas.microsoft.com/office/drawing/2012/chart" uri="{CE6537A1-D6FC-4f65-9D91-7224C49458BB}"/>
                <c:ext xmlns:c16="http://schemas.microsoft.com/office/drawing/2014/chart" uri="{C3380CC4-5D6E-409C-BE32-E72D297353CC}">
                  <c16:uniqueId val="{0000000E-D0F3-4972-A946-8B1682D8FDCA}"/>
                </c:ext>
              </c:extLst>
            </c:dLbl>
            <c:dLbl>
              <c:idx val="7"/>
              <c:delete val="1"/>
              <c:extLst>
                <c:ext xmlns:c15="http://schemas.microsoft.com/office/drawing/2012/chart" uri="{CE6537A1-D6FC-4f65-9D91-7224C49458BB}"/>
                <c:ext xmlns:c16="http://schemas.microsoft.com/office/drawing/2014/chart" uri="{C3380CC4-5D6E-409C-BE32-E72D297353CC}">
                  <c16:uniqueId val="{0000000F-D0F3-4972-A946-8B1682D8FDC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JAVNI_LEAP_LOG_2050!$X$3:$X$11</c:f>
              <c:strCache>
                <c:ptCount val="9"/>
                <c:pt idx="0">
                  <c:v>do 1945.</c:v>
                </c:pt>
                <c:pt idx="1">
                  <c:v>1946.-1965.</c:v>
                </c:pt>
                <c:pt idx="2">
                  <c:v>1966.-1973.</c:v>
                </c:pt>
                <c:pt idx="3">
                  <c:v>1974.-1987.</c:v>
                </c:pt>
                <c:pt idx="4">
                  <c:v>1988.-2009.</c:v>
                </c:pt>
                <c:pt idx="5">
                  <c:v>2010.-2016.</c:v>
                </c:pt>
                <c:pt idx="6">
                  <c:v>2017.-2027.</c:v>
                </c:pt>
                <c:pt idx="7">
                  <c:v>2028.-2038.</c:v>
                </c:pt>
                <c:pt idx="8">
                  <c:v>2039.-2050.</c:v>
                </c:pt>
              </c:strCache>
            </c:strRef>
          </c:cat>
          <c:val>
            <c:numRef>
              <c:f>JAVNI_LEAP_LOG_2050!$AG$3:$AG$11</c:f>
              <c:numCache>
                <c:formatCode>General</c:formatCode>
                <c:ptCount val="9"/>
                <c:pt idx="0">
                  <c:v>281</c:v>
                </c:pt>
                <c:pt idx="1">
                  <c:v>1422</c:v>
                </c:pt>
                <c:pt idx="2">
                  <c:v>2072</c:v>
                </c:pt>
                <c:pt idx="3">
                  <c:v>3464</c:v>
                </c:pt>
                <c:pt idx="4">
                  <c:v>4262</c:v>
                </c:pt>
                <c:pt idx="5">
                  <c:v>4419</c:v>
                </c:pt>
                <c:pt idx="6">
                  <c:v>4735</c:v>
                </c:pt>
                <c:pt idx="7">
                  <c:v>4968</c:v>
                </c:pt>
                <c:pt idx="8">
                  <c:v>5171</c:v>
                </c:pt>
              </c:numCache>
            </c:numRef>
          </c:val>
          <c:smooth val="0"/>
          <c:extLst>
            <c:ext xmlns:c16="http://schemas.microsoft.com/office/drawing/2014/chart" uri="{C3380CC4-5D6E-409C-BE32-E72D297353CC}">
              <c16:uniqueId val="{00000010-D0F3-4972-A946-8B1682D8FDCA}"/>
            </c:ext>
          </c:extLst>
        </c:ser>
        <c:ser>
          <c:idx val="2"/>
          <c:order val="2"/>
          <c:tx>
            <c:v>Ukupan broj zgrada; linearni model</c:v>
          </c:tx>
          <c:spPr>
            <a:ln w="22225" cap="rnd">
              <a:solidFill>
                <a:schemeClr val="accent3"/>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11-D0F3-4972-A946-8B1682D8FDCA}"/>
                </c:ext>
              </c:extLst>
            </c:dLbl>
            <c:dLbl>
              <c:idx val="1"/>
              <c:delete val="1"/>
              <c:extLst>
                <c:ext xmlns:c15="http://schemas.microsoft.com/office/drawing/2012/chart" uri="{CE6537A1-D6FC-4f65-9D91-7224C49458BB}"/>
                <c:ext xmlns:c16="http://schemas.microsoft.com/office/drawing/2014/chart" uri="{C3380CC4-5D6E-409C-BE32-E72D297353CC}">
                  <c16:uniqueId val="{00000012-D0F3-4972-A946-8B1682D8FDCA}"/>
                </c:ext>
              </c:extLst>
            </c:dLbl>
            <c:dLbl>
              <c:idx val="2"/>
              <c:delete val="1"/>
              <c:extLst>
                <c:ext xmlns:c15="http://schemas.microsoft.com/office/drawing/2012/chart" uri="{CE6537A1-D6FC-4f65-9D91-7224C49458BB}"/>
                <c:ext xmlns:c16="http://schemas.microsoft.com/office/drawing/2014/chart" uri="{C3380CC4-5D6E-409C-BE32-E72D297353CC}">
                  <c16:uniqueId val="{00000013-D0F3-4972-A946-8B1682D8FDCA}"/>
                </c:ext>
              </c:extLst>
            </c:dLbl>
            <c:dLbl>
              <c:idx val="3"/>
              <c:delete val="1"/>
              <c:extLst>
                <c:ext xmlns:c15="http://schemas.microsoft.com/office/drawing/2012/chart" uri="{CE6537A1-D6FC-4f65-9D91-7224C49458BB}"/>
                <c:ext xmlns:c16="http://schemas.microsoft.com/office/drawing/2014/chart" uri="{C3380CC4-5D6E-409C-BE32-E72D297353CC}">
                  <c16:uniqueId val="{00000014-D0F3-4972-A946-8B1682D8FDCA}"/>
                </c:ext>
              </c:extLst>
            </c:dLbl>
            <c:dLbl>
              <c:idx val="4"/>
              <c:delete val="1"/>
              <c:extLst>
                <c:ext xmlns:c15="http://schemas.microsoft.com/office/drawing/2012/chart" uri="{CE6537A1-D6FC-4f65-9D91-7224C49458BB}"/>
                <c:ext xmlns:c16="http://schemas.microsoft.com/office/drawing/2014/chart" uri="{C3380CC4-5D6E-409C-BE32-E72D297353CC}">
                  <c16:uniqueId val="{00000015-D0F3-4972-A946-8B1682D8FDCA}"/>
                </c:ext>
              </c:extLst>
            </c:dLbl>
            <c:dLbl>
              <c:idx val="5"/>
              <c:delete val="1"/>
              <c:extLst>
                <c:ext xmlns:c15="http://schemas.microsoft.com/office/drawing/2012/chart" uri="{CE6537A1-D6FC-4f65-9D91-7224C49458BB}"/>
                <c:ext xmlns:c16="http://schemas.microsoft.com/office/drawing/2014/chart" uri="{C3380CC4-5D6E-409C-BE32-E72D297353CC}">
                  <c16:uniqueId val="{00000016-D0F3-4972-A946-8B1682D8FDCA}"/>
                </c:ext>
              </c:extLst>
            </c:dLbl>
            <c:dLbl>
              <c:idx val="6"/>
              <c:delete val="1"/>
              <c:extLst>
                <c:ext xmlns:c15="http://schemas.microsoft.com/office/drawing/2012/chart" uri="{CE6537A1-D6FC-4f65-9D91-7224C49458BB}"/>
                <c:ext xmlns:c16="http://schemas.microsoft.com/office/drawing/2014/chart" uri="{C3380CC4-5D6E-409C-BE32-E72D297353CC}">
                  <c16:uniqueId val="{00000017-D0F3-4972-A946-8B1682D8FDCA}"/>
                </c:ext>
              </c:extLst>
            </c:dLbl>
            <c:dLbl>
              <c:idx val="7"/>
              <c:delete val="1"/>
              <c:extLst>
                <c:ext xmlns:c15="http://schemas.microsoft.com/office/drawing/2012/chart" uri="{CE6537A1-D6FC-4f65-9D91-7224C49458BB}"/>
                <c:ext xmlns:c16="http://schemas.microsoft.com/office/drawing/2014/chart" uri="{C3380CC4-5D6E-409C-BE32-E72D297353CC}">
                  <c16:uniqueId val="{00000018-D0F3-4972-A946-8B1682D8FDCA}"/>
                </c:ext>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JAVNI_LEAP_LOG_2050!$X$3:$X$11</c:f>
              <c:strCache>
                <c:ptCount val="9"/>
                <c:pt idx="0">
                  <c:v>do 1945.</c:v>
                </c:pt>
                <c:pt idx="1">
                  <c:v>1946.-1965.</c:v>
                </c:pt>
                <c:pt idx="2">
                  <c:v>1966.-1973.</c:v>
                </c:pt>
                <c:pt idx="3">
                  <c:v>1974.-1987.</c:v>
                </c:pt>
                <c:pt idx="4">
                  <c:v>1988.-2009.</c:v>
                </c:pt>
                <c:pt idx="5">
                  <c:v>2010.-2016.</c:v>
                </c:pt>
                <c:pt idx="6">
                  <c:v>2017.-2027.</c:v>
                </c:pt>
                <c:pt idx="7">
                  <c:v>2028.-2038.</c:v>
                </c:pt>
                <c:pt idx="8">
                  <c:v>2039.-2050.</c:v>
                </c:pt>
              </c:strCache>
            </c:strRef>
          </c:cat>
          <c:val>
            <c:numRef>
              <c:f>JAVNI_LEAP_LOG_2050!$V$3:$V$11</c:f>
              <c:numCache>
                <c:formatCode>General</c:formatCode>
                <c:ptCount val="9"/>
                <c:pt idx="0">
                  <c:v>281</c:v>
                </c:pt>
                <c:pt idx="1">
                  <c:v>1422</c:v>
                </c:pt>
                <c:pt idx="2">
                  <c:v>2072</c:v>
                </c:pt>
                <c:pt idx="3">
                  <c:v>3464</c:v>
                </c:pt>
                <c:pt idx="4">
                  <c:v>4262</c:v>
                </c:pt>
                <c:pt idx="5">
                  <c:v>4419</c:v>
                </c:pt>
                <c:pt idx="6">
                  <c:v>4846</c:v>
                </c:pt>
                <c:pt idx="7">
                  <c:v>5222</c:v>
                </c:pt>
                <c:pt idx="8">
                  <c:v>5632</c:v>
                </c:pt>
              </c:numCache>
            </c:numRef>
          </c:val>
          <c:smooth val="0"/>
          <c:extLst>
            <c:ext xmlns:c16="http://schemas.microsoft.com/office/drawing/2014/chart" uri="{C3380CC4-5D6E-409C-BE32-E72D297353CC}">
              <c16:uniqueId val="{00000019-D0F3-4972-A946-8B1682D8FDCA}"/>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Period izgradnje</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Broj zgrada, -</a:t>
                </a:r>
                <a:endParaRPr lang="en-GB"/>
              </a:p>
            </c:rich>
          </c:tx>
          <c:layout>
            <c:manualLayout>
              <c:xMode val="edge"/>
              <c:yMode val="edge"/>
              <c:x val="1.4957249351637685E-2"/>
              <c:y val="0.2971415854713002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a:noFill/>
        </a:ln>
        <a:effectLst/>
      </c:spPr>
    </c:plotArea>
    <c:legend>
      <c:legendPos val="r"/>
      <c:layout>
        <c:manualLayout>
          <c:xMode val="edge"/>
          <c:yMode val="edge"/>
          <c:x val="0.1406644955993161"/>
          <c:y val="6.047279196988934E-2"/>
          <c:w val="0.28506910386890139"/>
          <c:h val="0.24077909534402575"/>
        </c:manualLayout>
      </c:layout>
      <c:overlay val="0"/>
      <c:spPr>
        <a:solidFill>
          <a:schemeClr val="bg1"/>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4.1687188522765081E-3"/>
                  <c:y val="5.5532317819546959E-4"/>
                </c:manualLayout>
              </c:layout>
              <c:showLegendKey val="0"/>
              <c:showVal val="1"/>
              <c:showCatName val="0"/>
              <c:showSerName val="0"/>
              <c:showPercent val="0"/>
              <c:showBubbleSize val="0"/>
              <c:extLst>
                <c:ext xmlns:c15="http://schemas.microsoft.com/office/drawing/2012/chart" uri="{CE6537A1-D6FC-4f65-9D91-7224C49458BB}">
                  <c15:layout>
                    <c:manualLayout>
                      <c:w val="7.7095327324493756E-2"/>
                      <c:h val="8.062889932699524E-2"/>
                    </c:manualLayout>
                  </c15:layout>
                </c:ext>
                <c:ext xmlns:c16="http://schemas.microsoft.com/office/drawing/2014/chart" uri="{C3380CC4-5D6E-409C-BE32-E72D297353CC}">
                  <c16:uniqueId val="{00000000-93FB-4A5F-B95E-F1EBC13F7D57}"/>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Struktura_troskova!$AE$29:$AE$38</c:f>
              <c:strCache>
                <c:ptCount val="10"/>
                <c:pt idx="0">
                  <c:v>SFH Plitka</c:v>
                </c:pt>
                <c:pt idx="1">
                  <c:v>SFH Srednja</c:v>
                </c:pt>
                <c:pt idx="2">
                  <c:v>SFH Duboka</c:v>
                </c:pt>
                <c:pt idx="3">
                  <c:v>MF Srednja</c:v>
                </c:pt>
                <c:pt idx="4">
                  <c:v>MF Duboka</c:v>
                </c:pt>
                <c:pt idx="5">
                  <c:v>MF Duboka TP</c:v>
                </c:pt>
                <c:pt idx="6">
                  <c:v>AB Srednja</c:v>
                </c:pt>
                <c:pt idx="7">
                  <c:v>AB Duboka </c:v>
                </c:pt>
                <c:pt idx="8">
                  <c:v>H Srednja</c:v>
                </c:pt>
                <c:pt idx="9">
                  <c:v>H Duboka </c:v>
                </c:pt>
              </c:strCache>
            </c:strRef>
          </c:cat>
          <c:val>
            <c:numRef>
              <c:f>Struktura_troskova!$W$2:$W$11</c:f>
              <c:numCache>
                <c:formatCode>General</c:formatCode>
                <c:ptCount val="10"/>
                <c:pt idx="0">
                  <c:v>637.08487767584097</c:v>
                </c:pt>
                <c:pt idx="1">
                  <c:v>657.87543577981648</c:v>
                </c:pt>
                <c:pt idx="2">
                  <c:v>773.75928440366977</c:v>
                </c:pt>
                <c:pt idx="3">
                  <c:v>315.3623479065464</c:v>
                </c:pt>
                <c:pt idx="4">
                  <c:v>349.94590446449229</c:v>
                </c:pt>
                <c:pt idx="5">
                  <c:v>398.57896021281516</c:v>
                </c:pt>
                <c:pt idx="6">
                  <c:v>223.26186467904645</c:v>
                </c:pt>
                <c:pt idx="7">
                  <c:v>267.0444830688171</c:v>
                </c:pt>
                <c:pt idx="8">
                  <c:v>253.68163799184228</c:v>
                </c:pt>
                <c:pt idx="9">
                  <c:v>281.86121216303252</c:v>
                </c:pt>
              </c:numCache>
            </c:numRef>
          </c:val>
          <c:extLst>
            <c:ext xmlns:c16="http://schemas.microsoft.com/office/drawing/2014/chart" uri="{C3380CC4-5D6E-409C-BE32-E72D297353CC}">
              <c16:uniqueId val="{00000001-93FB-4A5F-B95E-F1EBC13F7D57}"/>
            </c:ext>
          </c:extLst>
        </c:ser>
        <c:dLbls>
          <c:showLegendKey val="0"/>
          <c:showVal val="0"/>
          <c:showCatName val="0"/>
          <c:showSerName val="0"/>
          <c:showPercent val="0"/>
          <c:showBubbleSize val="0"/>
        </c:dLbls>
        <c:gapWidth val="219"/>
        <c:overlap val="-27"/>
        <c:axId val="1266982176"/>
        <c:axId val="1266978016"/>
      </c:barChart>
      <c:catAx>
        <c:axId val="126698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crossAx val="1266978016"/>
        <c:crosses val="autoZero"/>
        <c:auto val="1"/>
        <c:lblAlgn val="ctr"/>
        <c:lblOffset val="100"/>
        <c:noMultiLvlLbl val="0"/>
      </c:catAx>
      <c:valAx>
        <c:axId val="1266978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hr-HR"/>
                  <a:t>Specifični trošak sanacije</a:t>
                </a:r>
              </a:p>
              <a:p>
                <a:pPr>
                  <a:defRPr/>
                </a:pPr>
                <a:r>
                  <a:rPr lang="hr-HR"/>
                  <a:t>(BAM/m</a:t>
                </a:r>
                <a:r>
                  <a:rPr lang="hr-HR" baseline="30000"/>
                  <a:t>2</a:t>
                </a:r>
                <a:r>
                  <a:rPr lang="hr-HR"/>
                  <a:t> korisna grijana površina)</a:t>
                </a:r>
                <a:endParaRPr lang="en-GB"/>
              </a:p>
            </c:rich>
          </c:tx>
          <c:layout>
            <c:manualLayout>
              <c:xMode val="edge"/>
              <c:yMode val="edge"/>
              <c:x val="1.6666666666666666E-2"/>
              <c:y val="0.10470646598129656"/>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crossAx val="126698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mn-lt"/>
          <a:cs typeface="Times New Roman" panose="02020603050405020304" pitchFamily="18" charset="0"/>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1.626016260162606E-2"/>
                  <c:y val="-1.69535855939898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5F7-44E0-8806-93EA4A2F7F27}"/>
                </c:ext>
              </c:extLst>
            </c:dLbl>
            <c:numFmt formatCode="#,##0" sourceLinked="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Struktura_troskova!$AE$29:$AE$38</c:f>
              <c:strCache>
                <c:ptCount val="10"/>
                <c:pt idx="0">
                  <c:v>SFH Plitka</c:v>
                </c:pt>
                <c:pt idx="1">
                  <c:v>SFH Srednja</c:v>
                </c:pt>
                <c:pt idx="2">
                  <c:v>SFH Duboka</c:v>
                </c:pt>
                <c:pt idx="3">
                  <c:v>MF Srednja</c:v>
                </c:pt>
                <c:pt idx="4">
                  <c:v>MF Duboka</c:v>
                </c:pt>
                <c:pt idx="5">
                  <c:v>MF Duboka TP</c:v>
                </c:pt>
                <c:pt idx="6">
                  <c:v>AB Srednja</c:v>
                </c:pt>
                <c:pt idx="7">
                  <c:v>AB Duboka </c:v>
                </c:pt>
                <c:pt idx="8">
                  <c:v>H Srednja</c:v>
                </c:pt>
                <c:pt idx="9">
                  <c:v>H Duboka </c:v>
                </c:pt>
              </c:strCache>
            </c:strRef>
          </c:cat>
          <c:val>
            <c:numRef>
              <c:f>Struktura_troskova!$AB$16:$AB$25</c:f>
              <c:numCache>
                <c:formatCode>#,##0</c:formatCode>
                <c:ptCount val="10"/>
                <c:pt idx="0">
                  <c:v>13616.127777777778</c:v>
                </c:pt>
                <c:pt idx="1">
                  <c:v>14060.475</c:v>
                </c:pt>
                <c:pt idx="2">
                  <c:v>16537.208235294118</c:v>
                </c:pt>
                <c:pt idx="3">
                  <c:v>5265.3144949494963</c:v>
                </c:pt>
                <c:pt idx="4">
                  <c:v>5842.7242676767682</c:v>
                </c:pt>
                <c:pt idx="5">
                  <c:v>6654.7055808080813</c:v>
                </c:pt>
                <c:pt idx="6">
                  <c:v>4936.94856493322</c:v>
                </c:pt>
                <c:pt idx="7">
                  <c:v>5905.1055555555567</c:v>
                </c:pt>
                <c:pt idx="8">
                  <c:v>5198.4647875817</c:v>
                </c:pt>
                <c:pt idx="9">
                  <c:v>5775.9229166666664</c:v>
                </c:pt>
              </c:numCache>
            </c:numRef>
          </c:val>
          <c:extLst>
            <c:ext xmlns:c16="http://schemas.microsoft.com/office/drawing/2014/chart" uri="{C3380CC4-5D6E-409C-BE32-E72D297353CC}">
              <c16:uniqueId val="{00000001-B5F7-44E0-8806-93EA4A2F7F27}"/>
            </c:ext>
          </c:extLst>
        </c:ser>
        <c:dLbls>
          <c:showLegendKey val="0"/>
          <c:showVal val="0"/>
          <c:showCatName val="0"/>
          <c:showSerName val="0"/>
          <c:showPercent val="0"/>
          <c:showBubbleSize val="0"/>
        </c:dLbls>
        <c:gapWidth val="219"/>
        <c:overlap val="-27"/>
        <c:axId val="1266982176"/>
        <c:axId val="1266978016"/>
      </c:barChart>
      <c:catAx>
        <c:axId val="1266982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crossAx val="1266978016"/>
        <c:crosses val="autoZero"/>
        <c:auto val="1"/>
        <c:lblAlgn val="ctr"/>
        <c:lblOffset val="100"/>
        <c:noMultiLvlLbl val="0"/>
      </c:catAx>
      <c:valAx>
        <c:axId val="12669780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r>
                  <a:rPr lang="hr-HR"/>
                  <a:t>Specfični trošak EE </a:t>
                </a:r>
                <a:r>
                  <a:rPr lang="en-GB"/>
                  <a:t>obnove</a:t>
                </a:r>
                <a:r>
                  <a:rPr lang="hr-HR"/>
                  <a:t> po članu domaćinstva (BAM/član)</a:t>
                </a:r>
                <a:endParaRPr lang="en-GB"/>
              </a:p>
            </c:rich>
          </c:tx>
          <c:layout>
            <c:manualLayout>
              <c:xMode val="edge"/>
              <c:yMode val="edge"/>
              <c:x val="1.2020997375328083E-2"/>
              <c:y val="9.0206652069396154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Times New Roman" panose="02020603050405020304" pitchFamily="18" charset="0"/>
              </a:defRPr>
            </a:pPr>
            <a:endParaRPr lang="sr-Latn-RS"/>
          </a:p>
        </c:txPr>
        <c:crossAx val="12669821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latin typeface="+mn-lt"/>
          <a:cs typeface="Times New Roman" panose="02020603050405020304" pitchFamily="18" charset="0"/>
        </a:defRPr>
      </a:pPr>
      <a:endParaRPr lang="sr-Latn-R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62535522535968"/>
          <c:y val="4.471526525280848E-2"/>
          <c:w val="0.8116869679120593"/>
          <c:h val="0.78719814811567257"/>
        </c:manualLayout>
      </c:layout>
      <c:lineChart>
        <c:grouping val="standard"/>
        <c:varyColors val="0"/>
        <c:ser>
          <c:idx val="1"/>
          <c:order val="0"/>
          <c:tx>
            <c:v>Sanacija 1,5% korisne grijane površine</c:v>
          </c:tx>
          <c:spPr>
            <a:ln w="28575" cap="rnd">
              <a:solidFill>
                <a:srgbClr val="00B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7151-4240-934E-40CF424E76D3}"/>
                </c:ext>
              </c:extLst>
            </c:dLbl>
            <c:dLbl>
              <c:idx val="1"/>
              <c:delete val="1"/>
              <c:extLst>
                <c:ext xmlns:c15="http://schemas.microsoft.com/office/drawing/2012/chart" uri="{CE6537A1-D6FC-4f65-9D91-7224C49458BB}"/>
                <c:ext xmlns:c16="http://schemas.microsoft.com/office/drawing/2014/chart" uri="{C3380CC4-5D6E-409C-BE32-E72D297353CC}">
                  <c16:uniqueId val="{00000001-7151-4240-934E-40CF424E76D3}"/>
                </c:ext>
              </c:extLst>
            </c:dLbl>
            <c:dLbl>
              <c:idx val="2"/>
              <c:delete val="1"/>
              <c:extLst>
                <c:ext xmlns:c15="http://schemas.microsoft.com/office/drawing/2012/chart" uri="{CE6537A1-D6FC-4f65-9D91-7224C49458BB}"/>
                <c:ext xmlns:c16="http://schemas.microsoft.com/office/drawing/2014/chart" uri="{C3380CC4-5D6E-409C-BE32-E72D297353CC}">
                  <c16:uniqueId val="{00000002-7151-4240-934E-40CF424E76D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'ULAZNI PODACI'!$H$78:$K$78</c:f>
              <c:numCache>
                <c:formatCode>General</c:formatCode>
                <c:ptCount val="4"/>
                <c:pt idx="0">
                  <c:v>2020</c:v>
                </c:pt>
                <c:pt idx="1">
                  <c:v>2030</c:v>
                </c:pt>
                <c:pt idx="2">
                  <c:v>2040</c:v>
                </c:pt>
                <c:pt idx="3">
                  <c:v>2050</c:v>
                </c:pt>
              </c:numCache>
            </c:numRef>
          </c:cat>
          <c:val>
            <c:numRef>
              <c:f>'ULAZNI PODACI'!$H$83:$K$83</c:f>
              <c:numCache>
                <c:formatCode>#,##0</c:formatCode>
                <c:ptCount val="4"/>
                <c:pt idx="0">
                  <c:v>79.545081790943811</c:v>
                </c:pt>
                <c:pt idx="1">
                  <c:v>927.79533493856081</c:v>
                </c:pt>
                <c:pt idx="2">
                  <c:v>2151.1727783061124</c:v>
                </c:pt>
                <c:pt idx="3">
                  <c:v>3532.0012794199738</c:v>
                </c:pt>
              </c:numCache>
            </c:numRef>
          </c:val>
          <c:smooth val="0"/>
          <c:extLst>
            <c:ext xmlns:c16="http://schemas.microsoft.com/office/drawing/2014/chart" uri="{C3380CC4-5D6E-409C-BE32-E72D297353CC}">
              <c16:uniqueId val="{00000003-7151-4240-934E-40CF424E76D3}"/>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Vremenski okvir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5"/>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Ušteda finalne energije za grijanje, GWh/god.</a:t>
                </a:r>
                <a:endParaRPr lang="en-GB" baseline="30000"/>
              </a:p>
            </c:rich>
          </c:tx>
          <c:layout>
            <c:manualLayout>
              <c:xMode val="edge"/>
              <c:yMode val="edge"/>
              <c:x val="1.8729490197344333E-2"/>
              <c:y val="8.920996144152414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w="25400">
          <a:noFill/>
        </a:ln>
        <a:effectLst/>
      </c:spPr>
    </c:plotArea>
    <c:legend>
      <c:legendPos val="l"/>
      <c:layout>
        <c:manualLayout>
          <c:xMode val="edge"/>
          <c:yMode val="edge"/>
          <c:x val="0.15688286711908758"/>
          <c:y val="5.7827793797490229E-2"/>
          <c:w val="0.45430933681893931"/>
          <c:h val="0.11122128664874574"/>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562535522535968"/>
          <c:y val="4.471526525280848E-2"/>
          <c:w val="0.8116869679120593"/>
          <c:h val="0.7935614842712061"/>
        </c:manualLayout>
      </c:layout>
      <c:lineChart>
        <c:grouping val="standard"/>
        <c:varyColors val="0"/>
        <c:ser>
          <c:idx val="2"/>
          <c:order val="0"/>
          <c:tx>
            <c:v>Postojeći fond i novoizgrađene zgrade</c:v>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441A-44AE-9292-CB805B7CBA2A}"/>
                </c:ext>
              </c:extLst>
            </c:dLbl>
            <c:dLbl>
              <c:idx val="1"/>
              <c:delete val="1"/>
              <c:extLst>
                <c:ext xmlns:c15="http://schemas.microsoft.com/office/drawing/2012/chart" uri="{CE6537A1-D6FC-4f65-9D91-7224C49458BB}"/>
                <c:ext xmlns:c16="http://schemas.microsoft.com/office/drawing/2014/chart" uri="{C3380CC4-5D6E-409C-BE32-E72D297353CC}">
                  <c16:uniqueId val="{00000001-441A-44AE-9292-CB805B7CBA2A}"/>
                </c:ext>
              </c:extLst>
            </c:dLbl>
            <c:dLbl>
              <c:idx val="2"/>
              <c:delete val="1"/>
              <c:extLst>
                <c:ext xmlns:c15="http://schemas.microsoft.com/office/drawing/2012/chart" uri="{CE6537A1-D6FC-4f65-9D91-7224C49458BB}"/>
                <c:ext xmlns:c16="http://schemas.microsoft.com/office/drawing/2014/chart" uri="{C3380CC4-5D6E-409C-BE32-E72D297353CC}">
                  <c16:uniqueId val="{00000002-441A-44AE-9292-CB805B7CBA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'ULAZNI PODACI'!$B$78:$E$78</c:f>
              <c:numCache>
                <c:formatCode>General</c:formatCode>
                <c:ptCount val="4"/>
                <c:pt idx="0">
                  <c:v>2020</c:v>
                </c:pt>
                <c:pt idx="1">
                  <c:v>2030</c:v>
                </c:pt>
                <c:pt idx="2">
                  <c:v>2040</c:v>
                </c:pt>
                <c:pt idx="3">
                  <c:v>2050</c:v>
                </c:pt>
              </c:numCache>
            </c:numRef>
          </c:cat>
          <c:val>
            <c:numRef>
              <c:f>'ULAZNI PODACI'!$B$80:$E$80</c:f>
              <c:numCache>
                <c:formatCode>#,##0</c:formatCode>
                <c:ptCount val="4"/>
                <c:pt idx="0">
                  <c:v>11149.974228352974</c:v>
                </c:pt>
                <c:pt idx="1">
                  <c:v>11642.661613843065</c:v>
                </c:pt>
                <c:pt idx="2">
                  <c:v>12094.806417536207</c:v>
                </c:pt>
                <c:pt idx="3">
                  <c:v>12518.117817500612</c:v>
                </c:pt>
              </c:numCache>
            </c:numRef>
          </c:val>
          <c:smooth val="0"/>
          <c:extLst>
            <c:ext xmlns:c16="http://schemas.microsoft.com/office/drawing/2014/chart" uri="{C3380CC4-5D6E-409C-BE32-E72D297353CC}">
              <c16:uniqueId val="{00000003-441A-44AE-9292-CB805B7CBA2A}"/>
            </c:ext>
          </c:extLst>
        </c:ser>
        <c:ser>
          <c:idx val="1"/>
          <c:order val="1"/>
          <c:tx>
            <c:v>Sanacija postojećeg fonda zgrada</c:v>
          </c:tx>
          <c:spPr>
            <a:ln w="28575" cap="rnd">
              <a:solidFill>
                <a:srgbClr val="00B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4-441A-44AE-9292-CB805B7CBA2A}"/>
                </c:ext>
              </c:extLst>
            </c:dLbl>
            <c:dLbl>
              <c:idx val="1"/>
              <c:delete val="1"/>
              <c:extLst>
                <c:ext xmlns:c15="http://schemas.microsoft.com/office/drawing/2012/chart" uri="{CE6537A1-D6FC-4f65-9D91-7224C49458BB}"/>
                <c:ext xmlns:c16="http://schemas.microsoft.com/office/drawing/2014/chart" uri="{C3380CC4-5D6E-409C-BE32-E72D297353CC}">
                  <c16:uniqueId val="{00000005-441A-44AE-9292-CB805B7CBA2A}"/>
                </c:ext>
              </c:extLst>
            </c:dLbl>
            <c:dLbl>
              <c:idx val="2"/>
              <c:delete val="1"/>
              <c:extLst>
                <c:ext xmlns:c15="http://schemas.microsoft.com/office/drawing/2012/chart" uri="{CE6537A1-D6FC-4f65-9D91-7224C49458BB}"/>
                <c:ext xmlns:c16="http://schemas.microsoft.com/office/drawing/2014/chart" uri="{C3380CC4-5D6E-409C-BE32-E72D297353CC}">
                  <c16:uniqueId val="{00000006-441A-44AE-9292-CB805B7CBA2A}"/>
                </c:ext>
              </c:extLst>
            </c:dLbl>
            <c:dLbl>
              <c:idx val="3"/>
              <c:layout>
                <c:manualLayout>
                  <c:x val="-4.3153941492429793E-3"/>
                  <c:y val="2.63771959794506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1A-44AE-9292-CB805B7CBA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'ULAZNI PODACI'!$B$78:$E$78</c:f>
              <c:numCache>
                <c:formatCode>General</c:formatCode>
                <c:ptCount val="4"/>
                <c:pt idx="0">
                  <c:v>2020</c:v>
                </c:pt>
                <c:pt idx="1">
                  <c:v>2030</c:v>
                </c:pt>
                <c:pt idx="2">
                  <c:v>2040</c:v>
                </c:pt>
                <c:pt idx="3">
                  <c:v>2050</c:v>
                </c:pt>
              </c:numCache>
            </c:numRef>
          </c:cat>
          <c:val>
            <c:numRef>
              <c:f>'ULAZNI PODACI'!$B$79:$E$79</c:f>
              <c:numCache>
                <c:formatCode>#,##0</c:formatCode>
                <c:ptCount val="4"/>
                <c:pt idx="0">
                  <c:v>11036.541443228696</c:v>
                </c:pt>
                <c:pt idx="1">
                  <c:v>10356.16250557117</c:v>
                </c:pt>
                <c:pt idx="2">
                  <c:v>9303.1915125634278</c:v>
                </c:pt>
                <c:pt idx="3">
                  <c:v>8095.3428814139716</c:v>
                </c:pt>
              </c:numCache>
            </c:numRef>
          </c:val>
          <c:smooth val="0"/>
          <c:extLst>
            <c:ext xmlns:c16="http://schemas.microsoft.com/office/drawing/2014/chart" uri="{C3380CC4-5D6E-409C-BE32-E72D297353CC}">
              <c16:uniqueId val="{00000008-441A-44AE-9292-CB805B7CBA2A}"/>
            </c:ext>
          </c:extLst>
        </c:ser>
        <c:ser>
          <c:idx val="0"/>
          <c:order val="2"/>
          <c:tx>
            <c:v>Ukupna potrošnja energije </c:v>
          </c:tx>
          <c:spPr>
            <a:ln w="28575" cap="rnd">
              <a:solidFill>
                <a:srgbClr val="FF000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441A-44AE-9292-CB805B7CBA2A}"/>
                </c:ext>
              </c:extLst>
            </c:dLbl>
            <c:dLbl>
              <c:idx val="1"/>
              <c:delete val="1"/>
              <c:extLst>
                <c:ext xmlns:c15="http://schemas.microsoft.com/office/drawing/2012/chart" uri="{CE6537A1-D6FC-4f65-9D91-7224C49458BB}"/>
                <c:ext xmlns:c16="http://schemas.microsoft.com/office/drawing/2014/chart" uri="{C3380CC4-5D6E-409C-BE32-E72D297353CC}">
                  <c16:uniqueId val="{0000000A-441A-44AE-9292-CB805B7CBA2A}"/>
                </c:ext>
              </c:extLst>
            </c:dLbl>
            <c:dLbl>
              <c:idx val="2"/>
              <c:delete val="1"/>
              <c:extLst>
                <c:ext xmlns:c15="http://schemas.microsoft.com/office/drawing/2012/chart" uri="{CE6537A1-D6FC-4f65-9D91-7224C49458BB}"/>
                <c:ext xmlns:c16="http://schemas.microsoft.com/office/drawing/2014/chart" uri="{C3380CC4-5D6E-409C-BE32-E72D297353CC}">
                  <c16:uniqueId val="{0000000B-441A-44AE-9292-CB805B7CBA2A}"/>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'ULAZNI PODACI'!$B$78:$E$78</c:f>
              <c:numCache>
                <c:formatCode>General</c:formatCode>
                <c:ptCount val="4"/>
                <c:pt idx="0">
                  <c:v>2020</c:v>
                </c:pt>
                <c:pt idx="1">
                  <c:v>2030</c:v>
                </c:pt>
                <c:pt idx="2">
                  <c:v>2040</c:v>
                </c:pt>
                <c:pt idx="3">
                  <c:v>2050</c:v>
                </c:pt>
              </c:numCache>
            </c:numRef>
          </c:cat>
          <c:val>
            <c:numRef>
              <c:f>'ULAZNI PODACI'!$B$81:$E$81</c:f>
              <c:numCache>
                <c:formatCode>#,##0</c:formatCode>
                <c:ptCount val="4"/>
                <c:pt idx="0">
                  <c:v>11070.429146562028</c:v>
                </c:pt>
                <c:pt idx="1">
                  <c:v>10714.866278904503</c:v>
                </c:pt>
                <c:pt idx="2">
                  <c:v>9943.6336392300946</c:v>
                </c:pt>
                <c:pt idx="3">
                  <c:v>8986.1165380806378</c:v>
                </c:pt>
              </c:numCache>
            </c:numRef>
          </c:val>
          <c:smooth val="0"/>
          <c:extLst>
            <c:ext xmlns:c16="http://schemas.microsoft.com/office/drawing/2014/chart" uri="{C3380CC4-5D6E-409C-BE32-E72D297353CC}">
              <c16:uniqueId val="{0000000C-441A-44AE-9292-CB805B7CBA2A}"/>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sz="1000" b="0" i="0" baseline="0">
                    <a:effectLst/>
                  </a:rPr>
                  <a:t>Vremenski okvir</a:t>
                </a:r>
              </a:p>
            </c:rich>
          </c:tx>
          <c:layout>
            <c:manualLayout>
              <c:xMode val="edge"/>
              <c:yMode val="edge"/>
              <c:x val="0.48291224314807107"/>
              <c:y val="0.91138044771107474"/>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5"/>
        <c:noMultiLvlLbl val="0"/>
      </c:catAx>
      <c:valAx>
        <c:axId val="1999058864"/>
        <c:scaling>
          <c:orientation val="minMax"/>
          <c:max val="18000"/>
          <c:min val="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Potrebna energija za grijanje, GWh/god.</a:t>
                </a:r>
                <a:endParaRPr lang="en-GB" baseline="30000"/>
              </a:p>
            </c:rich>
          </c:tx>
          <c:layout>
            <c:manualLayout>
              <c:xMode val="edge"/>
              <c:yMode val="edge"/>
              <c:x val="1.8729490197344333E-2"/>
              <c:y val="8.920996144152414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w="25400">
          <a:noFill/>
        </a:ln>
        <a:effectLst/>
      </c:spPr>
    </c:plotArea>
    <c:legend>
      <c:legendPos val="l"/>
      <c:layout>
        <c:manualLayout>
          <c:xMode val="edge"/>
          <c:yMode val="edge"/>
          <c:x val="0.1614749801339638"/>
          <c:y val="0.10564335539865913"/>
          <c:w val="0.42334448064723512"/>
          <c:h val="0.15189074452882001"/>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12763408361833559"/>
          <c:y val="4.471526525280848E-2"/>
          <c:w val="0.84030647684190996"/>
          <c:h val="0.7935614842712061"/>
        </c:manualLayout>
      </c:layout>
      <c:lineChart>
        <c:grouping val="standard"/>
        <c:varyColors val="0"/>
        <c:ser>
          <c:idx val="1"/>
          <c:order val="0"/>
          <c:tx>
            <c:v>Sanacija 2,5% korisne grijane površine</c:v>
          </c:tx>
          <c:spPr>
            <a:ln w="28575" cap="rnd">
              <a:solidFill>
                <a:srgbClr val="00B050"/>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0-5A9E-4B08-98E3-3C3701778106}"/>
                </c:ext>
              </c:extLst>
            </c:dLbl>
            <c:dLbl>
              <c:idx val="1"/>
              <c:delete val="1"/>
              <c:extLst>
                <c:ext xmlns:c15="http://schemas.microsoft.com/office/drawing/2012/chart" uri="{CE6537A1-D6FC-4f65-9D91-7224C49458BB}"/>
                <c:ext xmlns:c16="http://schemas.microsoft.com/office/drawing/2014/chart" uri="{C3380CC4-5D6E-409C-BE32-E72D297353CC}">
                  <c16:uniqueId val="{00000001-5A9E-4B08-98E3-3C3701778106}"/>
                </c:ext>
              </c:extLst>
            </c:dLbl>
            <c:dLbl>
              <c:idx val="2"/>
              <c:delete val="1"/>
              <c:extLst>
                <c:ext xmlns:c15="http://schemas.microsoft.com/office/drawing/2012/chart" uri="{CE6537A1-D6FC-4f65-9D91-7224C49458BB}"/>
                <c:ext xmlns:c16="http://schemas.microsoft.com/office/drawing/2014/chart" uri="{C3380CC4-5D6E-409C-BE32-E72D297353CC}">
                  <c16:uniqueId val="{00000002-5A9E-4B08-98E3-3C370177810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'[1]ULAZNI PODACI'!$H$78:$K$78</c:f>
              <c:numCache>
                <c:formatCode>General</c:formatCode>
                <c:ptCount val="4"/>
                <c:pt idx="0">
                  <c:v>2020</c:v>
                </c:pt>
                <c:pt idx="1">
                  <c:v>2030</c:v>
                </c:pt>
                <c:pt idx="2">
                  <c:v>2040</c:v>
                </c:pt>
                <c:pt idx="3">
                  <c:v>2050</c:v>
                </c:pt>
              </c:numCache>
            </c:numRef>
          </c:cat>
          <c:val>
            <c:numRef>
              <c:f>'ULAZNI PODACI'!$H$63:$K$63</c:f>
              <c:numCache>
                <c:formatCode>#,##0</c:formatCode>
                <c:ptCount val="4"/>
                <c:pt idx="0">
                  <c:v>0</c:v>
                </c:pt>
                <c:pt idx="1">
                  <c:v>276.15442856788837</c:v>
                </c:pt>
                <c:pt idx="2">
                  <c:v>558.61596774374505</c:v>
                </c:pt>
                <c:pt idx="3">
                  <c:v>841.07750691960121</c:v>
                </c:pt>
              </c:numCache>
            </c:numRef>
          </c:val>
          <c:smooth val="0"/>
          <c:extLst>
            <c:ext xmlns:c16="http://schemas.microsoft.com/office/drawing/2014/chart" uri="{C3380CC4-5D6E-409C-BE32-E72D297353CC}">
              <c16:uniqueId val="{00000003-5A9E-4B08-98E3-3C3701778106}"/>
            </c:ext>
          </c:extLst>
        </c:ser>
        <c:dLbls>
          <c:showLegendKey val="0"/>
          <c:showVal val="0"/>
          <c:showCatName val="0"/>
          <c:showSerName val="0"/>
          <c:showPercent val="0"/>
          <c:showBubbleSize val="0"/>
        </c:dLbls>
        <c:smooth val="0"/>
        <c:axId val="1954506000"/>
        <c:axId val="1999058864"/>
      </c:lineChart>
      <c:catAx>
        <c:axId val="195450600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Vremenski okvir</a:t>
                </a:r>
                <a:endParaRPr lang="en-GB"/>
              </a:p>
            </c:rich>
          </c:tx>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99058864"/>
        <c:crosses val="autoZero"/>
        <c:auto val="1"/>
        <c:lblAlgn val="ctr"/>
        <c:lblOffset val="100"/>
        <c:tickMarkSkip val="5"/>
        <c:noMultiLvlLbl val="0"/>
      </c:catAx>
      <c:valAx>
        <c:axId val="19990588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hr-HR"/>
                  <a:t>Ušteda finalne energije za grijanje, GWh/god.</a:t>
                </a:r>
                <a:endParaRPr lang="en-GB" baseline="30000"/>
              </a:p>
            </c:rich>
          </c:tx>
          <c:layout>
            <c:manualLayout>
              <c:xMode val="edge"/>
              <c:yMode val="edge"/>
              <c:x val="1.8729490197344333E-2"/>
              <c:y val="8.9209961441524141E-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crossAx val="1954506000"/>
        <c:crosses val="autoZero"/>
        <c:crossBetween val="between"/>
      </c:valAx>
      <c:spPr>
        <a:noFill/>
        <a:ln w="25400">
          <a:noFill/>
        </a:ln>
        <a:effectLst/>
      </c:spPr>
    </c:plotArea>
    <c:legend>
      <c:legendPos val="l"/>
      <c:layout>
        <c:manualLayout>
          <c:xMode val="edge"/>
          <c:yMode val="edge"/>
          <c:x val="0.16355627056969654"/>
          <c:y val="5.7828021374528846E-2"/>
          <c:w val="0.45430933681893931"/>
          <c:h val="0.10813428349389287"/>
        </c:manualLayout>
      </c:layout>
      <c:overlay val="0"/>
      <c:spPr>
        <a:solidFill>
          <a:schemeClr val="bg1"/>
        </a:solid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solidFill>
            <a:sysClr val="windowText" lastClr="000000"/>
          </a:solidFill>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withinLinearReversed" id="21">
  <a:schemeClr val="accent1"/>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withinLinear" id="19">
  <a:schemeClr val="accent6"/>
</cs:colorStyle>
</file>

<file path=word/charts/colors16.xml><?xml version="1.0" encoding="utf-8"?>
<cs:colorStyle xmlns:cs="http://schemas.microsoft.com/office/drawing/2012/chartStyle" xmlns:a="http://schemas.openxmlformats.org/drawingml/2006/main" meth="withinLinear" id="19">
  <a:schemeClr val="accent6"/>
</cs:colorStyle>
</file>

<file path=word/charts/colors1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withinLinearReversed" id="21">
  <a:schemeClr val="accent1"/>
</cs:colorStyle>
</file>

<file path=word/charts/colors24.xml><?xml version="1.0" encoding="utf-8"?>
<cs:colorStyle xmlns:cs="http://schemas.microsoft.com/office/drawing/2012/chartStyle" xmlns:a="http://schemas.openxmlformats.org/drawingml/2006/main" meth="withinLinearReversed" id="21">
  <a:schemeClr val="accent1"/>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1">
  <a:schemeClr val="accent1"/>
</cs:colorStyle>
</file>

<file path=word/charts/colors8.xml><?xml version="1.0" encoding="utf-8"?>
<cs:colorStyle xmlns:cs="http://schemas.microsoft.com/office/drawing/2012/chartStyle" xmlns:a="http://schemas.openxmlformats.org/drawingml/2006/main" meth="withinLinearReversed" id="21">
  <a:schemeClr val="accent1"/>
</cs:colorStyle>
</file>

<file path=word/charts/colors9.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qwlSavTeLOdJhmzm2Rl6DEH4Rw==">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66DB8D-1190-47B9-8420-75C47E28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200</Pages>
  <Words>75348</Words>
  <Characters>429485</Characters>
  <Application>Microsoft Office Word</Application>
  <DocSecurity>0</DocSecurity>
  <Lines>3579</Lines>
  <Paragraphs>1007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jasmina katica</cp:lastModifiedBy>
  <cp:revision>4</cp:revision>
  <cp:lastPrinted>2023-02-06T17:38:00Z</cp:lastPrinted>
  <dcterms:created xsi:type="dcterms:W3CDTF">2023-07-03T08:08:00Z</dcterms:created>
  <dcterms:modified xsi:type="dcterms:W3CDTF">2023-07-12T13:45:00Z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0x01010056B86DA8F8A06949AA51303E7FDC80B5</vt:lpwstr>
  </property>
</Properties>
</file>