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D3D2F92" w14:textId="77777777" w:rsidR="00441150" w:rsidRPr="005D456F" w:rsidRDefault="00441150" w:rsidP="00441150">
      <w:pPr>
        <w:jc w:val="center"/>
        <w:rPr>
          <w:rFonts w:ascii="Times New Roman" w:hAnsi="Times New Roman"/>
          <w:b/>
          <w:sz w:val="24"/>
          <w:szCs w:val="24"/>
        </w:rPr>
      </w:pPr>
      <w:r w:rsidRPr="005D456F">
        <w:rPr>
          <w:rFonts w:ascii="Times New Roman" w:hAnsi="Times New Roman"/>
          <w:b/>
          <w:sz w:val="24"/>
          <w:szCs w:val="24"/>
        </w:rPr>
        <w:t xml:space="preserve">BOSNIA </w:t>
      </w:r>
      <w:smartTag w:uri="urn:schemas-microsoft-com:office:smarttags" w:element="stockticker">
        <w:r w:rsidRPr="005D456F">
          <w:rPr>
            <w:rFonts w:ascii="Times New Roman" w:hAnsi="Times New Roman"/>
            <w:b/>
            <w:sz w:val="24"/>
            <w:szCs w:val="24"/>
          </w:rPr>
          <w:t>AND</w:t>
        </w:r>
      </w:smartTag>
      <w:r w:rsidRPr="005D456F">
        <w:rPr>
          <w:rFonts w:ascii="Times New Roman" w:hAnsi="Times New Roman"/>
          <w:b/>
          <w:sz w:val="24"/>
          <w:szCs w:val="24"/>
        </w:rPr>
        <w:t xml:space="preserve"> HERZEGOVINA </w:t>
      </w:r>
    </w:p>
    <w:p w14:paraId="3F56D2E6" w14:textId="77777777" w:rsidR="00441150" w:rsidRPr="005D456F" w:rsidRDefault="00441150" w:rsidP="00441150">
      <w:pPr>
        <w:jc w:val="center"/>
        <w:rPr>
          <w:rFonts w:ascii="Times New Roman" w:hAnsi="Times New Roman"/>
          <w:b/>
          <w:sz w:val="24"/>
          <w:szCs w:val="24"/>
        </w:rPr>
      </w:pPr>
      <w:r w:rsidRPr="005D456F">
        <w:rPr>
          <w:rFonts w:ascii="Times New Roman" w:hAnsi="Times New Roman"/>
          <w:b/>
          <w:sz w:val="24"/>
          <w:szCs w:val="24"/>
        </w:rPr>
        <w:t xml:space="preserve">FEDERATION OF BOSNIA </w:t>
      </w:r>
      <w:smartTag w:uri="urn:schemas-microsoft-com:office:smarttags" w:element="stockticker">
        <w:r w:rsidRPr="005D456F">
          <w:rPr>
            <w:rFonts w:ascii="Times New Roman" w:hAnsi="Times New Roman"/>
            <w:b/>
            <w:sz w:val="24"/>
            <w:szCs w:val="24"/>
          </w:rPr>
          <w:t>AND</w:t>
        </w:r>
      </w:smartTag>
      <w:r w:rsidRPr="005D456F">
        <w:rPr>
          <w:rFonts w:ascii="Times New Roman" w:hAnsi="Times New Roman"/>
          <w:b/>
          <w:sz w:val="24"/>
          <w:szCs w:val="24"/>
        </w:rPr>
        <w:t xml:space="preserve"> HERZEGOVINA</w:t>
      </w:r>
    </w:p>
    <w:p w14:paraId="00E599C0" w14:textId="77777777" w:rsidR="00441150" w:rsidRPr="005D456F" w:rsidRDefault="00441150" w:rsidP="00441150">
      <w:pPr>
        <w:jc w:val="center"/>
        <w:rPr>
          <w:rFonts w:ascii="Times New Roman" w:hAnsi="Times New Roman"/>
          <w:b/>
          <w:sz w:val="24"/>
          <w:szCs w:val="24"/>
        </w:rPr>
      </w:pPr>
      <w:r w:rsidRPr="005D456F">
        <w:rPr>
          <w:rFonts w:ascii="Times New Roman" w:hAnsi="Times New Roman"/>
          <w:b/>
          <w:sz w:val="24"/>
          <w:szCs w:val="24"/>
        </w:rPr>
        <w:t>ADDITIONAL FINANCING FOR ENERGY EFFICIENCY PROJECT–ID P165405</w:t>
      </w:r>
    </w:p>
    <w:p w14:paraId="03480636" w14:textId="77777777" w:rsidR="00441150" w:rsidRPr="005D456F" w:rsidRDefault="00441150" w:rsidP="00AA40D3">
      <w:pPr>
        <w:rPr>
          <w:rFonts w:ascii="Times New Roman" w:hAnsi="Times New Roman"/>
          <w:b/>
          <w:sz w:val="24"/>
          <w:szCs w:val="24"/>
        </w:rPr>
      </w:pPr>
    </w:p>
    <w:p w14:paraId="7D230694" w14:textId="77777777" w:rsidR="00441150" w:rsidRPr="005D456F" w:rsidRDefault="00441150" w:rsidP="00441150">
      <w:pPr>
        <w:jc w:val="center"/>
        <w:rPr>
          <w:rFonts w:ascii="Times New Roman" w:hAnsi="Times New Roman"/>
          <w:b/>
          <w:sz w:val="24"/>
          <w:szCs w:val="24"/>
        </w:rPr>
      </w:pPr>
      <w:r w:rsidRPr="005D456F">
        <w:rPr>
          <w:rFonts w:ascii="Times New Roman" w:hAnsi="Times New Roman"/>
          <w:b/>
          <w:sz w:val="24"/>
          <w:szCs w:val="24"/>
        </w:rPr>
        <w:t>TERMS OF REFERENCES</w:t>
      </w:r>
    </w:p>
    <w:p w14:paraId="43C0539C" w14:textId="77777777" w:rsidR="00441150" w:rsidRPr="005D456F" w:rsidRDefault="00441150" w:rsidP="00566ACC">
      <w:pPr>
        <w:rPr>
          <w:rFonts w:ascii="Times New Roman" w:hAnsi="Times New Roman"/>
          <w:b/>
          <w:sz w:val="24"/>
          <w:szCs w:val="24"/>
        </w:rPr>
      </w:pPr>
    </w:p>
    <w:p w14:paraId="4454724B" w14:textId="77777777" w:rsidR="00441150" w:rsidRPr="005D456F" w:rsidRDefault="00441150" w:rsidP="00441150">
      <w:pPr>
        <w:jc w:val="center"/>
        <w:rPr>
          <w:rFonts w:ascii="Times New Roman" w:hAnsi="Times New Roman"/>
          <w:b/>
          <w:sz w:val="24"/>
          <w:szCs w:val="24"/>
        </w:rPr>
      </w:pPr>
      <w:r w:rsidRPr="005D456F">
        <w:rPr>
          <w:rFonts w:ascii="Times New Roman" w:hAnsi="Times New Roman"/>
          <w:b/>
          <w:sz w:val="24"/>
          <w:szCs w:val="24"/>
        </w:rPr>
        <w:t xml:space="preserve">for </w:t>
      </w:r>
      <w:r w:rsidR="005E5597" w:rsidRPr="005D456F">
        <w:rPr>
          <w:rFonts w:ascii="Times New Roman" w:hAnsi="Times New Roman"/>
          <w:b/>
          <w:sz w:val="24"/>
          <w:szCs w:val="24"/>
        </w:rPr>
        <w:t>the C</w:t>
      </w:r>
      <w:r w:rsidR="00204952" w:rsidRPr="005D456F">
        <w:rPr>
          <w:rFonts w:ascii="Times New Roman" w:hAnsi="Times New Roman"/>
          <w:b/>
          <w:sz w:val="24"/>
          <w:szCs w:val="24"/>
        </w:rPr>
        <w:t>onsultant</w:t>
      </w:r>
    </w:p>
    <w:p w14:paraId="1D2B079E" w14:textId="7025FF03" w:rsidR="003B4965" w:rsidRPr="00EC6B31" w:rsidRDefault="00895DCF" w:rsidP="003B4965">
      <w:pPr>
        <w:widowControl w:val="0"/>
        <w:autoSpaceDE w:val="0"/>
        <w:autoSpaceDN w:val="0"/>
        <w:adjustRightInd w:val="0"/>
        <w:ind w:right="73"/>
        <w:jc w:val="both"/>
        <w:rPr>
          <w:rFonts w:ascii="Times New Roman" w:hAnsi="Times New Roman"/>
          <w:b/>
          <w:sz w:val="24"/>
          <w:szCs w:val="24"/>
        </w:rPr>
      </w:pPr>
      <w:r w:rsidRPr="00EC6B31">
        <w:rPr>
          <w:rFonts w:ascii="Times New Roman" w:hAnsi="Times New Roman"/>
          <w:b/>
          <w:sz w:val="24"/>
          <w:szCs w:val="24"/>
        </w:rPr>
        <w:t xml:space="preserve">for provision of services related to the development </w:t>
      </w:r>
      <w:r w:rsidR="003B4965" w:rsidRPr="00EC6B31">
        <w:rPr>
          <w:rFonts w:ascii="Times New Roman" w:hAnsi="Times New Roman"/>
          <w:b/>
          <w:sz w:val="24"/>
          <w:szCs w:val="24"/>
        </w:rPr>
        <w:t xml:space="preserve">of the </w:t>
      </w:r>
      <w:bookmarkStart w:id="0" w:name="_Hlk127698126"/>
      <w:r w:rsidR="003B4965" w:rsidRPr="00EC6B31">
        <w:rPr>
          <w:rFonts w:ascii="Times New Roman" w:hAnsi="Times New Roman"/>
          <w:b/>
          <w:sz w:val="24"/>
          <w:szCs w:val="24"/>
        </w:rPr>
        <w:t xml:space="preserve">Guidelines for energy renovation of buildings, which have the status of a national monument or are located within the scope of the buffer zone of the national monument of the </w:t>
      </w:r>
      <w:r w:rsidR="00EC6B31" w:rsidRPr="00EC6B31">
        <w:rPr>
          <w:rFonts w:ascii="Times New Roman" w:hAnsi="Times New Roman"/>
          <w:b/>
          <w:sz w:val="24"/>
          <w:szCs w:val="24"/>
        </w:rPr>
        <w:t>ambient</w:t>
      </w:r>
      <w:r w:rsidR="003B4965" w:rsidRPr="00EC6B31">
        <w:rPr>
          <w:rFonts w:ascii="Times New Roman" w:hAnsi="Times New Roman"/>
          <w:b/>
          <w:sz w:val="24"/>
          <w:szCs w:val="24"/>
        </w:rPr>
        <w:t xml:space="preserve"> entity</w:t>
      </w:r>
      <w:bookmarkEnd w:id="0"/>
    </w:p>
    <w:p w14:paraId="76B1934A" w14:textId="16CFF46B" w:rsidR="001267DC" w:rsidRPr="005D456F" w:rsidRDefault="001267DC" w:rsidP="00441150">
      <w:pPr>
        <w:jc w:val="center"/>
        <w:rPr>
          <w:rFonts w:ascii="Times New Roman" w:hAnsi="Times New Roman"/>
          <w:b/>
          <w:sz w:val="24"/>
          <w:szCs w:val="24"/>
        </w:rPr>
      </w:pPr>
    </w:p>
    <w:p w14:paraId="2249410C" w14:textId="0BC5FF4D" w:rsidR="00D4524B" w:rsidRPr="00D4524B" w:rsidRDefault="00D4524B" w:rsidP="00D4524B">
      <w:pPr>
        <w:jc w:val="center"/>
        <w:rPr>
          <w:rFonts w:ascii="Times New Roman" w:hAnsi="Times New Roman"/>
          <w:b/>
          <w:sz w:val="24"/>
          <w:szCs w:val="24"/>
        </w:rPr>
      </w:pPr>
      <w:r w:rsidRPr="00D4524B">
        <w:rPr>
          <w:rFonts w:ascii="Times New Roman" w:hAnsi="Times New Roman"/>
          <w:b/>
          <w:sz w:val="24"/>
          <w:szCs w:val="24"/>
        </w:rPr>
        <w:t xml:space="preserve">Ref. No. </w:t>
      </w:r>
      <w:r w:rsidRPr="00D4524B">
        <w:rPr>
          <w:rFonts w:ascii="Times New Roman" w:hAnsi="Times New Roman"/>
          <w:b/>
          <w:sz w:val="24"/>
          <w:szCs w:val="24"/>
          <w:shd w:val="clear" w:color="auto" w:fill="FFFFFF"/>
        </w:rPr>
        <w:t>BEEPAF-P165405-CQ-4</w:t>
      </w:r>
      <w:r>
        <w:rPr>
          <w:rFonts w:ascii="Times New Roman" w:hAnsi="Times New Roman"/>
          <w:b/>
          <w:sz w:val="24"/>
          <w:szCs w:val="24"/>
          <w:shd w:val="clear" w:color="auto" w:fill="FFFFFF"/>
        </w:rPr>
        <w:t>4</w:t>
      </w:r>
      <w:r w:rsidRPr="00D4524B">
        <w:rPr>
          <w:rFonts w:ascii="Times New Roman" w:hAnsi="Times New Roman"/>
          <w:b/>
          <w:sz w:val="24"/>
          <w:szCs w:val="24"/>
          <w:shd w:val="clear" w:color="auto" w:fill="FFFFFF"/>
        </w:rPr>
        <w:t>-CS-23-FBIH</w:t>
      </w:r>
    </w:p>
    <w:p w14:paraId="7DC0A8A6" w14:textId="77777777" w:rsidR="00441150" w:rsidRPr="005D456F" w:rsidRDefault="00441150" w:rsidP="00441150">
      <w:pPr>
        <w:jc w:val="center"/>
        <w:rPr>
          <w:rFonts w:ascii="Times New Roman" w:hAnsi="Times New Roman"/>
          <w:b/>
          <w:sz w:val="24"/>
          <w:szCs w:val="24"/>
        </w:rPr>
      </w:pPr>
    </w:p>
    <w:p w14:paraId="6312F22C" w14:textId="77777777" w:rsidR="00441150" w:rsidRPr="005D456F" w:rsidRDefault="00441150" w:rsidP="00441150">
      <w:pPr>
        <w:rPr>
          <w:rFonts w:ascii="Times New Roman" w:hAnsi="Times New Roman"/>
          <w:b/>
          <w:sz w:val="24"/>
          <w:szCs w:val="24"/>
        </w:rPr>
      </w:pPr>
    </w:p>
    <w:p w14:paraId="68E16437" w14:textId="77777777" w:rsidR="00441150" w:rsidRPr="005D456F" w:rsidRDefault="00441150" w:rsidP="00441150">
      <w:pPr>
        <w:numPr>
          <w:ilvl w:val="0"/>
          <w:numId w:val="10"/>
        </w:numPr>
        <w:spacing w:after="0" w:line="240" w:lineRule="auto"/>
        <w:ind w:left="0" w:firstLine="0"/>
        <w:rPr>
          <w:rFonts w:ascii="Times New Roman" w:hAnsi="Times New Roman"/>
          <w:b/>
          <w:sz w:val="24"/>
          <w:szCs w:val="24"/>
        </w:rPr>
      </w:pPr>
      <w:r w:rsidRPr="005D456F">
        <w:rPr>
          <w:rFonts w:ascii="Times New Roman" w:hAnsi="Times New Roman"/>
          <w:b/>
          <w:sz w:val="24"/>
          <w:szCs w:val="24"/>
        </w:rPr>
        <w:t>Background</w:t>
      </w:r>
    </w:p>
    <w:p w14:paraId="29CE70D7" w14:textId="77777777" w:rsidR="00441150" w:rsidRPr="005D456F" w:rsidRDefault="00441150" w:rsidP="00441150">
      <w:pPr>
        <w:autoSpaceDE w:val="0"/>
        <w:autoSpaceDN w:val="0"/>
        <w:adjustRightInd w:val="0"/>
        <w:jc w:val="both"/>
        <w:rPr>
          <w:rFonts w:ascii="Times New Roman" w:hAnsi="Times New Roman"/>
          <w:sz w:val="24"/>
          <w:szCs w:val="24"/>
        </w:rPr>
      </w:pPr>
    </w:p>
    <w:p w14:paraId="6FCBC04B" w14:textId="77777777" w:rsidR="00C34A7E" w:rsidRPr="005D456F" w:rsidRDefault="00C34A7E" w:rsidP="00C34A7E">
      <w:pPr>
        <w:jc w:val="both"/>
        <w:rPr>
          <w:rFonts w:ascii="Times New Roman" w:hAnsi="Times New Roman"/>
          <w:sz w:val="24"/>
          <w:szCs w:val="24"/>
        </w:rPr>
      </w:pPr>
      <w:r w:rsidRPr="005D456F">
        <w:rPr>
          <w:rFonts w:ascii="Times New Roman" w:hAnsi="Times New Roman"/>
          <w:sz w:val="24"/>
          <w:szCs w:val="24"/>
        </w:rPr>
        <w:t xml:space="preserve">The Government of Bosnia and Herzegovina (BH) has recognized the importance of energy efficiency (EE) to support sustainable economic growth and move towards EU accession and has received financing for the </w:t>
      </w:r>
      <w:r w:rsidRPr="005D456F">
        <w:rPr>
          <w:rFonts w:ascii="Times New Roman" w:hAnsi="Times New Roman"/>
          <w:bCs/>
          <w:noProof/>
          <w:sz w:val="24"/>
          <w:szCs w:val="24"/>
        </w:rPr>
        <w:t>Additional Financing for the Bosnia and Herzegovina Energy Efficiency Project</w:t>
      </w:r>
      <w:r w:rsidRPr="005D456F">
        <w:rPr>
          <w:rFonts w:ascii="Times New Roman" w:hAnsi="Times New Roman"/>
          <w:sz w:val="24"/>
          <w:szCs w:val="24"/>
        </w:rPr>
        <w:t xml:space="preserve"> (BEEP) from the</w:t>
      </w:r>
      <w:r w:rsidRPr="005D456F">
        <w:rPr>
          <w:rFonts w:ascii="Times New Roman" w:hAnsi="Times New Roman"/>
          <w:noProof/>
          <w:sz w:val="24"/>
          <w:szCs w:val="24"/>
        </w:rPr>
        <w:t xml:space="preserve"> International Bank for Reconstruction and Development (IBRD) credit funds</w:t>
      </w:r>
      <w:r w:rsidRPr="005D456F">
        <w:rPr>
          <w:rFonts w:ascii="Times New Roman" w:hAnsi="Times New Roman"/>
          <w:sz w:val="24"/>
          <w:szCs w:val="24"/>
        </w:rPr>
        <w:t xml:space="preserve">. </w:t>
      </w:r>
      <w:r w:rsidRPr="005D456F">
        <w:rPr>
          <w:rFonts w:ascii="Times New Roman" w:hAnsi="Times New Roman"/>
          <w:noProof/>
          <w:sz w:val="24"/>
          <w:szCs w:val="24"/>
        </w:rPr>
        <w:t>The project development objective is to demonstrate the benefits of energy efficiency improvements in public sector buildings and support the development of scalable energy efficiency financing models. The AF BEEP became effective March 2020.</w:t>
      </w:r>
    </w:p>
    <w:p w14:paraId="769CF56E" w14:textId="77777777" w:rsidR="00C34A7E" w:rsidRPr="005D456F" w:rsidRDefault="00C34A7E" w:rsidP="00C34A7E">
      <w:pPr>
        <w:widowControl w:val="0"/>
        <w:shd w:val="clear" w:color="auto" w:fill="FFFFFF"/>
        <w:spacing w:after="60" w:line="240" w:lineRule="atLeast"/>
        <w:jc w:val="both"/>
        <w:rPr>
          <w:rFonts w:ascii="Times New Roman" w:hAnsi="Times New Roman"/>
          <w:sz w:val="24"/>
          <w:szCs w:val="24"/>
        </w:rPr>
      </w:pPr>
      <w:r w:rsidRPr="005D456F">
        <w:rPr>
          <w:rFonts w:ascii="Times New Roman" w:hAnsi="Times New Roman"/>
          <w:sz w:val="24"/>
          <w:szCs w:val="24"/>
        </w:rPr>
        <w:t>The project is supported by a US$32 million IBRD credit for BH, which is made available to the two entities, with US$ 19.23 million allocated to the Federation of Bosnia and Herzegovina (FBH). The project consists of three components implemented separately in each entity:</w:t>
      </w:r>
    </w:p>
    <w:p w14:paraId="7E806449" w14:textId="77777777" w:rsidR="00C34A7E" w:rsidRPr="005D456F" w:rsidRDefault="00C34A7E" w:rsidP="00C34A7E">
      <w:pPr>
        <w:widowControl w:val="0"/>
        <w:shd w:val="clear" w:color="auto" w:fill="FFFFFF"/>
        <w:spacing w:after="60" w:line="240" w:lineRule="atLeast"/>
        <w:jc w:val="both"/>
        <w:rPr>
          <w:rFonts w:ascii="Times New Roman" w:hAnsi="Times New Roman"/>
          <w:sz w:val="24"/>
          <w:szCs w:val="24"/>
        </w:rPr>
      </w:pPr>
    </w:p>
    <w:p w14:paraId="1E9430F1" w14:textId="77777777" w:rsidR="00C34A7E" w:rsidRPr="005D456F" w:rsidRDefault="00C34A7E" w:rsidP="00C34A7E">
      <w:pPr>
        <w:widowControl w:val="0"/>
        <w:shd w:val="clear" w:color="auto" w:fill="FFFFFF"/>
        <w:spacing w:after="60" w:line="240" w:lineRule="atLeast"/>
        <w:jc w:val="both"/>
        <w:rPr>
          <w:rFonts w:ascii="Times New Roman" w:hAnsi="Times New Roman"/>
          <w:b/>
          <w:sz w:val="24"/>
          <w:szCs w:val="24"/>
        </w:rPr>
      </w:pPr>
      <w:r w:rsidRPr="005D456F">
        <w:rPr>
          <w:rFonts w:ascii="Times New Roman" w:hAnsi="Times New Roman"/>
          <w:b/>
          <w:sz w:val="24"/>
          <w:szCs w:val="24"/>
        </w:rPr>
        <w:t>Component 1: Energy efficiency investments in public facilities</w:t>
      </w:r>
    </w:p>
    <w:p w14:paraId="36266119" w14:textId="77777777" w:rsidR="00C34A7E" w:rsidRPr="005D456F" w:rsidRDefault="00C34A7E" w:rsidP="00C34A7E">
      <w:pPr>
        <w:widowControl w:val="0"/>
        <w:shd w:val="clear" w:color="auto" w:fill="FFFFFF"/>
        <w:spacing w:after="60" w:line="240" w:lineRule="atLeast"/>
        <w:jc w:val="both"/>
        <w:rPr>
          <w:rFonts w:ascii="Times New Roman" w:hAnsi="Times New Roman"/>
          <w:b/>
          <w:sz w:val="24"/>
          <w:szCs w:val="24"/>
        </w:rPr>
      </w:pPr>
      <w:r w:rsidRPr="005D456F">
        <w:rPr>
          <w:rFonts w:ascii="Times New Roman" w:hAnsi="Times New Roman"/>
          <w:b/>
          <w:sz w:val="24"/>
          <w:szCs w:val="24"/>
        </w:rPr>
        <w:t>Component 2: Support for the development of scalable financing mechanisms and capacity building</w:t>
      </w:r>
    </w:p>
    <w:p w14:paraId="7967C3DC" w14:textId="77777777" w:rsidR="00C34A7E" w:rsidRPr="005D456F" w:rsidRDefault="00C34A7E" w:rsidP="00C34A7E">
      <w:pPr>
        <w:widowControl w:val="0"/>
        <w:shd w:val="clear" w:color="auto" w:fill="FFFFFF"/>
        <w:spacing w:after="60" w:line="240" w:lineRule="atLeast"/>
        <w:jc w:val="both"/>
        <w:rPr>
          <w:rFonts w:ascii="Times New Roman" w:hAnsi="Times New Roman"/>
          <w:b/>
          <w:sz w:val="24"/>
          <w:szCs w:val="24"/>
        </w:rPr>
      </w:pPr>
      <w:r w:rsidRPr="005D456F">
        <w:rPr>
          <w:rFonts w:ascii="Times New Roman" w:hAnsi="Times New Roman"/>
          <w:b/>
          <w:sz w:val="24"/>
          <w:szCs w:val="24"/>
        </w:rPr>
        <w:t>Component 3: Project Management</w:t>
      </w:r>
    </w:p>
    <w:p w14:paraId="1CD1CF94" w14:textId="77777777" w:rsidR="00C34A7E" w:rsidRPr="005D456F" w:rsidRDefault="00C34A7E" w:rsidP="00C34A7E">
      <w:pPr>
        <w:widowControl w:val="0"/>
        <w:shd w:val="clear" w:color="auto" w:fill="FFFFFF"/>
        <w:spacing w:after="60" w:line="240" w:lineRule="atLeast"/>
        <w:jc w:val="both"/>
        <w:rPr>
          <w:rFonts w:ascii="Times New Roman" w:hAnsi="Times New Roman"/>
          <w:b/>
          <w:sz w:val="24"/>
          <w:szCs w:val="24"/>
        </w:rPr>
      </w:pPr>
    </w:p>
    <w:p w14:paraId="38150F99" w14:textId="5795F462" w:rsidR="00C34A7E" w:rsidRPr="005D456F" w:rsidRDefault="00C34A7E" w:rsidP="001267DC">
      <w:pPr>
        <w:jc w:val="both"/>
        <w:rPr>
          <w:rFonts w:ascii="Times New Roman" w:hAnsi="Times New Roman"/>
          <w:sz w:val="24"/>
          <w:szCs w:val="24"/>
        </w:rPr>
      </w:pPr>
      <w:r w:rsidRPr="005D456F">
        <w:rPr>
          <w:rFonts w:ascii="Times New Roman" w:hAnsi="Times New Roman"/>
          <w:sz w:val="24"/>
          <w:szCs w:val="24"/>
        </w:rPr>
        <w:lastRenderedPageBreak/>
        <w:t>The project implementation unit (PIU) established within the Federal Ministry of Physical Planning (FMPP) is responsible for the preparation, coordination, management and procurement, contracting, and payments of all goods, works and services related to the project.</w:t>
      </w:r>
    </w:p>
    <w:p w14:paraId="7FD4F926" w14:textId="05D65826" w:rsidR="00082659" w:rsidRDefault="00082659" w:rsidP="001267DC">
      <w:pPr>
        <w:widowControl w:val="0"/>
        <w:autoSpaceDE w:val="0"/>
        <w:autoSpaceDN w:val="0"/>
        <w:adjustRightInd w:val="0"/>
        <w:ind w:right="73"/>
        <w:jc w:val="both"/>
        <w:rPr>
          <w:rFonts w:ascii="Times New Roman" w:hAnsi="Times New Roman"/>
          <w:sz w:val="24"/>
          <w:szCs w:val="24"/>
          <w:highlight w:val="green"/>
        </w:rPr>
      </w:pPr>
      <w:r w:rsidRPr="00082659">
        <w:rPr>
          <w:rFonts w:ascii="Times New Roman" w:hAnsi="Times New Roman"/>
          <w:sz w:val="24"/>
          <w:szCs w:val="24"/>
        </w:rPr>
        <w:t xml:space="preserve">This </w:t>
      </w:r>
      <w:r>
        <w:rPr>
          <w:rFonts w:ascii="Times New Roman" w:hAnsi="Times New Roman"/>
          <w:sz w:val="24"/>
          <w:szCs w:val="24"/>
        </w:rPr>
        <w:t>Terms of Reference (</w:t>
      </w:r>
      <w:proofErr w:type="spellStart"/>
      <w:r>
        <w:rPr>
          <w:rFonts w:ascii="Times New Roman" w:hAnsi="Times New Roman"/>
          <w:sz w:val="24"/>
          <w:szCs w:val="24"/>
        </w:rPr>
        <w:t>ToR</w:t>
      </w:r>
      <w:proofErr w:type="spellEnd"/>
      <w:r>
        <w:rPr>
          <w:rFonts w:ascii="Times New Roman" w:hAnsi="Times New Roman"/>
          <w:sz w:val="24"/>
          <w:szCs w:val="24"/>
        </w:rPr>
        <w:t>)</w:t>
      </w:r>
      <w:r w:rsidRPr="00082659">
        <w:rPr>
          <w:rFonts w:ascii="Times New Roman" w:hAnsi="Times New Roman"/>
          <w:sz w:val="24"/>
          <w:szCs w:val="24"/>
        </w:rPr>
        <w:t xml:space="preserve"> refers to the preparation of </w:t>
      </w:r>
      <w:r>
        <w:rPr>
          <w:rFonts w:ascii="Times New Roman" w:hAnsi="Times New Roman"/>
          <w:sz w:val="24"/>
          <w:szCs w:val="24"/>
        </w:rPr>
        <w:t xml:space="preserve">the </w:t>
      </w:r>
      <w:r w:rsidRPr="00082659">
        <w:rPr>
          <w:rFonts w:ascii="Times New Roman" w:hAnsi="Times New Roman"/>
          <w:sz w:val="24"/>
          <w:szCs w:val="24"/>
        </w:rPr>
        <w:t xml:space="preserve">Guidelines for energy renovation of buildings, which have the status of a national monument or are located within the scope of the buffer zone of the national monument </w:t>
      </w:r>
      <w:r w:rsidRPr="00EC6B31">
        <w:rPr>
          <w:rFonts w:ascii="Times New Roman" w:hAnsi="Times New Roman"/>
          <w:sz w:val="24"/>
          <w:szCs w:val="24"/>
        </w:rPr>
        <w:t xml:space="preserve">of the </w:t>
      </w:r>
      <w:r w:rsidR="00EC6B31" w:rsidRPr="00EC6B31">
        <w:rPr>
          <w:rFonts w:ascii="Times New Roman" w:hAnsi="Times New Roman"/>
          <w:sz w:val="24"/>
          <w:szCs w:val="24"/>
        </w:rPr>
        <w:t xml:space="preserve">ambient </w:t>
      </w:r>
      <w:r w:rsidRPr="00EC6B31">
        <w:rPr>
          <w:rFonts w:ascii="Times New Roman" w:hAnsi="Times New Roman"/>
          <w:sz w:val="24"/>
          <w:szCs w:val="24"/>
        </w:rPr>
        <w:t>entity.</w:t>
      </w:r>
    </w:p>
    <w:p w14:paraId="181A7A9D" w14:textId="77777777" w:rsidR="00EC6B31" w:rsidRPr="00EC6B31" w:rsidRDefault="00EC6B31" w:rsidP="00EC6B31">
      <w:pPr>
        <w:widowControl w:val="0"/>
        <w:autoSpaceDE w:val="0"/>
        <w:autoSpaceDN w:val="0"/>
        <w:adjustRightInd w:val="0"/>
        <w:ind w:right="73"/>
        <w:jc w:val="both"/>
        <w:rPr>
          <w:rFonts w:ascii="Times New Roman" w:hAnsi="Times New Roman"/>
          <w:sz w:val="24"/>
          <w:szCs w:val="24"/>
        </w:rPr>
      </w:pPr>
      <w:r w:rsidRPr="00EC6B31">
        <w:rPr>
          <w:rFonts w:ascii="Times New Roman" w:hAnsi="Times New Roman"/>
          <w:bCs/>
          <w:sz w:val="24"/>
          <w:szCs w:val="24"/>
        </w:rPr>
        <w:t xml:space="preserve">The Consultant will coordinate activities with, report to and work under the direction of the PIU Project Manager/Coordinator and PIU Technical Experts. </w:t>
      </w:r>
    </w:p>
    <w:p w14:paraId="638D7F33" w14:textId="3C21EA72" w:rsidR="00CD2388" w:rsidRPr="006D43CC" w:rsidRDefault="00441150" w:rsidP="00D87BE4">
      <w:pPr>
        <w:widowControl w:val="0"/>
        <w:autoSpaceDE w:val="0"/>
        <w:autoSpaceDN w:val="0"/>
        <w:adjustRightInd w:val="0"/>
        <w:spacing w:line="276" w:lineRule="exact"/>
        <w:ind w:right="73"/>
        <w:jc w:val="both"/>
        <w:rPr>
          <w:rFonts w:ascii="Times New Roman" w:hAnsi="Times New Roman"/>
          <w:b/>
          <w:bCs/>
          <w:sz w:val="24"/>
          <w:szCs w:val="24"/>
        </w:rPr>
      </w:pPr>
      <w:r w:rsidRPr="005D456F">
        <w:rPr>
          <w:rFonts w:ascii="Times New Roman" w:hAnsi="Times New Roman"/>
          <w:b/>
          <w:bCs/>
          <w:sz w:val="24"/>
          <w:szCs w:val="24"/>
        </w:rPr>
        <w:t xml:space="preserve">Scope of Work for the </w:t>
      </w:r>
      <w:r w:rsidR="00213AEF" w:rsidRPr="005D456F">
        <w:rPr>
          <w:rFonts w:ascii="Times New Roman" w:hAnsi="Times New Roman"/>
          <w:b/>
          <w:bCs/>
          <w:sz w:val="24"/>
          <w:szCs w:val="24"/>
        </w:rPr>
        <w:t>Consultant</w:t>
      </w:r>
    </w:p>
    <w:p w14:paraId="6EF0C3F4" w14:textId="06DA928C" w:rsidR="00D87BE4" w:rsidRPr="003B4965" w:rsidRDefault="00D87BE4" w:rsidP="00BF7183">
      <w:pPr>
        <w:widowControl w:val="0"/>
        <w:autoSpaceDE w:val="0"/>
        <w:autoSpaceDN w:val="0"/>
        <w:adjustRightInd w:val="0"/>
        <w:ind w:right="73"/>
        <w:jc w:val="both"/>
        <w:rPr>
          <w:rFonts w:ascii="Times New Roman" w:hAnsi="Times New Roman"/>
          <w:sz w:val="24"/>
          <w:szCs w:val="24"/>
        </w:rPr>
      </w:pPr>
      <w:r w:rsidRPr="00EC6B31">
        <w:rPr>
          <w:rFonts w:ascii="Times New Roman" w:hAnsi="Times New Roman"/>
          <w:sz w:val="24"/>
          <w:szCs w:val="24"/>
        </w:rPr>
        <w:t xml:space="preserve">The main purpose of drafting the Guidelines for energy renovation of buildings that have the status of a national monument or are included in the buffer zone of the national monument of the ambient </w:t>
      </w:r>
      <w:r w:rsidR="00EC6B31" w:rsidRPr="00EC6B31">
        <w:rPr>
          <w:rFonts w:ascii="Times New Roman" w:hAnsi="Times New Roman"/>
          <w:sz w:val="24"/>
          <w:szCs w:val="24"/>
        </w:rPr>
        <w:t>entity</w:t>
      </w:r>
      <w:r w:rsidRPr="00EC6B31">
        <w:rPr>
          <w:rFonts w:ascii="Times New Roman" w:hAnsi="Times New Roman"/>
          <w:sz w:val="24"/>
          <w:szCs w:val="24"/>
        </w:rPr>
        <w:t xml:space="preserve">, </w:t>
      </w:r>
      <w:bookmarkStart w:id="1" w:name="_Hlk127698227"/>
      <w:r w:rsidRPr="00EC6B31">
        <w:rPr>
          <w:rFonts w:ascii="Times New Roman" w:hAnsi="Times New Roman"/>
          <w:sz w:val="24"/>
          <w:szCs w:val="24"/>
        </w:rPr>
        <w:t>is to define acceptable energy efficiency measures that can be applied to buildings with the status of a national monument or are included in the scope the buffer zone of the national monument of the environmental whole, without jeopardizing the cultural and historical value of</w:t>
      </w:r>
      <w:r w:rsidRPr="003B4965">
        <w:rPr>
          <w:rFonts w:ascii="Times New Roman" w:hAnsi="Times New Roman"/>
          <w:sz w:val="24"/>
          <w:szCs w:val="24"/>
        </w:rPr>
        <w:t xml:space="preserve"> the given national monument through the implementation of energy efficiency measures.</w:t>
      </w:r>
    </w:p>
    <w:p w14:paraId="4A81CE34" w14:textId="7FB28437" w:rsidR="007312B6" w:rsidRPr="003B4965" w:rsidRDefault="00D87BE4" w:rsidP="00BF7183">
      <w:pPr>
        <w:widowControl w:val="0"/>
        <w:autoSpaceDE w:val="0"/>
        <w:autoSpaceDN w:val="0"/>
        <w:adjustRightInd w:val="0"/>
        <w:ind w:right="73"/>
        <w:jc w:val="both"/>
        <w:rPr>
          <w:rFonts w:ascii="Times New Roman" w:hAnsi="Times New Roman"/>
          <w:sz w:val="24"/>
          <w:szCs w:val="24"/>
        </w:rPr>
      </w:pPr>
      <w:r w:rsidRPr="003B4965">
        <w:rPr>
          <w:rFonts w:ascii="Times New Roman" w:hAnsi="Times New Roman"/>
          <w:sz w:val="24"/>
          <w:szCs w:val="24"/>
        </w:rPr>
        <w:t>In order to define the energy efficiency measures that can be applied to the national monument, first it is necessary to perform an Analysis of the national monuments in terms of the cultural-historical value of the facade, openings, roof and their materialization. Based on the findings, the next task would be preparation of the Typology of National Monuments in the context of their cultural-historical value and the specifics of the envelope, period of construction of materials etc.</w:t>
      </w:r>
      <w:r w:rsidR="00C83FEA" w:rsidRPr="003B4965">
        <w:rPr>
          <w:rFonts w:ascii="Times New Roman" w:hAnsi="Times New Roman"/>
          <w:sz w:val="24"/>
          <w:szCs w:val="24"/>
        </w:rPr>
        <w:t xml:space="preserve"> </w:t>
      </w:r>
    </w:p>
    <w:bookmarkEnd w:id="1"/>
    <w:p w14:paraId="407A9E70" w14:textId="77777777" w:rsidR="00BD23E7" w:rsidRPr="003B4965" w:rsidRDefault="00BD23E7" w:rsidP="003B4965">
      <w:pPr>
        <w:jc w:val="center"/>
        <w:rPr>
          <w:rFonts w:ascii="Times New Roman" w:hAnsi="Times New Roman"/>
          <w:sz w:val="24"/>
          <w:szCs w:val="24"/>
        </w:rPr>
      </w:pPr>
      <w:r w:rsidRPr="003B4965">
        <w:rPr>
          <w:rFonts w:ascii="Times New Roman" w:hAnsi="Times New Roman"/>
          <w:sz w:val="24"/>
          <w:szCs w:val="24"/>
        </w:rPr>
        <w:t xml:space="preserve">The scope of the </w:t>
      </w:r>
      <w:r w:rsidR="00E22B82" w:rsidRPr="003B4965">
        <w:rPr>
          <w:rFonts w:ascii="Times New Roman" w:hAnsi="Times New Roman"/>
          <w:sz w:val="24"/>
          <w:szCs w:val="24"/>
        </w:rPr>
        <w:t>services of the Consultant</w:t>
      </w:r>
      <w:r w:rsidRPr="003B4965">
        <w:rPr>
          <w:rFonts w:ascii="Times New Roman" w:hAnsi="Times New Roman"/>
          <w:sz w:val="24"/>
          <w:szCs w:val="24"/>
        </w:rPr>
        <w:t xml:space="preserve"> will include but not be </w:t>
      </w:r>
      <w:r w:rsidRPr="003B4965">
        <w:rPr>
          <w:rFonts w:ascii="Times New Roman" w:hAnsi="Times New Roman"/>
          <w:b/>
          <w:sz w:val="24"/>
          <w:szCs w:val="24"/>
        </w:rPr>
        <w:t>limited</w:t>
      </w:r>
      <w:r w:rsidRPr="003B4965">
        <w:rPr>
          <w:rFonts w:ascii="Times New Roman" w:hAnsi="Times New Roman"/>
          <w:sz w:val="24"/>
          <w:szCs w:val="24"/>
        </w:rPr>
        <w:t xml:space="preserve"> to the following</w:t>
      </w:r>
    </w:p>
    <w:p w14:paraId="3B1D0634" w14:textId="2569AF48" w:rsidR="002A2710" w:rsidRPr="003B4965" w:rsidRDefault="002A2710" w:rsidP="003B4965">
      <w:pPr>
        <w:pStyle w:val="ListParagraph"/>
        <w:widowControl w:val="0"/>
        <w:numPr>
          <w:ilvl w:val="0"/>
          <w:numId w:val="25"/>
        </w:numPr>
        <w:autoSpaceDE w:val="0"/>
        <w:autoSpaceDN w:val="0"/>
        <w:adjustRightInd w:val="0"/>
        <w:spacing w:line="276" w:lineRule="auto"/>
        <w:ind w:right="73"/>
        <w:jc w:val="both"/>
      </w:pPr>
      <w:r w:rsidRPr="003B4965">
        <w:t xml:space="preserve">Under this assignment the </w:t>
      </w:r>
      <w:r w:rsidR="00213AEF" w:rsidRPr="003B4965">
        <w:t>Consultant</w:t>
      </w:r>
      <w:r w:rsidRPr="003B4965">
        <w:t xml:space="preserve"> has the responsibility to design the Work Plan and submit </w:t>
      </w:r>
      <w:r w:rsidR="00CF2E47" w:rsidRPr="003B4965">
        <w:t>it to the</w:t>
      </w:r>
      <w:r w:rsidRPr="003B4965">
        <w:t xml:space="preserve"> PIU Program Manager / Coordinator</w:t>
      </w:r>
      <w:r w:rsidR="00CF2E47" w:rsidRPr="003B4965">
        <w:t xml:space="preserve"> for approval. </w:t>
      </w:r>
    </w:p>
    <w:p w14:paraId="65BDA499" w14:textId="56E67B78" w:rsidR="00BF7183" w:rsidRPr="003B4965" w:rsidRDefault="00D87BE4" w:rsidP="003B4965">
      <w:pPr>
        <w:pStyle w:val="ListParagraph"/>
        <w:widowControl w:val="0"/>
        <w:numPr>
          <w:ilvl w:val="0"/>
          <w:numId w:val="25"/>
        </w:numPr>
        <w:autoSpaceDE w:val="0"/>
        <w:autoSpaceDN w:val="0"/>
        <w:adjustRightInd w:val="0"/>
        <w:spacing w:line="276" w:lineRule="auto"/>
        <w:ind w:right="73"/>
        <w:jc w:val="both"/>
      </w:pPr>
      <w:r w:rsidRPr="003B4965">
        <w:t>Compile a list of current national monuments in the Federation of Bosnia and Herzegovina, and create a database of national monuments in the Federation of Bosnia and Herzegovina.</w:t>
      </w:r>
    </w:p>
    <w:p w14:paraId="631B8B79" w14:textId="23B0B9CE" w:rsidR="00F85478" w:rsidRPr="003B4965" w:rsidRDefault="00F85478" w:rsidP="003B4965">
      <w:pPr>
        <w:pStyle w:val="ListParagraph"/>
        <w:widowControl w:val="0"/>
        <w:numPr>
          <w:ilvl w:val="0"/>
          <w:numId w:val="25"/>
        </w:numPr>
        <w:autoSpaceDE w:val="0"/>
        <w:autoSpaceDN w:val="0"/>
        <w:adjustRightInd w:val="0"/>
        <w:spacing w:line="276" w:lineRule="auto"/>
        <w:ind w:right="73"/>
        <w:jc w:val="both"/>
      </w:pPr>
      <w:r w:rsidRPr="003B4965">
        <w:t>Create a database of national monuments on the map/cadastral basis, on which the results of the Guidelines will be upgraded as a special "label" by type of national monument.</w:t>
      </w:r>
    </w:p>
    <w:p w14:paraId="48E45F88" w14:textId="3EDF7079" w:rsidR="00F85478" w:rsidRPr="00EC6B31" w:rsidRDefault="00F85478" w:rsidP="003B4965">
      <w:pPr>
        <w:pStyle w:val="ListParagraph"/>
        <w:widowControl w:val="0"/>
        <w:numPr>
          <w:ilvl w:val="0"/>
          <w:numId w:val="25"/>
        </w:numPr>
        <w:autoSpaceDE w:val="0"/>
        <w:autoSpaceDN w:val="0"/>
        <w:adjustRightInd w:val="0"/>
        <w:spacing w:line="276" w:lineRule="auto"/>
        <w:ind w:right="73"/>
        <w:jc w:val="both"/>
      </w:pPr>
      <w:r w:rsidRPr="00EC6B31">
        <w:t>Create a Typology of national monuments and national monuments of ambient</w:t>
      </w:r>
      <w:r w:rsidR="00EC6B31" w:rsidRPr="00EC6B31">
        <w:t xml:space="preserve"> entity</w:t>
      </w:r>
    </w:p>
    <w:p w14:paraId="55EBA745" w14:textId="4753FC27" w:rsidR="00BF7183" w:rsidRPr="00EC6B31" w:rsidRDefault="00F85478" w:rsidP="003B4965">
      <w:pPr>
        <w:pStyle w:val="ListParagraph"/>
        <w:widowControl w:val="0"/>
        <w:numPr>
          <w:ilvl w:val="0"/>
          <w:numId w:val="25"/>
        </w:numPr>
        <w:autoSpaceDE w:val="0"/>
        <w:autoSpaceDN w:val="0"/>
        <w:adjustRightInd w:val="0"/>
        <w:spacing w:line="276" w:lineRule="auto"/>
        <w:ind w:right="73"/>
        <w:jc w:val="both"/>
      </w:pPr>
      <w:r w:rsidRPr="00EC6B31">
        <w:t>In accordance with Typology, make an assessment of heat energy consumption by type of the building</w:t>
      </w:r>
    </w:p>
    <w:p w14:paraId="48BD7C4E" w14:textId="44FCC8D6" w:rsidR="00033EDF" w:rsidRPr="00EC6B31" w:rsidRDefault="00F85478" w:rsidP="003B4965">
      <w:pPr>
        <w:pStyle w:val="ListParagraph"/>
        <w:widowControl w:val="0"/>
        <w:numPr>
          <w:ilvl w:val="0"/>
          <w:numId w:val="25"/>
        </w:numPr>
        <w:autoSpaceDE w:val="0"/>
        <w:autoSpaceDN w:val="0"/>
        <w:adjustRightInd w:val="0"/>
        <w:spacing w:line="276" w:lineRule="auto"/>
        <w:ind w:right="73"/>
        <w:jc w:val="both"/>
      </w:pPr>
      <w:r w:rsidRPr="00EC6B31">
        <w:t xml:space="preserve">Create a proposal for possible energy efficiency measures to be applied to each type of national monument, as to </w:t>
      </w:r>
      <w:r w:rsidR="003B4965" w:rsidRPr="00EC6B31">
        <w:t>buildings</w:t>
      </w:r>
      <w:r w:rsidRPr="00EC6B31">
        <w:t xml:space="preserve"> in the buffer zone of the national monument, the ambient </w:t>
      </w:r>
      <w:r w:rsidR="00EC6B31" w:rsidRPr="00EC6B31">
        <w:t>entity</w:t>
      </w:r>
    </w:p>
    <w:p w14:paraId="7EC1A206" w14:textId="328C6473" w:rsidR="00033EDF" w:rsidRPr="00EC6B31" w:rsidRDefault="00F85478" w:rsidP="003B4965">
      <w:pPr>
        <w:pStyle w:val="ListParagraph"/>
        <w:widowControl w:val="0"/>
        <w:numPr>
          <w:ilvl w:val="0"/>
          <w:numId w:val="25"/>
        </w:numPr>
        <w:autoSpaceDE w:val="0"/>
        <w:autoSpaceDN w:val="0"/>
        <w:adjustRightInd w:val="0"/>
        <w:spacing w:line="276" w:lineRule="auto"/>
        <w:ind w:right="73"/>
        <w:jc w:val="both"/>
      </w:pPr>
      <w:r w:rsidRPr="00EC6B31">
        <w:t xml:space="preserve">Create Guidelines for planners and urban planners in municipal urban planning departments for approving energy restoration of national monuments according to </w:t>
      </w:r>
      <w:r w:rsidRPr="00EC6B31">
        <w:lastRenderedPageBreak/>
        <w:t>Typology.</w:t>
      </w:r>
    </w:p>
    <w:p w14:paraId="5E29D409" w14:textId="44316877" w:rsidR="003B4965" w:rsidRPr="00EC6B31" w:rsidRDefault="003B4965" w:rsidP="003B4965">
      <w:pPr>
        <w:widowControl w:val="0"/>
        <w:numPr>
          <w:ilvl w:val="0"/>
          <w:numId w:val="25"/>
        </w:numPr>
        <w:autoSpaceDE w:val="0"/>
        <w:autoSpaceDN w:val="0"/>
        <w:adjustRightInd w:val="0"/>
        <w:spacing w:after="0"/>
        <w:ind w:right="73"/>
        <w:contextualSpacing/>
        <w:jc w:val="both"/>
        <w:rPr>
          <w:rFonts w:ascii="Times New Roman" w:hAnsi="Times New Roman"/>
          <w:sz w:val="24"/>
          <w:szCs w:val="24"/>
        </w:rPr>
      </w:pPr>
      <w:r w:rsidRPr="00EC6B31">
        <w:rPr>
          <w:rFonts w:ascii="Times New Roman" w:hAnsi="Times New Roman"/>
          <w:sz w:val="24"/>
          <w:szCs w:val="24"/>
        </w:rPr>
        <w:t xml:space="preserve">Prepare and submit first draft of the Guidelines for energy renovation of buildings that have the status of a national monument or are included in the buffer zone of the national monument of the ambient </w:t>
      </w:r>
      <w:r w:rsidR="00EC6B31" w:rsidRPr="00EC6B31">
        <w:rPr>
          <w:rFonts w:ascii="Times New Roman" w:hAnsi="Times New Roman"/>
          <w:sz w:val="24"/>
          <w:szCs w:val="24"/>
        </w:rPr>
        <w:t>entity</w:t>
      </w:r>
      <w:r w:rsidRPr="00EC6B31">
        <w:rPr>
          <w:rFonts w:ascii="Times New Roman" w:hAnsi="Times New Roman"/>
          <w:sz w:val="24"/>
          <w:szCs w:val="24"/>
        </w:rPr>
        <w:t xml:space="preserve"> to the PIU Program Manager / Coordinator for approval. </w:t>
      </w:r>
    </w:p>
    <w:p w14:paraId="05B84C18" w14:textId="329E4171" w:rsidR="003B4965" w:rsidRDefault="003B4965" w:rsidP="003B4965">
      <w:pPr>
        <w:widowControl w:val="0"/>
        <w:numPr>
          <w:ilvl w:val="0"/>
          <w:numId w:val="25"/>
        </w:numPr>
        <w:autoSpaceDE w:val="0"/>
        <w:autoSpaceDN w:val="0"/>
        <w:adjustRightInd w:val="0"/>
        <w:spacing w:after="0"/>
        <w:ind w:right="73"/>
        <w:contextualSpacing/>
        <w:jc w:val="both"/>
        <w:rPr>
          <w:rFonts w:ascii="Times New Roman" w:hAnsi="Times New Roman"/>
          <w:sz w:val="24"/>
          <w:szCs w:val="24"/>
        </w:rPr>
      </w:pPr>
      <w:r w:rsidRPr="00EC6B31">
        <w:rPr>
          <w:rFonts w:ascii="Times New Roman" w:hAnsi="Times New Roman"/>
          <w:sz w:val="24"/>
          <w:szCs w:val="24"/>
        </w:rPr>
        <w:t xml:space="preserve">Revise and submit the final versions of the Guidelines for energy renovation of buildings that have the status of a national monument or are included in the buffer zone of the national monument of the ambient </w:t>
      </w:r>
      <w:r w:rsidR="00EC6B31" w:rsidRPr="00EC6B31">
        <w:rPr>
          <w:rFonts w:ascii="Times New Roman" w:hAnsi="Times New Roman"/>
          <w:sz w:val="24"/>
          <w:szCs w:val="24"/>
        </w:rPr>
        <w:t>entity</w:t>
      </w:r>
      <w:r w:rsidRPr="00EC6B31">
        <w:rPr>
          <w:rFonts w:ascii="Times New Roman" w:hAnsi="Times New Roman"/>
          <w:sz w:val="24"/>
          <w:szCs w:val="24"/>
        </w:rPr>
        <w:t>,</w:t>
      </w:r>
      <w:r w:rsidR="00EC6B31" w:rsidRPr="00EC6B31">
        <w:rPr>
          <w:rFonts w:ascii="Times New Roman" w:hAnsi="Times New Roman"/>
          <w:sz w:val="24"/>
          <w:szCs w:val="24"/>
        </w:rPr>
        <w:t xml:space="preserve"> </w:t>
      </w:r>
      <w:r w:rsidRPr="00EC6B31">
        <w:rPr>
          <w:rFonts w:ascii="Times New Roman" w:hAnsi="Times New Roman"/>
          <w:sz w:val="24"/>
          <w:szCs w:val="24"/>
        </w:rPr>
        <w:t xml:space="preserve">to the PIU Program Manager / Coordinator for approval. </w:t>
      </w:r>
    </w:p>
    <w:p w14:paraId="7C415E05" w14:textId="72C0DB14" w:rsidR="00855216" w:rsidRDefault="00855216" w:rsidP="00855216">
      <w:pPr>
        <w:widowControl w:val="0"/>
        <w:autoSpaceDE w:val="0"/>
        <w:autoSpaceDN w:val="0"/>
        <w:adjustRightInd w:val="0"/>
        <w:spacing w:after="0"/>
        <w:ind w:right="73"/>
        <w:contextualSpacing/>
        <w:jc w:val="both"/>
        <w:rPr>
          <w:rFonts w:ascii="Times New Roman" w:hAnsi="Times New Roman"/>
          <w:sz w:val="24"/>
          <w:szCs w:val="24"/>
        </w:rPr>
      </w:pPr>
    </w:p>
    <w:p w14:paraId="6BA17271" w14:textId="6389B064" w:rsidR="00855216" w:rsidRPr="00700BE7" w:rsidRDefault="00855216" w:rsidP="00855216">
      <w:pPr>
        <w:widowControl w:val="0"/>
        <w:autoSpaceDE w:val="0"/>
        <w:autoSpaceDN w:val="0"/>
        <w:adjustRightInd w:val="0"/>
        <w:spacing w:after="0"/>
        <w:ind w:right="73"/>
        <w:contextualSpacing/>
        <w:jc w:val="both"/>
        <w:rPr>
          <w:rFonts w:ascii="Times New Roman" w:hAnsi="Times New Roman"/>
          <w:b/>
          <w:bCs/>
          <w:sz w:val="24"/>
          <w:szCs w:val="24"/>
        </w:rPr>
      </w:pPr>
      <w:r w:rsidRPr="00700BE7">
        <w:rPr>
          <w:rFonts w:ascii="Times New Roman" w:hAnsi="Times New Roman"/>
          <w:b/>
          <w:bCs/>
          <w:sz w:val="24"/>
          <w:szCs w:val="24"/>
        </w:rPr>
        <w:t>Deliverables</w:t>
      </w:r>
    </w:p>
    <w:p w14:paraId="3440CE56" w14:textId="35388333" w:rsidR="00855216" w:rsidRPr="00700BE7" w:rsidRDefault="00855216" w:rsidP="00855216">
      <w:pPr>
        <w:widowControl w:val="0"/>
        <w:autoSpaceDE w:val="0"/>
        <w:autoSpaceDN w:val="0"/>
        <w:adjustRightInd w:val="0"/>
        <w:spacing w:after="0"/>
        <w:ind w:right="73"/>
        <w:contextualSpacing/>
        <w:jc w:val="both"/>
        <w:rPr>
          <w:rFonts w:ascii="Times New Roman" w:hAnsi="Times New Roman"/>
          <w:b/>
          <w:bCs/>
          <w:sz w:val="24"/>
          <w:szCs w:val="24"/>
        </w:rPr>
      </w:pPr>
    </w:p>
    <w:p w14:paraId="3731D88B" w14:textId="1A1A3091" w:rsidR="00855216" w:rsidRPr="00700BE7" w:rsidRDefault="00855216" w:rsidP="00855216">
      <w:pPr>
        <w:pStyle w:val="ListParagraph"/>
        <w:widowControl w:val="0"/>
        <w:numPr>
          <w:ilvl w:val="0"/>
          <w:numId w:val="28"/>
        </w:numPr>
        <w:autoSpaceDE w:val="0"/>
        <w:autoSpaceDN w:val="0"/>
        <w:adjustRightInd w:val="0"/>
        <w:spacing w:line="276" w:lineRule="auto"/>
        <w:ind w:right="73"/>
        <w:jc w:val="both"/>
      </w:pPr>
      <w:r w:rsidRPr="00700BE7">
        <w:t xml:space="preserve">Work Plan </w:t>
      </w:r>
    </w:p>
    <w:p w14:paraId="24CD3DEE" w14:textId="77777777" w:rsidR="00855216" w:rsidRPr="00700BE7" w:rsidRDefault="00855216" w:rsidP="00855216">
      <w:pPr>
        <w:pStyle w:val="ListParagraph"/>
        <w:widowControl w:val="0"/>
        <w:numPr>
          <w:ilvl w:val="0"/>
          <w:numId w:val="28"/>
        </w:numPr>
        <w:autoSpaceDE w:val="0"/>
        <w:autoSpaceDN w:val="0"/>
        <w:adjustRightInd w:val="0"/>
        <w:spacing w:line="276" w:lineRule="auto"/>
        <w:ind w:right="73"/>
        <w:jc w:val="both"/>
      </w:pPr>
      <w:r w:rsidRPr="00700BE7">
        <w:t>List of current national monuments in the Federation of Bosnia and Herzegovina</w:t>
      </w:r>
    </w:p>
    <w:p w14:paraId="0E4D1807" w14:textId="71FC5C9E" w:rsidR="00855216" w:rsidRPr="00700BE7" w:rsidRDefault="00855216" w:rsidP="00855216">
      <w:pPr>
        <w:pStyle w:val="ListParagraph"/>
        <w:widowControl w:val="0"/>
        <w:numPr>
          <w:ilvl w:val="0"/>
          <w:numId w:val="28"/>
        </w:numPr>
        <w:autoSpaceDE w:val="0"/>
        <w:autoSpaceDN w:val="0"/>
        <w:adjustRightInd w:val="0"/>
        <w:spacing w:line="276" w:lineRule="auto"/>
        <w:ind w:right="73"/>
        <w:jc w:val="both"/>
      </w:pPr>
      <w:r w:rsidRPr="00700BE7">
        <w:t>Database of national monuments in the Federation of Bosnia and Herzegovina</w:t>
      </w:r>
    </w:p>
    <w:p w14:paraId="3E9F7B9E" w14:textId="1DC7C77E" w:rsidR="00855216" w:rsidRPr="00700BE7" w:rsidRDefault="00552473" w:rsidP="00855216">
      <w:pPr>
        <w:pStyle w:val="ListParagraph"/>
        <w:widowControl w:val="0"/>
        <w:numPr>
          <w:ilvl w:val="0"/>
          <w:numId w:val="28"/>
        </w:numPr>
        <w:autoSpaceDE w:val="0"/>
        <w:autoSpaceDN w:val="0"/>
        <w:adjustRightInd w:val="0"/>
        <w:spacing w:line="276" w:lineRule="auto"/>
        <w:ind w:right="73"/>
        <w:jc w:val="both"/>
      </w:pPr>
      <w:r w:rsidRPr="00700BE7">
        <w:t xml:space="preserve">Upgraded </w:t>
      </w:r>
      <w:r w:rsidR="00855216" w:rsidRPr="00700BE7">
        <w:t xml:space="preserve">database of national monuments </w:t>
      </w:r>
      <w:r w:rsidRPr="00700BE7">
        <w:t xml:space="preserve">with the </w:t>
      </w:r>
      <w:r w:rsidR="00855216" w:rsidRPr="00700BE7">
        <w:t>results of the Guidelines as a special "label" by type of national monument.</w:t>
      </w:r>
    </w:p>
    <w:p w14:paraId="07562349" w14:textId="143CFC5A" w:rsidR="00855216" w:rsidRPr="00700BE7" w:rsidRDefault="00855216" w:rsidP="00855216">
      <w:pPr>
        <w:pStyle w:val="ListParagraph"/>
        <w:widowControl w:val="0"/>
        <w:numPr>
          <w:ilvl w:val="0"/>
          <w:numId w:val="28"/>
        </w:numPr>
        <w:autoSpaceDE w:val="0"/>
        <w:autoSpaceDN w:val="0"/>
        <w:adjustRightInd w:val="0"/>
        <w:spacing w:line="276" w:lineRule="auto"/>
        <w:ind w:right="73"/>
        <w:jc w:val="both"/>
      </w:pPr>
      <w:r w:rsidRPr="00700BE7">
        <w:t>Typology of national monuments and national monuments of ambient entity</w:t>
      </w:r>
    </w:p>
    <w:p w14:paraId="0E94548E" w14:textId="657F1DAA" w:rsidR="00855216" w:rsidRPr="00700BE7" w:rsidRDefault="00855216" w:rsidP="00855216">
      <w:pPr>
        <w:pStyle w:val="ListParagraph"/>
        <w:widowControl w:val="0"/>
        <w:numPr>
          <w:ilvl w:val="0"/>
          <w:numId w:val="28"/>
        </w:numPr>
        <w:autoSpaceDE w:val="0"/>
        <w:autoSpaceDN w:val="0"/>
        <w:adjustRightInd w:val="0"/>
        <w:spacing w:line="276" w:lineRule="auto"/>
        <w:ind w:right="73"/>
        <w:jc w:val="both"/>
      </w:pPr>
      <w:r w:rsidRPr="00700BE7">
        <w:t>In accordance with Typology, assessment of heat energy consumption by type of the building</w:t>
      </w:r>
    </w:p>
    <w:p w14:paraId="6B7C856E" w14:textId="03FD3A6F" w:rsidR="00855216" w:rsidRPr="00700BE7" w:rsidRDefault="00552473" w:rsidP="00855216">
      <w:pPr>
        <w:pStyle w:val="ListParagraph"/>
        <w:widowControl w:val="0"/>
        <w:numPr>
          <w:ilvl w:val="0"/>
          <w:numId w:val="28"/>
        </w:numPr>
        <w:autoSpaceDE w:val="0"/>
        <w:autoSpaceDN w:val="0"/>
        <w:adjustRightInd w:val="0"/>
        <w:spacing w:line="276" w:lineRule="auto"/>
        <w:ind w:right="73"/>
        <w:jc w:val="both"/>
      </w:pPr>
      <w:r w:rsidRPr="00700BE7">
        <w:t>P</w:t>
      </w:r>
      <w:r w:rsidR="00855216" w:rsidRPr="00700BE7">
        <w:t>roposal for possible energy efficiency measures to be applied to each type of national monument, as to buildings in the buffer zone of the national monument, the ambient entity</w:t>
      </w:r>
    </w:p>
    <w:p w14:paraId="2317AF7E" w14:textId="1A64BF0C" w:rsidR="00855216" w:rsidRPr="00700BE7" w:rsidRDefault="00855216" w:rsidP="00855216">
      <w:pPr>
        <w:pStyle w:val="ListParagraph"/>
        <w:widowControl w:val="0"/>
        <w:numPr>
          <w:ilvl w:val="0"/>
          <w:numId w:val="28"/>
        </w:numPr>
        <w:autoSpaceDE w:val="0"/>
        <w:autoSpaceDN w:val="0"/>
        <w:adjustRightInd w:val="0"/>
        <w:spacing w:line="276" w:lineRule="auto"/>
        <w:ind w:right="73"/>
        <w:jc w:val="both"/>
      </w:pPr>
      <w:r w:rsidRPr="00700BE7">
        <w:t>Guidelines for planners and urban planners in municipal urban planning departments for approving energy restoration of national monuments according to Typology.</w:t>
      </w:r>
    </w:p>
    <w:p w14:paraId="5EB44937" w14:textId="0DD9FF18" w:rsidR="00855216" w:rsidRPr="00700BE7" w:rsidRDefault="00855216" w:rsidP="00855216">
      <w:pPr>
        <w:widowControl w:val="0"/>
        <w:numPr>
          <w:ilvl w:val="0"/>
          <w:numId w:val="28"/>
        </w:numPr>
        <w:autoSpaceDE w:val="0"/>
        <w:autoSpaceDN w:val="0"/>
        <w:adjustRightInd w:val="0"/>
        <w:spacing w:after="0"/>
        <w:ind w:right="73"/>
        <w:contextualSpacing/>
        <w:jc w:val="both"/>
        <w:rPr>
          <w:rFonts w:ascii="Times New Roman" w:hAnsi="Times New Roman"/>
          <w:sz w:val="24"/>
          <w:szCs w:val="24"/>
        </w:rPr>
      </w:pPr>
      <w:r w:rsidRPr="00700BE7">
        <w:rPr>
          <w:rFonts w:ascii="Times New Roman" w:hAnsi="Times New Roman"/>
          <w:sz w:val="24"/>
          <w:szCs w:val="24"/>
        </w:rPr>
        <w:t xml:space="preserve">Guidelines for energy renovation of buildings that have the status of a national monument or are included in the buffer zone of the national monument of the ambient entity </w:t>
      </w:r>
    </w:p>
    <w:p w14:paraId="532831CC" w14:textId="1D99DC1F" w:rsidR="007D4183" w:rsidRPr="005D456F" w:rsidRDefault="007D4183" w:rsidP="00C34FA2">
      <w:pPr>
        <w:jc w:val="both"/>
        <w:rPr>
          <w:sz w:val="24"/>
          <w:szCs w:val="24"/>
        </w:rPr>
      </w:pPr>
    </w:p>
    <w:p w14:paraId="0A9E95BD" w14:textId="77777777" w:rsidR="00441150" w:rsidRPr="005D456F" w:rsidRDefault="00441150" w:rsidP="00AA40D3">
      <w:pPr>
        <w:jc w:val="both"/>
        <w:rPr>
          <w:rFonts w:ascii="Times New Roman" w:hAnsi="Times New Roman"/>
          <w:b/>
          <w:bCs/>
          <w:sz w:val="24"/>
          <w:szCs w:val="24"/>
        </w:rPr>
      </w:pPr>
      <w:r w:rsidRPr="005D456F">
        <w:rPr>
          <w:rFonts w:ascii="Times New Roman" w:hAnsi="Times New Roman"/>
          <w:b/>
          <w:bCs/>
          <w:sz w:val="24"/>
          <w:szCs w:val="24"/>
        </w:rPr>
        <w:t xml:space="preserve">Duration of </w:t>
      </w:r>
      <w:r w:rsidR="00451545" w:rsidRPr="005D456F">
        <w:rPr>
          <w:rFonts w:ascii="Times New Roman" w:hAnsi="Times New Roman"/>
          <w:b/>
          <w:bCs/>
          <w:sz w:val="24"/>
          <w:szCs w:val="24"/>
        </w:rPr>
        <w:t>Contract</w:t>
      </w:r>
    </w:p>
    <w:p w14:paraId="00E3250B" w14:textId="4384A701" w:rsidR="004E56E4" w:rsidRDefault="00441150" w:rsidP="008033BF">
      <w:pPr>
        <w:jc w:val="both"/>
        <w:rPr>
          <w:rFonts w:ascii="Times New Roman" w:hAnsi="Times New Roman"/>
          <w:sz w:val="24"/>
          <w:szCs w:val="24"/>
        </w:rPr>
      </w:pPr>
      <w:r w:rsidRPr="005D456F">
        <w:rPr>
          <w:rFonts w:ascii="Times New Roman" w:hAnsi="Times New Roman"/>
          <w:sz w:val="24"/>
          <w:szCs w:val="24"/>
        </w:rPr>
        <w:t xml:space="preserve">Expected duration of the </w:t>
      </w:r>
      <w:r w:rsidR="00451545" w:rsidRPr="005B75B9">
        <w:rPr>
          <w:rFonts w:ascii="Times New Roman" w:hAnsi="Times New Roman"/>
          <w:sz w:val="24"/>
          <w:szCs w:val="24"/>
        </w:rPr>
        <w:t>contract</w:t>
      </w:r>
      <w:r w:rsidRPr="005B75B9">
        <w:rPr>
          <w:rFonts w:ascii="Times New Roman" w:hAnsi="Times New Roman"/>
          <w:sz w:val="24"/>
          <w:szCs w:val="24"/>
        </w:rPr>
        <w:t xml:space="preserve"> is </w:t>
      </w:r>
      <w:r w:rsidR="001D1AFF" w:rsidRPr="005B75B9">
        <w:rPr>
          <w:rFonts w:ascii="Times New Roman" w:hAnsi="Times New Roman"/>
          <w:sz w:val="24"/>
          <w:szCs w:val="24"/>
        </w:rPr>
        <w:t>6</w:t>
      </w:r>
      <w:r w:rsidR="00451545" w:rsidRPr="005B75B9">
        <w:rPr>
          <w:rFonts w:ascii="Times New Roman" w:hAnsi="Times New Roman"/>
          <w:sz w:val="24"/>
          <w:szCs w:val="24"/>
        </w:rPr>
        <w:t xml:space="preserve"> months</w:t>
      </w:r>
      <w:r w:rsidRPr="005B75B9">
        <w:rPr>
          <w:rFonts w:ascii="Times New Roman" w:hAnsi="Times New Roman"/>
          <w:sz w:val="24"/>
          <w:szCs w:val="24"/>
        </w:rPr>
        <w:t xml:space="preserve"> during the period from </w:t>
      </w:r>
      <w:r w:rsidR="00700BE7">
        <w:rPr>
          <w:rFonts w:ascii="Times New Roman" w:hAnsi="Times New Roman"/>
          <w:sz w:val="24"/>
          <w:szCs w:val="24"/>
        </w:rPr>
        <w:t>July</w:t>
      </w:r>
      <w:r w:rsidR="005B75B9" w:rsidRPr="005B75B9">
        <w:rPr>
          <w:rFonts w:ascii="Times New Roman" w:hAnsi="Times New Roman"/>
          <w:sz w:val="24"/>
          <w:szCs w:val="24"/>
        </w:rPr>
        <w:t xml:space="preserve"> </w:t>
      </w:r>
      <w:r w:rsidR="00451545" w:rsidRPr="005B75B9">
        <w:rPr>
          <w:rFonts w:ascii="Times New Roman" w:hAnsi="Times New Roman"/>
          <w:sz w:val="24"/>
          <w:szCs w:val="24"/>
        </w:rPr>
        <w:t>202</w:t>
      </w:r>
      <w:r w:rsidR="003B4965" w:rsidRPr="005B75B9">
        <w:rPr>
          <w:rFonts w:ascii="Times New Roman" w:hAnsi="Times New Roman"/>
          <w:sz w:val="24"/>
          <w:szCs w:val="24"/>
        </w:rPr>
        <w:t>3</w:t>
      </w:r>
      <w:r w:rsidRPr="005B75B9">
        <w:rPr>
          <w:rFonts w:ascii="Times New Roman" w:hAnsi="Times New Roman"/>
          <w:sz w:val="24"/>
          <w:szCs w:val="24"/>
        </w:rPr>
        <w:t xml:space="preserve"> to </w:t>
      </w:r>
      <w:r w:rsidR="00700BE7">
        <w:rPr>
          <w:rFonts w:ascii="Times New Roman" w:hAnsi="Times New Roman"/>
          <w:sz w:val="24"/>
          <w:szCs w:val="24"/>
        </w:rPr>
        <w:t xml:space="preserve">January </w:t>
      </w:r>
      <w:r w:rsidRPr="005B75B9">
        <w:rPr>
          <w:rFonts w:ascii="Times New Roman" w:hAnsi="Times New Roman"/>
          <w:sz w:val="24"/>
          <w:szCs w:val="24"/>
        </w:rPr>
        <w:t>202</w:t>
      </w:r>
      <w:r w:rsidR="00700BE7">
        <w:rPr>
          <w:rFonts w:ascii="Times New Roman" w:hAnsi="Times New Roman"/>
          <w:sz w:val="24"/>
          <w:szCs w:val="24"/>
        </w:rPr>
        <w:t>4</w:t>
      </w:r>
      <w:r w:rsidRPr="005D456F">
        <w:rPr>
          <w:rFonts w:ascii="Times New Roman" w:hAnsi="Times New Roman"/>
          <w:sz w:val="24"/>
          <w:szCs w:val="24"/>
        </w:rPr>
        <w:t xml:space="preserve">. </w:t>
      </w:r>
    </w:p>
    <w:p w14:paraId="3FAF8450" w14:textId="77777777" w:rsidR="000404A5" w:rsidRPr="00700BE7" w:rsidRDefault="000404A5" w:rsidP="000404A5">
      <w:pPr>
        <w:jc w:val="both"/>
        <w:rPr>
          <w:rFonts w:ascii="Times New Roman" w:hAnsi="Times New Roman"/>
          <w:b/>
          <w:bCs/>
          <w:sz w:val="24"/>
          <w:szCs w:val="24"/>
        </w:rPr>
      </w:pPr>
      <w:r w:rsidRPr="00700BE7">
        <w:rPr>
          <w:rFonts w:ascii="Times New Roman" w:hAnsi="Times New Roman"/>
          <w:b/>
          <w:bCs/>
          <w:sz w:val="24"/>
          <w:szCs w:val="24"/>
        </w:rPr>
        <w:t>Schedule of Payments</w:t>
      </w:r>
    </w:p>
    <w:p w14:paraId="4B73C19C" w14:textId="77777777" w:rsidR="000404A5" w:rsidRPr="00700BE7" w:rsidRDefault="000404A5" w:rsidP="000404A5">
      <w:pPr>
        <w:widowControl w:val="0"/>
        <w:spacing w:after="0" w:line="240" w:lineRule="auto"/>
        <w:jc w:val="both"/>
        <w:rPr>
          <w:rFonts w:ascii="Times New Roman" w:hAnsi="Times New Roman"/>
          <w:b/>
          <w:bCs/>
          <w:sz w:val="24"/>
          <w:szCs w:val="24"/>
        </w:rPr>
      </w:pPr>
    </w:p>
    <w:p w14:paraId="32D761A1" w14:textId="77777777" w:rsidR="000404A5" w:rsidRPr="00700BE7" w:rsidRDefault="000404A5" w:rsidP="000404A5">
      <w:pPr>
        <w:spacing w:after="0" w:line="240" w:lineRule="auto"/>
        <w:jc w:val="both"/>
        <w:rPr>
          <w:rFonts w:ascii="Times New Roman" w:hAnsi="Times New Roman"/>
          <w:sz w:val="24"/>
          <w:szCs w:val="24"/>
          <w:lang w:val="bs-Latn-BA" w:eastAsia="fr-FR"/>
        </w:rPr>
      </w:pPr>
      <w:r w:rsidRPr="00700BE7">
        <w:rPr>
          <w:rFonts w:ascii="Times New Roman" w:hAnsi="Times New Roman"/>
          <w:sz w:val="24"/>
          <w:szCs w:val="24"/>
          <w:lang w:val="bs-Latn-BA" w:eastAsia="fr-FR"/>
        </w:rPr>
        <w:t>The assignment will be compensated on the basis of the Lump-Sum contract provisions.</w:t>
      </w:r>
    </w:p>
    <w:p w14:paraId="0BC91CCE" w14:textId="77777777" w:rsidR="000404A5" w:rsidRPr="00700BE7" w:rsidRDefault="000404A5" w:rsidP="000404A5">
      <w:pPr>
        <w:widowControl w:val="0"/>
        <w:spacing w:after="0" w:line="240" w:lineRule="auto"/>
        <w:jc w:val="both"/>
        <w:rPr>
          <w:rFonts w:ascii="Times New Roman" w:hAnsi="Times New Roman"/>
          <w:b/>
          <w:bCs/>
          <w:sz w:val="24"/>
          <w:szCs w:val="24"/>
        </w:rPr>
      </w:pPr>
    </w:p>
    <w:p w14:paraId="3D62D0F8" w14:textId="77777777" w:rsidR="000404A5" w:rsidRPr="00700BE7" w:rsidRDefault="000404A5" w:rsidP="000404A5">
      <w:pPr>
        <w:widowControl w:val="0"/>
        <w:spacing w:after="0" w:line="240" w:lineRule="auto"/>
        <w:jc w:val="both"/>
        <w:rPr>
          <w:rFonts w:ascii="Times New Roman" w:hAnsi="Times New Roman"/>
          <w:sz w:val="24"/>
          <w:szCs w:val="24"/>
        </w:rPr>
      </w:pPr>
      <w:r w:rsidRPr="00700BE7">
        <w:rPr>
          <w:rFonts w:ascii="Times New Roman" w:hAnsi="Times New Roman"/>
          <w:sz w:val="24"/>
          <w:szCs w:val="24"/>
        </w:rPr>
        <w:t>The schedule of payments will be as follow:</w:t>
      </w:r>
    </w:p>
    <w:p w14:paraId="12F79489" w14:textId="77777777" w:rsidR="000404A5" w:rsidRPr="00700BE7" w:rsidRDefault="000404A5" w:rsidP="000404A5">
      <w:pPr>
        <w:widowControl w:val="0"/>
        <w:spacing w:after="0" w:line="240" w:lineRule="auto"/>
        <w:jc w:val="both"/>
        <w:rPr>
          <w:rFonts w:ascii="Times New Roman" w:hAnsi="Times New Roman"/>
          <w:sz w:val="24"/>
          <w:szCs w:val="24"/>
        </w:rPr>
      </w:pPr>
    </w:p>
    <w:p w14:paraId="3F0A0876" w14:textId="77777777" w:rsidR="000404A5" w:rsidRPr="00700BE7" w:rsidRDefault="000404A5" w:rsidP="000404A5">
      <w:pPr>
        <w:widowControl w:val="0"/>
        <w:numPr>
          <w:ilvl w:val="0"/>
          <w:numId w:val="29"/>
        </w:numPr>
        <w:spacing w:after="0" w:line="240" w:lineRule="auto"/>
        <w:contextualSpacing/>
        <w:jc w:val="both"/>
        <w:rPr>
          <w:rFonts w:ascii="Times New Roman" w:hAnsi="Times New Roman"/>
          <w:sz w:val="24"/>
          <w:szCs w:val="24"/>
          <w:lang w:val="en-GB" w:eastAsia="fr-FR"/>
        </w:rPr>
      </w:pPr>
      <w:r w:rsidRPr="00700BE7">
        <w:rPr>
          <w:rFonts w:ascii="Times New Roman" w:hAnsi="Times New Roman"/>
          <w:sz w:val="24"/>
          <w:szCs w:val="24"/>
          <w:lang w:val="en-GB" w:eastAsia="fr-FR"/>
        </w:rPr>
        <w:t>20% of the contract value</w:t>
      </w:r>
      <w:r w:rsidRPr="00700BE7">
        <w:rPr>
          <w:rFonts w:ascii="Times New Roman" w:hAnsi="Times New Roman"/>
          <w:sz w:val="24"/>
          <w:szCs w:val="24"/>
        </w:rPr>
        <w:t xml:space="preserve"> will be paid upon </w:t>
      </w:r>
      <w:r w:rsidRPr="00700BE7">
        <w:rPr>
          <w:rFonts w:ascii="Times New Roman" w:hAnsi="Times New Roman"/>
          <w:sz w:val="24"/>
          <w:szCs w:val="24"/>
          <w:lang w:val="en-GB" w:eastAsia="fr-FR"/>
        </w:rPr>
        <w:t xml:space="preserve">submission of the </w:t>
      </w:r>
      <w:r w:rsidRPr="00700BE7">
        <w:rPr>
          <w:rFonts w:ascii="Times New Roman" w:hAnsi="Times New Roman"/>
          <w:sz w:val="24"/>
          <w:szCs w:val="24"/>
          <w:lang w:val="en-GB" w:eastAsia="bs-Latn-BA"/>
        </w:rPr>
        <w:t xml:space="preserve">Work plan </w:t>
      </w:r>
      <w:r w:rsidRPr="00700BE7">
        <w:rPr>
          <w:rFonts w:ascii="Times New Roman" w:hAnsi="Times New Roman"/>
          <w:sz w:val="24"/>
          <w:szCs w:val="24"/>
        </w:rPr>
        <w:t>(as described in Terms of References), acceptable to the Client</w:t>
      </w:r>
    </w:p>
    <w:p w14:paraId="7EF375A6" w14:textId="5DAC4B66" w:rsidR="000404A5" w:rsidRPr="00700BE7" w:rsidRDefault="000404A5" w:rsidP="000404A5">
      <w:pPr>
        <w:widowControl w:val="0"/>
        <w:numPr>
          <w:ilvl w:val="0"/>
          <w:numId w:val="29"/>
        </w:numPr>
        <w:spacing w:after="0" w:line="240" w:lineRule="auto"/>
        <w:contextualSpacing/>
        <w:jc w:val="both"/>
        <w:rPr>
          <w:rFonts w:ascii="Times New Roman" w:hAnsi="Times New Roman"/>
          <w:sz w:val="24"/>
          <w:szCs w:val="24"/>
          <w:lang w:val="en-GB" w:eastAsia="fr-FR"/>
        </w:rPr>
      </w:pPr>
      <w:r w:rsidRPr="00700BE7">
        <w:rPr>
          <w:rFonts w:ascii="Times New Roman" w:hAnsi="Times New Roman"/>
          <w:sz w:val="24"/>
          <w:szCs w:val="24"/>
          <w:lang w:val="en-GB" w:eastAsia="fr-FR"/>
        </w:rPr>
        <w:t>40% of the contract value</w:t>
      </w:r>
      <w:r w:rsidRPr="00700BE7">
        <w:rPr>
          <w:rFonts w:ascii="Times New Roman" w:hAnsi="Times New Roman"/>
          <w:sz w:val="24"/>
          <w:szCs w:val="24"/>
        </w:rPr>
        <w:t xml:space="preserve"> will be paid upon </w:t>
      </w:r>
      <w:r w:rsidRPr="00700BE7">
        <w:rPr>
          <w:rFonts w:ascii="Times New Roman" w:hAnsi="Times New Roman"/>
          <w:sz w:val="24"/>
          <w:szCs w:val="24"/>
          <w:lang w:val="en-GB" w:eastAsia="fr-FR"/>
        </w:rPr>
        <w:t xml:space="preserve">submission of the </w:t>
      </w:r>
      <w:r w:rsidR="0079293E" w:rsidRPr="00700BE7">
        <w:rPr>
          <w:rFonts w:ascii="Times New Roman" w:hAnsi="Times New Roman"/>
          <w:sz w:val="24"/>
          <w:szCs w:val="24"/>
        </w:rPr>
        <w:t>Upgraded database of national monuments</w:t>
      </w:r>
      <w:r w:rsidRPr="00700BE7">
        <w:rPr>
          <w:rFonts w:ascii="Times New Roman" w:hAnsi="Times New Roman"/>
          <w:sz w:val="24"/>
          <w:szCs w:val="24"/>
        </w:rPr>
        <w:t xml:space="preserve"> (as described in the Terms of References), acceptable to the Client</w:t>
      </w:r>
    </w:p>
    <w:p w14:paraId="5CF558E4" w14:textId="234CF8CB" w:rsidR="000404A5" w:rsidRPr="00700BE7" w:rsidRDefault="000404A5" w:rsidP="00566CC0">
      <w:pPr>
        <w:pStyle w:val="ListParagraph"/>
        <w:widowControl w:val="0"/>
        <w:numPr>
          <w:ilvl w:val="0"/>
          <w:numId w:val="29"/>
        </w:numPr>
        <w:autoSpaceDE w:val="0"/>
        <w:autoSpaceDN w:val="0"/>
        <w:adjustRightInd w:val="0"/>
        <w:ind w:right="73"/>
        <w:jc w:val="both"/>
        <w:rPr>
          <w:lang w:val="en-GB" w:eastAsia="fr-FR"/>
        </w:rPr>
      </w:pPr>
      <w:r w:rsidRPr="00700BE7">
        <w:rPr>
          <w:lang w:val="en-GB" w:eastAsia="fr-FR"/>
        </w:rPr>
        <w:t>40% of the contract value</w:t>
      </w:r>
      <w:r w:rsidRPr="00700BE7">
        <w:t xml:space="preserve"> will be paid upon </w:t>
      </w:r>
      <w:r w:rsidRPr="00700BE7">
        <w:rPr>
          <w:lang w:val="en-GB" w:eastAsia="fr-FR"/>
        </w:rPr>
        <w:t xml:space="preserve">submission of the </w:t>
      </w:r>
      <w:r w:rsidRPr="00700BE7">
        <w:t xml:space="preserve">final versions of the </w:t>
      </w:r>
      <w:r w:rsidR="0079293E" w:rsidRPr="00700BE7">
        <w:lastRenderedPageBreak/>
        <w:t xml:space="preserve">Guidelines for planners and urban planners in municipal urban planning departments for approving energy restoration of national monuments according to Typology and Guidelines for energy renovation of buildings that have the status of a national monument or are included in the buffer zone of the national monument of the ambient entity </w:t>
      </w:r>
      <w:r w:rsidRPr="00700BE7">
        <w:t>(as described in Terms of References), acceptable to the Client</w:t>
      </w:r>
    </w:p>
    <w:p w14:paraId="4B5FF8C5" w14:textId="77777777" w:rsidR="000404A5" w:rsidRPr="00700BE7" w:rsidRDefault="000404A5" w:rsidP="000404A5">
      <w:pPr>
        <w:spacing w:after="0" w:line="240" w:lineRule="auto"/>
        <w:rPr>
          <w:rFonts w:ascii="Times New Roman" w:hAnsi="Times New Roman"/>
          <w:sz w:val="24"/>
          <w:szCs w:val="24"/>
        </w:rPr>
      </w:pPr>
    </w:p>
    <w:p w14:paraId="3BD78485" w14:textId="77777777" w:rsidR="000404A5" w:rsidRPr="00EF3E72" w:rsidRDefault="000404A5" w:rsidP="000404A5">
      <w:pPr>
        <w:jc w:val="both"/>
        <w:rPr>
          <w:rFonts w:ascii="Times New Roman" w:hAnsi="Times New Roman"/>
          <w:sz w:val="24"/>
          <w:szCs w:val="24"/>
        </w:rPr>
      </w:pPr>
      <w:r w:rsidRPr="00700BE7">
        <w:rPr>
          <w:rFonts w:ascii="Times New Roman" w:hAnsi="Times New Roman"/>
          <w:sz w:val="24"/>
          <w:szCs w:val="24"/>
        </w:rPr>
        <w:t>Selected Consultant for the assignment performance at the proposal stage will propose timeline for each of the above stated three phases within the methodology of the technical proposal.</w:t>
      </w:r>
    </w:p>
    <w:p w14:paraId="11506C02" w14:textId="77777777" w:rsidR="000404A5" w:rsidRPr="005D456F" w:rsidRDefault="000404A5" w:rsidP="008033BF">
      <w:pPr>
        <w:jc w:val="both"/>
        <w:rPr>
          <w:rFonts w:ascii="Times New Roman" w:hAnsi="Times New Roman"/>
          <w:sz w:val="24"/>
          <w:szCs w:val="24"/>
        </w:rPr>
      </w:pPr>
    </w:p>
    <w:p w14:paraId="0E7C896C" w14:textId="77777777" w:rsidR="004346EF" w:rsidRPr="005D456F" w:rsidRDefault="004346EF" w:rsidP="004346EF">
      <w:pPr>
        <w:jc w:val="both"/>
        <w:rPr>
          <w:rFonts w:ascii="Times New Roman" w:hAnsi="Times New Roman"/>
          <w:b/>
          <w:sz w:val="24"/>
          <w:szCs w:val="24"/>
        </w:rPr>
      </w:pPr>
      <w:r w:rsidRPr="005D456F">
        <w:rPr>
          <w:rFonts w:ascii="Times New Roman" w:hAnsi="Times New Roman"/>
          <w:b/>
          <w:sz w:val="24"/>
          <w:szCs w:val="24"/>
        </w:rPr>
        <w:t xml:space="preserve">Qualification requirements and basis for evaluation </w:t>
      </w:r>
    </w:p>
    <w:p w14:paraId="6DE02092" w14:textId="39F4613F" w:rsidR="003B4965" w:rsidRPr="003B4965" w:rsidRDefault="003B4965" w:rsidP="003B4965">
      <w:pPr>
        <w:jc w:val="both"/>
        <w:rPr>
          <w:rFonts w:ascii="Times New Roman" w:hAnsi="Times New Roman"/>
          <w:sz w:val="24"/>
          <w:szCs w:val="24"/>
        </w:rPr>
      </w:pPr>
      <w:r w:rsidRPr="00700BE7">
        <w:rPr>
          <w:rFonts w:ascii="Times New Roman" w:hAnsi="Times New Roman"/>
          <w:sz w:val="24"/>
          <w:szCs w:val="24"/>
        </w:rPr>
        <w:t xml:space="preserve">The Consultant should be a qualified firm or joint venture of firms (up to 3 companies for a joint venture) that have demonstrated experience in providing services in area of </w:t>
      </w:r>
      <w:r w:rsidR="005F198B" w:rsidRPr="00700BE7">
        <w:rPr>
          <w:rFonts w:ascii="Times New Roman" w:hAnsi="Times New Roman"/>
          <w:sz w:val="24"/>
          <w:szCs w:val="24"/>
        </w:rPr>
        <w:t xml:space="preserve">energy efficiency and economy as well as </w:t>
      </w:r>
      <w:r w:rsidR="00B53E59" w:rsidRPr="00700BE7">
        <w:rPr>
          <w:rFonts w:ascii="Times New Roman" w:hAnsi="Times New Roman"/>
          <w:sz w:val="24"/>
          <w:szCs w:val="24"/>
        </w:rPr>
        <w:t>national monuments and related legislations</w:t>
      </w:r>
      <w:r w:rsidR="00700BE7" w:rsidRPr="00700BE7">
        <w:rPr>
          <w:rFonts w:ascii="Times New Roman" w:hAnsi="Times New Roman"/>
          <w:sz w:val="24"/>
          <w:szCs w:val="24"/>
        </w:rPr>
        <w:t xml:space="preserve">. </w:t>
      </w:r>
      <w:r w:rsidRPr="00700BE7">
        <w:rPr>
          <w:rFonts w:ascii="Times New Roman" w:hAnsi="Times New Roman"/>
          <w:sz w:val="24"/>
          <w:szCs w:val="24"/>
        </w:rPr>
        <w:t xml:space="preserve">The firm must propose a team capable of successfully carrying out all aspects of the </w:t>
      </w:r>
      <w:proofErr w:type="spellStart"/>
      <w:r w:rsidRPr="00700BE7">
        <w:rPr>
          <w:rFonts w:ascii="Times New Roman" w:hAnsi="Times New Roman"/>
          <w:sz w:val="24"/>
          <w:szCs w:val="24"/>
        </w:rPr>
        <w:t>ToR</w:t>
      </w:r>
      <w:proofErr w:type="spellEnd"/>
      <w:r w:rsidRPr="00700BE7">
        <w:rPr>
          <w:rFonts w:ascii="Times New Roman" w:hAnsi="Times New Roman"/>
          <w:sz w:val="24"/>
          <w:szCs w:val="24"/>
        </w:rPr>
        <w:t xml:space="preserve"> with in-depth experience </w:t>
      </w:r>
      <w:r w:rsidR="00A052E5" w:rsidRPr="00700BE7">
        <w:rPr>
          <w:rFonts w:ascii="Times New Roman" w:hAnsi="Times New Roman"/>
          <w:sz w:val="24"/>
          <w:szCs w:val="24"/>
        </w:rPr>
        <w:t>in the related fields</w:t>
      </w:r>
      <w:r w:rsidR="00700BE7" w:rsidRPr="00700BE7">
        <w:rPr>
          <w:rFonts w:ascii="Times New Roman" w:hAnsi="Times New Roman"/>
          <w:sz w:val="24"/>
          <w:szCs w:val="24"/>
        </w:rPr>
        <w:t>.</w:t>
      </w:r>
      <w:r w:rsidR="00700BE7">
        <w:rPr>
          <w:rFonts w:ascii="Times New Roman" w:hAnsi="Times New Roman"/>
          <w:sz w:val="24"/>
          <w:szCs w:val="24"/>
        </w:rPr>
        <w:t xml:space="preserve"> </w:t>
      </w:r>
      <w:r w:rsidRPr="00700BE7">
        <w:rPr>
          <w:rFonts w:ascii="Times New Roman" w:hAnsi="Times New Roman"/>
          <w:sz w:val="24"/>
          <w:szCs w:val="24"/>
        </w:rPr>
        <w:t>The Consultant shall demonstrate their capability to mobilize enough skilled staff for carrying out the project activities within the allocated timeframe as part of the proposal by</w:t>
      </w:r>
      <w:r w:rsidRPr="003B4965">
        <w:rPr>
          <w:rFonts w:ascii="Times New Roman" w:hAnsi="Times New Roman"/>
          <w:sz w:val="24"/>
          <w:szCs w:val="24"/>
        </w:rPr>
        <w:t xml:space="preserve"> including in the technical proposal, the Curriculum Vitae of the proposed key staff, including educational background, relevant working experience in similar projects, and by confirming their availability during the period of the contract.</w:t>
      </w:r>
    </w:p>
    <w:p w14:paraId="4A4E6AEA" w14:textId="77777777" w:rsidR="003B4965" w:rsidRPr="003B4965" w:rsidRDefault="003B4965" w:rsidP="003B4965">
      <w:pPr>
        <w:jc w:val="both"/>
        <w:rPr>
          <w:rFonts w:ascii="Times New Roman" w:hAnsi="Times New Roman"/>
          <w:sz w:val="24"/>
          <w:szCs w:val="24"/>
        </w:rPr>
      </w:pPr>
      <w:r w:rsidRPr="003B4965">
        <w:rPr>
          <w:rFonts w:ascii="Times New Roman" w:hAnsi="Times New Roman"/>
          <w:sz w:val="24"/>
          <w:szCs w:val="24"/>
        </w:rPr>
        <w:t>Interested consultants must provide information indicating that they are qualified to perform the services by fulfilling following requirements:</w:t>
      </w:r>
    </w:p>
    <w:p w14:paraId="3D685FCF" w14:textId="77777777" w:rsidR="003B4965" w:rsidRPr="003B4965" w:rsidRDefault="003B4965" w:rsidP="003B4965">
      <w:pPr>
        <w:jc w:val="both"/>
        <w:rPr>
          <w:rFonts w:ascii="Times New Roman" w:hAnsi="Times New Roman"/>
          <w:sz w:val="24"/>
          <w:szCs w:val="24"/>
        </w:rPr>
      </w:pPr>
      <w:r w:rsidRPr="003B4965">
        <w:rPr>
          <w:rFonts w:ascii="Times New Roman" w:hAnsi="Times New Roman"/>
          <w:sz w:val="24"/>
          <w:szCs w:val="24"/>
        </w:rPr>
        <w:t>Interested consultants must provide information indicating that they are qualified to perform the services by fulfilling following requirements:</w:t>
      </w:r>
    </w:p>
    <w:p w14:paraId="68306901" w14:textId="27D82F11" w:rsidR="003B4965" w:rsidRPr="00700BE7" w:rsidRDefault="003B4965" w:rsidP="003B4965">
      <w:pPr>
        <w:numPr>
          <w:ilvl w:val="0"/>
          <w:numId w:val="17"/>
        </w:numPr>
        <w:spacing w:after="0" w:line="240" w:lineRule="auto"/>
        <w:contextualSpacing/>
        <w:jc w:val="both"/>
        <w:rPr>
          <w:rFonts w:ascii="Times New Roman" w:hAnsi="Times New Roman"/>
          <w:sz w:val="24"/>
          <w:szCs w:val="24"/>
        </w:rPr>
      </w:pPr>
      <w:r w:rsidRPr="00700BE7">
        <w:rPr>
          <w:rFonts w:ascii="Times New Roman" w:hAnsi="Times New Roman"/>
          <w:sz w:val="24"/>
          <w:szCs w:val="24"/>
        </w:rPr>
        <w:t>Company information: name, registration, address, telephone number, year of establishment, contact person for the project, fields of expertise;</w:t>
      </w:r>
    </w:p>
    <w:p w14:paraId="24393F48" w14:textId="77777777" w:rsidR="003B4965" w:rsidRPr="00700BE7" w:rsidRDefault="003B4965" w:rsidP="003B4965">
      <w:pPr>
        <w:widowControl w:val="0"/>
        <w:numPr>
          <w:ilvl w:val="0"/>
          <w:numId w:val="17"/>
        </w:numPr>
        <w:tabs>
          <w:tab w:val="left" w:pos="0"/>
        </w:tabs>
        <w:autoSpaceDE w:val="0"/>
        <w:autoSpaceDN w:val="0"/>
        <w:adjustRightInd w:val="0"/>
        <w:spacing w:after="60" w:line="240" w:lineRule="auto"/>
        <w:jc w:val="both"/>
        <w:rPr>
          <w:rFonts w:ascii="Times New Roman" w:hAnsi="Times New Roman"/>
          <w:spacing w:val="-2"/>
          <w:sz w:val="24"/>
          <w:szCs w:val="24"/>
        </w:rPr>
      </w:pPr>
      <w:r w:rsidRPr="00700BE7">
        <w:rPr>
          <w:rFonts w:ascii="Times New Roman" w:hAnsi="Times New Roman"/>
          <w:spacing w:val="-2"/>
          <w:sz w:val="24"/>
          <w:szCs w:val="24"/>
        </w:rPr>
        <w:t xml:space="preserve">Minimum of 10 years of successful provision of services in area of energy efficiency </w:t>
      </w:r>
    </w:p>
    <w:p w14:paraId="433D608F" w14:textId="77777777" w:rsidR="003B4965" w:rsidRPr="003B4965" w:rsidRDefault="003B4965" w:rsidP="003B4965">
      <w:pPr>
        <w:numPr>
          <w:ilvl w:val="0"/>
          <w:numId w:val="17"/>
        </w:numPr>
        <w:spacing w:after="0" w:line="240" w:lineRule="auto"/>
        <w:contextualSpacing/>
        <w:jc w:val="both"/>
        <w:rPr>
          <w:rFonts w:ascii="Times New Roman" w:hAnsi="Times New Roman"/>
          <w:sz w:val="24"/>
          <w:szCs w:val="24"/>
        </w:rPr>
      </w:pPr>
      <w:r w:rsidRPr="00700BE7">
        <w:rPr>
          <w:rFonts w:ascii="Times New Roman" w:hAnsi="Times New Roman"/>
          <w:sz w:val="24"/>
          <w:szCs w:val="24"/>
        </w:rPr>
        <w:t>Confirmation on no obligations relating to the payment of direct and indirect taxes in</w:t>
      </w:r>
      <w:r w:rsidRPr="003B4965">
        <w:rPr>
          <w:rFonts w:ascii="Times New Roman" w:hAnsi="Times New Roman"/>
          <w:sz w:val="24"/>
          <w:szCs w:val="24"/>
        </w:rPr>
        <w:t xml:space="preserve"> accordance with the relevant laws of Bosnia and Herzegovina (may not be older than three (3) months) or with the relevant law of the country from the EOI submitter;</w:t>
      </w:r>
    </w:p>
    <w:p w14:paraId="24AE18A8" w14:textId="4DDFC91D" w:rsidR="003B4965" w:rsidRDefault="003B4965" w:rsidP="003B4965">
      <w:pPr>
        <w:numPr>
          <w:ilvl w:val="0"/>
          <w:numId w:val="17"/>
        </w:numPr>
        <w:spacing w:after="0" w:line="240" w:lineRule="auto"/>
        <w:contextualSpacing/>
        <w:jc w:val="both"/>
        <w:rPr>
          <w:rFonts w:ascii="Times New Roman" w:hAnsi="Times New Roman"/>
          <w:sz w:val="24"/>
          <w:szCs w:val="24"/>
        </w:rPr>
      </w:pPr>
      <w:r w:rsidRPr="003B4965">
        <w:rPr>
          <w:rFonts w:ascii="Times New Roman" w:hAnsi="Times New Roman"/>
          <w:sz w:val="24"/>
          <w:szCs w:val="24"/>
        </w:rPr>
        <w:t>Hold a license from Ministry of Spatial Planning of the Federation of BiH for performing energy audit and certification of buildings for complex building systems in FBH or of not available will be obtained within 30 days as condition to sign the contract. The Consultant shall provide a confirmation along with the EOI that he will secure the license in case he is selected to submit technical/financial proposals.</w:t>
      </w:r>
    </w:p>
    <w:p w14:paraId="5570AFE6" w14:textId="79AB2EBE" w:rsidR="00700BE7" w:rsidRDefault="00700BE7" w:rsidP="003B4965">
      <w:pPr>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Experience, in the last five years, in the preparation of energy audits at least for 5 (five) buildings involving national monuments or buildings under protection</w:t>
      </w:r>
    </w:p>
    <w:p w14:paraId="372D23B0" w14:textId="4897C37A" w:rsidR="00700BE7" w:rsidRDefault="00700BE7" w:rsidP="003B4965">
      <w:pPr>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Participation in the development of at least 5 (five) conceptual and main design projects for national monuments or buildings under protection in the last five years</w:t>
      </w:r>
    </w:p>
    <w:p w14:paraId="0132F0C6" w14:textId="48221578" w:rsidR="00700BE7" w:rsidRDefault="00700BE7" w:rsidP="003B4965">
      <w:pPr>
        <w:numPr>
          <w:ilvl w:val="0"/>
          <w:numId w:val="17"/>
        </w:numPr>
        <w:spacing w:after="0" w:line="240" w:lineRule="auto"/>
        <w:contextualSpacing/>
        <w:jc w:val="both"/>
        <w:rPr>
          <w:rFonts w:ascii="Times New Roman" w:hAnsi="Times New Roman"/>
          <w:sz w:val="24"/>
          <w:szCs w:val="24"/>
        </w:rPr>
      </w:pPr>
      <w:r>
        <w:rPr>
          <w:rFonts w:ascii="Times New Roman" w:hAnsi="Times New Roman"/>
          <w:sz w:val="24"/>
          <w:szCs w:val="24"/>
        </w:rPr>
        <w:t>Experience in analysis and preparation of building typologies in the country</w:t>
      </w:r>
    </w:p>
    <w:p w14:paraId="54185E8F" w14:textId="5227A1A2" w:rsidR="003B4965" w:rsidRPr="00700BE7" w:rsidRDefault="003B4965" w:rsidP="003B4965">
      <w:pPr>
        <w:numPr>
          <w:ilvl w:val="0"/>
          <w:numId w:val="17"/>
        </w:numPr>
        <w:spacing w:after="0" w:line="240" w:lineRule="auto"/>
        <w:contextualSpacing/>
        <w:jc w:val="both"/>
        <w:rPr>
          <w:rFonts w:ascii="Times New Roman" w:hAnsi="Times New Roman"/>
          <w:sz w:val="24"/>
          <w:szCs w:val="24"/>
        </w:rPr>
      </w:pPr>
      <w:r w:rsidRPr="00700BE7">
        <w:rPr>
          <w:rFonts w:ascii="Times New Roman" w:hAnsi="Times New Roman"/>
          <w:sz w:val="24"/>
          <w:szCs w:val="24"/>
        </w:rPr>
        <w:lastRenderedPageBreak/>
        <w:t xml:space="preserve">Curricula Vitae (short version, specifying experience in </w:t>
      </w:r>
      <w:r w:rsidR="00A052E5" w:rsidRPr="00700BE7">
        <w:rPr>
          <w:rFonts w:ascii="Times New Roman" w:hAnsi="Times New Roman"/>
          <w:sz w:val="24"/>
          <w:szCs w:val="24"/>
        </w:rPr>
        <w:t xml:space="preserve">similar assignments </w:t>
      </w:r>
      <w:r w:rsidR="00C05004" w:rsidRPr="00700BE7">
        <w:rPr>
          <w:rFonts w:ascii="Times New Roman" w:hAnsi="Times New Roman"/>
          <w:sz w:val="24"/>
          <w:szCs w:val="24"/>
        </w:rPr>
        <w:t xml:space="preserve">six (6) </w:t>
      </w:r>
      <w:r w:rsidRPr="00700BE7">
        <w:rPr>
          <w:rFonts w:ascii="Times New Roman" w:hAnsi="Times New Roman"/>
          <w:sz w:val="24"/>
          <w:szCs w:val="24"/>
        </w:rPr>
        <w:t>CVs of key personnel who will be working on the assignment(s) with minimum:</w:t>
      </w:r>
    </w:p>
    <w:p w14:paraId="45F08996" w14:textId="0A269FCD" w:rsidR="003B4965" w:rsidRPr="00793AA8" w:rsidRDefault="003B4965" w:rsidP="003B4965">
      <w:pPr>
        <w:numPr>
          <w:ilvl w:val="1"/>
          <w:numId w:val="17"/>
        </w:numPr>
        <w:spacing w:after="0" w:line="240" w:lineRule="auto"/>
        <w:contextualSpacing/>
        <w:jc w:val="both"/>
        <w:rPr>
          <w:rFonts w:ascii="Times New Roman" w:hAnsi="Times New Roman"/>
          <w:sz w:val="24"/>
          <w:szCs w:val="24"/>
        </w:rPr>
      </w:pPr>
      <w:r w:rsidRPr="00793AA8">
        <w:rPr>
          <w:rFonts w:ascii="Times New Roman" w:hAnsi="Times New Roman"/>
          <w:sz w:val="24"/>
          <w:szCs w:val="24"/>
          <w:lang w:val="en-GB"/>
        </w:rPr>
        <w:t>Team Leader, responsible for managing/overseeing the entire consultancy contract implementation; University degree (Master’s equivalent) in economy, financial management or business administration</w:t>
      </w:r>
      <w:r w:rsidRPr="00793AA8">
        <w:rPr>
          <w:rFonts w:ascii="Times New Roman" w:hAnsi="Times New Roman"/>
          <w:sz w:val="24"/>
          <w:szCs w:val="24"/>
        </w:rPr>
        <w:t>; a minimum of ten (10) years of experience in relevant field</w:t>
      </w:r>
    </w:p>
    <w:p w14:paraId="37DB2013" w14:textId="77777777" w:rsidR="003B4965" w:rsidRPr="003B4965" w:rsidRDefault="003B4965" w:rsidP="003B4965">
      <w:pPr>
        <w:numPr>
          <w:ilvl w:val="1"/>
          <w:numId w:val="17"/>
        </w:numPr>
        <w:spacing w:after="0" w:line="240" w:lineRule="auto"/>
        <w:contextualSpacing/>
        <w:jc w:val="both"/>
        <w:rPr>
          <w:rFonts w:ascii="Times New Roman" w:hAnsi="Times New Roman"/>
          <w:sz w:val="24"/>
          <w:szCs w:val="24"/>
        </w:rPr>
      </w:pPr>
      <w:r w:rsidRPr="003B4965">
        <w:rPr>
          <w:rFonts w:ascii="Times New Roman" w:hAnsi="Times New Roman"/>
          <w:sz w:val="24"/>
          <w:szCs w:val="24"/>
          <w:lang w:val="en-GB"/>
        </w:rPr>
        <w:t xml:space="preserve">At least two (2) graduate architect and/or civil engineers with the competence exam passed and at least five (5) years of work experience in relevant field; </w:t>
      </w:r>
    </w:p>
    <w:p w14:paraId="6C6A57E9" w14:textId="5E875265" w:rsidR="003B4965" w:rsidRPr="00700BE7" w:rsidRDefault="003B4965" w:rsidP="003B4965">
      <w:pPr>
        <w:numPr>
          <w:ilvl w:val="1"/>
          <w:numId w:val="17"/>
        </w:numPr>
        <w:spacing w:after="0" w:line="240" w:lineRule="auto"/>
        <w:contextualSpacing/>
        <w:jc w:val="both"/>
        <w:rPr>
          <w:rFonts w:ascii="Times New Roman" w:hAnsi="Times New Roman"/>
          <w:sz w:val="24"/>
          <w:szCs w:val="24"/>
        </w:rPr>
      </w:pPr>
      <w:r w:rsidRPr="003B4965">
        <w:rPr>
          <w:rFonts w:ascii="Times New Roman" w:hAnsi="Times New Roman"/>
          <w:sz w:val="24"/>
          <w:szCs w:val="24"/>
          <w:lang w:val="en-GB"/>
        </w:rPr>
        <w:t xml:space="preserve">At least one (1) mechanical engineer with the competence exam passed and at least </w:t>
      </w:r>
      <w:r w:rsidRPr="00700BE7">
        <w:rPr>
          <w:rFonts w:ascii="Times New Roman" w:hAnsi="Times New Roman"/>
          <w:sz w:val="24"/>
          <w:szCs w:val="24"/>
          <w:lang w:val="en-GB"/>
        </w:rPr>
        <w:t xml:space="preserve">five (5) years of work experience in relevant field; </w:t>
      </w:r>
    </w:p>
    <w:p w14:paraId="0870D2AC" w14:textId="06055A8E" w:rsidR="00C05004" w:rsidRPr="00700BE7" w:rsidRDefault="00C05004" w:rsidP="003B4965">
      <w:pPr>
        <w:numPr>
          <w:ilvl w:val="1"/>
          <w:numId w:val="17"/>
        </w:numPr>
        <w:spacing w:after="0" w:line="240" w:lineRule="auto"/>
        <w:contextualSpacing/>
        <w:jc w:val="both"/>
        <w:rPr>
          <w:rFonts w:ascii="Times New Roman" w:hAnsi="Times New Roman"/>
          <w:sz w:val="24"/>
          <w:szCs w:val="24"/>
        </w:rPr>
      </w:pPr>
      <w:r w:rsidRPr="00700BE7">
        <w:rPr>
          <w:rFonts w:ascii="Times New Roman" w:hAnsi="Times New Roman"/>
          <w:color w:val="000000"/>
          <w:sz w:val="24"/>
          <w:szCs w:val="24"/>
          <w:lang w:val="en-GB"/>
        </w:rPr>
        <w:t>At least one (1) IT engineer with five (5) years of work experience in database development and administration;</w:t>
      </w:r>
    </w:p>
    <w:p w14:paraId="46BB6BC6" w14:textId="4787C402" w:rsidR="003B4965" w:rsidRPr="00700BE7" w:rsidRDefault="003B4965" w:rsidP="003B4965">
      <w:pPr>
        <w:numPr>
          <w:ilvl w:val="1"/>
          <w:numId w:val="17"/>
        </w:numPr>
        <w:spacing w:after="0" w:line="240" w:lineRule="auto"/>
        <w:contextualSpacing/>
        <w:jc w:val="both"/>
        <w:rPr>
          <w:rFonts w:ascii="Times New Roman" w:hAnsi="Times New Roman"/>
          <w:strike/>
          <w:sz w:val="24"/>
          <w:szCs w:val="24"/>
        </w:rPr>
      </w:pPr>
      <w:r w:rsidRPr="00700BE7">
        <w:rPr>
          <w:rFonts w:ascii="Times New Roman" w:hAnsi="Times New Roman"/>
          <w:sz w:val="24"/>
          <w:szCs w:val="24"/>
          <w:lang w:val="en-GB"/>
        </w:rPr>
        <w:t xml:space="preserve">One (1) administrative assistant with experience in </w:t>
      </w:r>
      <w:r w:rsidR="00CB36FF" w:rsidRPr="00700BE7">
        <w:rPr>
          <w:rFonts w:ascii="Times New Roman" w:hAnsi="Times New Roman"/>
          <w:sz w:val="24"/>
          <w:szCs w:val="24"/>
          <w:lang w:val="en-GB"/>
        </w:rPr>
        <w:t>relevant field</w:t>
      </w:r>
    </w:p>
    <w:p w14:paraId="0B29725F" w14:textId="77777777" w:rsidR="0050522C" w:rsidRPr="005D456F" w:rsidRDefault="0050522C" w:rsidP="0050522C">
      <w:pPr>
        <w:spacing w:after="0"/>
        <w:jc w:val="both"/>
        <w:rPr>
          <w:rFonts w:ascii="Times New Roman" w:hAnsi="Times New Roman"/>
          <w:sz w:val="24"/>
          <w:szCs w:val="24"/>
        </w:rPr>
      </w:pPr>
    </w:p>
    <w:p w14:paraId="2ADE562C" w14:textId="77777777" w:rsidR="00CE61DE" w:rsidRPr="005D456F" w:rsidRDefault="00CE61DE" w:rsidP="00AA40D3">
      <w:pPr>
        <w:pStyle w:val="NormalWeb"/>
        <w:spacing w:before="0" w:beforeAutospacing="0" w:after="0" w:afterAutospacing="0"/>
        <w:jc w:val="both"/>
        <w:rPr>
          <w:color w:val="000000"/>
        </w:rPr>
      </w:pPr>
    </w:p>
    <w:p w14:paraId="2E9C8D82" w14:textId="77777777" w:rsidR="00CE61DE" w:rsidRPr="005D456F" w:rsidRDefault="00CE61DE" w:rsidP="00AA40D3">
      <w:pPr>
        <w:autoSpaceDE w:val="0"/>
        <w:autoSpaceDN w:val="0"/>
        <w:adjustRightInd w:val="0"/>
        <w:jc w:val="both"/>
        <w:rPr>
          <w:rFonts w:ascii="Times New Roman" w:hAnsi="Times New Roman"/>
          <w:sz w:val="24"/>
          <w:szCs w:val="24"/>
        </w:rPr>
      </w:pPr>
    </w:p>
    <w:p w14:paraId="46ED7E8E" w14:textId="77777777" w:rsidR="00CE61DE" w:rsidRPr="005D456F" w:rsidRDefault="00CE61DE" w:rsidP="00AA40D3">
      <w:pPr>
        <w:jc w:val="both"/>
        <w:rPr>
          <w:sz w:val="24"/>
          <w:szCs w:val="24"/>
        </w:rPr>
      </w:pPr>
    </w:p>
    <w:sectPr w:rsidR="00CE61DE" w:rsidRPr="005D456F">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2CC32A" w14:textId="77777777" w:rsidR="00874FCE" w:rsidRDefault="00874FCE" w:rsidP="000F76AC">
      <w:pPr>
        <w:spacing w:after="0" w:line="240" w:lineRule="auto"/>
      </w:pPr>
      <w:r>
        <w:separator/>
      </w:r>
    </w:p>
  </w:endnote>
  <w:endnote w:type="continuationSeparator" w:id="0">
    <w:p w14:paraId="21B6F545" w14:textId="77777777" w:rsidR="00874FCE" w:rsidRDefault="00874FCE" w:rsidP="000F76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2D4FD0" w14:textId="77777777" w:rsidR="00874FCE" w:rsidRDefault="00874FCE" w:rsidP="000F76AC">
      <w:pPr>
        <w:spacing w:after="0" w:line="240" w:lineRule="auto"/>
      </w:pPr>
      <w:r>
        <w:separator/>
      </w:r>
    </w:p>
  </w:footnote>
  <w:footnote w:type="continuationSeparator" w:id="0">
    <w:p w14:paraId="13980CBC" w14:textId="77777777" w:rsidR="00874FCE" w:rsidRDefault="00874FCE" w:rsidP="000F76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4B2428"/>
    <w:multiLevelType w:val="hybridMultilevel"/>
    <w:tmpl w:val="009CB632"/>
    <w:lvl w:ilvl="0" w:tplc="141A0017">
      <w:start w:val="1"/>
      <w:numFmt w:val="lowerLetter"/>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0ADD02EE"/>
    <w:multiLevelType w:val="hybridMultilevel"/>
    <w:tmpl w:val="104465D4"/>
    <w:lvl w:ilvl="0" w:tplc="5C5A655C">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B2660D1"/>
    <w:multiLevelType w:val="hybridMultilevel"/>
    <w:tmpl w:val="E09438AE"/>
    <w:lvl w:ilvl="0" w:tplc="9E580C2C">
      <w:start w:val="1"/>
      <w:numFmt w:val="upperRoman"/>
      <w:lvlText w:val="%1."/>
      <w:lvlJc w:val="left"/>
      <w:pPr>
        <w:ind w:left="1080" w:hanging="72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0F2D75D8"/>
    <w:multiLevelType w:val="multilevel"/>
    <w:tmpl w:val="636814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FD22356"/>
    <w:multiLevelType w:val="hybridMultilevel"/>
    <w:tmpl w:val="D80A86D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237E92"/>
    <w:multiLevelType w:val="hybridMultilevel"/>
    <w:tmpl w:val="B226F616"/>
    <w:lvl w:ilvl="0" w:tplc="0409000F">
      <w:start w:val="1"/>
      <w:numFmt w:val="decimal"/>
      <w:lvlText w:val="%1."/>
      <w:lvlJc w:val="left"/>
      <w:pPr>
        <w:ind w:left="426" w:hanging="360"/>
      </w:pPr>
    </w:lvl>
    <w:lvl w:ilvl="1" w:tplc="04090019">
      <w:start w:val="1"/>
      <w:numFmt w:val="lowerLetter"/>
      <w:lvlText w:val="%2."/>
      <w:lvlJc w:val="left"/>
      <w:pPr>
        <w:ind w:left="1146" w:hanging="360"/>
      </w:pPr>
    </w:lvl>
    <w:lvl w:ilvl="2" w:tplc="0409001B" w:tentative="1">
      <w:start w:val="1"/>
      <w:numFmt w:val="lowerRoman"/>
      <w:lvlText w:val="%3."/>
      <w:lvlJc w:val="right"/>
      <w:pPr>
        <w:ind w:left="1866" w:hanging="180"/>
      </w:pPr>
    </w:lvl>
    <w:lvl w:ilvl="3" w:tplc="0409000F" w:tentative="1">
      <w:start w:val="1"/>
      <w:numFmt w:val="decimal"/>
      <w:lvlText w:val="%4."/>
      <w:lvlJc w:val="left"/>
      <w:pPr>
        <w:ind w:left="2586" w:hanging="360"/>
      </w:pPr>
    </w:lvl>
    <w:lvl w:ilvl="4" w:tplc="04090019" w:tentative="1">
      <w:start w:val="1"/>
      <w:numFmt w:val="lowerLetter"/>
      <w:lvlText w:val="%5."/>
      <w:lvlJc w:val="left"/>
      <w:pPr>
        <w:ind w:left="3306" w:hanging="360"/>
      </w:pPr>
    </w:lvl>
    <w:lvl w:ilvl="5" w:tplc="0409001B" w:tentative="1">
      <w:start w:val="1"/>
      <w:numFmt w:val="lowerRoman"/>
      <w:lvlText w:val="%6."/>
      <w:lvlJc w:val="right"/>
      <w:pPr>
        <w:ind w:left="4026" w:hanging="180"/>
      </w:pPr>
    </w:lvl>
    <w:lvl w:ilvl="6" w:tplc="0409000F" w:tentative="1">
      <w:start w:val="1"/>
      <w:numFmt w:val="decimal"/>
      <w:lvlText w:val="%7."/>
      <w:lvlJc w:val="left"/>
      <w:pPr>
        <w:ind w:left="4746" w:hanging="360"/>
      </w:pPr>
    </w:lvl>
    <w:lvl w:ilvl="7" w:tplc="04090019" w:tentative="1">
      <w:start w:val="1"/>
      <w:numFmt w:val="lowerLetter"/>
      <w:lvlText w:val="%8."/>
      <w:lvlJc w:val="left"/>
      <w:pPr>
        <w:ind w:left="5466" w:hanging="360"/>
      </w:pPr>
    </w:lvl>
    <w:lvl w:ilvl="8" w:tplc="0409001B" w:tentative="1">
      <w:start w:val="1"/>
      <w:numFmt w:val="lowerRoman"/>
      <w:lvlText w:val="%9."/>
      <w:lvlJc w:val="right"/>
      <w:pPr>
        <w:ind w:left="6186" w:hanging="180"/>
      </w:pPr>
    </w:lvl>
  </w:abstractNum>
  <w:abstractNum w:abstractNumId="6" w15:restartNumberingAfterBreak="0">
    <w:nsid w:val="1AC10940"/>
    <w:multiLevelType w:val="hybridMultilevel"/>
    <w:tmpl w:val="A104843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Times New Roman"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Times New Roman"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Times New Roman"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7" w15:restartNumberingAfterBreak="0">
    <w:nsid w:val="26CB7B02"/>
    <w:multiLevelType w:val="hybridMultilevel"/>
    <w:tmpl w:val="E7FAF2C8"/>
    <w:lvl w:ilvl="0" w:tplc="83CE0870">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A077BFA"/>
    <w:multiLevelType w:val="hybridMultilevel"/>
    <w:tmpl w:val="803045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DC7B89"/>
    <w:multiLevelType w:val="hybridMultilevel"/>
    <w:tmpl w:val="3A6A4CC6"/>
    <w:lvl w:ilvl="0" w:tplc="63F4F0C8">
      <w:start w:val="4"/>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B773F35"/>
    <w:multiLevelType w:val="multilevel"/>
    <w:tmpl w:val="2178479E"/>
    <w:lvl w:ilvl="0">
      <w:start w:val="1"/>
      <w:numFmt w:val="decimal"/>
      <w:lvlText w:val="%1."/>
      <w:legacy w:legacy="1" w:legacySpace="120" w:legacyIndent="360"/>
      <w:lvlJc w:val="left"/>
      <w:pPr>
        <w:ind w:left="360" w:hanging="360"/>
      </w:pPr>
      <w:rPr>
        <w:rFonts w:cs="Times New Roman"/>
      </w:rPr>
    </w:lvl>
    <w:lvl w:ilvl="1">
      <w:start w:val="1"/>
      <w:numFmt w:val="decimal"/>
      <w:lvlText w:val="%2."/>
      <w:lvlJc w:val="left"/>
      <w:pPr>
        <w:ind w:left="720" w:hanging="360"/>
      </w:pPr>
    </w:lvl>
    <w:lvl w:ilvl="2">
      <w:start w:val="1"/>
      <w:numFmt w:val="lowerRoman"/>
      <w:lvlText w:val="%3."/>
      <w:legacy w:legacy="1" w:legacySpace="120" w:legacyIndent="180"/>
      <w:lvlJc w:val="left"/>
      <w:pPr>
        <w:ind w:left="900" w:hanging="180"/>
      </w:pPr>
      <w:rPr>
        <w:rFonts w:cs="Times New Roman"/>
      </w:rPr>
    </w:lvl>
    <w:lvl w:ilvl="3">
      <w:start w:val="1"/>
      <w:numFmt w:val="decimal"/>
      <w:lvlText w:val="%4."/>
      <w:legacy w:legacy="1" w:legacySpace="120" w:legacyIndent="360"/>
      <w:lvlJc w:val="left"/>
      <w:pPr>
        <w:ind w:left="1260" w:hanging="360"/>
      </w:pPr>
      <w:rPr>
        <w:rFonts w:cs="Times New Roman"/>
      </w:rPr>
    </w:lvl>
    <w:lvl w:ilvl="4">
      <w:start w:val="1"/>
      <w:numFmt w:val="lowerLetter"/>
      <w:lvlText w:val="%5."/>
      <w:legacy w:legacy="1" w:legacySpace="120" w:legacyIndent="360"/>
      <w:lvlJc w:val="left"/>
      <w:pPr>
        <w:ind w:left="1620" w:hanging="360"/>
      </w:pPr>
      <w:rPr>
        <w:rFonts w:cs="Times New Roman"/>
      </w:rPr>
    </w:lvl>
    <w:lvl w:ilvl="5">
      <w:start w:val="1"/>
      <w:numFmt w:val="lowerRoman"/>
      <w:lvlText w:val="%6."/>
      <w:legacy w:legacy="1" w:legacySpace="120" w:legacyIndent="180"/>
      <w:lvlJc w:val="left"/>
      <w:pPr>
        <w:ind w:left="1800" w:hanging="180"/>
      </w:pPr>
      <w:rPr>
        <w:rFonts w:cs="Times New Roman"/>
      </w:rPr>
    </w:lvl>
    <w:lvl w:ilvl="6">
      <w:start w:val="1"/>
      <w:numFmt w:val="decimal"/>
      <w:lvlText w:val="%7."/>
      <w:legacy w:legacy="1" w:legacySpace="120" w:legacyIndent="360"/>
      <w:lvlJc w:val="left"/>
      <w:pPr>
        <w:ind w:left="2160" w:hanging="360"/>
      </w:pPr>
      <w:rPr>
        <w:rFonts w:cs="Times New Roman"/>
      </w:rPr>
    </w:lvl>
    <w:lvl w:ilvl="7">
      <w:start w:val="1"/>
      <w:numFmt w:val="lowerLetter"/>
      <w:lvlText w:val="%8."/>
      <w:legacy w:legacy="1" w:legacySpace="120" w:legacyIndent="360"/>
      <w:lvlJc w:val="left"/>
      <w:pPr>
        <w:ind w:left="2520" w:hanging="360"/>
      </w:pPr>
      <w:rPr>
        <w:rFonts w:cs="Times New Roman"/>
      </w:rPr>
    </w:lvl>
    <w:lvl w:ilvl="8">
      <w:start w:val="1"/>
      <w:numFmt w:val="lowerRoman"/>
      <w:lvlText w:val="%9."/>
      <w:legacy w:legacy="1" w:legacySpace="120" w:legacyIndent="180"/>
      <w:lvlJc w:val="left"/>
      <w:pPr>
        <w:ind w:left="2700" w:hanging="180"/>
      </w:pPr>
      <w:rPr>
        <w:rFonts w:cs="Times New Roman"/>
      </w:rPr>
    </w:lvl>
  </w:abstractNum>
  <w:abstractNum w:abstractNumId="11" w15:restartNumberingAfterBreak="0">
    <w:nsid w:val="33F75753"/>
    <w:multiLevelType w:val="hybridMultilevel"/>
    <w:tmpl w:val="8B44347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37C0010B"/>
    <w:multiLevelType w:val="hybridMultilevel"/>
    <w:tmpl w:val="7360A18E"/>
    <w:lvl w:ilvl="0" w:tplc="1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FE070E"/>
    <w:multiLevelType w:val="hybridMultilevel"/>
    <w:tmpl w:val="989C3A50"/>
    <w:lvl w:ilvl="0" w:tplc="0409000F">
      <w:start w:val="1"/>
      <w:numFmt w:val="decimal"/>
      <w:lvlText w:val="%1."/>
      <w:lvlJc w:val="left"/>
      <w:pPr>
        <w:ind w:left="720" w:hanging="360"/>
      </w:pPr>
    </w:lvl>
    <w:lvl w:ilvl="1" w:tplc="1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BA320F1"/>
    <w:multiLevelType w:val="hybridMultilevel"/>
    <w:tmpl w:val="6F2436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CDE523F"/>
    <w:multiLevelType w:val="hybridMultilevel"/>
    <w:tmpl w:val="F0C66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1DD70BF"/>
    <w:multiLevelType w:val="multilevel"/>
    <w:tmpl w:val="FDAC636C"/>
    <w:lvl w:ilvl="0">
      <w:start w:val="1"/>
      <w:numFmt w:val="upperRoman"/>
      <w:lvlText w:val="%1."/>
      <w:lvlJc w:val="right"/>
      <w:pPr>
        <w:tabs>
          <w:tab w:val="num" w:pos="432"/>
        </w:tabs>
        <w:ind w:left="432" w:hanging="432"/>
      </w:pPr>
      <w:rPr>
        <w:rFonts w:hint="default"/>
      </w:rPr>
    </w:lvl>
    <w:lvl w:ilvl="1">
      <w:start w:val="1"/>
      <w:numFmt w:val="lowerLetter"/>
      <w:lvlText w:val="%2."/>
      <w:lvlJc w:val="left"/>
      <w:pPr>
        <w:tabs>
          <w:tab w:val="num" w:pos="1152"/>
        </w:tabs>
        <w:ind w:left="1152" w:hanging="576"/>
      </w:pPr>
      <w:rPr>
        <w:rFonts w:hint="default"/>
      </w:rPr>
    </w:lvl>
    <w:lvl w:ilvl="2">
      <w:start w:val="1"/>
      <w:numFmt w:val="decimal"/>
      <w:lvlText w:val="%3."/>
      <w:lvlJc w:val="left"/>
      <w:pPr>
        <w:tabs>
          <w:tab w:val="num" w:pos="1728"/>
        </w:tabs>
        <w:ind w:left="1728" w:hanging="432"/>
      </w:pPr>
      <w:rPr>
        <w:rFonts w:hint="default"/>
      </w:rPr>
    </w:lvl>
    <w:lvl w:ilvl="3">
      <w:start w:val="1"/>
      <w:numFmt w:val="lowerLetter"/>
      <w:lvlText w:val="%4)"/>
      <w:lvlJc w:val="left"/>
      <w:pPr>
        <w:tabs>
          <w:tab w:val="num" w:pos="2304"/>
        </w:tabs>
        <w:ind w:left="2304" w:hanging="576"/>
      </w:pPr>
      <w:rPr>
        <w:rFonts w:hint="default"/>
      </w:rPr>
    </w:lvl>
    <w:lvl w:ilvl="4">
      <w:start w:val="1"/>
      <w:numFmt w:val="decimal"/>
      <w:lvlText w:val="(%5)"/>
      <w:lvlJc w:val="left"/>
      <w:pPr>
        <w:tabs>
          <w:tab w:val="num" w:pos="3240"/>
        </w:tabs>
        <w:ind w:left="2880" w:firstLine="0"/>
      </w:pPr>
      <w:rPr>
        <w:rFonts w:hint="default"/>
      </w:rPr>
    </w:lvl>
    <w:lvl w:ilvl="5">
      <w:start w:val="1"/>
      <w:numFmt w:val="lowerLetter"/>
      <w:lvlText w:val="(%6)"/>
      <w:lvlJc w:val="left"/>
      <w:pPr>
        <w:tabs>
          <w:tab w:val="num" w:pos="3960"/>
        </w:tabs>
        <w:ind w:left="360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5400"/>
        </w:tabs>
        <w:ind w:left="504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17" w15:restartNumberingAfterBreak="0">
    <w:nsid w:val="481B6A62"/>
    <w:multiLevelType w:val="hybridMultilevel"/>
    <w:tmpl w:val="13EEE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BF0062"/>
    <w:multiLevelType w:val="hybridMultilevel"/>
    <w:tmpl w:val="D3BA2D82"/>
    <w:lvl w:ilvl="0" w:tplc="141A0017">
      <w:start w:val="1"/>
      <w:numFmt w:val="lowerLetter"/>
      <w:lvlText w:val="%1)"/>
      <w:lvlJc w:val="left"/>
      <w:pPr>
        <w:ind w:left="720" w:hanging="360"/>
      </w:pPr>
    </w:lvl>
    <w:lvl w:ilvl="1" w:tplc="141A0017">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7D843F1"/>
    <w:multiLevelType w:val="hybridMultilevel"/>
    <w:tmpl w:val="B718BE3C"/>
    <w:lvl w:ilvl="0" w:tplc="CDAA8FB6">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15:restartNumberingAfterBreak="0">
    <w:nsid w:val="62AD457F"/>
    <w:multiLevelType w:val="hybridMultilevel"/>
    <w:tmpl w:val="9A261CD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64FF453E"/>
    <w:multiLevelType w:val="hybridMultilevel"/>
    <w:tmpl w:val="3272B4B6"/>
    <w:lvl w:ilvl="0" w:tplc="141A0001">
      <w:start w:val="1"/>
      <w:numFmt w:val="bullet"/>
      <w:lvlText w:val=""/>
      <w:lvlJc w:val="left"/>
      <w:pPr>
        <w:ind w:left="720" w:hanging="360"/>
      </w:pPr>
      <w:rPr>
        <w:rFonts w:ascii="Symbol" w:hAnsi="Symbol" w:hint="default"/>
      </w:rPr>
    </w:lvl>
    <w:lvl w:ilvl="1" w:tplc="141A0003">
      <w:start w:val="1"/>
      <w:numFmt w:val="bullet"/>
      <w:lvlText w:val="o"/>
      <w:lvlJc w:val="left"/>
      <w:pPr>
        <w:ind w:left="1440" w:hanging="360"/>
      </w:pPr>
      <w:rPr>
        <w:rFonts w:ascii="Courier New" w:hAnsi="Courier New" w:cs="Times New Roman" w:hint="default"/>
      </w:rPr>
    </w:lvl>
    <w:lvl w:ilvl="2" w:tplc="141A0005">
      <w:start w:val="1"/>
      <w:numFmt w:val="bullet"/>
      <w:lvlText w:val=""/>
      <w:lvlJc w:val="left"/>
      <w:pPr>
        <w:ind w:left="2160" w:hanging="360"/>
      </w:pPr>
      <w:rPr>
        <w:rFonts w:ascii="Wingdings" w:hAnsi="Wingdings" w:hint="default"/>
      </w:rPr>
    </w:lvl>
    <w:lvl w:ilvl="3" w:tplc="141A0001">
      <w:start w:val="1"/>
      <w:numFmt w:val="bullet"/>
      <w:lvlText w:val=""/>
      <w:lvlJc w:val="left"/>
      <w:pPr>
        <w:ind w:left="2880" w:hanging="360"/>
      </w:pPr>
      <w:rPr>
        <w:rFonts w:ascii="Symbol" w:hAnsi="Symbol" w:hint="default"/>
      </w:rPr>
    </w:lvl>
    <w:lvl w:ilvl="4" w:tplc="141A0003">
      <w:start w:val="1"/>
      <w:numFmt w:val="bullet"/>
      <w:lvlText w:val="o"/>
      <w:lvlJc w:val="left"/>
      <w:pPr>
        <w:ind w:left="3600" w:hanging="360"/>
      </w:pPr>
      <w:rPr>
        <w:rFonts w:ascii="Courier New" w:hAnsi="Courier New" w:cs="Times New Roman" w:hint="default"/>
      </w:rPr>
    </w:lvl>
    <w:lvl w:ilvl="5" w:tplc="141A0005">
      <w:start w:val="1"/>
      <w:numFmt w:val="bullet"/>
      <w:lvlText w:val=""/>
      <w:lvlJc w:val="left"/>
      <w:pPr>
        <w:ind w:left="4320" w:hanging="360"/>
      </w:pPr>
      <w:rPr>
        <w:rFonts w:ascii="Wingdings" w:hAnsi="Wingdings" w:hint="default"/>
      </w:rPr>
    </w:lvl>
    <w:lvl w:ilvl="6" w:tplc="141A0001">
      <w:start w:val="1"/>
      <w:numFmt w:val="bullet"/>
      <w:lvlText w:val=""/>
      <w:lvlJc w:val="left"/>
      <w:pPr>
        <w:ind w:left="5040" w:hanging="360"/>
      </w:pPr>
      <w:rPr>
        <w:rFonts w:ascii="Symbol" w:hAnsi="Symbol" w:hint="default"/>
      </w:rPr>
    </w:lvl>
    <w:lvl w:ilvl="7" w:tplc="141A0003">
      <w:start w:val="1"/>
      <w:numFmt w:val="bullet"/>
      <w:lvlText w:val="o"/>
      <w:lvlJc w:val="left"/>
      <w:pPr>
        <w:ind w:left="5760" w:hanging="360"/>
      </w:pPr>
      <w:rPr>
        <w:rFonts w:ascii="Courier New" w:hAnsi="Courier New" w:cs="Times New Roman" w:hint="default"/>
      </w:rPr>
    </w:lvl>
    <w:lvl w:ilvl="8" w:tplc="141A0005">
      <w:start w:val="1"/>
      <w:numFmt w:val="bullet"/>
      <w:lvlText w:val=""/>
      <w:lvlJc w:val="left"/>
      <w:pPr>
        <w:ind w:left="6480" w:hanging="360"/>
      </w:pPr>
      <w:rPr>
        <w:rFonts w:ascii="Wingdings" w:hAnsi="Wingdings" w:hint="default"/>
      </w:rPr>
    </w:lvl>
  </w:abstractNum>
  <w:abstractNum w:abstractNumId="22" w15:restartNumberingAfterBreak="0">
    <w:nsid w:val="77E54F84"/>
    <w:multiLevelType w:val="hybridMultilevel"/>
    <w:tmpl w:val="24C4C496"/>
    <w:lvl w:ilvl="0" w:tplc="F34436D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7A015C2E"/>
    <w:multiLevelType w:val="hybridMultilevel"/>
    <w:tmpl w:val="45E02DB8"/>
    <w:lvl w:ilvl="0" w:tplc="0F2EBF60">
      <w:start w:val="6"/>
      <w:numFmt w:val="bullet"/>
      <w:lvlText w:val="-"/>
      <w:lvlJc w:val="left"/>
      <w:pPr>
        <w:ind w:left="720" w:hanging="360"/>
      </w:pPr>
      <w:rPr>
        <w:rFonts w:ascii="Arial" w:eastAsia="Times New Roman" w:hAnsi="Arial" w:hint="default"/>
        <w:u w:val="none"/>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A0C62F6"/>
    <w:multiLevelType w:val="hybridMultilevel"/>
    <w:tmpl w:val="7360A18E"/>
    <w:lvl w:ilvl="0" w:tplc="141A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A2C3D73"/>
    <w:multiLevelType w:val="hybridMultilevel"/>
    <w:tmpl w:val="28B87E86"/>
    <w:lvl w:ilvl="0" w:tplc="83CE0870">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EC35CE9"/>
    <w:multiLevelType w:val="hybridMultilevel"/>
    <w:tmpl w:val="63BCB5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F2327D9"/>
    <w:multiLevelType w:val="hybridMultilevel"/>
    <w:tmpl w:val="6FB26C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4"/>
  </w:num>
  <w:num w:numId="2">
    <w:abstractNumId w:val="25"/>
  </w:num>
  <w:num w:numId="3">
    <w:abstractNumId w:val="8"/>
  </w:num>
  <w:num w:numId="4">
    <w:abstractNumId w:val="9"/>
  </w:num>
  <w:num w:numId="5">
    <w:abstractNumId w:val="1"/>
  </w:num>
  <w:num w:numId="6">
    <w:abstractNumId w:val="4"/>
  </w:num>
  <w:num w:numId="7">
    <w:abstractNumId w:val="16"/>
  </w:num>
  <w:num w:numId="8">
    <w:abstractNumId w:val="27"/>
  </w:num>
  <w:num w:numId="9">
    <w:abstractNumId w:val="0"/>
  </w:num>
  <w:num w:numId="10">
    <w:abstractNumId w:val="10"/>
  </w:num>
  <w:num w:numId="11">
    <w:abstractNumId w:val="20"/>
  </w:num>
  <w:num w:numId="12">
    <w:abstractNumId w:val="2"/>
  </w:num>
  <w:num w:numId="13">
    <w:abstractNumId w:val="7"/>
  </w:num>
  <w:num w:numId="14">
    <w:abstractNumId w:val="19"/>
  </w:num>
  <w:num w:numId="15">
    <w:abstractNumId w:val="22"/>
  </w:num>
  <w:num w:numId="16">
    <w:abstractNumId w:val="5"/>
  </w:num>
  <w:num w:numId="17">
    <w:abstractNumId w:val="21"/>
  </w:num>
  <w:num w:numId="18">
    <w:abstractNumId w:val="21"/>
  </w:num>
  <w:num w:numId="19">
    <w:abstractNumId w:val="6"/>
  </w:num>
  <w:num w:numId="20">
    <w:abstractNumId w:val="3"/>
  </w:num>
  <w:num w:numId="21">
    <w:abstractNumId w:val="26"/>
  </w:num>
  <w:num w:numId="22">
    <w:abstractNumId w:val="11"/>
  </w:num>
  <w:num w:numId="23">
    <w:abstractNumId w:val="15"/>
  </w:num>
  <w:num w:numId="24">
    <w:abstractNumId w:val="17"/>
  </w:num>
  <w:num w:numId="25">
    <w:abstractNumId w:val="12"/>
  </w:num>
  <w:num w:numId="26">
    <w:abstractNumId w:val="13"/>
  </w:num>
  <w:num w:numId="27">
    <w:abstractNumId w:val="18"/>
  </w:num>
  <w:num w:numId="28">
    <w:abstractNumId w:val="24"/>
  </w:num>
  <w:num w:numId="29">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61DE"/>
    <w:rsid w:val="000119C9"/>
    <w:rsid w:val="0001532F"/>
    <w:rsid w:val="00016E4A"/>
    <w:rsid w:val="00026063"/>
    <w:rsid w:val="00030C3C"/>
    <w:rsid w:val="00033EDF"/>
    <w:rsid w:val="000404A5"/>
    <w:rsid w:val="00050BE7"/>
    <w:rsid w:val="00060754"/>
    <w:rsid w:val="00082659"/>
    <w:rsid w:val="000834FD"/>
    <w:rsid w:val="00090A17"/>
    <w:rsid w:val="000B469D"/>
    <w:rsid w:val="000E2850"/>
    <w:rsid w:val="000F0A10"/>
    <w:rsid w:val="000F6744"/>
    <w:rsid w:val="000F76AC"/>
    <w:rsid w:val="00114D76"/>
    <w:rsid w:val="00117644"/>
    <w:rsid w:val="001267DC"/>
    <w:rsid w:val="00137B0E"/>
    <w:rsid w:val="00141D33"/>
    <w:rsid w:val="00163897"/>
    <w:rsid w:val="001806B0"/>
    <w:rsid w:val="00183C1C"/>
    <w:rsid w:val="00195F0E"/>
    <w:rsid w:val="001A5C6C"/>
    <w:rsid w:val="001B201B"/>
    <w:rsid w:val="001B2B71"/>
    <w:rsid w:val="001B7A01"/>
    <w:rsid w:val="001C3AF9"/>
    <w:rsid w:val="001C4330"/>
    <w:rsid w:val="001D1AFF"/>
    <w:rsid w:val="001D2971"/>
    <w:rsid w:val="001D7324"/>
    <w:rsid w:val="001E03F6"/>
    <w:rsid w:val="001E2F72"/>
    <w:rsid w:val="001E4424"/>
    <w:rsid w:val="001E4D1F"/>
    <w:rsid w:val="001E4D8B"/>
    <w:rsid w:val="001F34BD"/>
    <w:rsid w:val="00204952"/>
    <w:rsid w:val="00213AEF"/>
    <w:rsid w:val="00222CF9"/>
    <w:rsid w:val="00247A04"/>
    <w:rsid w:val="002518E0"/>
    <w:rsid w:val="002527A9"/>
    <w:rsid w:val="00256956"/>
    <w:rsid w:val="002858F2"/>
    <w:rsid w:val="002A2710"/>
    <w:rsid w:val="002A625A"/>
    <w:rsid w:val="002B1704"/>
    <w:rsid w:val="002B5625"/>
    <w:rsid w:val="002D45F5"/>
    <w:rsid w:val="002D5099"/>
    <w:rsid w:val="002D5635"/>
    <w:rsid w:val="00316C52"/>
    <w:rsid w:val="003215DD"/>
    <w:rsid w:val="00331BD9"/>
    <w:rsid w:val="00341149"/>
    <w:rsid w:val="00352925"/>
    <w:rsid w:val="00353123"/>
    <w:rsid w:val="0036065C"/>
    <w:rsid w:val="003726E0"/>
    <w:rsid w:val="00375117"/>
    <w:rsid w:val="00397694"/>
    <w:rsid w:val="003B0780"/>
    <w:rsid w:val="003B4965"/>
    <w:rsid w:val="003C1563"/>
    <w:rsid w:val="003C49BB"/>
    <w:rsid w:val="003C671B"/>
    <w:rsid w:val="003D174F"/>
    <w:rsid w:val="003D2493"/>
    <w:rsid w:val="003F12A7"/>
    <w:rsid w:val="00405A0C"/>
    <w:rsid w:val="00410936"/>
    <w:rsid w:val="0042064B"/>
    <w:rsid w:val="00426A00"/>
    <w:rsid w:val="004346EF"/>
    <w:rsid w:val="00441150"/>
    <w:rsid w:val="00451545"/>
    <w:rsid w:val="004621E0"/>
    <w:rsid w:val="00471713"/>
    <w:rsid w:val="00487CE9"/>
    <w:rsid w:val="004A1437"/>
    <w:rsid w:val="004A5BA9"/>
    <w:rsid w:val="004A7FA3"/>
    <w:rsid w:val="004E56E4"/>
    <w:rsid w:val="004F17D1"/>
    <w:rsid w:val="004F6B52"/>
    <w:rsid w:val="0050522C"/>
    <w:rsid w:val="00514523"/>
    <w:rsid w:val="00514F98"/>
    <w:rsid w:val="00517ED0"/>
    <w:rsid w:val="005206FB"/>
    <w:rsid w:val="00521CC3"/>
    <w:rsid w:val="0054770D"/>
    <w:rsid w:val="00552473"/>
    <w:rsid w:val="005635B1"/>
    <w:rsid w:val="00563FDB"/>
    <w:rsid w:val="00566ACC"/>
    <w:rsid w:val="00595E78"/>
    <w:rsid w:val="005B75B9"/>
    <w:rsid w:val="005C004A"/>
    <w:rsid w:val="005C17AD"/>
    <w:rsid w:val="005C1A70"/>
    <w:rsid w:val="005C60ED"/>
    <w:rsid w:val="005D456F"/>
    <w:rsid w:val="005E1912"/>
    <w:rsid w:val="005E5597"/>
    <w:rsid w:val="005F198B"/>
    <w:rsid w:val="00602529"/>
    <w:rsid w:val="00602D7C"/>
    <w:rsid w:val="0060652A"/>
    <w:rsid w:val="00654363"/>
    <w:rsid w:val="006745FA"/>
    <w:rsid w:val="00676333"/>
    <w:rsid w:val="006A5CA6"/>
    <w:rsid w:val="006A6B46"/>
    <w:rsid w:val="006B3F95"/>
    <w:rsid w:val="006D43CC"/>
    <w:rsid w:val="006E6DA3"/>
    <w:rsid w:val="006F2337"/>
    <w:rsid w:val="00700BE7"/>
    <w:rsid w:val="00702BC3"/>
    <w:rsid w:val="00703EB4"/>
    <w:rsid w:val="0072577B"/>
    <w:rsid w:val="00726B92"/>
    <w:rsid w:val="007312B6"/>
    <w:rsid w:val="007416AB"/>
    <w:rsid w:val="00746445"/>
    <w:rsid w:val="007505B2"/>
    <w:rsid w:val="00757227"/>
    <w:rsid w:val="00765DE1"/>
    <w:rsid w:val="00776DDD"/>
    <w:rsid w:val="0079293E"/>
    <w:rsid w:val="00793AA8"/>
    <w:rsid w:val="007B4389"/>
    <w:rsid w:val="007D3F62"/>
    <w:rsid w:val="007D4183"/>
    <w:rsid w:val="007E1A21"/>
    <w:rsid w:val="007E77CC"/>
    <w:rsid w:val="007F22AF"/>
    <w:rsid w:val="008022BA"/>
    <w:rsid w:val="008033BF"/>
    <w:rsid w:val="0082388E"/>
    <w:rsid w:val="00855216"/>
    <w:rsid w:val="00874FCE"/>
    <w:rsid w:val="008764FF"/>
    <w:rsid w:val="00895DCF"/>
    <w:rsid w:val="008E5393"/>
    <w:rsid w:val="00902A4B"/>
    <w:rsid w:val="009048F0"/>
    <w:rsid w:val="00905E55"/>
    <w:rsid w:val="009219CE"/>
    <w:rsid w:val="00924404"/>
    <w:rsid w:val="00940DC9"/>
    <w:rsid w:val="00944497"/>
    <w:rsid w:val="009473FD"/>
    <w:rsid w:val="009537D0"/>
    <w:rsid w:val="00971C2C"/>
    <w:rsid w:val="00976275"/>
    <w:rsid w:val="00983102"/>
    <w:rsid w:val="00992406"/>
    <w:rsid w:val="00994C90"/>
    <w:rsid w:val="009A5743"/>
    <w:rsid w:val="009A6ED1"/>
    <w:rsid w:val="009A6F45"/>
    <w:rsid w:val="009B07CF"/>
    <w:rsid w:val="009B4B4A"/>
    <w:rsid w:val="009E07F8"/>
    <w:rsid w:val="009F3EB8"/>
    <w:rsid w:val="00A052E5"/>
    <w:rsid w:val="00A16A75"/>
    <w:rsid w:val="00A26386"/>
    <w:rsid w:val="00A26C3C"/>
    <w:rsid w:val="00A337A5"/>
    <w:rsid w:val="00A53401"/>
    <w:rsid w:val="00A56983"/>
    <w:rsid w:val="00A56E3C"/>
    <w:rsid w:val="00A63A04"/>
    <w:rsid w:val="00A66F4A"/>
    <w:rsid w:val="00A67839"/>
    <w:rsid w:val="00A74904"/>
    <w:rsid w:val="00A93BA0"/>
    <w:rsid w:val="00AA156E"/>
    <w:rsid w:val="00AA40D3"/>
    <w:rsid w:val="00AB1A85"/>
    <w:rsid w:val="00AC2EBD"/>
    <w:rsid w:val="00AD2E16"/>
    <w:rsid w:val="00B078C6"/>
    <w:rsid w:val="00B51DF3"/>
    <w:rsid w:val="00B53A2D"/>
    <w:rsid w:val="00B53E59"/>
    <w:rsid w:val="00B5621D"/>
    <w:rsid w:val="00B902E8"/>
    <w:rsid w:val="00B90A6F"/>
    <w:rsid w:val="00B93F1E"/>
    <w:rsid w:val="00B94ADB"/>
    <w:rsid w:val="00BA39AF"/>
    <w:rsid w:val="00BA5118"/>
    <w:rsid w:val="00BC11FA"/>
    <w:rsid w:val="00BD23E7"/>
    <w:rsid w:val="00BF5309"/>
    <w:rsid w:val="00BF7183"/>
    <w:rsid w:val="00C05004"/>
    <w:rsid w:val="00C209E7"/>
    <w:rsid w:val="00C2583B"/>
    <w:rsid w:val="00C34A7E"/>
    <w:rsid w:val="00C34FA2"/>
    <w:rsid w:val="00C44002"/>
    <w:rsid w:val="00C55F18"/>
    <w:rsid w:val="00C74E92"/>
    <w:rsid w:val="00C75F57"/>
    <w:rsid w:val="00C80B48"/>
    <w:rsid w:val="00C83FEA"/>
    <w:rsid w:val="00C951BB"/>
    <w:rsid w:val="00CA2FB1"/>
    <w:rsid w:val="00CB36FF"/>
    <w:rsid w:val="00CC39E4"/>
    <w:rsid w:val="00CD216B"/>
    <w:rsid w:val="00CD2388"/>
    <w:rsid w:val="00CE61DE"/>
    <w:rsid w:val="00CF0F30"/>
    <w:rsid w:val="00CF2E47"/>
    <w:rsid w:val="00D17CA5"/>
    <w:rsid w:val="00D3075D"/>
    <w:rsid w:val="00D36174"/>
    <w:rsid w:val="00D4524B"/>
    <w:rsid w:val="00D512F9"/>
    <w:rsid w:val="00D625FF"/>
    <w:rsid w:val="00D818A6"/>
    <w:rsid w:val="00D82786"/>
    <w:rsid w:val="00D87BE4"/>
    <w:rsid w:val="00D92497"/>
    <w:rsid w:val="00DA2C12"/>
    <w:rsid w:val="00DA52FF"/>
    <w:rsid w:val="00DA7B13"/>
    <w:rsid w:val="00DD17FC"/>
    <w:rsid w:val="00DD1A65"/>
    <w:rsid w:val="00DD2C2E"/>
    <w:rsid w:val="00DD7960"/>
    <w:rsid w:val="00E04233"/>
    <w:rsid w:val="00E125AA"/>
    <w:rsid w:val="00E22B82"/>
    <w:rsid w:val="00E61385"/>
    <w:rsid w:val="00E6430C"/>
    <w:rsid w:val="00E73440"/>
    <w:rsid w:val="00E85C07"/>
    <w:rsid w:val="00E91BD8"/>
    <w:rsid w:val="00E97777"/>
    <w:rsid w:val="00EA02F3"/>
    <w:rsid w:val="00EB30B7"/>
    <w:rsid w:val="00EB4881"/>
    <w:rsid w:val="00EC4200"/>
    <w:rsid w:val="00EC6B31"/>
    <w:rsid w:val="00EE5147"/>
    <w:rsid w:val="00F117F2"/>
    <w:rsid w:val="00F36F1F"/>
    <w:rsid w:val="00F65FEC"/>
    <w:rsid w:val="00F675D8"/>
    <w:rsid w:val="00F7264B"/>
    <w:rsid w:val="00F812FB"/>
    <w:rsid w:val="00F85478"/>
    <w:rsid w:val="00F9257E"/>
    <w:rsid w:val="00FA08A9"/>
    <w:rsid w:val="00FA77AA"/>
    <w:rsid w:val="00FB1BB6"/>
    <w:rsid w:val="00FF0476"/>
    <w:rsid w:val="00FF2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4:docId w14:val="02705E57"/>
  <w15:docId w15:val="{2233AA25-3BE1-4778-9B74-2FE450119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404A5"/>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CE61DE"/>
    <w:pPr>
      <w:spacing w:before="100" w:beforeAutospacing="1" w:after="100" w:afterAutospacing="1" w:line="240" w:lineRule="auto"/>
    </w:pPr>
    <w:rPr>
      <w:rFonts w:ascii="Times New Roman" w:hAnsi="Times New Roman"/>
      <w:sz w:val="24"/>
      <w:szCs w:val="24"/>
    </w:rPr>
  </w:style>
  <w:style w:type="character" w:styleId="Emphasis">
    <w:name w:val="Emphasis"/>
    <w:basedOn w:val="DefaultParagraphFont"/>
    <w:uiPriority w:val="20"/>
    <w:qFormat/>
    <w:rsid w:val="00CE61DE"/>
    <w:rPr>
      <w:i/>
      <w:iCs/>
    </w:rPr>
  </w:style>
  <w:style w:type="paragraph" w:styleId="ListParagraph">
    <w:name w:val="List Paragraph"/>
    <w:aliases w:val="References,Bullets,List Paragraph (numbered (a)),List_Paragraph,Multilevel para_II,Akapit z listą BS,Bullet1,1.1.1_List Paragraph,Forth level,List Paragraph 1,List Paragraph 1.1.1,List Paragraph1,Main numbered paragraph,Normal 2,PAD"/>
    <w:basedOn w:val="Normal"/>
    <w:link w:val="ListParagraphChar"/>
    <w:qFormat/>
    <w:rsid w:val="000F76AC"/>
    <w:pPr>
      <w:spacing w:after="0" w:line="240" w:lineRule="auto"/>
      <w:ind w:left="720"/>
      <w:contextualSpacing/>
    </w:pPr>
    <w:rPr>
      <w:rFonts w:ascii="Times New Roman" w:hAnsi="Times New Roman"/>
      <w:sz w:val="24"/>
      <w:szCs w:val="24"/>
    </w:rPr>
  </w:style>
  <w:style w:type="character" w:customStyle="1" w:styleId="ListParagraphChar">
    <w:name w:val="List Paragraph Char"/>
    <w:aliases w:val="References Char,Bullets Char,List Paragraph (numbered (a)) Char,List_Paragraph Char,Multilevel para_II Char,Akapit z listą BS Char,Bullet1 Char,1.1.1_List Paragraph Char,Forth level Char,List Paragraph 1 Char,List Paragraph1 Char"/>
    <w:link w:val="ListParagraph"/>
    <w:qFormat/>
    <w:rsid w:val="000F76AC"/>
    <w:rPr>
      <w:rFonts w:ascii="Times New Roman" w:eastAsia="Times New Roman" w:hAnsi="Times New Roman" w:cs="Times New Roman"/>
      <w:sz w:val="24"/>
      <w:szCs w:val="24"/>
    </w:rPr>
  </w:style>
  <w:style w:type="paragraph" w:customStyle="1" w:styleId="TextAutoNumbered">
    <w:name w:val="Text Auto Numbered"/>
    <w:basedOn w:val="Normal"/>
    <w:rsid w:val="000F76AC"/>
    <w:pPr>
      <w:tabs>
        <w:tab w:val="num" w:pos="1440"/>
      </w:tabs>
      <w:autoSpaceDE w:val="0"/>
      <w:autoSpaceDN w:val="0"/>
      <w:adjustRightInd w:val="0"/>
      <w:spacing w:before="120" w:after="0" w:line="240" w:lineRule="auto"/>
      <w:ind w:left="1440" w:hanging="720"/>
      <w:jc w:val="both"/>
    </w:pPr>
    <w:rPr>
      <w:rFonts w:ascii="Tahoma" w:eastAsia="Calibri" w:hAnsi="Tahoma"/>
      <w:szCs w:val="24"/>
    </w:rPr>
  </w:style>
  <w:style w:type="paragraph" w:styleId="FootnoteText">
    <w:name w:val="footnote text"/>
    <w:basedOn w:val="Normal"/>
    <w:link w:val="FootnoteTextChar"/>
    <w:rsid w:val="000F76AC"/>
    <w:pPr>
      <w:spacing w:after="0" w:line="240" w:lineRule="auto"/>
    </w:pPr>
    <w:rPr>
      <w:rFonts w:ascii="Times New Roman" w:hAnsi="Times New Roman"/>
      <w:sz w:val="20"/>
      <w:szCs w:val="20"/>
    </w:rPr>
  </w:style>
  <w:style w:type="character" w:customStyle="1" w:styleId="FootnoteTextChar">
    <w:name w:val="Footnote Text Char"/>
    <w:basedOn w:val="DefaultParagraphFont"/>
    <w:link w:val="FootnoteText"/>
    <w:rsid w:val="000F76AC"/>
    <w:rPr>
      <w:rFonts w:ascii="Times New Roman" w:eastAsia="Times New Roman" w:hAnsi="Times New Roman" w:cs="Times New Roman"/>
      <w:sz w:val="20"/>
      <w:szCs w:val="20"/>
    </w:rPr>
  </w:style>
  <w:style w:type="character" w:styleId="FootnoteReference">
    <w:name w:val="footnote reference"/>
    <w:basedOn w:val="DefaultParagraphFont"/>
    <w:rsid w:val="000F76AC"/>
    <w:rPr>
      <w:vertAlign w:val="superscript"/>
    </w:rPr>
  </w:style>
  <w:style w:type="character" w:customStyle="1" w:styleId="tlid-translation">
    <w:name w:val="tlid-translation"/>
    <w:basedOn w:val="DefaultParagraphFont"/>
    <w:rsid w:val="000F76AC"/>
  </w:style>
  <w:style w:type="paragraph" w:styleId="BodyText">
    <w:name w:val="Body Text"/>
    <w:basedOn w:val="Normal"/>
    <w:link w:val="BodyTextChar"/>
    <w:semiHidden/>
    <w:unhideWhenUsed/>
    <w:rsid w:val="00A74904"/>
    <w:pPr>
      <w:suppressAutoHyphens/>
      <w:spacing w:after="120" w:line="240" w:lineRule="auto"/>
      <w:jc w:val="both"/>
    </w:pPr>
    <w:rPr>
      <w:rFonts w:ascii="Times New Roman" w:hAnsi="Times New Roman"/>
      <w:sz w:val="24"/>
      <w:szCs w:val="20"/>
    </w:rPr>
  </w:style>
  <w:style w:type="character" w:customStyle="1" w:styleId="BodyTextChar">
    <w:name w:val="Body Text Char"/>
    <w:basedOn w:val="DefaultParagraphFont"/>
    <w:link w:val="BodyText"/>
    <w:semiHidden/>
    <w:rsid w:val="00A74904"/>
    <w:rPr>
      <w:rFonts w:ascii="Times New Roman" w:eastAsia="Times New Roman" w:hAnsi="Times New Roman" w:cs="Times New Roman"/>
      <w:sz w:val="24"/>
      <w:szCs w:val="20"/>
    </w:rPr>
  </w:style>
  <w:style w:type="paragraph" w:styleId="BalloonText">
    <w:name w:val="Balloon Text"/>
    <w:basedOn w:val="Normal"/>
    <w:link w:val="BalloonTextChar"/>
    <w:uiPriority w:val="99"/>
    <w:semiHidden/>
    <w:unhideWhenUsed/>
    <w:rsid w:val="0002606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06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7263563">
      <w:bodyDiv w:val="1"/>
      <w:marLeft w:val="0"/>
      <w:marRight w:val="0"/>
      <w:marTop w:val="0"/>
      <w:marBottom w:val="0"/>
      <w:divBdr>
        <w:top w:val="none" w:sz="0" w:space="0" w:color="auto"/>
        <w:left w:val="none" w:sz="0" w:space="0" w:color="auto"/>
        <w:bottom w:val="none" w:sz="0" w:space="0" w:color="auto"/>
        <w:right w:val="none" w:sz="0" w:space="0" w:color="auto"/>
      </w:divBdr>
    </w:div>
    <w:div w:id="93865803">
      <w:bodyDiv w:val="1"/>
      <w:marLeft w:val="0"/>
      <w:marRight w:val="0"/>
      <w:marTop w:val="0"/>
      <w:marBottom w:val="0"/>
      <w:divBdr>
        <w:top w:val="none" w:sz="0" w:space="0" w:color="auto"/>
        <w:left w:val="none" w:sz="0" w:space="0" w:color="auto"/>
        <w:bottom w:val="none" w:sz="0" w:space="0" w:color="auto"/>
        <w:right w:val="none" w:sz="0" w:space="0" w:color="auto"/>
      </w:divBdr>
    </w:div>
    <w:div w:id="860356728">
      <w:bodyDiv w:val="1"/>
      <w:marLeft w:val="0"/>
      <w:marRight w:val="0"/>
      <w:marTop w:val="0"/>
      <w:marBottom w:val="0"/>
      <w:divBdr>
        <w:top w:val="none" w:sz="0" w:space="0" w:color="auto"/>
        <w:left w:val="none" w:sz="0" w:space="0" w:color="auto"/>
        <w:bottom w:val="none" w:sz="0" w:space="0" w:color="auto"/>
        <w:right w:val="none" w:sz="0" w:space="0" w:color="auto"/>
      </w:divBdr>
    </w:div>
    <w:div w:id="994144468">
      <w:bodyDiv w:val="1"/>
      <w:marLeft w:val="0"/>
      <w:marRight w:val="0"/>
      <w:marTop w:val="0"/>
      <w:marBottom w:val="0"/>
      <w:divBdr>
        <w:top w:val="none" w:sz="0" w:space="0" w:color="auto"/>
        <w:left w:val="none" w:sz="0" w:space="0" w:color="auto"/>
        <w:bottom w:val="none" w:sz="0" w:space="0" w:color="auto"/>
        <w:right w:val="none" w:sz="0" w:space="0" w:color="auto"/>
      </w:divBdr>
    </w:div>
    <w:div w:id="1315257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189</TotalTime>
  <Pages>5</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Korisnik</dc:creator>
  <cp:lastModifiedBy>user1</cp:lastModifiedBy>
  <cp:revision>56</cp:revision>
  <dcterms:created xsi:type="dcterms:W3CDTF">2023-02-17T14:44:00Z</dcterms:created>
  <dcterms:modified xsi:type="dcterms:W3CDTF">2023-06-14T08:32:00Z</dcterms:modified>
</cp:coreProperties>
</file>