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B8401" w14:textId="77777777" w:rsidR="001B10FE" w:rsidRDefault="001B10FE" w:rsidP="00004A41">
      <w:pPr>
        <w:spacing w:line="276" w:lineRule="auto"/>
        <w:jc w:val="center"/>
        <w:rPr>
          <w:b/>
        </w:rPr>
      </w:pPr>
    </w:p>
    <w:p w14:paraId="7079E7FD" w14:textId="77777777" w:rsidR="001B10FE" w:rsidRPr="001B10FE" w:rsidRDefault="001B10FE" w:rsidP="001B10FE">
      <w:pPr>
        <w:spacing w:after="200" w:line="276" w:lineRule="auto"/>
        <w:jc w:val="center"/>
        <w:rPr>
          <w:b/>
        </w:rPr>
      </w:pPr>
      <w:r w:rsidRPr="001B10FE">
        <w:rPr>
          <w:b/>
        </w:rPr>
        <w:t xml:space="preserve">BOSNIA </w:t>
      </w:r>
      <w:smartTag w:uri="urn:schemas-microsoft-com:office:smarttags" w:element="stockticker">
        <w:r w:rsidRPr="001B10FE">
          <w:rPr>
            <w:b/>
          </w:rPr>
          <w:t>AND</w:t>
        </w:r>
      </w:smartTag>
      <w:r w:rsidRPr="001B10FE">
        <w:rPr>
          <w:b/>
        </w:rPr>
        <w:t xml:space="preserve"> HERZEGOVINA </w:t>
      </w:r>
    </w:p>
    <w:p w14:paraId="0FC5BCEA" w14:textId="77777777" w:rsidR="001B10FE" w:rsidRPr="001B10FE" w:rsidRDefault="001B10FE" w:rsidP="001B10FE">
      <w:pPr>
        <w:spacing w:after="200" w:line="276" w:lineRule="auto"/>
        <w:jc w:val="center"/>
        <w:rPr>
          <w:b/>
        </w:rPr>
      </w:pPr>
      <w:r w:rsidRPr="001B10FE">
        <w:rPr>
          <w:b/>
        </w:rPr>
        <w:t xml:space="preserve">FEDERATION OF BOSNIA </w:t>
      </w:r>
      <w:smartTag w:uri="urn:schemas-microsoft-com:office:smarttags" w:element="stockticker">
        <w:r w:rsidRPr="001B10FE">
          <w:rPr>
            <w:b/>
          </w:rPr>
          <w:t>AND</w:t>
        </w:r>
      </w:smartTag>
      <w:r w:rsidRPr="001B10FE">
        <w:rPr>
          <w:b/>
        </w:rPr>
        <w:t xml:space="preserve"> HERZEGOVINA</w:t>
      </w:r>
    </w:p>
    <w:p w14:paraId="2FED14FB" w14:textId="77777777" w:rsidR="001B10FE" w:rsidRPr="001B10FE" w:rsidRDefault="001B10FE" w:rsidP="001B10FE">
      <w:pPr>
        <w:spacing w:after="200" w:line="276" w:lineRule="auto"/>
        <w:jc w:val="center"/>
        <w:rPr>
          <w:b/>
        </w:rPr>
      </w:pPr>
      <w:r w:rsidRPr="001B10FE">
        <w:rPr>
          <w:b/>
        </w:rPr>
        <w:t>ADDITIONAL FINANCING FOR ENERGY EFFICIENCY PROJECT–ID P165405</w:t>
      </w:r>
    </w:p>
    <w:p w14:paraId="354AAEF6" w14:textId="77777777" w:rsidR="001B10FE" w:rsidRPr="001B10FE" w:rsidRDefault="001B10FE" w:rsidP="001B10FE">
      <w:pPr>
        <w:spacing w:after="200" w:line="276" w:lineRule="auto"/>
        <w:rPr>
          <w:b/>
        </w:rPr>
      </w:pPr>
    </w:p>
    <w:p w14:paraId="0D26DBAD" w14:textId="77777777" w:rsidR="001B10FE" w:rsidRPr="001B10FE" w:rsidRDefault="001B10FE" w:rsidP="001B10FE">
      <w:pPr>
        <w:spacing w:after="200" w:line="276" w:lineRule="auto"/>
        <w:jc w:val="center"/>
        <w:rPr>
          <w:b/>
        </w:rPr>
      </w:pPr>
      <w:r w:rsidRPr="001B10FE">
        <w:rPr>
          <w:b/>
        </w:rPr>
        <w:t>TERMS OF REFERENCES</w:t>
      </w:r>
    </w:p>
    <w:p w14:paraId="26C63A31" w14:textId="77777777" w:rsidR="001B10FE" w:rsidRPr="001B10FE" w:rsidRDefault="001B10FE" w:rsidP="001B10FE">
      <w:pPr>
        <w:spacing w:after="200" w:line="276" w:lineRule="auto"/>
        <w:rPr>
          <w:b/>
        </w:rPr>
      </w:pPr>
    </w:p>
    <w:p w14:paraId="1DB32213" w14:textId="77777777" w:rsidR="001B10FE" w:rsidRPr="001B10FE" w:rsidRDefault="001B10FE" w:rsidP="001B10FE">
      <w:pPr>
        <w:spacing w:after="200" w:line="276" w:lineRule="auto"/>
        <w:jc w:val="center"/>
        <w:rPr>
          <w:b/>
        </w:rPr>
      </w:pPr>
      <w:r w:rsidRPr="001B10FE">
        <w:rPr>
          <w:b/>
        </w:rPr>
        <w:t>for the Consultant</w:t>
      </w:r>
    </w:p>
    <w:p w14:paraId="7C2EF62F" w14:textId="25EDD67F" w:rsidR="001B10FE" w:rsidRPr="003712DF" w:rsidRDefault="001B10FE" w:rsidP="001B10FE">
      <w:pPr>
        <w:spacing w:after="200" w:line="276" w:lineRule="auto"/>
        <w:jc w:val="center"/>
        <w:rPr>
          <w:b/>
        </w:rPr>
      </w:pPr>
      <w:r w:rsidRPr="001B10FE">
        <w:rPr>
          <w:b/>
        </w:rPr>
        <w:t xml:space="preserve">for provision of </w:t>
      </w:r>
      <w:r w:rsidRPr="003712DF">
        <w:rPr>
          <w:b/>
        </w:rPr>
        <w:t xml:space="preserve">services related to the </w:t>
      </w:r>
      <w:bookmarkStart w:id="0" w:name="_Hlk127706596"/>
      <w:r w:rsidRPr="003712DF">
        <w:rPr>
          <w:b/>
        </w:rPr>
        <w:t xml:space="preserve">preparation and organization of the </w:t>
      </w:r>
      <w:r w:rsidR="0028287D" w:rsidRPr="003712DF">
        <w:rPr>
          <w:b/>
        </w:rPr>
        <w:t>2</w:t>
      </w:r>
      <w:r w:rsidR="0028287D" w:rsidRPr="003712DF">
        <w:rPr>
          <w:b/>
          <w:vertAlign w:val="superscript"/>
        </w:rPr>
        <w:t>nd</w:t>
      </w:r>
      <w:r w:rsidR="0028287D" w:rsidRPr="003712DF">
        <w:rPr>
          <w:b/>
        </w:rPr>
        <w:t xml:space="preserve"> </w:t>
      </w:r>
      <w:r w:rsidRPr="003712DF">
        <w:rPr>
          <w:b/>
        </w:rPr>
        <w:t xml:space="preserve">International </w:t>
      </w:r>
      <w:bookmarkEnd w:id="0"/>
      <w:r w:rsidR="0028287D" w:rsidRPr="003712DF">
        <w:rPr>
          <w:b/>
        </w:rPr>
        <w:t>Conference on Energy Efficiency in Public Buildings</w:t>
      </w:r>
    </w:p>
    <w:p w14:paraId="4667F5D0" w14:textId="53E87FA5" w:rsidR="007D6EF7" w:rsidRPr="007D6EF7" w:rsidRDefault="007D6EF7" w:rsidP="007D6EF7">
      <w:pPr>
        <w:spacing w:after="200" w:line="276" w:lineRule="auto"/>
        <w:jc w:val="center"/>
        <w:rPr>
          <w:b/>
        </w:rPr>
      </w:pPr>
      <w:r w:rsidRPr="003712DF">
        <w:rPr>
          <w:b/>
        </w:rPr>
        <w:t xml:space="preserve">Ref. No. </w:t>
      </w:r>
      <w:r w:rsidRPr="003712DF">
        <w:rPr>
          <w:b/>
          <w:shd w:val="clear" w:color="auto" w:fill="FFFFFF"/>
        </w:rPr>
        <w:t>BEEPAF-P165405-CQ-46-CS-23-FBIH</w:t>
      </w:r>
    </w:p>
    <w:p w14:paraId="4AE0257F" w14:textId="77777777" w:rsidR="001B10FE" w:rsidRDefault="001B10FE" w:rsidP="00004A41">
      <w:pPr>
        <w:spacing w:line="276" w:lineRule="auto"/>
        <w:jc w:val="center"/>
        <w:rPr>
          <w:b/>
        </w:rPr>
      </w:pPr>
    </w:p>
    <w:p w14:paraId="10951CD7" w14:textId="77777777" w:rsidR="001B10FE" w:rsidRDefault="001B10FE" w:rsidP="00004A41">
      <w:pPr>
        <w:spacing w:line="276" w:lineRule="auto"/>
        <w:jc w:val="center"/>
        <w:rPr>
          <w:b/>
        </w:rPr>
      </w:pPr>
    </w:p>
    <w:p w14:paraId="0A15F932" w14:textId="77777777" w:rsidR="00573129" w:rsidRPr="00004A41" w:rsidRDefault="00573129" w:rsidP="00004A41">
      <w:pPr>
        <w:pStyle w:val="NormalWeb"/>
        <w:spacing w:after="0" w:afterAutospacing="0" w:line="276" w:lineRule="auto"/>
        <w:contextualSpacing/>
        <w:jc w:val="center"/>
        <w:rPr>
          <w:lang w:val="en-US"/>
        </w:rPr>
      </w:pPr>
    </w:p>
    <w:p w14:paraId="3D24BB59" w14:textId="77777777" w:rsidR="006F6093" w:rsidRPr="00004A41" w:rsidRDefault="006F6093" w:rsidP="00004A41">
      <w:pPr>
        <w:spacing w:line="276" w:lineRule="auto"/>
        <w:jc w:val="center"/>
        <w:rPr>
          <w:b/>
        </w:rPr>
      </w:pPr>
    </w:p>
    <w:p w14:paraId="45340C37" w14:textId="77777777" w:rsidR="006F6093" w:rsidRPr="00004A41" w:rsidRDefault="006F6093" w:rsidP="00004A41">
      <w:pPr>
        <w:spacing w:line="276" w:lineRule="auto"/>
        <w:rPr>
          <w:b/>
        </w:rPr>
      </w:pPr>
    </w:p>
    <w:p w14:paraId="78C56D5F" w14:textId="77777777" w:rsidR="006F6093" w:rsidRPr="00004A41" w:rsidRDefault="006F6093" w:rsidP="00004A41">
      <w:pPr>
        <w:numPr>
          <w:ilvl w:val="0"/>
          <w:numId w:val="1"/>
        </w:numPr>
        <w:spacing w:line="276" w:lineRule="auto"/>
        <w:ind w:left="0" w:firstLine="0"/>
        <w:rPr>
          <w:b/>
        </w:rPr>
      </w:pPr>
      <w:r w:rsidRPr="00004A41">
        <w:rPr>
          <w:b/>
        </w:rPr>
        <w:t>Background:</w:t>
      </w:r>
    </w:p>
    <w:p w14:paraId="4901DC15" w14:textId="77777777" w:rsidR="006F6093" w:rsidRPr="00004A41" w:rsidRDefault="006F6093" w:rsidP="00004A41">
      <w:pPr>
        <w:autoSpaceDE w:val="0"/>
        <w:autoSpaceDN w:val="0"/>
        <w:adjustRightInd w:val="0"/>
        <w:spacing w:line="276" w:lineRule="auto"/>
        <w:jc w:val="both"/>
      </w:pPr>
    </w:p>
    <w:p w14:paraId="6764F428" w14:textId="77777777" w:rsidR="006F6093" w:rsidRPr="00004A41" w:rsidRDefault="006F6093" w:rsidP="00004A41">
      <w:pPr>
        <w:spacing w:line="276" w:lineRule="auto"/>
        <w:jc w:val="both"/>
      </w:pPr>
      <w:r w:rsidRPr="00004A41">
        <w:t xml:space="preserve">The Government of Bosnia and Herzegovina (BH) has recognized the importance of energy efficiency to support sustainable economic growth and move towards EU accession and has received the financing for the </w:t>
      </w:r>
      <w:r w:rsidRPr="00004A41">
        <w:rPr>
          <w:bCs/>
          <w:noProof/>
        </w:rPr>
        <w:t>Additional Financing for the Bosnia and Herzegovina Energy Efficiency Project</w:t>
      </w:r>
      <w:r w:rsidRPr="00004A41">
        <w:t xml:space="preserve"> (AF) from the</w:t>
      </w:r>
      <w:r w:rsidRPr="00004A41">
        <w:rPr>
          <w:noProof/>
        </w:rPr>
        <w:t xml:space="preserve"> International Bank for Reconstruction and Development (IBRD) credit funds</w:t>
      </w:r>
      <w:r w:rsidRPr="00004A41">
        <w:t xml:space="preserve">. </w:t>
      </w:r>
      <w:r w:rsidRPr="00004A41">
        <w:rPr>
          <w:noProof/>
        </w:rPr>
        <w:t>The project development objective is to demonstrate the benefits of energy efficiency improvements in public sector buildings and support the development of scalable energy efficiency financing models.</w:t>
      </w:r>
    </w:p>
    <w:p w14:paraId="26F79D44" w14:textId="77777777" w:rsidR="006F6093" w:rsidRPr="00004A41" w:rsidRDefault="006F6093" w:rsidP="00004A41">
      <w:pPr>
        <w:spacing w:line="276" w:lineRule="auto"/>
        <w:jc w:val="both"/>
      </w:pPr>
    </w:p>
    <w:p w14:paraId="0459016A" w14:textId="77777777" w:rsidR="006F6093" w:rsidRPr="00004A41" w:rsidRDefault="006F6093" w:rsidP="00004A41">
      <w:pPr>
        <w:widowControl w:val="0"/>
        <w:shd w:val="clear" w:color="auto" w:fill="FFFFFF"/>
        <w:spacing w:after="60" w:line="276" w:lineRule="auto"/>
        <w:jc w:val="both"/>
      </w:pPr>
      <w:r w:rsidRPr="00004A41">
        <w:t>The project will be supported by a US$32 million IBRD/</w:t>
      </w:r>
      <w:smartTag w:uri="urn:schemas-microsoft-com:office:smarttags" w:element="stockticker">
        <w:r w:rsidRPr="00004A41">
          <w:t>IDA</w:t>
        </w:r>
      </w:smartTag>
      <w:r w:rsidRPr="00004A41">
        <w:t xml:space="preserve"> credit funds for BH, which is made available to the two entities (US$ 19.23 million allocated to the Federation of Bosnia and Herzegovina (FBH). The project will consist of three components implemented separately in each entity:</w:t>
      </w:r>
    </w:p>
    <w:p w14:paraId="6597EC76" w14:textId="77777777" w:rsidR="006F6093" w:rsidRPr="00004A41" w:rsidRDefault="006F6093" w:rsidP="00004A41">
      <w:pPr>
        <w:widowControl w:val="0"/>
        <w:shd w:val="clear" w:color="auto" w:fill="FFFFFF"/>
        <w:spacing w:after="60" w:line="276" w:lineRule="auto"/>
        <w:jc w:val="both"/>
      </w:pPr>
    </w:p>
    <w:p w14:paraId="10576A79" w14:textId="77777777" w:rsidR="006F6093" w:rsidRPr="00004A41" w:rsidRDefault="006F6093" w:rsidP="00004A41">
      <w:pPr>
        <w:widowControl w:val="0"/>
        <w:shd w:val="clear" w:color="auto" w:fill="FFFFFF"/>
        <w:spacing w:after="60" w:line="276" w:lineRule="auto"/>
        <w:jc w:val="both"/>
        <w:rPr>
          <w:b/>
        </w:rPr>
      </w:pPr>
      <w:r w:rsidRPr="00004A41">
        <w:rPr>
          <w:b/>
        </w:rPr>
        <w:t>Component 1: Energy efficiency investments in public facilities</w:t>
      </w:r>
    </w:p>
    <w:p w14:paraId="049C6440" w14:textId="77777777" w:rsidR="006F6093" w:rsidRPr="00004A41" w:rsidRDefault="006F6093" w:rsidP="00004A41">
      <w:pPr>
        <w:widowControl w:val="0"/>
        <w:shd w:val="clear" w:color="auto" w:fill="FFFFFF"/>
        <w:spacing w:after="60" w:line="276" w:lineRule="auto"/>
        <w:jc w:val="both"/>
        <w:rPr>
          <w:b/>
        </w:rPr>
      </w:pPr>
      <w:r w:rsidRPr="00004A41">
        <w:rPr>
          <w:b/>
        </w:rPr>
        <w:t>Component 2: Support for the development of scalable financing mechanisms and capacity building</w:t>
      </w:r>
    </w:p>
    <w:p w14:paraId="7EBE98E1" w14:textId="77777777" w:rsidR="006F6093" w:rsidRPr="00004A41" w:rsidRDefault="006F6093" w:rsidP="00004A41">
      <w:pPr>
        <w:widowControl w:val="0"/>
        <w:shd w:val="clear" w:color="auto" w:fill="FFFFFF"/>
        <w:spacing w:after="60" w:line="276" w:lineRule="auto"/>
        <w:jc w:val="both"/>
        <w:rPr>
          <w:b/>
        </w:rPr>
      </w:pPr>
      <w:r w:rsidRPr="00004A41">
        <w:rPr>
          <w:b/>
        </w:rPr>
        <w:t>Component 3: Project Management</w:t>
      </w:r>
    </w:p>
    <w:p w14:paraId="70FBE154" w14:textId="77777777" w:rsidR="006F6093" w:rsidRPr="00004A41" w:rsidRDefault="006F6093" w:rsidP="00004A41">
      <w:pPr>
        <w:widowControl w:val="0"/>
        <w:shd w:val="clear" w:color="auto" w:fill="FFFFFF"/>
        <w:spacing w:after="60" w:line="276" w:lineRule="auto"/>
        <w:jc w:val="both"/>
        <w:rPr>
          <w:b/>
        </w:rPr>
      </w:pPr>
    </w:p>
    <w:p w14:paraId="0A003B72" w14:textId="77777777" w:rsidR="006F6093" w:rsidRDefault="006F6093" w:rsidP="00004A41">
      <w:pPr>
        <w:spacing w:line="276" w:lineRule="auto"/>
        <w:jc w:val="both"/>
      </w:pPr>
      <w:r w:rsidRPr="00004A41">
        <w:lastRenderedPageBreak/>
        <w:t>The project implementation unit (PIU) established within the Federal Ministry of Physical Planning (FMPP) will be responsible for the preparation, coordination, management and implementation of the project in the Federation of Bosnia and Herzegovina, including procurement, contracting, and payments of all goods, works and services related to the project.</w:t>
      </w:r>
    </w:p>
    <w:p w14:paraId="7B45FBF7" w14:textId="77777777" w:rsidR="001B10FE" w:rsidRPr="00004A41" w:rsidRDefault="001B10FE" w:rsidP="00004A41">
      <w:pPr>
        <w:spacing w:line="276" w:lineRule="auto"/>
        <w:jc w:val="both"/>
      </w:pPr>
    </w:p>
    <w:p w14:paraId="4FC2E425" w14:textId="7F94F473" w:rsidR="00C529FF" w:rsidRPr="00004A41" w:rsidRDefault="00C529FF" w:rsidP="00C529FF">
      <w:pPr>
        <w:spacing w:line="276" w:lineRule="auto"/>
        <w:jc w:val="both"/>
      </w:pPr>
      <w:r w:rsidRPr="00C529FF">
        <w:t>The conference will bring together public sector decision makers, financial sector representatives, interested investors, construction sector and facility management companies, representatives of the bilateral organizations, donors, and researchers. a view to exchange information, to learn from each other and to network. The aim of the conference is to reach consensus about the current state of affairs and the main impediments that need to be addressed in the energy efficiency local market and the public buildings sector, and reach agreement on the next steps and the course of action that will pave the path to the local market development and improvement of the energy efficiency in public buildings sector in FBiH.</w:t>
      </w:r>
      <w:r w:rsidR="00203905">
        <w:t xml:space="preserve"> The conference is planned to be organized in onsite and hybrid format. </w:t>
      </w:r>
    </w:p>
    <w:p w14:paraId="09AFCFF8" w14:textId="77777777" w:rsidR="006F6093" w:rsidRPr="00004A41" w:rsidRDefault="006F6093" w:rsidP="00004A41">
      <w:pPr>
        <w:spacing w:line="276" w:lineRule="auto"/>
        <w:jc w:val="both"/>
        <w:rPr>
          <w:lang w:val="en-GB"/>
        </w:rPr>
      </w:pPr>
    </w:p>
    <w:p w14:paraId="5D6A1874" w14:textId="77777777" w:rsidR="006F6093" w:rsidRPr="00004A41" w:rsidRDefault="006F6093" w:rsidP="00004A41">
      <w:pPr>
        <w:pStyle w:val="ListParagraph"/>
        <w:widowControl w:val="0"/>
        <w:numPr>
          <w:ilvl w:val="0"/>
          <w:numId w:val="1"/>
        </w:numPr>
        <w:spacing w:after="0"/>
        <w:jc w:val="both"/>
        <w:rPr>
          <w:rFonts w:ascii="Times New Roman" w:hAnsi="Times New Roman" w:cs="Times New Roman"/>
          <w:b/>
          <w:sz w:val="24"/>
          <w:szCs w:val="24"/>
          <w:lang w:val="en-GB"/>
        </w:rPr>
      </w:pPr>
      <w:r w:rsidRPr="00004A41">
        <w:rPr>
          <w:rFonts w:ascii="Times New Roman" w:hAnsi="Times New Roman" w:cs="Times New Roman"/>
          <w:b/>
          <w:sz w:val="24"/>
          <w:szCs w:val="24"/>
          <w:lang w:val="en-GB"/>
        </w:rPr>
        <w:t>Objectives</w:t>
      </w:r>
    </w:p>
    <w:p w14:paraId="4A390AFB" w14:textId="77777777" w:rsidR="006F6093" w:rsidRPr="00004A41" w:rsidRDefault="006F6093" w:rsidP="00004A41">
      <w:pPr>
        <w:spacing w:line="276" w:lineRule="auto"/>
        <w:jc w:val="both"/>
        <w:outlineLvl w:val="1"/>
      </w:pPr>
    </w:p>
    <w:p w14:paraId="28328F40" w14:textId="1CACC739" w:rsidR="00315E9A" w:rsidRPr="008739CC" w:rsidRDefault="006F6093" w:rsidP="008739CC">
      <w:pPr>
        <w:spacing w:line="276" w:lineRule="auto"/>
        <w:jc w:val="both"/>
        <w:outlineLvl w:val="1"/>
        <w:rPr>
          <w:lang w:val="en-GB" w:eastAsia="fr-FR"/>
        </w:rPr>
      </w:pPr>
      <w:r w:rsidRPr="00004A41">
        <w:t xml:space="preserve">FMPP as the Client will contract a </w:t>
      </w:r>
      <w:proofErr w:type="gramStart"/>
      <w:r w:rsidR="00C529FF">
        <w:t>C</w:t>
      </w:r>
      <w:r w:rsidR="001B10FE" w:rsidRPr="00004A41">
        <w:t>onsultant</w:t>
      </w:r>
      <w:proofErr w:type="gramEnd"/>
      <w:r w:rsidRPr="00004A41">
        <w:t xml:space="preserve"> </w:t>
      </w:r>
      <w:r w:rsidRPr="00004A41">
        <w:rPr>
          <w:lang w:val="en-GB"/>
        </w:rPr>
        <w:t xml:space="preserve">to </w:t>
      </w:r>
      <w:r w:rsidR="001B10FE">
        <w:rPr>
          <w:lang w:val="en-GB"/>
        </w:rPr>
        <w:t>prepare</w:t>
      </w:r>
      <w:r w:rsidR="0028287D">
        <w:rPr>
          <w:lang w:val="en-GB"/>
        </w:rPr>
        <w:t xml:space="preserve">, </w:t>
      </w:r>
      <w:r w:rsidR="001B10FE">
        <w:rPr>
          <w:lang w:val="en-GB"/>
        </w:rPr>
        <w:t>organise</w:t>
      </w:r>
      <w:r w:rsidR="00BD0F43">
        <w:rPr>
          <w:lang w:val="en-GB"/>
        </w:rPr>
        <w:t xml:space="preserve"> </w:t>
      </w:r>
      <w:r w:rsidR="0028287D">
        <w:rPr>
          <w:lang w:val="en-GB"/>
        </w:rPr>
        <w:t xml:space="preserve">and deliver the </w:t>
      </w:r>
      <w:r w:rsidR="00BD0F43">
        <w:rPr>
          <w:lang w:val="en-GB"/>
        </w:rPr>
        <w:t xml:space="preserve">one-day </w:t>
      </w:r>
      <w:r w:rsidR="001B10FE">
        <w:rPr>
          <w:lang w:val="en-GB" w:eastAsia="fr-FR"/>
        </w:rPr>
        <w:t>International Conference</w:t>
      </w:r>
      <w:r w:rsidRPr="00004A41">
        <w:rPr>
          <w:lang w:val="en-GB" w:eastAsia="fr-FR"/>
        </w:rPr>
        <w:t xml:space="preserve"> </w:t>
      </w:r>
      <w:r w:rsidR="00BD0F43">
        <w:rPr>
          <w:lang w:val="en-GB" w:eastAsia="fr-FR"/>
        </w:rPr>
        <w:t xml:space="preserve">that should be held in Sarajevo in </w:t>
      </w:r>
      <w:r w:rsidR="00A7112C">
        <w:rPr>
          <w:lang w:val="en-GB" w:eastAsia="fr-FR"/>
        </w:rPr>
        <w:t>February</w:t>
      </w:r>
      <w:r w:rsidR="00BD0F43">
        <w:rPr>
          <w:lang w:val="en-GB" w:eastAsia="fr-FR"/>
        </w:rPr>
        <w:t xml:space="preserve"> 202</w:t>
      </w:r>
      <w:r w:rsidR="00A7112C">
        <w:rPr>
          <w:lang w:val="en-GB" w:eastAsia="fr-FR"/>
        </w:rPr>
        <w:t>4</w:t>
      </w:r>
      <w:r w:rsidR="00BD0F43">
        <w:rPr>
          <w:lang w:val="en-GB" w:eastAsia="fr-FR"/>
        </w:rPr>
        <w:t xml:space="preserve">. The Conference should </w:t>
      </w:r>
      <w:r w:rsidR="001B10FE">
        <w:rPr>
          <w:lang w:val="en-GB" w:eastAsia="fr-FR"/>
        </w:rPr>
        <w:t>bring together all stakeholders interested in the energy efficiency market and public building sector</w:t>
      </w:r>
      <w:r w:rsidR="00BD0F43">
        <w:rPr>
          <w:lang w:val="en-GB" w:eastAsia="fr-FR"/>
        </w:rPr>
        <w:t xml:space="preserve">. </w:t>
      </w:r>
      <w:bookmarkStart w:id="1" w:name="_Hlk127706256"/>
      <w:r w:rsidR="008739CC">
        <w:rPr>
          <w:lang w:val="en-GB" w:eastAsia="fr-FR"/>
        </w:rPr>
        <w:t xml:space="preserve"> </w:t>
      </w:r>
      <w:r w:rsidR="000C22D8">
        <w:rPr>
          <w:lang w:val="en-GB" w:eastAsia="fr-FR"/>
        </w:rPr>
        <w:t xml:space="preserve">In order to present and discuss synergies and cooperation between public, private and financial stakeholder in removing existing barriers to market development and improved energy efficiency in public building sector, this high-level event should serve as a platform for presenting new ideas and inputs that contribute to Bosnia and Herzegovina in light of the EU accession process and meeting the requirement of the Energy Community Treaty in terms of energy efficiency. </w:t>
      </w:r>
    </w:p>
    <w:bookmarkEnd w:id="1"/>
    <w:p w14:paraId="1ABFC1E6" w14:textId="76CF6DDF" w:rsidR="006F6093" w:rsidRDefault="006F6093" w:rsidP="00004A41">
      <w:pPr>
        <w:spacing w:line="276" w:lineRule="auto"/>
        <w:jc w:val="both"/>
        <w:rPr>
          <w:lang w:val="en-GB" w:eastAsia="fr-FR"/>
        </w:rPr>
      </w:pPr>
    </w:p>
    <w:p w14:paraId="10E83B2E" w14:textId="77777777" w:rsidR="006F6093" w:rsidRPr="00004A41" w:rsidRDefault="006F6093" w:rsidP="00004A41">
      <w:pPr>
        <w:spacing w:line="276" w:lineRule="auto"/>
        <w:jc w:val="both"/>
      </w:pPr>
    </w:p>
    <w:p w14:paraId="38330564" w14:textId="77777777" w:rsidR="006F6093" w:rsidRPr="00004A41" w:rsidRDefault="006F6093" w:rsidP="00004A41">
      <w:pPr>
        <w:pStyle w:val="ListParagraph"/>
        <w:widowControl w:val="0"/>
        <w:numPr>
          <w:ilvl w:val="0"/>
          <w:numId w:val="1"/>
        </w:numPr>
        <w:spacing w:after="0"/>
        <w:jc w:val="both"/>
        <w:rPr>
          <w:rFonts w:ascii="Times New Roman" w:hAnsi="Times New Roman" w:cs="Times New Roman"/>
          <w:b/>
          <w:sz w:val="24"/>
          <w:szCs w:val="24"/>
          <w:lang w:val="en-GB"/>
        </w:rPr>
      </w:pPr>
      <w:r w:rsidRPr="00004A41">
        <w:rPr>
          <w:rFonts w:ascii="Times New Roman" w:hAnsi="Times New Roman" w:cs="Times New Roman"/>
          <w:b/>
          <w:sz w:val="24"/>
          <w:szCs w:val="24"/>
          <w:lang w:val="en-GB"/>
        </w:rPr>
        <w:t>Description and Scope of Services:</w:t>
      </w:r>
    </w:p>
    <w:p w14:paraId="18629137" w14:textId="77777777" w:rsidR="006F6093" w:rsidRPr="00004A41" w:rsidRDefault="006F6093" w:rsidP="00004A41">
      <w:pPr>
        <w:autoSpaceDE w:val="0"/>
        <w:autoSpaceDN w:val="0"/>
        <w:adjustRightInd w:val="0"/>
        <w:spacing w:line="276" w:lineRule="auto"/>
        <w:jc w:val="both"/>
      </w:pPr>
    </w:p>
    <w:p w14:paraId="73E3D459" w14:textId="1D956AA5" w:rsidR="00315E9A" w:rsidRDefault="006F6093" w:rsidP="00315E9A">
      <w:pPr>
        <w:pStyle w:val="ListParagraph"/>
        <w:spacing w:before="120" w:after="120"/>
        <w:ind w:left="0"/>
        <w:contextualSpacing w:val="0"/>
        <w:jc w:val="both"/>
        <w:rPr>
          <w:rFonts w:ascii="Times New Roman" w:hAnsi="Times New Roman" w:cs="Times New Roman"/>
          <w:sz w:val="24"/>
          <w:szCs w:val="24"/>
        </w:rPr>
      </w:pPr>
      <w:r w:rsidRPr="00004A41">
        <w:rPr>
          <w:rFonts w:ascii="Times New Roman" w:hAnsi="Times New Roman" w:cs="Times New Roman"/>
          <w:sz w:val="24"/>
          <w:szCs w:val="24"/>
        </w:rPr>
        <w:t xml:space="preserve">The consultant is expected to support the organization and execution of </w:t>
      </w:r>
      <w:r w:rsidR="00013D37" w:rsidRPr="00004A41">
        <w:rPr>
          <w:rFonts w:ascii="Times New Roman" w:hAnsi="Times New Roman" w:cs="Times New Roman"/>
          <w:sz w:val="24"/>
          <w:szCs w:val="24"/>
        </w:rPr>
        <w:t xml:space="preserve">one </w:t>
      </w:r>
      <w:r w:rsidR="00315E9A">
        <w:rPr>
          <w:rFonts w:ascii="Times New Roman" w:hAnsi="Times New Roman" w:cs="Times New Roman"/>
          <w:sz w:val="24"/>
          <w:szCs w:val="24"/>
        </w:rPr>
        <w:t>I</w:t>
      </w:r>
      <w:r w:rsidR="00013D37" w:rsidRPr="00004A41">
        <w:rPr>
          <w:rFonts w:ascii="Times New Roman" w:hAnsi="Times New Roman" w:cs="Times New Roman"/>
          <w:sz w:val="24"/>
          <w:szCs w:val="24"/>
        </w:rPr>
        <w:t xml:space="preserve">nternational </w:t>
      </w:r>
      <w:r w:rsidR="00315E9A">
        <w:rPr>
          <w:rFonts w:ascii="Times New Roman" w:hAnsi="Times New Roman" w:cs="Times New Roman"/>
          <w:sz w:val="24"/>
          <w:szCs w:val="24"/>
        </w:rPr>
        <w:t>C</w:t>
      </w:r>
      <w:r w:rsidR="00013D37" w:rsidRPr="00004A41">
        <w:rPr>
          <w:rFonts w:ascii="Times New Roman" w:hAnsi="Times New Roman" w:cs="Times New Roman"/>
          <w:sz w:val="24"/>
          <w:szCs w:val="24"/>
        </w:rPr>
        <w:t xml:space="preserve">onference </w:t>
      </w:r>
      <w:r w:rsidRPr="00004A41">
        <w:rPr>
          <w:rFonts w:ascii="Times New Roman" w:hAnsi="Times New Roman" w:cs="Times New Roman"/>
          <w:sz w:val="24"/>
          <w:szCs w:val="24"/>
        </w:rPr>
        <w:t>and related material</w:t>
      </w:r>
      <w:r w:rsidR="00315E9A">
        <w:rPr>
          <w:rFonts w:ascii="Times New Roman" w:hAnsi="Times New Roman" w:cs="Times New Roman"/>
          <w:sz w:val="24"/>
          <w:szCs w:val="24"/>
        </w:rPr>
        <w:t xml:space="preserve">. </w:t>
      </w:r>
      <w:r w:rsidR="004B2977">
        <w:rPr>
          <w:rFonts w:ascii="Times New Roman" w:hAnsi="Times New Roman" w:cs="Times New Roman"/>
          <w:sz w:val="24"/>
          <w:szCs w:val="24"/>
        </w:rPr>
        <w:t xml:space="preserve">The one-day event will consist of </w:t>
      </w:r>
      <w:r w:rsidR="004B2977" w:rsidRPr="004B2977">
        <w:rPr>
          <w:rFonts w:ascii="Times New Roman" w:hAnsi="Times New Roman" w:cs="Times New Roman"/>
          <w:sz w:val="24"/>
          <w:szCs w:val="24"/>
        </w:rPr>
        <w:t>introductory speeches</w:t>
      </w:r>
      <w:r w:rsidR="004B2977">
        <w:rPr>
          <w:rFonts w:ascii="Times New Roman" w:hAnsi="Times New Roman" w:cs="Times New Roman"/>
          <w:sz w:val="24"/>
          <w:szCs w:val="24"/>
        </w:rPr>
        <w:t>, presentations and panels</w:t>
      </w:r>
      <w:r w:rsidR="008739CC">
        <w:rPr>
          <w:rFonts w:ascii="Times New Roman" w:hAnsi="Times New Roman" w:cs="Times New Roman"/>
          <w:sz w:val="24"/>
          <w:szCs w:val="24"/>
        </w:rPr>
        <w:t xml:space="preserve"> moderated by the Consultant. </w:t>
      </w:r>
      <w:r w:rsidR="00315E9A">
        <w:rPr>
          <w:rFonts w:ascii="Times New Roman" w:hAnsi="Times New Roman" w:cs="Times New Roman"/>
          <w:sz w:val="24"/>
          <w:szCs w:val="24"/>
        </w:rPr>
        <w:t>I</w:t>
      </w:r>
      <w:r w:rsidR="00315E9A" w:rsidRPr="00004A41">
        <w:rPr>
          <w:rFonts w:ascii="Times New Roman" w:hAnsi="Times New Roman" w:cs="Times New Roman"/>
          <w:sz w:val="24"/>
          <w:szCs w:val="24"/>
        </w:rPr>
        <w:t xml:space="preserve">n close consultation with the PIU and the Ministry, </w:t>
      </w:r>
      <w:r w:rsidR="00315E9A">
        <w:rPr>
          <w:rFonts w:ascii="Times New Roman" w:hAnsi="Times New Roman" w:cs="Times New Roman"/>
          <w:sz w:val="24"/>
          <w:szCs w:val="24"/>
        </w:rPr>
        <w:t xml:space="preserve">the Consultant should prepare inter alia </w:t>
      </w:r>
      <w:r w:rsidR="00315E9A" w:rsidRPr="00004A41">
        <w:rPr>
          <w:rFonts w:ascii="Times New Roman" w:hAnsi="Times New Roman" w:cs="Times New Roman"/>
          <w:sz w:val="24"/>
          <w:szCs w:val="24"/>
        </w:rPr>
        <w:t xml:space="preserve">the invitation, list of invitees, </w:t>
      </w:r>
      <w:r w:rsidR="008739CC">
        <w:rPr>
          <w:rFonts w:ascii="Times New Roman" w:hAnsi="Times New Roman" w:cs="Times New Roman"/>
          <w:sz w:val="24"/>
          <w:szCs w:val="24"/>
        </w:rPr>
        <w:t>venue, f</w:t>
      </w:r>
      <w:r w:rsidR="00315E9A" w:rsidRPr="00004A41">
        <w:rPr>
          <w:rFonts w:ascii="Times New Roman" w:hAnsi="Times New Roman" w:cs="Times New Roman"/>
          <w:sz w:val="24"/>
          <w:szCs w:val="24"/>
        </w:rPr>
        <w:t xml:space="preserve">ormat </w:t>
      </w:r>
      <w:r w:rsidR="00B348FE">
        <w:rPr>
          <w:rFonts w:ascii="Times New Roman" w:hAnsi="Times New Roman" w:cs="Times New Roman"/>
          <w:sz w:val="24"/>
          <w:szCs w:val="24"/>
        </w:rPr>
        <w:t xml:space="preserve">and the content </w:t>
      </w:r>
      <w:r w:rsidR="00315E9A" w:rsidRPr="00004A41">
        <w:rPr>
          <w:rFonts w:ascii="Times New Roman" w:hAnsi="Times New Roman" w:cs="Times New Roman"/>
          <w:sz w:val="24"/>
          <w:szCs w:val="24"/>
        </w:rPr>
        <w:t xml:space="preserve">of the conference and </w:t>
      </w:r>
      <w:r w:rsidR="008739CC">
        <w:rPr>
          <w:rFonts w:ascii="Times New Roman" w:hAnsi="Times New Roman" w:cs="Times New Roman"/>
          <w:sz w:val="24"/>
          <w:szCs w:val="24"/>
        </w:rPr>
        <w:t xml:space="preserve">all </w:t>
      </w:r>
      <w:r w:rsidR="00315E9A" w:rsidRPr="00004A41">
        <w:rPr>
          <w:rFonts w:ascii="Times New Roman" w:hAnsi="Times New Roman" w:cs="Times New Roman"/>
          <w:sz w:val="24"/>
          <w:szCs w:val="24"/>
        </w:rPr>
        <w:t xml:space="preserve">logistics, information and promotion material for above objective, taking points for the </w:t>
      </w:r>
      <w:r w:rsidR="00E608FB" w:rsidRPr="00E608FB">
        <w:rPr>
          <w:rFonts w:ascii="Times New Roman" w:hAnsi="Times New Roman" w:cs="Times New Roman"/>
          <w:sz w:val="24"/>
          <w:szCs w:val="24"/>
        </w:rPr>
        <w:t xml:space="preserve">for representatives of the </w:t>
      </w:r>
      <w:r w:rsidR="00E608FB">
        <w:rPr>
          <w:rFonts w:ascii="Times New Roman" w:hAnsi="Times New Roman" w:cs="Times New Roman"/>
          <w:sz w:val="24"/>
          <w:szCs w:val="24"/>
        </w:rPr>
        <w:t>Ministry</w:t>
      </w:r>
      <w:r w:rsidR="00315E9A" w:rsidRPr="00004A41">
        <w:rPr>
          <w:rFonts w:ascii="Times New Roman" w:hAnsi="Times New Roman" w:cs="Times New Roman"/>
          <w:sz w:val="24"/>
          <w:szCs w:val="24"/>
        </w:rPr>
        <w:t xml:space="preserve"> and </w:t>
      </w:r>
      <w:r w:rsidR="00315E9A">
        <w:rPr>
          <w:rFonts w:ascii="Times New Roman" w:hAnsi="Times New Roman" w:cs="Times New Roman"/>
          <w:sz w:val="24"/>
          <w:szCs w:val="24"/>
        </w:rPr>
        <w:t xml:space="preserve">all </w:t>
      </w:r>
      <w:r w:rsidR="00315E9A" w:rsidRPr="00004A41">
        <w:rPr>
          <w:rFonts w:ascii="Times New Roman" w:hAnsi="Times New Roman" w:cs="Times New Roman"/>
          <w:sz w:val="24"/>
          <w:szCs w:val="24"/>
        </w:rPr>
        <w:t>other aspects needed for the conference.</w:t>
      </w:r>
    </w:p>
    <w:p w14:paraId="4ECD5DD7" w14:textId="08290380" w:rsidR="004B2977" w:rsidRDefault="008739CC" w:rsidP="00315E9A">
      <w:pPr>
        <w:pStyle w:val="ListParagraph"/>
        <w:spacing w:before="120"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The event is planned to be held in-person at the location agreed with the Client and will include two coffee breaks and lunch for up to 200 participants.</w:t>
      </w:r>
    </w:p>
    <w:p w14:paraId="28780AE3" w14:textId="104342AD" w:rsidR="008739CC" w:rsidRDefault="008739CC" w:rsidP="00315E9A">
      <w:pPr>
        <w:pStyle w:val="ListParagraph"/>
        <w:spacing w:before="120"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Travel and accommodation expenses for the participants will not be covered by the Consultant.</w:t>
      </w:r>
    </w:p>
    <w:p w14:paraId="4ED76313" w14:textId="7F8FFD38" w:rsidR="00315E9A" w:rsidRDefault="00A5450A" w:rsidP="00315E9A">
      <w:pPr>
        <w:autoSpaceDE w:val="0"/>
        <w:autoSpaceDN w:val="0"/>
        <w:adjustRightInd w:val="0"/>
        <w:spacing w:line="276" w:lineRule="auto"/>
        <w:jc w:val="both"/>
      </w:pPr>
      <w:r w:rsidRPr="007F5445">
        <w:lastRenderedPageBreak/>
        <w:t xml:space="preserve">In coordination and under direction of the PIU Program Manager / Coordinator, </w:t>
      </w:r>
      <w:r>
        <w:t>t</w:t>
      </w:r>
      <w:r w:rsidR="00315E9A" w:rsidRPr="00004A41">
        <w:t>he Consultant is expected to undertake, but is not limited, to the following key activities:</w:t>
      </w:r>
    </w:p>
    <w:p w14:paraId="210E4416" w14:textId="3B56CF0B" w:rsidR="00E608FB" w:rsidRDefault="00E608FB" w:rsidP="00315E9A">
      <w:pPr>
        <w:autoSpaceDE w:val="0"/>
        <w:autoSpaceDN w:val="0"/>
        <w:adjustRightInd w:val="0"/>
        <w:spacing w:line="276" w:lineRule="auto"/>
        <w:jc w:val="both"/>
      </w:pPr>
    </w:p>
    <w:p w14:paraId="2AEFC9FA" w14:textId="38F2B58E" w:rsidR="00E608FB" w:rsidRDefault="00A5450A" w:rsidP="00E608FB">
      <w:pPr>
        <w:widowControl w:val="0"/>
        <w:numPr>
          <w:ilvl w:val="0"/>
          <w:numId w:val="34"/>
        </w:numPr>
        <w:autoSpaceDE w:val="0"/>
        <w:autoSpaceDN w:val="0"/>
        <w:adjustRightInd w:val="0"/>
        <w:spacing w:line="276" w:lineRule="auto"/>
        <w:ind w:right="73"/>
        <w:contextualSpacing/>
        <w:jc w:val="both"/>
      </w:pPr>
      <w:r>
        <w:t>T</w:t>
      </w:r>
      <w:r w:rsidR="00E608FB" w:rsidRPr="00E608FB">
        <w:t xml:space="preserve">o design the Work Plan and submit it to the PIU Program Manager / Coordinator for approval. </w:t>
      </w:r>
    </w:p>
    <w:p w14:paraId="04F46AB8" w14:textId="5E478846" w:rsidR="00E608FB" w:rsidRDefault="00A5450A" w:rsidP="00E608FB">
      <w:pPr>
        <w:widowControl w:val="0"/>
        <w:numPr>
          <w:ilvl w:val="0"/>
          <w:numId w:val="34"/>
        </w:numPr>
        <w:autoSpaceDE w:val="0"/>
        <w:autoSpaceDN w:val="0"/>
        <w:adjustRightInd w:val="0"/>
        <w:spacing w:line="276" w:lineRule="auto"/>
        <w:ind w:right="73"/>
        <w:contextualSpacing/>
        <w:jc w:val="both"/>
      </w:pPr>
      <w:r>
        <w:t xml:space="preserve">To </w:t>
      </w:r>
      <w:r w:rsidR="007F5445" w:rsidRPr="007F5445">
        <w:t>prepare the main topics of the conference that will identify and clearly outline progress achieved so far, and enlist the actionable issues that will be used as discussion points and discussion facilitation guidelines</w:t>
      </w:r>
    </w:p>
    <w:p w14:paraId="6DEB9EDB" w14:textId="77777777" w:rsidR="00A5450A" w:rsidRDefault="00A5450A" w:rsidP="00A5450A">
      <w:pPr>
        <w:widowControl w:val="0"/>
        <w:numPr>
          <w:ilvl w:val="0"/>
          <w:numId w:val="34"/>
        </w:numPr>
        <w:autoSpaceDE w:val="0"/>
        <w:autoSpaceDN w:val="0"/>
        <w:adjustRightInd w:val="0"/>
        <w:spacing w:line="276" w:lineRule="auto"/>
        <w:ind w:right="73"/>
        <w:contextualSpacing/>
        <w:jc w:val="both"/>
      </w:pPr>
      <w:r>
        <w:t>To</w:t>
      </w:r>
      <w:r w:rsidR="007F5445" w:rsidRPr="007F5445">
        <w:t xml:space="preserve"> prepare the </w:t>
      </w:r>
      <w:r>
        <w:t xml:space="preserve">content and all </w:t>
      </w:r>
      <w:r w:rsidR="006865F1">
        <w:t>background documentation of the International Conference</w:t>
      </w:r>
    </w:p>
    <w:p w14:paraId="0C10D2BD" w14:textId="702D5886" w:rsidR="00A5450A" w:rsidRPr="00A5450A" w:rsidRDefault="00A5450A" w:rsidP="00A5450A">
      <w:pPr>
        <w:widowControl w:val="0"/>
        <w:numPr>
          <w:ilvl w:val="0"/>
          <w:numId w:val="34"/>
        </w:numPr>
        <w:autoSpaceDE w:val="0"/>
        <w:autoSpaceDN w:val="0"/>
        <w:adjustRightInd w:val="0"/>
        <w:spacing w:line="276" w:lineRule="auto"/>
        <w:ind w:right="73"/>
        <w:contextualSpacing/>
        <w:jc w:val="both"/>
      </w:pPr>
      <w:r>
        <w:t>To</w:t>
      </w:r>
      <w:r w:rsidR="007F5445" w:rsidRPr="007F5445">
        <w:t xml:space="preserve"> prepare the detailed conference agenda, identify the main speakers and the conference facilitators, and ensure their participation</w:t>
      </w:r>
      <w:r w:rsidR="00E608FB">
        <w:t xml:space="preserve">, </w:t>
      </w:r>
      <w:r w:rsidR="00E608FB" w:rsidRPr="00A5450A">
        <w:t xml:space="preserve">taking points for the </w:t>
      </w:r>
      <w:r w:rsidR="00E608FB" w:rsidRPr="00E608FB">
        <w:t xml:space="preserve">for representatives of the </w:t>
      </w:r>
      <w:r w:rsidR="00E608FB">
        <w:t>Ministry</w:t>
      </w:r>
      <w:r>
        <w:t xml:space="preserve"> </w:t>
      </w:r>
      <w:r w:rsidRPr="00A5450A">
        <w:t>and all other aspects needed for the conference</w:t>
      </w:r>
    </w:p>
    <w:p w14:paraId="4B710CCB" w14:textId="1B2BC49E" w:rsidR="007F5445" w:rsidRDefault="00A5450A" w:rsidP="007F5445">
      <w:pPr>
        <w:widowControl w:val="0"/>
        <w:numPr>
          <w:ilvl w:val="0"/>
          <w:numId w:val="34"/>
        </w:numPr>
        <w:autoSpaceDE w:val="0"/>
        <w:autoSpaceDN w:val="0"/>
        <w:adjustRightInd w:val="0"/>
        <w:spacing w:line="276" w:lineRule="auto"/>
        <w:ind w:right="73"/>
        <w:contextualSpacing/>
        <w:jc w:val="both"/>
      </w:pPr>
      <w:r>
        <w:rPr>
          <w:lang w:val="en-GB"/>
        </w:rPr>
        <w:t>T</w:t>
      </w:r>
      <w:r w:rsidRPr="00004A41">
        <w:rPr>
          <w:lang w:val="en-GB"/>
        </w:rPr>
        <w:t xml:space="preserve">o </w:t>
      </w:r>
      <w:r>
        <w:rPr>
          <w:lang w:val="en-GB"/>
        </w:rPr>
        <w:t>prepare, organise and deliver</w:t>
      </w:r>
      <w:r>
        <w:t xml:space="preserve"> l</w:t>
      </w:r>
      <w:r w:rsidR="007F5445" w:rsidRPr="007F5445">
        <w:t>ogistical organization and promotion of the conference</w:t>
      </w:r>
      <w:r>
        <w:t xml:space="preserve"> (</w:t>
      </w:r>
      <w:proofErr w:type="gramStart"/>
      <w:r>
        <w:t>e.g.</w:t>
      </w:r>
      <w:proofErr w:type="gramEnd"/>
      <w:r>
        <w:t xml:space="preserve"> conference action plan and design theme; participant’ management)</w:t>
      </w:r>
    </w:p>
    <w:p w14:paraId="2CA9D06C" w14:textId="4B52ECFB" w:rsidR="00B348FE" w:rsidRPr="00A5450A" w:rsidRDefault="00A5450A" w:rsidP="00FD2B1A">
      <w:pPr>
        <w:widowControl w:val="0"/>
        <w:numPr>
          <w:ilvl w:val="0"/>
          <w:numId w:val="34"/>
        </w:numPr>
        <w:autoSpaceDE w:val="0"/>
        <w:autoSpaceDN w:val="0"/>
        <w:adjustRightInd w:val="0"/>
        <w:spacing w:line="276" w:lineRule="auto"/>
        <w:ind w:right="73"/>
        <w:contextualSpacing/>
        <w:jc w:val="both"/>
        <w:rPr>
          <w:rFonts w:ascii="Cambria" w:hAnsi="Cambria" w:cs="Cambria"/>
          <w:sz w:val="18"/>
          <w:szCs w:val="22"/>
        </w:rPr>
      </w:pPr>
      <w:r>
        <w:t>To plan, lead and provide conference management (</w:t>
      </w:r>
      <w:proofErr w:type="gramStart"/>
      <w:r>
        <w:t>e.g.</w:t>
      </w:r>
      <w:proofErr w:type="gramEnd"/>
      <w:r>
        <w:t xml:space="preserve"> conference venue management, graphic design support for conference branding, preparing conference kits, participants registration and information support, other general logistical arrangement and event management</w:t>
      </w:r>
    </w:p>
    <w:p w14:paraId="475A398B" w14:textId="5D34BF3E" w:rsidR="00A5450A" w:rsidRPr="00A5450A" w:rsidRDefault="00A5450A" w:rsidP="00FD2B1A">
      <w:pPr>
        <w:widowControl w:val="0"/>
        <w:numPr>
          <w:ilvl w:val="0"/>
          <w:numId w:val="34"/>
        </w:numPr>
        <w:autoSpaceDE w:val="0"/>
        <w:autoSpaceDN w:val="0"/>
        <w:adjustRightInd w:val="0"/>
        <w:spacing w:line="276" w:lineRule="auto"/>
        <w:ind w:right="73"/>
        <w:contextualSpacing/>
        <w:jc w:val="both"/>
      </w:pPr>
      <w:r w:rsidRPr="00A5450A">
        <w:t xml:space="preserve">To prepare and submit </w:t>
      </w:r>
      <w:r>
        <w:t>e</w:t>
      </w:r>
      <w:r w:rsidRPr="00A5450A">
        <w:t>vent closure report detailing all activities carried out for preparation and during the</w:t>
      </w:r>
      <w:r w:rsidRPr="00A5450A">
        <w:rPr>
          <w:spacing w:val="1"/>
        </w:rPr>
        <w:t xml:space="preserve"> </w:t>
      </w:r>
      <w:r w:rsidRPr="00A5450A">
        <w:t>conference</w:t>
      </w:r>
      <w:r>
        <w:t xml:space="preserve">, as the results of the </w:t>
      </w:r>
      <w:r w:rsidRPr="00A5450A">
        <w:t>conducted satisfaction evaluations</w:t>
      </w:r>
    </w:p>
    <w:p w14:paraId="57AD444C" w14:textId="008A9607" w:rsidR="00315E9A" w:rsidRPr="00315E9A" w:rsidRDefault="00315E9A" w:rsidP="00315E9A">
      <w:pPr>
        <w:pStyle w:val="ListParagraph"/>
        <w:numPr>
          <w:ilvl w:val="0"/>
          <w:numId w:val="1"/>
        </w:numPr>
        <w:autoSpaceDE w:val="0"/>
        <w:autoSpaceDN w:val="0"/>
        <w:adjustRightInd w:val="0"/>
        <w:spacing w:before="120"/>
        <w:jc w:val="both"/>
        <w:rPr>
          <w:rFonts w:ascii="Times New Roman" w:hAnsi="Times New Roman" w:cs="Times New Roman"/>
          <w:b/>
          <w:sz w:val="24"/>
          <w:szCs w:val="24"/>
        </w:rPr>
      </w:pPr>
      <w:r w:rsidRPr="00315E9A">
        <w:rPr>
          <w:rFonts w:ascii="Times New Roman" w:hAnsi="Times New Roman" w:cs="Times New Roman"/>
          <w:b/>
          <w:sz w:val="24"/>
          <w:szCs w:val="24"/>
        </w:rPr>
        <w:t>Deliverables</w:t>
      </w:r>
    </w:p>
    <w:tbl>
      <w:tblPr>
        <w:tblW w:w="1006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1"/>
        <w:gridCol w:w="1032"/>
        <w:gridCol w:w="2268"/>
      </w:tblGrid>
      <w:tr w:rsidR="004B2977" w:rsidRPr="007773DF" w14:paraId="5F672B48" w14:textId="77777777" w:rsidTr="00A7112C">
        <w:trPr>
          <w:trHeight w:val="445"/>
        </w:trPr>
        <w:tc>
          <w:tcPr>
            <w:tcW w:w="6761" w:type="dxa"/>
          </w:tcPr>
          <w:p w14:paraId="4A9D3D95" w14:textId="77777777" w:rsidR="004B2977" w:rsidRPr="007773DF" w:rsidRDefault="004B2977" w:rsidP="001450FD">
            <w:pPr>
              <w:widowControl w:val="0"/>
              <w:autoSpaceDE w:val="0"/>
              <w:autoSpaceDN w:val="0"/>
              <w:spacing w:line="210" w:lineRule="exact"/>
              <w:ind w:left="107"/>
              <w:rPr>
                <w:b/>
              </w:rPr>
            </w:pPr>
            <w:r w:rsidRPr="007773DF">
              <w:rPr>
                <w:b/>
              </w:rPr>
              <w:t>Deliverables</w:t>
            </w:r>
          </w:p>
        </w:tc>
        <w:tc>
          <w:tcPr>
            <w:tcW w:w="1032" w:type="dxa"/>
          </w:tcPr>
          <w:p w14:paraId="26854D6F" w14:textId="39BFD938" w:rsidR="004B2977" w:rsidRPr="007773DF" w:rsidRDefault="004B2977" w:rsidP="001450FD">
            <w:pPr>
              <w:widowControl w:val="0"/>
              <w:autoSpaceDE w:val="0"/>
              <w:autoSpaceDN w:val="0"/>
              <w:spacing w:line="210" w:lineRule="exact"/>
              <w:ind w:left="107"/>
              <w:rPr>
                <w:b/>
              </w:rPr>
            </w:pPr>
            <w:r>
              <w:rPr>
                <w:b/>
              </w:rPr>
              <w:t xml:space="preserve">      %</w:t>
            </w:r>
          </w:p>
        </w:tc>
        <w:tc>
          <w:tcPr>
            <w:tcW w:w="2268" w:type="dxa"/>
          </w:tcPr>
          <w:p w14:paraId="0D505F5D" w14:textId="2E419F34" w:rsidR="004B2977" w:rsidRPr="007773DF" w:rsidRDefault="004B2977" w:rsidP="001450FD">
            <w:pPr>
              <w:widowControl w:val="0"/>
              <w:autoSpaceDE w:val="0"/>
              <w:autoSpaceDN w:val="0"/>
              <w:spacing w:line="210" w:lineRule="exact"/>
              <w:ind w:left="107"/>
              <w:rPr>
                <w:b/>
              </w:rPr>
            </w:pPr>
            <w:r w:rsidRPr="007773DF">
              <w:rPr>
                <w:b/>
              </w:rPr>
              <w:t>Deadline</w:t>
            </w:r>
          </w:p>
        </w:tc>
      </w:tr>
      <w:tr w:rsidR="004B2977" w:rsidRPr="007773DF" w14:paraId="740D9880" w14:textId="77777777" w:rsidTr="00A7112C">
        <w:trPr>
          <w:trHeight w:val="909"/>
        </w:trPr>
        <w:tc>
          <w:tcPr>
            <w:tcW w:w="6761" w:type="dxa"/>
          </w:tcPr>
          <w:p w14:paraId="0887ECA8" w14:textId="77777777" w:rsidR="004B2977" w:rsidRPr="00961C1A" w:rsidRDefault="004B2977" w:rsidP="001450FD">
            <w:pPr>
              <w:widowControl w:val="0"/>
              <w:autoSpaceDE w:val="0"/>
              <w:autoSpaceDN w:val="0"/>
              <w:ind w:left="467" w:right="384" w:hanging="360"/>
              <w:jc w:val="both"/>
              <w:rPr>
                <w:b/>
                <w:bCs/>
              </w:rPr>
            </w:pPr>
            <w:r w:rsidRPr="00961C1A">
              <w:rPr>
                <w:b/>
                <w:bCs/>
              </w:rPr>
              <w:t>Deliverable 1:</w:t>
            </w:r>
          </w:p>
          <w:p w14:paraId="4DEC48A8" w14:textId="1CDB9EB7" w:rsidR="004B2977" w:rsidRPr="007773DF" w:rsidRDefault="004B2977" w:rsidP="00961C1A">
            <w:pPr>
              <w:widowControl w:val="0"/>
              <w:autoSpaceDE w:val="0"/>
              <w:autoSpaceDN w:val="0"/>
              <w:ind w:left="467" w:right="384" w:hanging="360"/>
              <w:jc w:val="both"/>
            </w:pPr>
            <w:r>
              <w:t xml:space="preserve">Work Plan including inter alia the </w:t>
            </w:r>
            <w:r w:rsidRPr="007773DF">
              <w:t>Conference concept design an</w:t>
            </w:r>
            <w:r>
              <w:t xml:space="preserve"> </w:t>
            </w:r>
            <w:r w:rsidRPr="007773DF">
              <w:t>action plan for the management of all venue-related</w:t>
            </w:r>
            <w:r w:rsidRPr="007773DF">
              <w:rPr>
                <w:spacing w:val="1"/>
              </w:rPr>
              <w:t xml:space="preserve"> </w:t>
            </w:r>
            <w:r w:rsidRPr="007773DF">
              <w:t>administrative and logistical arrangements of the regional conference as per agenda</w:t>
            </w:r>
            <w:r w:rsidRPr="007773DF">
              <w:rPr>
                <w:spacing w:val="-37"/>
              </w:rPr>
              <w:t xml:space="preserve"> </w:t>
            </w:r>
            <w:r w:rsidRPr="007773DF">
              <w:t>and</w:t>
            </w:r>
            <w:r w:rsidRPr="007773DF">
              <w:rPr>
                <w:spacing w:val="1"/>
              </w:rPr>
              <w:t xml:space="preserve"> </w:t>
            </w:r>
            <w:r w:rsidRPr="007773DF">
              <w:t>run</w:t>
            </w:r>
            <w:r w:rsidRPr="007773DF">
              <w:rPr>
                <w:spacing w:val="-1"/>
              </w:rPr>
              <w:t xml:space="preserve"> </w:t>
            </w:r>
            <w:r w:rsidRPr="007773DF">
              <w:t>of</w:t>
            </w:r>
            <w:r w:rsidRPr="007773DF">
              <w:rPr>
                <w:spacing w:val="-1"/>
              </w:rPr>
              <w:t xml:space="preserve"> </w:t>
            </w:r>
            <w:r w:rsidRPr="007773DF">
              <w:t>show.</w:t>
            </w:r>
          </w:p>
        </w:tc>
        <w:tc>
          <w:tcPr>
            <w:tcW w:w="1032" w:type="dxa"/>
          </w:tcPr>
          <w:p w14:paraId="6B21DE13" w14:textId="6FA6B54A" w:rsidR="004B2977" w:rsidRPr="007773DF" w:rsidRDefault="004B2977" w:rsidP="004B2977">
            <w:pPr>
              <w:widowControl w:val="0"/>
              <w:autoSpaceDE w:val="0"/>
              <w:autoSpaceDN w:val="0"/>
              <w:spacing w:line="210" w:lineRule="exact"/>
              <w:ind w:left="148"/>
              <w:jc w:val="center"/>
            </w:pPr>
            <w:r>
              <w:t>20%</w:t>
            </w:r>
          </w:p>
        </w:tc>
        <w:tc>
          <w:tcPr>
            <w:tcW w:w="2268" w:type="dxa"/>
          </w:tcPr>
          <w:p w14:paraId="7CAC2B7F" w14:textId="00DF1B9E" w:rsidR="004B2977" w:rsidRPr="007773DF" w:rsidRDefault="006F7341" w:rsidP="00A7112C">
            <w:pPr>
              <w:widowControl w:val="0"/>
              <w:autoSpaceDE w:val="0"/>
              <w:autoSpaceDN w:val="0"/>
              <w:spacing w:line="210" w:lineRule="exact"/>
              <w:ind w:left="148"/>
              <w:jc w:val="right"/>
            </w:pPr>
            <w:r>
              <w:t xml:space="preserve">01 </w:t>
            </w:r>
            <w:r w:rsidR="00A7112C">
              <w:t>October</w:t>
            </w:r>
            <w:r>
              <w:t xml:space="preserve"> 2023</w:t>
            </w:r>
          </w:p>
        </w:tc>
      </w:tr>
      <w:tr w:rsidR="004B2977" w:rsidRPr="007773DF" w14:paraId="5347507E" w14:textId="77777777" w:rsidTr="00A7112C">
        <w:trPr>
          <w:trHeight w:val="909"/>
        </w:trPr>
        <w:tc>
          <w:tcPr>
            <w:tcW w:w="6761" w:type="dxa"/>
          </w:tcPr>
          <w:p w14:paraId="37B44749" w14:textId="77777777" w:rsidR="004B2977" w:rsidRPr="00961C1A" w:rsidRDefault="004B2977" w:rsidP="001450FD">
            <w:pPr>
              <w:widowControl w:val="0"/>
              <w:autoSpaceDE w:val="0"/>
              <w:autoSpaceDN w:val="0"/>
              <w:ind w:left="467" w:right="384" w:hanging="360"/>
              <w:jc w:val="both"/>
              <w:rPr>
                <w:b/>
                <w:bCs/>
              </w:rPr>
            </w:pPr>
            <w:r w:rsidRPr="00961C1A">
              <w:rPr>
                <w:b/>
                <w:bCs/>
              </w:rPr>
              <w:t>Deliverable 2:</w:t>
            </w:r>
          </w:p>
          <w:p w14:paraId="13F4415A" w14:textId="2918D58E" w:rsidR="004B2977" w:rsidRPr="007773DF" w:rsidRDefault="004B2977" w:rsidP="001450FD">
            <w:pPr>
              <w:widowControl w:val="0"/>
              <w:autoSpaceDE w:val="0"/>
              <w:autoSpaceDN w:val="0"/>
              <w:ind w:left="467" w:right="384" w:hanging="360"/>
              <w:jc w:val="both"/>
            </w:pPr>
            <w:r>
              <w:t xml:space="preserve">Report on the preparatory activities for the one-day Conference in line with the </w:t>
            </w:r>
            <w:proofErr w:type="spellStart"/>
            <w:r>
              <w:t>ToR</w:t>
            </w:r>
            <w:proofErr w:type="spellEnd"/>
            <w:r>
              <w:t xml:space="preserve"> </w:t>
            </w:r>
          </w:p>
        </w:tc>
        <w:tc>
          <w:tcPr>
            <w:tcW w:w="1032" w:type="dxa"/>
          </w:tcPr>
          <w:p w14:paraId="0652F0ED" w14:textId="541F2728" w:rsidR="004B2977" w:rsidRPr="007773DF" w:rsidRDefault="004B2977" w:rsidP="004B2977">
            <w:pPr>
              <w:widowControl w:val="0"/>
              <w:autoSpaceDE w:val="0"/>
              <w:autoSpaceDN w:val="0"/>
              <w:spacing w:line="210" w:lineRule="exact"/>
              <w:ind w:left="148"/>
              <w:jc w:val="center"/>
            </w:pPr>
            <w:r>
              <w:t>20%</w:t>
            </w:r>
          </w:p>
        </w:tc>
        <w:tc>
          <w:tcPr>
            <w:tcW w:w="2268" w:type="dxa"/>
          </w:tcPr>
          <w:p w14:paraId="1C7BC528" w14:textId="0D9F66FF" w:rsidR="004B2977" w:rsidRPr="007773DF" w:rsidRDefault="006F7341" w:rsidP="00A7112C">
            <w:pPr>
              <w:widowControl w:val="0"/>
              <w:autoSpaceDE w:val="0"/>
              <w:autoSpaceDN w:val="0"/>
              <w:spacing w:line="210" w:lineRule="exact"/>
              <w:ind w:left="148"/>
              <w:jc w:val="right"/>
            </w:pPr>
            <w:r>
              <w:t xml:space="preserve">01 </w:t>
            </w:r>
            <w:r w:rsidR="00A7112C">
              <w:t xml:space="preserve">December </w:t>
            </w:r>
            <w:r>
              <w:t>2023</w:t>
            </w:r>
          </w:p>
        </w:tc>
      </w:tr>
      <w:tr w:rsidR="004B2977" w:rsidRPr="007773DF" w14:paraId="47397F36" w14:textId="77777777" w:rsidTr="00A7112C">
        <w:trPr>
          <w:trHeight w:val="593"/>
        </w:trPr>
        <w:tc>
          <w:tcPr>
            <w:tcW w:w="6761" w:type="dxa"/>
          </w:tcPr>
          <w:p w14:paraId="6C4D2D41" w14:textId="38C575FD" w:rsidR="004B2977" w:rsidRPr="00961C1A" w:rsidRDefault="004B2977" w:rsidP="001450FD">
            <w:pPr>
              <w:widowControl w:val="0"/>
              <w:tabs>
                <w:tab w:val="left" w:pos="467"/>
              </w:tabs>
              <w:autoSpaceDE w:val="0"/>
              <w:autoSpaceDN w:val="0"/>
              <w:ind w:left="467" w:right="188" w:hanging="360"/>
              <w:rPr>
                <w:b/>
                <w:bCs/>
              </w:rPr>
            </w:pPr>
            <w:r w:rsidRPr="00961C1A">
              <w:rPr>
                <w:b/>
                <w:bCs/>
              </w:rPr>
              <w:t>Deliverable 3:</w:t>
            </w:r>
          </w:p>
          <w:p w14:paraId="0A4C36BE" w14:textId="1A183771" w:rsidR="004B2977" w:rsidRDefault="004B2977" w:rsidP="001450FD">
            <w:pPr>
              <w:widowControl w:val="0"/>
              <w:tabs>
                <w:tab w:val="left" w:pos="467"/>
              </w:tabs>
              <w:autoSpaceDE w:val="0"/>
              <w:autoSpaceDN w:val="0"/>
              <w:ind w:left="467" w:right="188" w:hanging="360"/>
            </w:pPr>
            <w:r>
              <w:t>Organization and deliver of the one-day Conference</w:t>
            </w:r>
          </w:p>
          <w:p w14:paraId="71E7DE1E" w14:textId="22AD456D" w:rsidR="004B2977" w:rsidRPr="007773DF" w:rsidRDefault="004B2977" w:rsidP="001450FD">
            <w:pPr>
              <w:widowControl w:val="0"/>
              <w:tabs>
                <w:tab w:val="left" w:pos="467"/>
              </w:tabs>
              <w:autoSpaceDE w:val="0"/>
              <w:autoSpaceDN w:val="0"/>
              <w:ind w:left="467" w:right="188" w:hanging="360"/>
            </w:pPr>
          </w:p>
        </w:tc>
        <w:tc>
          <w:tcPr>
            <w:tcW w:w="1032" w:type="dxa"/>
          </w:tcPr>
          <w:p w14:paraId="681C0D2E" w14:textId="3A9FEB4C" w:rsidR="004B2977" w:rsidRPr="007773DF" w:rsidRDefault="004B2977" w:rsidP="004B2977">
            <w:pPr>
              <w:widowControl w:val="0"/>
              <w:autoSpaceDE w:val="0"/>
              <w:autoSpaceDN w:val="0"/>
              <w:spacing w:line="210" w:lineRule="exact"/>
              <w:ind w:left="107"/>
              <w:jc w:val="center"/>
            </w:pPr>
            <w:r>
              <w:t>50%</w:t>
            </w:r>
          </w:p>
        </w:tc>
        <w:tc>
          <w:tcPr>
            <w:tcW w:w="2268" w:type="dxa"/>
          </w:tcPr>
          <w:p w14:paraId="674117C3" w14:textId="41483B71" w:rsidR="004B2977" w:rsidRPr="007773DF" w:rsidRDefault="00A7112C" w:rsidP="00A7112C">
            <w:pPr>
              <w:widowControl w:val="0"/>
              <w:autoSpaceDE w:val="0"/>
              <w:autoSpaceDN w:val="0"/>
              <w:spacing w:line="210" w:lineRule="exact"/>
              <w:ind w:left="107"/>
              <w:jc w:val="right"/>
            </w:pPr>
            <w:r>
              <w:t>08</w:t>
            </w:r>
            <w:r w:rsidR="006F7341">
              <w:t xml:space="preserve"> </w:t>
            </w:r>
            <w:r>
              <w:t xml:space="preserve">February </w:t>
            </w:r>
            <w:r w:rsidR="006F7341">
              <w:t>202</w:t>
            </w:r>
            <w:r>
              <w:t>4</w:t>
            </w:r>
          </w:p>
        </w:tc>
      </w:tr>
      <w:tr w:rsidR="004B2977" w:rsidRPr="007773DF" w14:paraId="2F47C963" w14:textId="77777777" w:rsidTr="00A7112C">
        <w:trPr>
          <w:trHeight w:val="602"/>
        </w:trPr>
        <w:tc>
          <w:tcPr>
            <w:tcW w:w="6761" w:type="dxa"/>
          </w:tcPr>
          <w:p w14:paraId="0A48A8FF" w14:textId="39AA0F03" w:rsidR="004B2977" w:rsidRPr="00961C1A" w:rsidRDefault="004B2977" w:rsidP="001450FD">
            <w:pPr>
              <w:widowControl w:val="0"/>
              <w:tabs>
                <w:tab w:val="left" w:pos="467"/>
              </w:tabs>
              <w:autoSpaceDE w:val="0"/>
              <w:autoSpaceDN w:val="0"/>
              <w:ind w:left="467" w:right="116" w:hanging="360"/>
              <w:rPr>
                <w:b/>
                <w:bCs/>
              </w:rPr>
            </w:pPr>
            <w:r w:rsidRPr="00961C1A">
              <w:rPr>
                <w:b/>
                <w:bCs/>
              </w:rPr>
              <w:t>Deliverable 4:</w:t>
            </w:r>
          </w:p>
          <w:p w14:paraId="772C2C24" w14:textId="69D8024F" w:rsidR="004B2977" w:rsidRPr="007773DF" w:rsidRDefault="004B2977" w:rsidP="00961C1A">
            <w:pPr>
              <w:widowControl w:val="0"/>
              <w:tabs>
                <w:tab w:val="left" w:pos="467"/>
              </w:tabs>
              <w:autoSpaceDE w:val="0"/>
              <w:autoSpaceDN w:val="0"/>
              <w:ind w:left="467" w:right="116" w:hanging="360"/>
            </w:pPr>
            <w:r w:rsidRPr="007773DF">
              <w:t>Event closure report detailing all activities carried out for preparation and during the</w:t>
            </w:r>
            <w:r w:rsidRPr="007773DF">
              <w:rPr>
                <w:spacing w:val="1"/>
              </w:rPr>
              <w:t xml:space="preserve"> </w:t>
            </w:r>
            <w:r w:rsidRPr="007773DF">
              <w:t>conference.</w:t>
            </w:r>
            <w:r w:rsidRPr="007773DF">
              <w:rPr>
                <w:spacing w:val="-3"/>
              </w:rPr>
              <w:t xml:space="preserve"> </w:t>
            </w:r>
            <w:r w:rsidRPr="007773DF">
              <w:t>The</w:t>
            </w:r>
            <w:r w:rsidRPr="007773DF">
              <w:rPr>
                <w:spacing w:val="-1"/>
              </w:rPr>
              <w:t xml:space="preserve"> </w:t>
            </w:r>
            <w:r w:rsidRPr="007773DF">
              <w:t>event</w:t>
            </w:r>
            <w:r w:rsidRPr="007773DF">
              <w:rPr>
                <w:spacing w:val="-2"/>
              </w:rPr>
              <w:t xml:space="preserve"> </w:t>
            </w:r>
            <w:r w:rsidRPr="007773DF">
              <w:t>closure</w:t>
            </w:r>
            <w:r w:rsidRPr="007773DF">
              <w:rPr>
                <w:spacing w:val="-2"/>
              </w:rPr>
              <w:t xml:space="preserve"> </w:t>
            </w:r>
            <w:r w:rsidRPr="007773DF">
              <w:t>report</w:t>
            </w:r>
            <w:r w:rsidRPr="007773DF">
              <w:rPr>
                <w:spacing w:val="-2"/>
              </w:rPr>
              <w:t xml:space="preserve"> </w:t>
            </w:r>
            <w:r w:rsidRPr="007773DF">
              <w:t>needs</w:t>
            </w:r>
            <w:r w:rsidRPr="007773DF">
              <w:rPr>
                <w:spacing w:val="-4"/>
              </w:rPr>
              <w:t xml:space="preserve"> </w:t>
            </w:r>
            <w:r w:rsidRPr="007773DF">
              <w:t>to</w:t>
            </w:r>
            <w:r w:rsidRPr="007773DF">
              <w:rPr>
                <w:spacing w:val="-1"/>
              </w:rPr>
              <w:t xml:space="preserve"> </w:t>
            </w:r>
            <w:r w:rsidRPr="007773DF">
              <w:t>contain an</w:t>
            </w:r>
            <w:r w:rsidRPr="007773DF">
              <w:rPr>
                <w:spacing w:val="-3"/>
              </w:rPr>
              <w:t xml:space="preserve"> </w:t>
            </w:r>
            <w:r w:rsidRPr="007773DF">
              <w:t>activity</w:t>
            </w:r>
            <w:r w:rsidRPr="007773DF">
              <w:rPr>
                <w:spacing w:val="-1"/>
              </w:rPr>
              <w:t xml:space="preserve"> </w:t>
            </w:r>
            <w:r w:rsidRPr="007773DF">
              <w:t>log</w:t>
            </w:r>
            <w:r w:rsidRPr="007773DF">
              <w:rPr>
                <w:spacing w:val="-2"/>
              </w:rPr>
              <w:t xml:space="preserve"> </w:t>
            </w:r>
            <w:r w:rsidRPr="007773DF">
              <w:t>sheet”</w:t>
            </w:r>
            <w:r w:rsidRPr="007773DF">
              <w:rPr>
                <w:spacing w:val="-2"/>
              </w:rPr>
              <w:t xml:space="preserve"> </w:t>
            </w:r>
            <w:r w:rsidRPr="007773DF">
              <w:t>that</w:t>
            </w:r>
            <w:r w:rsidRPr="007773DF">
              <w:rPr>
                <w:spacing w:val="-2"/>
              </w:rPr>
              <w:t xml:space="preserve"> </w:t>
            </w:r>
            <w:r w:rsidRPr="007773DF">
              <w:t>will</w:t>
            </w:r>
            <w:r w:rsidRPr="007773DF">
              <w:rPr>
                <w:spacing w:val="-3"/>
              </w:rPr>
              <w:t xml:space="preserve"> </w:t>
            </w:r>
            <w:r w:rsidRPr="007773DF">
              <w:t>list</w:t>
            </w:r>
            <w:r>
              <w:t xml:space="preserve"> </w:t>
            </w:r>
            <w:r w:rsidRPr="007773DF">
              <w:t>and</w:t>
            </w:r>
            <w:r w:rsidRPr="007773DF">
              <w:rPr>
                <w:spacing w:val="-4"/>
              </w:rPr>
              <w:t xml:space="preserve"> </w:t>
            </w:r>
            <w:r w:rsidRPr="007773DF">
              <w:t>verify</w:t>
            </w:r>
            <w:r w:rsidRPr="007773DF">
              <w:rPr>
                <w:spacing w:val="-3"/>
              </w:rPr>
              <w:t xml:space="preserve"> </w:t>
            </w:r>
            <w:r w:rsidRPr="007773DF">
              <w:t>all</w:t>
            </w:r>
            <w:r w:rsidRPr="007773DF">
              <w:rPr>
                <w:spacing w:val="-3"/>
              </w:rPr>
              <w:t xml:space="preserve"> </w:t>
            </w:r>
            <w:r w:rsidRPr="007773DF">
              <w:t>the</w:t>
            </w:r>
            <w:r w:rsidRPr="007773DF">
              <w:rPr>
                <w:spacing w:val="-1"/>
              </w:rPr>
              <w:t xml:space="preserve"> </w:t>
            </w:r>
            <w:r w:rsidRPr="007773DF">
              <w:t>jobs</w:t>
            </w:r>
            <w:r w:rsidRPr="007773DF">
              <w:rPr>
                <w:spacing w:val="-2"/>
              </w:rPr>
              <w:t xml:space="preserve"> </w:t>
            </w:r>
            <w:r w:rsidRPr="007773DF">
              <w:t>related</w:t>
            </w:r>
            <w:r w:rsidRPr="007773DF">
              <w:rPr>
                <w:spacing w:val="-2"/>
              </w:rPr>
              <w:t xml:space="preserve"> </w:t>
            </w:r>
            <w:r w:rsidRPr="007773DF">
              <w:t>to</w:t>
            </w:r>
            <w:r w:rsidRPr="007773DF">
              <w:rPr>
                <w:spacing w:val="-3"/>
              </w:rPr>
              <w:t xml:space="preserve"> </w:t>
            </w:r>
            <w:r w:rsidRPr="007773DF">
              <w:t>the</w:t>
            </w:r>
            <w:r w:rsidRPr="007773DF">
              <w:rPr>
                <w:spacing w:val="-2"/>
              </w:rPr>
              <w:t xml:space="preserve"> </w:t>
            </w:r>
            <w:r w:rsidRPr="007773DF">
              <w:t>event</w:t>
            </w:r>
            <w:r w:rsidRPr="007773DF">
              <w:rPr>
                <w:spacing w:val="-2"/>
              </w:rPr>
              <w:t xml:space="preserve"> </w:t>
            </w:r>
            <w:r w:rsidRPr="007773DF">
              <w:t>management.</w:t>
            </w:r>
          </w:p>
        </w:tc>
        <w:tc>
          <w:tcPr>
            <w:tcW w:w="1032" w:type="dxa"/>
          </w:tcPr>
          <w:p w14:paraId="0BBB8D5D" w14:textId="1A836BFB" w:rsidR="004B2977" w:rsidRPr="007773DF" w:rsidRDefault="004B2977" w:rsidP="004B2977">
            <w:pPr>
              <w:widowControl w:val="0"/>
              <w:autoSpaceDE w:val="0"/>
              <w:autoSpaceDN w:val="0"/>
              <w:spacing w:before="35"/>
              <w:ind w:left="107"/>
              <w:jc w:val="center"/>
            </w:pPr>
            <w:r>
              <w:t>10%</w:t>
            </w:r>
          </w:p>
        </w:tc>
        <w:tc>
          <w:tcPr>
            <w:tcW w:w="2268" w:type="dxa"/>
          </w:tcPr>
          <w:p w14:paraId="74A66A45" w14:textId="2031B28A" w:rsidR="004B2977" w:rsidRPr="007773DF" w:rsidRDefault="00A7112C" w:rsidP="00A7112C">
            <w:pPr>
              <w:widowControl w:val="0"/>
              <w:autoSpaceDE w:val="0"/>
              <w:autoSpaceDN w:val="0"/>
              <w:spacing w:before="35"/>
              <w:ind w:left="107"/>
              <w:jc w:val="right"/>
            </w:pPr>
            <w:r>
              <w:t xml:space="preserve">15 February </w:t>
            </w:r>
            <w:r w:rsidR="006F7341">
              <w:t>202</w:t>
            </w:r>
            <w:r>
              <w:t>4</w:t>
            </w:r>
          </w:p>
        </w:tc>
      </w:tr>
    </w:tbl>
    <w:p w14:paraId="2D220B73" w14:textId="77777777" w:rsidR="00315E9A" w:rsidRPr="00315E9A" w:rsidRDefault="00315E9A" w:rsidP="00315E9A">
      <w:pPr>
        <w:autoSpaceDE w:val="0"/>
        <w:autoSpaceDN w:val="0"/>
        <w:adjustRightInd w:val="0"/>
        <w:spacing w:before="120"/>
        <w:contextualSpacing/>
        <w:jc w:val="both"/>
      </w:pPr>
    </w:p>
    <w:p w14:paraId="69FADD27" w14:textId="374DAFBF" w:rsidR="00315E9A" w:rsidRDefault="00315E9A" w:rsidP="00315E9A">
      <w:pPr>
        <w:spacing w:after="200" w:line="276" w:lineRule="auto"/>
        <w:jc w:val="both"/>
        <w:rPr>
          <w:b/>
          <w:bCs/>
        </w:rPr>
      </w:pPr>
    </w:p>
    <w:p w14:paraId="3A5BF97F" w14:textId="77777777" w:rsidR="009C5972" w:rsidRPr="00315E9A" w:rsidRDefault="009C5972" w:rsidP="00315E9A">
      <w:pPr>
        <w:spacing w:after="200" w:line="276" w:lineRule="auto"/>
        <w:jc w:val="both"/>
        <w:rPr>
          <w:b/>
          <w:bCs/>
        </w:rPr>
      </w:pPr>
    </w:p>
    <w:p w14:paraId="58032198" w14:textId="6A813BA0" w:rsidR="00315E9A" w:rsidRPr="00BF6E5B" w:rsidRDefault="00315E9A" w:rsidP="00BF6E5B">
      <w:pPr>
        <w:pStyle w:val="ListParagraph"/>
        <w:numPr>
          <w:ilvl w:val="0"/>
          <w:numId w:val="1"/>
        </w:numPr>
        <w:jc w:val="both"/>
        <w:rPr>
          <w:rFonts w:ascii="Times New Roman" w:hAnsi="Times New Roman" w:cs="Times New Roman"/>
          <w:b/>
          <w:bCs/>
          <w:sz w:val="24"/>
          <w:szCs w:val="24"/>
        </w:rPr>
      </w:pPr>
      <w:r w:rsidRPr="00BF6E5B">
        <w:rPr>
          <w:rFonts w:ascii="Times New Roman" w:hAnsi="Times New Roman" w:cs="Times New Roman"/>
          <w:b/>
          <w:bCs/>
          <w:sz w:val="24"/>
          <w:szCs w:val="24"/>
        </w:rPr>
        <w:lastRenderedPageBreak/>
        <w:t>Duration of Contract</w:t>
      </w:r>
    </w:p>
    <w:p w14:paraId="0B2CAACD" w14:textId="075F3534" w:rsidR="00315E9A" w:rsidRDefault="00315E9A" w:rsidP="00315E9A">
      <w:pPr>
        <w:spacing w:after="200" w:line="276" w:lineRule="auto"/>
        <w:jc w:val="both"/>
      </w:pPr>
      <w:r w:rsidRPr="00A7112C">
        <w:t xml:space="preserve">Expected duration of the contract is 5 months during the period from </w:t>
      </w:r>
      <w:r w:rsidR="00A7112C" w:rsidRPr="00A7112C">
        <w:t>September</w:t>
      </w:r>
      <w:r w:rsidRPr="00A7112C">
        <w:t xml:space="preserve"> 2023 to </w:t>
      </w:r>
      <w:r w:rsidR="00A7112C" w:rsidRPr="00A7112C">
        <w:t xml:space="preserve">February </w:t>
      </w:r>
      <w:r w:rsidRPr="00A7112C">
        <w:t>202</w:t>
      </w:r>
      <w:r w:rsidR="00A7112C" w:rsidRPr="00A7112C">
        <w:t>4</w:t>
      </w:r>
      <w:r w:rsidRPr="00A7112C">
        <w:t>.</w:t>
      </w:r>
      <w:r w:rsidRPr="00315E9A">
        <w:t xml:space="preserve"> </w:t>
      </w:r>
    </w:p>
    <w:p w14:paraId="1F19CE08" w14:textId="77777777" w:rsidR="00BF6E5B" w:rsidRPr="00315E9A" w:rsidRDefault="00BF6E5B" w:rsidP="00315E9A">
      <w:pPr>
        <w:spacing w:after="200" w:line="276" w:lineRule="auto"/>
        <w:jc w:val="both"/>
      </w:pPr>
    </w:p>
    <w:p w14:paraId="4BA12123" w14:textId="05B84C18" w:rsidR="00315E9A" w:rsidRPr="00BF6E5B" w:rsidRDefault="00315E9A" w:rsidP="00BF6E5B">
      <w:pPr>
        <w:pStyle w:val="ListParagraph"/>
        <w:numPr>
          <w:ilvl w:val="0"/>
          <w:numId w:val="1"/>
        </w:numPr>
        <w:jc w:val="both"/>
        <w:rPr>
          <w:rFonts w:ascii="Times New Roman" w:hAnsi="Times New Roman" w:cs="Times New Roman"/>
          <w:b/>
          <w:sz w:val="24"/>
          <w:szCs w:val="24"/>
        </w:rPr>
      </w:pPr>
      <w:r w:rsidRPr="00BF6E5B">
        <w:rPr>
          <w:rFonts w:ascii="Times New Roman" w:hAnsi="Times New Roman" w:cs="Times New Roman"/>
          <w:b/>
          <w:sz w:val="24"/>
          <w:szCs w:val="24"/>
        </w:rPr>
        <w:t xml:space="preserve">Qualification requirements and basis for evaluation </w:t>
      </w:r>
    </w:p>
    <w:p w14:paraId="7F810B0F" w14:textId="6A786E81" w:rsidR="00315E9A" w:rsidRPr="0051731B" w:rsidRDefault="00315E9A" w:rsidP="00315E9A">
      <w:pPr>
        <w:spacing w:after="200" w:line="276" w:lineRule="auto"/>
        <w:jc w:val="both"/>
      </w:pPr>
      <w:r w:rsidRPr="0051731B">
        <w:t>The Consultant should be a qualified firm or joint venture of firms (up to 3 companies for a joint venture) that have demonstrated experience in providing services in area</w:t>
      </w:r>
      <w:r w:rsidR="00983D61" w:rsidRPr="0051731B">
        <w:t xml:space="preserve"> of preparation, organization and delivering the conferences in the </w:t>
      </w:r>
      <w:r w:rsidR="0051731B" w:rsidRPr="0051731B">
        <w:t>field</w:t>
      </w:r>
      <w:r w:rsidR="00284497" w:rsidRPr="0051731B">
        <w:t xml:space="preserve"> of </w:t>
      </w:r>
      <w:r w:rsidR="00983D61" w:rsidRPr="0051731B">
        <w:t>energy efficiency</w:t>
      </w:r>
      <w:r w:rsidRPr="0051731B">
        <w:t xml:space="preserve">. The firm must propose a team capable of successfully carrying out all aspects of the </w:t>
      </w:r>
      <w:proofErr w:type="spellStart"/>
      <w:r w:rsidRPr="0051731B">
        <w:t>ToR</w:t>
      </w:r>
      <w:proofErr w:type="spellEnd"/>
      <w:r w:rsidRPr="0051731B">
        <w:t xml:space="preserve"> with in-depth experience </w:t>
      </w:r>
      <w:r w:rsidR="00983D61" w:rsidRPr="0051731B">
        <w:t>in the related fields</w:t>
      </w:r>
      <w:r w:rsidRPr="0051731B">
        <w:t>. The Consultant shall demonstrate their capability to mobilize enough skilled staff for carrying out the project activities within the allocated timeframe as part of the proposal by including in the technical proposal, the Curriculum Vitae of the proposed key staff, including educational background, relevant working experience in similar projects, and by confirming their availability during the period of the contract.</w:t>
      </w:r>
    </w:p>
    <w:p w14:paraId="14924C5E" w14:textId="77777777" w:rsidR="00315E9A" w:rsidRPr="00315E9A" w:rsidRDefault="00315E9A" w:rsidP="00315E9A">
      <w:pPr>
        <w:spacing w:after="200" w:line="276" w:lineRule="auto"/>
        <w:jc w:val="both"/>
      </w:pPr>
      <w:bookmarkStart w:id="2" w:name="_Hlk127692872"/>
      <w:r w:rsidRPr="0051731B">
        <w:t>Interested consultants must provide information indicating that they are qualified to perform the services by fulfilling following requirements:</w:t>
      </w:r>
    </w:p>
    <w:p w14:paraId="4B8866D3" w14:textId="1A03D9AF" w:rsidR="00315E9A" w:rsidRPr="00983D61" w:rsidRDefault="00315E9A" w:rsidP="00315E9A">
      <w:pPr>
        <w:numPr>
          <w:ilvl w:val="0"/>
          <w:numId w:val="19"/>
        </w:numPr>
        <w:contextualSpacing/>
        <w:jc w:val="both"/>
      </w:pPr>
      <w:r w:rsidRPr="00983D61">
        <w:t>Company information: name, registration, address, telephone number, year of establishment, contact person for the project, fields of expertise;</w:t>
      </w:r>
    </w:p>
    <w:p w14:paraId="2DBA15C0" w14:textId="77777777" w:rsidR="00315E9A" w:rsidRPr="0051731B" w:rsidRDefault="00315E9A" w:rsidP="00315E9A">
      <w:pPr>
        <w:numPr>
          <w:ilvl w:val="0"/>
          <w:numId w:val="19"/>
        </w:numPr>
        <w:contextualSpacing/>
        <w:jc w:val="both"/>
      </w:pPr>
      <w:r w:rsidRPr="00983D61">
        <w:t xml:space="preserve">Confirmation on no obligations relating to the payment of direct and indirect taxes in </w:t>
      </w:r>
      <w:r w:rsidRPr="0051731B">
        <w:t>accordance with the relevant laws of Bosnia and Herzegovina (may not be older than three (3) months) or with the relevant law of the country from the EOI submitter;</w:t>
      </w:r>
    </w:p>
    <w:p w14:paraId="19A01C3B" w14:textId="093D7BD0" w:rsidR="00315E9A" w:rsidRPr="0051731B" w:rsidRDefault="00315E9A" w:rsidP="00315E9A">
      <w:pPr>
        <w:numPr>
          <w:ilvl w:val="0"/>
          <w:numId w:val="19"/>
        </w:numPr>
        <w:contextualSpacing/>
        <w:jc w:val="both"/>
        <w:rPr>
          <w:lang w:eastAsia="bs-Latn-BA"/>
        </w:rPr>
      </w:pPr>
      <w:r w:rsidRPr="0051731B">
        <w:t xml:space="preserve">Details of experience in minimum </w:t>
      </w:r>
      <w:r w:rsidR="0051731B" w:rsidRPr="0051731B">
        <w:t>three</w:t>
      </w:r>
      <w:r w:rsidRPr="0051731B">
        <w:t xml:space="preserve"> (</w:t>
      </w:r>
      <w:r w:rsidR="0051731B" w:rsidRPr="0051731B">
        <w:t>3</w:t>
      </w:r>
      <w:r w:rsidRPr="0051731B">
        <w:t>) similar assignments</w:t>
      </w:r>
      <w:r w:rsidR="0051731B" w:rsidRPr="0051731B">
        <w:t xml:space="preserve"> (only conference type of event)</w:t>
      </w:r>
      <w:r w:rsidRPr="0051731B">
        <w:t xml:space="preserve"> undertaken in last five (5) years, including value of consulting services, location, name of the Client, type of service provided, contract period of execution</w:t>
      </w:r>
    </w:p>
    <w:p w14:paraId="2E67B8A2" w14:textId="406E0D90" w:rsidR="00315E9A" w:rsidRPr="0051731B" w:rsidRDefault="00315E9A" w:rsidP="00315E9A">
      <w:pPr>
        <w:numPr>
          <w:ilvl w:val="0"/>
          <w:numId w:val="19"/>
        </w:numPr>
        <w:contextualSpacing/>
        <w:jc w:val="both"/>
      </w:pPr>
      <w:r w:rsidRPr="0051731B">
        <w:t xml:space="preserve">Curricula Vitae (short version, specifying experience in </w:t>
      </w:r>
      <w:r w:rsidR="00983D61" w:rsidRPr="0051731B">
        <w:t>similar assignments</w:t>
      </w:r>
      <w:r w:rsidRPr="0051731B">
        <w:t>, f</w:t>
      </w:r>
      <w:r w:rsidR="00964058">
        <w:t>ive</w:t>
      </w:r>
      <w:r w:rsidRPr="0051731B">
        <w:t xml:space="preserve"> (</w:t>
      </w:r>
      <w:r w:rsidR="00964058">
        <w:t>5</w:t>
      </w:r>
      <w:r w:rsidRPr="0051731B">
        <w:t>) CVs of key personnel who will be working on the assignment(s) with minimum:</w:t>
      </w:r>
    </w:p>
    <w:p w14:paraId="5C22F757" w14:textId="58082F27" w:rsidR="00315E9A" w:rsidRPr="00BD1119" w:rsidRDefault="00315E9A" w:rsidP="00315E9A">
      <w:pPr>
        <w:numPr>
          <w:ilvl w:val="1"/>
          <w:numId w:val="19"/>
        </w:numPr>
        <w:contextualSpacing/>
        <w:jc w:val="both"/>
      </w:pPr>
      <w:r w:rsidRPr="0051731B">
        <w:rPr>
          <w:lang w:val="en-GB"/>
        </w:rPr>
        <w:t>Team Leader, responsible for managing/overseeing the entire consultancy</w:t>
      </w:r>
      <w:r w:rsidRPr="00BD1119">
        <w:rPr>
          <w:lang w:val="en-GB"/>
        </w:rPr>
        <w:t xml:space="preserve"> contract implementation; University degree (Master’s equivalent) in </w:t>
      </w:r>
      <w:r w:rsidR="0051731B">
        <w:rPr>
          <w:lang w:val="en-GB"/>
        </w:rPr>
        <w:t xml:space="preserve">social science, economics, business administration, mechanical engineering, architecture, civil engineering, </w:t>
      </w:r>
      <w:r w:rsidR="00336170" w:rsidRPr="00BD1119">
        <w:t xml:space="preserve">from </w:t>
      </w:r>
      <w:r w:rsidR="00336170" w:rsidRPr="00BD1119">
        <w:rPr>
          <w:lang w:val="en-GB"/>
        </w:rPr>
        <w:t>an accredited university</w:t>
      </w:r>
      <w:r w:rsidRPr="00BD1119">
        <w:t>; a minimum of ten (10) years of experience in relevant field</w:t>
      </w:r>
      <w:r w:rsidR="00336170" w:rsidRPr="00BD1119">
        <w:t>, including project management of similar assignments</w:t>
      </w:r>
    </w:p>
    <w:p w14:paraId="69C1DCA5" w14:textId="43EA74EA" w:rsidR="000607A6" w:rsidRDefault="000607A6" w:rsidP="000607A6">
      <w:pPr>
        <w:numPr>
          <w:ilvl w:val="1"/>
          <w:numId w:val="19"/>
        </w:numPr>
        <w:contextualSpacing/>
        <w:jc w:val="both"/>
      </w:pPr>
      <w:r w:rsidRPr="00BD1119">
        <w:rPr>
          <w:lang w:val="en-GB"/>
        </w:rPr>
        <w:t>Minimum two</w:t>
      </w:r>
      <w:r w:rsidR="00315E9A" w:rsidRPr="00BD1119">
        <w:rPr>
          <w:lang w:val="en-GB"/>
        </w:rPr>
        <w:t xml:space="preserve"> (</w:t>
      </w:r>
      <w:r w:rsidRPr="00BD1119">
        <w:rPr>
          <w:lang w:val="en-GB"/>
        </w:rPr>
        <w:t>2</w:t>
      </w:r>
      <w:r w:rsidR="00315E9A" w:rsidRPr="00BD1119">
        <w:rPr>
          <w:lang w:val="en-GB"/>
        </w:rPr>
        <w:t xml:space="preserve">) </w:t>
      </w:r>
      <w:r w:rsidRPr="00BD1119">
        <w:t>other experts with at least five (5) years professional experience relevant for the field of the assignment and similar projects.</w:t>
      </w:r>
    </w:p>
    <w:p w14:paraId="1493FB5E" w14:textId="1335D2BE" w:rsidR="00203905" w:rsidRDefault="00203905" w:rsidP="00203905">
      <w:pPr>
        <w:numPr>
          <w:ilvl w:val="1"/>
          <w:numId w:val="19"/>
        </w:numPr>
        <w:contextualSpacing/>
        <w:jc w:val="both"/>
      </w:pPr>
      <w:r w:rsidRPr="00BD1119">
        <w:rPr>
          <w:lang w:val="en-GB"/>
        </w:rPr>
        <w:t xml:space="preserve">Minimum </w:t>
      </w:r>
      <w:r>
        <w:rPr>
          <w:lang w:val="en-GB"/>
        </w:rPr>
        <w:t>one</w:t>
      </w:r>
      <w:r w:rsidRPr="00BD1119">
        <w:rPr>
          <w:lang w:val="en-GB"/>
        </w:rPr>
        <w:t xml:space="preserve"> (</w:t>
      </w:r>
      <w:r>
        <w:rPr>
          <w:lang w:val="en-GB"/>
        </w:rPr>
        <w:t>1</w:t>
      </w:r>
      <w:r w:rsidRPr="00BD1119">
        <w:rPr>
          <w:lang w:val="en-GB"/>
        </w:rPr>
        <w:t xml:space="preserve">) </w:t>
      </w:r>
      <w:r>
        <w:t>expert</w:t>
      </w:r>
      <w:r w:rsidRPr="00BD1119">
        <w:t xml:space="preserve"> with at least five (5) years professional experience relevant for the field </w:t>
      </w:r>
      <w:r w:rsidR="00824D0C">
        <w:t xml:space="preserve">of </w:t>
      </w:r>
      <w:r>
        <w:t>energy efficiency</w:t>
      </w:r>
    </w:p>
    <w:p w14:paraId="7111C31E" w14:textId="453919C8" w:rsidR="0051731B" w:rsidRDefault="0051731B" w:rsidP="000607A6">
      <w:pPr>
        <w:numPr>
          <w:ilvl w:val="1"/>
          <w:numId w:val="19"/>
        </w:numPr>
        <w:contextualSpacing/>
        <w:jc w:val="both"/>
      </w:pPr>
      <w:r>
        <w:t>At least one (1) junior analyst with at least three (3) years of work experience in related fields</w:t>
      </w:r>
    </w:p>
    <w:p w14:paraId="3A9ED6F0" w14:textId="50420A39" w:rsidR="0051731B" w:rsidRPr="00BD1119" w:rsidRDefault="0051731B" w:rsidP="000607A6">
      <w:pPr>
        <w:numPr>
          <w:ilvl w:val="1"/>
          <w:numId w:val="19"/>
        </w:numPr>
        <w:contextualSpacing/>
        <w:jc w:val="both"/>
      </w:pPr>
      <w:r>
        <w:t>One (1) administrative assistant (support personnel. CV not required).</w:t>
      </w:r>
    </w:p>
    <w:bookmarkEnd w:id="2"/>
    <w:p w14:paraId="5A061D22" w14:textId="567FAC5C" w:rsidR="006F6093" w:rsidRPr="00004A41" w:rsidRDefault="001813C2" w:rsidP="00004A41">
      <w:pPr>
        <w:spacing w:line="276" w:lineRule="auto"/>
        <w:jc w:val="both"/>
      </w:pPr>
      <w:r w:rsidRPr="0018420F">
        <w:rPr>
          <w:highlight w:val="yellow"/>
        </w:rPr>
        <w:t xml:space="preserve"> </w:t>
      </w:r>
    </w:p>
    <w:sectPr w:rsidR="006F6093" w:rsidRPr="00004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F68C2"/>
    <w:multiLevelType w:val="hybridMultilevel"/>
    <w:tmpl w:val="52EA42EE"/>
    <w:lvl w:ilvl="0" w:tplc="FFCA997A">
      <w:numFmt w:val="bullet"/>
      <w:lvlText w:val=""/>
      <w:lvlJc w:val="left"/>
      <w:pPr>
        <w:ind w:left="467" w:hanging="360"/>
      </w:pPr>
      <w:rPr>
        <w:rFonts w:ascii="Symbol" w:eastAsia="Times New Roman" w:hAnsi="Symbol" w:hint="default"/>
        <w:w w:val="100"/>
        <w:sz w:val="18"/>
      </w:rPr>
    </w:lvl>
    <w:lvl w:ilvl="1" w:tplc="41B63DDA">
      <w:numFmt w:val="bullet"/>
      <w:lvlText w:val="•"/>
      <w:lvlJc w:val="left"/>
      <w:pPr>
        <w:ind w:left="1314" w:hanging="360"/>
      </w:pPr>
      <w:rPr>
        <w:rFonts w:hint="default"/>
      </w:rPr>
    </w:lvl>
    <w:lvl w:ilvl="2" w:tplc="5846FB70">
      <w:numFmt w:val="bullet"/>
      <w:lvlText w:val="•"/>
      <w:lvlJc w:val="left"/>
      <w:pPr>
        <w:ind w:left="2168" w:hanging="360"/>
      </w:pPr>
      <w:rPr>
        <w:rFonts w:hint="default"/>
      </w:rPr>
    </w:lvl>
    <w:lvl w:ilvl="3" w:tplc="86784092">
      <w:numFmt w:val="bullet"/>
      <w:lvlText w:val="•"/>
      <w:lvlJc w:val="left"/>
      <w:pPr>
        <w:ind w:left="3023" w:hanging="360"/>
      </w:pPr>
      <w:rPr>
        <w:rFonts w:hint="default"/>
      </w:rPr>
    </w:lvl>
    <w:lvl w:ilvl="4" w:tplc="9D06946C">
      <w:numFmt w:val="bullet"/>
      <w:lvlText w:val="•"/>
      <w:lvlJc w:val="left"/>
      <w:pPr>
        <w:ind w:left="3877" w:hanging="360"/>
      </w:pPr>
      <w:rPr>
        <w:rFonts w:hint="default"/>
      </w:rPr>
    </w:lvl>
    <w:lvl w:ilvl="5" w:tplc="994CA84A">
      <w:numFmt w:val="bullet"/>
      <w:lvlText w:val="•"/>
      <w:lvlJc w:val="left"/>
      <w:pPr>
        <w:ind w:left="4732" w:hanging="360"/>
      </w:pPr>
      <w:rPr>
        <w:rFonts w:hint="default"/>
      </w:rPr>
    </w:lvl>
    <w:lvl w:ilvl="6" w:tplc="8F981EC0">
      <w:numFmt w:val="bullet"/>
      <w:lvlText w:val="•"/>
      <w:lvlJc w:val="left"/>
      <w:pPr>
        <w:ind w:left="5586" w:hanging="360"/>
      </w:pPr>
      <w:rPr>
        <w:rFonts w:hint="default"/>
      </w:rPr>
    </w:lvl>
    <w:lvl w:ilvl="7" w:tplc="309ACD4E">
      <w:numFmt w:val="bullet"/>
      <w:lvlText w:val="•"/>
      <w:lvlJc w:val="left"/>
      <w:pPr>
        <w:ind w:left="6440" w:hanging="360"/>
      </w:pPr>
      <w:rPr>
        <w:rFonts w:hint="default"/>
      </w:rPr>
    </w:lvl>
    <w:lvl w:ilvl="8" w:tplc="E75A2246">
      <w:numFmt w:val="bullet"/>
      <w:lvlText w:val="•"/>
      <w:lvlJc w:val="left"/>
      <w:pPr>
        <w:ind w:left="7295" w:hanging="360"/>
      </w:pPr>
      <w:rPr>
        <w:rFonts w:hint="default"/>
      </w:rPr>
    </w:lvl>
  </w:abstractNum>
  <w:abstractNum w:abstractNumId="1" w15:restartNumberingAfterBreak="0">
    <w:nsid w:val="0B4D42F7"/>
    <w:multiLevelType w:val="hybridMultilevel"/>
    <w:tmpl w:val="6AC227F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FCB020F"/>
    <w:multiLevelType w:val="hybridMultilevel"/>
    <w:tmpl w:val="52060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61F50"/>
    <w:multiLevelType w:val="hybridMultilevel"/>
    <w:tmpl w:val="11BC98E2"/>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53248C1"/>
    <w:multiLevelType w:val="hybridMultilevel"/>
    <w:tmpl w:val="C00E6FD6"/>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5B20404"/>
    <w:multiLevelType w:val="hybridMultilevel"/>
    <w:tmpl w:val="79DEC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92393"/>
    <w:multiLevelType w:val="hybridMultilevel"/>
    <w:tmpl w:val="0276B66A"/>
    <w:lvl w:ilvl="0" w:tplc="7BA86656">
      <w:numFmt w:val="bullet"/>
      <w:lvlText w:val=""/>
      <w:lvlJc w:val="left"/>
      <w:pPr>
        <w:ind w:left="467" w:hanging="360"/>
      </w:pPr>
      <w:rPr>
        <w:rFonts w:ascii="Symbol" w:eastAsia="Times New Roman" w:hAnsi="Symbol" w:hint="default"/>
        <w:w w:val="100"/>
        <w:sz w:val="18"/>
      </w:rPr>
    </w:lvl>
    <w:lvl w:ilvl="1" w:tplc="641616D4">
      <w:numFmt w:val="bullet"/>
      <w:lvlText w:val="•"/>
      <w:lvlJc w:val="left"/>
      <w:pPr>
        <w:ind w:left="1314" w:hanging="360"/>
      </w:pPr>
      <w:rPr>
        <w:rFonts w:hint="default"/>
      </w:rPr>
    </w:lvl>
    <w:lvl w:ilvl="2" w:tplc="4922ED94">
      <w:numFmt w:val="bullet"/>
      <w:lvlText w:val="•"/>
      <w:lvlJc w:val="left"/>
      <w:pPr>
        <w:ind w:left="2168" w:hanging="360"/>
      </w:pPr>
      <w:rPr>
        <w:rFonts w:hint="default"/>
      </w:rPr>
    </w:lvl>
    <w:lvl w:ilvl="3" w:tplc="F9FC03DA">
      <w:numFmt w:val="bullet"/>
      <w:lvlText w:val="•"/>
      <w:lvlJc w:val="left"/>
      <w:pPr>
        <w:ind w:left="3023" w:hanging="360"/>
      </w:pPr>
      <w:rPr>
        <w:rFonts w:hint="default"/>
      </w:rPr>
    </w:lvl>
    <w:lvl w:ilvl="4" w:tplc="1A30EFF2">
      <w:numFmt w:val="bullet"/>
      <w:lvlText w:val="•"/>
      <w:lvlJc w:val="left"/>
      <w:pPr>
        <w:ind w:left="3877" w:hanging="360"/>
      </w:pPr>
      <w:rPr>
        <w:rFonts w:hint="default"/>
      </w:rPr>
    </w:lvl>
    <w:lvl w:ilvl="5" w:tplc="D2940782">
      <w:numFmt w:val="bullet"/>
      <w:lvlText w:val="•"/>
      <w:lvlJc w:val="left"/>
      <w:pPr>
        <w:ind w:left="4732" w:hanging="360"/>
      </w:pPr>
      <w:rPr>
        <w:rFonts w:hint="default"/>
      </w:rPr>
    </w:lvl>
    <w:lvl w:ilvl="6" w:tplc="88C675FA">
      <w:numFmt w:val="bullet"/>
      <w:lvlText w:val="•"/>
      <w:lvlJc w:val="left"/>
      <w:pPr>
        <w:ind w:left="5586" w:hanging="360"/>
      </w:pPr>
      <w:rPr>
        <w:rFonts w:hint="default"/>
      </w:rPr>
    </w:lvl>
    <w:lvl w:ilvl="7" w:tplc="84FEA81C">
      <w:numFmt w:val="bullet"/>
      <w:lvlText w:val="•"/>
      <w:lvlJc w:val="left"/>
      <w:pPr>
        <w:ind w:left="6440" w:hanging="360"/>
      </w:pPr>
      <w:rPr>
        <w:rFonts w:hint="default"/>
      </w:rPr>
    </w:lvl>
    <w:lvl w:ilvl="8" w:tplc="C0EE2460">
      <w:numFmt w:val="bullet"/>
      <w:lvlText w:val="•"/>
      <w:lvlJc w:val="left"/>
      <w:pPr>
        <w:ind w:left="7295" w:hanging="360"/>
      </w:pPr>
      <w:rPr>
        <w:rFonts w:hint="default"/>
      </w:rPr>
    </w:lvl>
  </w:abstractNum>
  <w:abstractNum w:abstractNumId="7" w15:restartNumberingAfterBreak="0">
    <w:nsid w:val="197262AE"/>
    <w:multiLevelType w:val="hybridMultilevel"/>
    <w:tmpl w:val="FBB639BA"/>
    <w:lvl w:ilvl="0" w:tplc="DDF23046">
      <w:start w:val="1"/>
      <w:numFmt w:val="lowerLetter"/>
      <w:lvlText w:val="%1)"/>
      <w:lvlJc w:val="left"/>
      <w:pPr>
        <w:ind w:left="467" w:hanging="360"/>
      </w:pPr>
      <w:rPr>
        <w:rFonts w:ascii="Cambria" w:eastAsia="Times New Roman" w:hAnsi="Cambria" w:cs="Cambria" w:hint="default"/>
        <w:w w:val="100"/>
        <w:sz w:val="18"/>
        <w:szCs w:val="18"/>
      </w:rPr>
    </w:lvl>
    <w:lvl w:ilvl="1" w:tplc="79CC1D5C">
      <w:numFmt w:val="bullet"/>
      <w:lvlText w:val="•"/>
      <w:lvlJc w:val="left"/>
      <w:pPr>
        <w:ind w:left="1314" w:hanging="360"/>
      </w:pPr>
      <w:rPr>
        <w:rFonts w:hint="default"/>
      </w:rPr>
    </w:lvl>
    <w:lvl w:ilvl="2" w:tplc="AF9EC5D2">
      <w:numFmt w:val="bullet"/>
      <w:lvlText w:val="•"/>
      <w:lvlJc w:val="left"/>
      <w:pPr>
        <w:ind w:left="2168" w:hanging="360"/>
      </w:pPr>
      <w:rPr>
        <w:rFonts w:hint="default"/>
      </w:rPr>
    </w:lvl>
    <w:lvl w:ilvl="3" w:tplc="9B48B9E8">
      <w:numFmt w:val="bullet"/>
      <w:lvlText w:val="•"/>
      <w:lvlJc w:val="left"/>
      <w:pPr>
        <w:ind w:left="3023" w:hanging="360"/>
      </w:pPr>
      <w:rPr>
        <w:rFonts w:hint="default"/>
      </w:rPr>
    </w:lvl>
    <w:lvl w:ilvl="4" w:tplc="8074599A">
      <w:numFmt w:val="bullet"/>
      <w:lvlText w:val="•"/>
      <w:lvlJc w:val="left"/>
      <w:pPr>
        <w:ind w:left="3877" w:hanging="360"/>
      </w:pPr>
      <w:rPr>
        <w:rFonts w:hint="default"/>
      </w:rPr>
    </w:lvl>
    <w:lvl w:ilvl="5" w:tplc="FE1ABB82">
      <w:numFmt w:val="bullet"/>
      <w:lvlText w:val="•"/>
      <w:lvlJc w:val="left"/>
      <w:pPr>
        <w:ind w:left="4732" w:hanging="360"/>
      </w:pPr>
      <w:rPr>
        <w:rFonts w:hint="default"/>
      </w:rPr>
    </w:lvl>
    <w:lvl w:ilvl="6" w:tplc="E5AEE146">
      <w:numFmt w:val="bullet"/>
      <w:lvlText w:val="•"/>
      <w:lvlJc w:val="left"/>
      <w:pPr>
        <w:ind w:left="5586" w:hanging="360"/>
      </w:pPr>
      <w:rPr>
        <w:rFonts w:hint="default"/>
      </w:rPr>
    </w:lvl>
    <w:lvl w:ilvl="7" w:tplc="EE0CED42">
      <w:numFmt w:val="bullet"/>
      <w:lvlText w:val="•"/>
      <w:lvlJc w:val="left"/>
      <w:pPr>
        <w:ind w:left="6440" w:hanging="360"/>
      </w:pPr>
      <w:rPr>
        <w:rFonts w:hint="default"/>
      </w:rPr>
    </w:lvl>
    <w:lvl w:ilvl="8" w:tplc="B1440B9A">
      <w:numFmt w:val="bullet"/>
      <w:lvlText w:val="•"/>
      <w:lvlJc w:val="left"/>
      <w:pPr>
        <w:ind w:left="7295" w:hanging="360"/>
      </w:pPr>
      <w:rPr>
        <w:rFonts w:hint="default"/>
      </w:rPr>
    </w:lvl>
  </w:abstractNum>
  <w:abstractNum w:abstractNumId="8" w15:restartNumberingAfterBreak="0">
    <w:nsid w:val="19EE6462"/>
    <w:multiLevelType w:val="hybridMultilevel"/>
    <w:tmpl w:val="59A8E590"/>
    <w:lvl w:ilvl="0" w:tplc="141A0017">
      <w:start w:val="1"/>
      <w:numFmt w:val="lowerLetter"/>
      <w:lvlText w:val="%1)"/>
      <w:lvlJc w:val="left"/>
      <w:pPr>
        <w:ind w:left="1800" w:hanging="360"/>
      </w:pPr>
    </w:lvl>
    <w:lvl w:ilvl="1" w:tplc="141A0019">
      <w:start w:val="1"/>
      <w:numFmt w:val="lowerLetter"/>
      <w:lvlText w:val="%2."/>
      <w:lvlJc w:val="left"/>
      <w:pPr>
        <w:ind w:left="2520" w:hanging="360"/>
      </w:pPr>
    </w:lvl>
    <w:lvl w:ilvl="2" w:tplc="77B85C74">
      <w:start w:val="3"/>
      <w:numFmt w:val="upperRoman"/>
      <w:lvlText w:val="%3."/>
      <w:lvlJc w:val="left"/>
      <w:pPr>
        <w:ind w:left="3780" w:hanging="720"/>
      </w:pPr>
      <w:rPr>
        <w:rFonts w:hint="default"/>
      </w:rPr>
    </w:lvl>
    <w:lvl w:ilvl="3" w:tplc="141A000F" w:tentative="1">
      <w:start w:val="1"/>
      <w:numFmt w:val="decimal"/>
      <w:lvlText w:val="%4."/>
      <w:lvlJc w:val="left"/>
      <w:pPr>
        <w:ind w:left="3960" w:hanging="360"/>
      </w:pPr>
    </w:lvl>
    <w:lvl w:ilvl="4" w:tplc="141A0019" w:tentative="1">
      <w:start w:val="1"/>
      <w:numFmt w:val="lowerLetter"/>
      <w:lvlText w:val="%5."/>
      <w:lvlJc w:val="left"/>
      <w:pPr>
        <w:ind w:left="4680" w:hanging="360"/>
      </w:pPr>
    </w:lvl>
    <w:lvl w:ilvl="5" w:tplc="141A001B" w:tentative="1">
      <w:start w:val="1"/>
      <w:numFmt w:val="lowerRoman"/>
      <w:lvlText w:val="%6."/>
      <w:lvlJc w:val="right"/>
      <w:pPr>
        <w:ind w:left="5400" w:hanging="180"/>
      </w:pPr>
    </w:lvl>
    <w:lvl w:ilvl="6" w:tplc="141A000F" w:tentative="1">
      <w:start w:val="1"/>
      <w:numFmt w:val="decimal"/>
      <w:lvlText w:val="%7."/>
      <w:lvlJc w:val="left"/>
      <w:pPr>
        <w:ind w:left="6120" w:hanging="360"/>
      </w:pPr>
    </w:lvl>
    <w:lvl w:ilvl="7" w:tplc="141A0019" w:tentative="1">
      <w:start w:val="1"/>
      <w:numFmt w:val="lowerLetter"/>
      <w:lvlText w:val="%8."/>
      <w:lvlJc w:val="left"/>
      <w:pPr>
        <w:ind w:left="6840" w:hanging="360"/>
      </w:pPr>
    </w:lvl>
    <w:lvl w:ilvl="8" w:tplc="141A001B" w:tentative="1">
      <w:start w:val="1"/>
      <w:numFmt w:val="lowerRoman"/>
      <w:lvlText w:val="%9."/>
      <w:lvlJc w:val="right"/>
      <w:pPr>
        <w:ind w:left="7560" w:hanging="180"/>
      </w:pPr>
    </w:lvl>
  </w:abstractNum>
  <w:abstractNum w:abstractNumId="9" w15:restartNumberingAfterBreak="0">
    <w:nsid w:val="229028C5"/>
    <w:multiLevelType w:val="hybridMultilevel"/>
    <w:tmpl w:val="6E00830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378D9"/>
    <w:multiLevelType w:val="hybridMultilevel"/>
    <w:tmpl w:val="E6E0B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773F35"/>
    <w:multiLevelType w:val="multilevel"/>
    <w:tmpl w:val="6C30FC66"/>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2" w15:restartNumberingAfterBreak="0">
    <w:nsid w:val="309A4F11"/>
    <w:multiLevelType w:val="hybridMultilevel"/>
    <w:tmpl w:val="2032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30B00"/>
    <w:multiLevelType w:val="hybridMultilevel"/>
    <w:tmpl w:val="46CC5B9E"/>
    <w:lvl w:ilvl="0" w:tplc="73EC996C">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C0010B"/>
    <w:multiLevelType w:val="hybridMultilevel"/>
    <w:tmpl w:val="ED0A3388"/>
    <w:lvl w:ilvl="0" w:tplc="141A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E597A"/>
    <w:multiLevelType w:val="hybridMultilevel"/>
    <w:tmpl w:val="CDEAFF9A"/>
    <w:lvl w:ilvl="0" w:tplc="7A269BB2">
      <w:numFmt w:val="bullet"/>
      <w:lvlText w:val=""/>
      <w:lvlJc w:val="left"/>
      <w:pPr>
        <w:ind w:left="467" w:hanging="360"/>
      </w:pPr>
      <w:rPr>
        <w:rFonts w:ascii="Symbol" w:eastAsia="Times New Roman" w:hAnsi="Symbol" w:hint="default"/>
        <w:w w:val="100"/>
        <w:sz w:val="18"/>
      </w:rPr>
    </w:lvl>
    <w:lvl w:ilvl="1" w:tplc="71FC70E2">
      <w:numFmt w:val="bullet"/>
      <w:lvlText w:val="•"/>
      <w:lvlJc w:val="left"/>
      <w:pPr>
        <w:ind w:left="1314" w:hanging="360"/>
      </w:pPr>
      <w:rPr>
        <w:rFonts w:hint="default"/>
      </w:rPr>
    </w:lvl>
    <w:lvl w:ilvl="2" w:tplc="F754048A">
      <w:numFmt w:val="bullet"/>
      <w:lvlText w:val="•"/>
      <w:lvlJc w:val="left"/>
      <w:pPr>
        <w:ind w:left="2168" w:hanging="360"/>
      </w:pPr>
      <w:rPr>
        <w:rFonts w:hint="default"/>
      </w:rPr>
    </w:lvl>
    <w:lvl w:ilvl="3" w:tplc="92DEB500">
      <w:numFmt w:val="bullet"/>
      <w:lvlText w:val="•"/>
      <w:lvlJc w:val="left"/>
      <w:pPr>
        <w:ind w:left="3023" w:hanging="360"/>
      </w:pPr>
      <w:rPr>
        <w:rFonts w:hint="default"/>
      </w:rPr>
    </w:lvl>
    <w:lvl w:ilvl="4" w:tplc="650015C6">
      <w:numFmt w:val="bullet"/>
      <w:lvlText w:val="•"/>
      <w:lvlJc w:val="left"/>
      <w:pPr>
        <w:ind w:left="3877" w:hanging="360"/>
      </w:pPr>
      <w:rPr>
        <w:rFonts w:hint="default"/>
      </w:rPr>
    </w:lvl>
    <w:lvl w:ilvl="5" w:tplc="C5247B2A">
      <w:numFmt w:val="bullet"/>
      <w:lvlText w:val="•"/>
      <w:lvlJc w:val="left"/>
      <w:pPr>
        <w:ind w:left="4732" w:hanging="360"/>
      </w:pPr>
      <w:rPr>
        <w:rFonts w:hint="default"/>
      </w:rPr>
    </w:lvl>
    <w:lvl w:ilvl="6" w:tplc="83E091FC">
      <w:numFmt w:val="bullet"/>
      <w:lvlText w:val="•"/>
      <w:lvlJc w:val="left"/>
      <w:pPr>
        <w:ind w:left="5586" w:hanging="360"/>
      </w:pPr>
      <w:rPr>
        <w:rFonts w:hint="default"/>
      </w:rPr>
    </w:lvl>
    <w:lvl w:ilvl="7" w:tplc="EEB2A5DC">
      <w:numFmt w:val="bullet"/>
      <w:lvlText w:val="•"/>
      <w:lvlJc w:val="left"/>
      <w:pPr>
        <w:ind w:left="6440" w:hanging="360"/>
      </w:pPr>
      <w:rPr>
        <w:rFonts w:hint="default"/>
      </w:rPr>
    </w:lvl>
    <w:lvl w:ilvl="8" w:tplc="6220FA38">
      <w:numFmt w:val="bullet"/>
      <w:lvlText w:val="•"/>
      <w:lvlJc w:val="left"/>
      <w:pPr>
        <w:ind w:left="7295" w:hanging="360"/>
      </w:pPr>
      <w:rPr>
        <w:rFonts w:hint="default"/>
      </w:rPr>
    </w:lvl>
  </w:abstractNum>
  <w:abstractNum w:abstractNumId="16" w15:restartNumberingAfterBreak="0">
    <w:nsid w:val="459368C9"/>
    <w:multiLevelType w:val="hybridMultilevel"/>
    <w:tmpl w:val="5F9449F8"/>
    <w:lvl w:ilvl="0" w:tplc="1B9C96BA">
      <w:numFmt w:val="bullet"/>
      <w:lvlText w:val=""/>
      <w:lvlJc w:val="left"/>
      <w:pPr>
        <w:ind w:left="467" w:hanging="360"/>
      </w:pPr>
      <w:rPr>
        <w:rFonts w:ascii="Symbol" w:eastAsia="Times New Roman" w:hAnsi="Symbol" w:hint="default"/>
        <w:w w:val="100"/>
        <w:sz w:val="18"/>
      </w:rPr>
    </w:lvl>
    <w:lvl w:ilvl="1" w:tplc="E676B910">
      <w:numFmt w:val="bullet"/>
      <w:lvlText w:val="•"/>
      <w:lvlJc w:val="left"/>
      <w:pPr>
        <w:ind w:left="1314" w:hanging="360"/>
      </w:pPr>
      <w:rPr>
        <w:rFonts w:hint="default"/>
      </w:rPr>
    </w:lvl>
    <w:lvl w:ilvl="2" w:tplc="46F44DE4">
      <w:numFmt w:val="bullet"/>
      <w:lvlText w:val="•"/>
      <w:lvlJc w:val="left"/>
      <w:pPr>
        <w:ind w:left="2168" w:hanging="360"/>
      </w:pPr>
      <w:rPr>
        <w:rFonts w:hint="default"/>
      </w:rPr>
    </w:lvl>
    <w:lvl w:ilvl="3" w:tplc="7F0C6C56">
      <w:numFmt w:val="bullet"/>
      <w:lvlText w:val="•"/>
      <w:lvlJc w:val="left"/>
      <w:pPr>
        <w:ind w:left="3023" w:hanging="360"/>
      </w:pPr>
      <w:rPr>
        <w:rFonts w:hint="default"/>
      </w:rPr>
    </w:lvl>
    <w:lvl w:ilvl="4" w:tplc="A704E790">
      <w:numFmt w:val="bullet"/>
      <w:lvlText w:val="•"/>
      <w:lvlJc w:val="left"/>
      <w:pPr>
        <w:ind w:left="3877" w:hanging="360"/>
      </w:pPr>
      <w:rPr>
        <w:rFonts w:hint="default"/>
      </w:rPr>
    </w:lvl>
    <w:lvl w:ilvl="5" w:tplc="309652CA">
      <w:numFmt w:val="bullet"/>
      <w:lvlText w:val="•"/>
      <w:lvlJc w:val="left"/>
      <w:pPr>
        <w:ind w:left="4732" w:hanging="360"/>
      </w:pPr>
      <w:rPr>
        <w:rFonts w:hint="default"/>
      </w:rPr>
    </w:lvl>
    <w:lvl w:ilvl="6" w:tplc="A0E87D10">
      <w:numFmt w:val="bullet"/>
      <w:lvlText w:val="•"/>
      <w:lvlJc w:val="left"/>
      <w:pPr>
        <w:ind w:left="5586" w:hanging="360"/>
      </w:pPr>
      <w:rPr>
        <w:rFonts w:hint="default"/>
      </w:rPr>
    </w:lvl>
    <w:lvl w:ilvl="7" w:tplc="3860104E">
      <w:numFmt w:val="bullet"/>
      <w:lvlText w:val="•"/>
      <w:lvlJc w:val="left"/>
      <w:pPr>
        <w:ind w:left="6440" w:hanging="360"/>
      </w:pPr>
      <w:rPr>
        <w:rFonts w:hint="default"/>
      </w:rPr>
    </w:lvl>
    <w:lvl w:ilvl="8" w:tplc="D544355C">
      <w:numFmt w:val="bullet"/>
      <w:lvlText w:val="•"/>
      <w:lvlJc w:val="left"/>
      <w:pPr>
        <w:ind w:left="7295" w:hanging="360"/>
      </w:pPr>
      <w:rPr>
        <w:rFonts w:hint="default"/>
      </w:rPr>
    </w:lvl>
  </w:abstractNum>
  <w:abstractNum w:abstractNumId="17" w15:restartNumberingAfterBreak="0">
    <w:nsid w:val="4C08096F"/>
    <w:multiLevelType w:val="hybridMultilevel"/>
    <w:tmpl w:val="1786B898"/>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4CBF0062"/>
    <w:multiLevelType w:val="hybridMultilevel"/>
    <w:tmpl w:val="9FC6DD96"/>
    <w:lvl w:ilvl="0" w:tplc="141A0017">
      <w:start w:val="1"/>
      <w:numFmt w:val="lowerLetter"/>
      <w:lvlText w:val="%1)"/>
      <w:lvlJc w:val="left"/>
      <w:pPr>
        <w:ind w:left="720" w:hanging="360"/>
      </w:pPr>
      <w:rPr>
        <w:rFonts w:cs="Times New Roman"/>
      </w:rPr>
    </w:lvl>
    <w:lvl w:ilvl="1" w:tplc="141A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F5007FB"/>
    <w:multiLevelType w:val="hybridMultilevel"/>
    <w:tmpl w:val="F80C9AA2"/>
    <w:lvl w:ilvl="0" w:tplc="141A0001">
      <w:start w:val="1"/>
      <w:numFmt w:val="bullet"/>
      <w:lvlText w:val=""/>
      <w:lvlJc w:val="left"/>
      <w:pPr>
        <w:ind w:left="786"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564850AF"/>
    <w:multiLevelType w:val="multilevel"/>
    <w:tmpl w:val="465001FA"/>
    <w:lvl w:ilvl="0">
      <w:start w:val="1"/>
      <w:numFmt w:val="bullet"/>
      <w:lvlText w:val=""/>
      <w:lvlJc w:val="left"/>
      <w:pPr>
        <w:tabs>
          <w:tab w:val="num" w:pos="363"/>
        </w:tabs>
        <w:ind w:left="363" w:hanging="360"/>
      </w:pPr>
      <w:rPr>
        <w:rFonts w:ascii="Symbol" w:hAnsi="Symbol" w:hint="default"/>
        <w:b w:val="0"/>
        <w:i w:val="0"/>
      </w:rPr>
    </w:lvl>
    <w:lvl w:ilvl="1" w:tentative="1">
      <w:start w:val="1"/>
      <w:numFmt w:val="bullet"/>
      <w:lvlText w:val="o"/>
      <w:lvlJc w:val="left"/>
      <w:pPr>
        <w:tabs>
          <w:tab w:val="num" w:pos="1443"/>
        </w:tabs>
        <w:ind w:left="1443" w:hanging="360"/>
      </w:pPr>
      <w:rPr>
        <w:rFonts w:ascii="Courier New" w:hAnsi="Courier New" w:hint="default"/>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21" w15:restartNumberingAfterBreak="0">
    <w:nsid w:val="60777776"/>
    <w:multiLevelType w:val="hybridMultilevel"/>
    <w:tmpl w:val="95B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947DF"/>
    <w:multiLevelType w:val="hybridMultilevel"/>
    <w:tmpl w:val="126E8AA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638A7233"/>
    <w:multiLevelType w:val="hybridMultilevel"/>
    <w:tmpl w:val="DD40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CC4B53"/>
    <w:multiLevelType w:val="hybridMultilevel"/>
    <w:tmpl w:val="E1DC7472"/>
    <w:lvl w:ilvl="0" w:tplc="D94A9338">
      <w:numFmt w:val="bullet"/>
      <w:lvlText w:val=""/>
      <w:lvlJc w:val="left"/>
      <w:pPr>
        <w:ind w:left="467" w:hanging="360"/>
      </w:pPr>
      <w:rPr>
        <w:rFonts w:ascii="Symbol" w:eastAsia="Times New Roman" w:hAnsi="Symbol" w:hint="default"/>
        <w:w w:val="100"/>
        <w:sz w:val="18"/>
      </w:rPr>
    </w:lvl>
    <w:lvl w:ilvl="1" w:tplc="3FF856D2">
      <w:numFmt w:val="bullet"/>
      <w:lvlText w:val="•"/>
      <w:lvlJc w:val="left"/>
      <w:pPr>
        <w:ind w:left="1314" w:hanging="360"/>
      </w:pPr>
      <w:rPr>
        <w:rFonts w:hint="default"/>
      </w:rPr>
    </w:lvl>
    <w:lvl w:ilvl="2" w:tplc="151E5F50">
      <w:numFmt w:val="bullet"/>
      <w:lvlText w:val="•"/>
      <w:lvlJc w:val="left"/>
      <w:pPr>
        <w:ind w:left="2168" w:hanging="360"/>
      </w:pPr>
      <w:rPr>
        <w:rFonts w:hint="default"/>
      </w:rPr>
    </w:lvl>
    <w:lvl w:ilvl="3" w:tplc="05EEC91C">
      <w:numFmt w:val="bullet"/>
      <w:lvlText w:val="•"/>
      <w:lvlJc w:val="left"/>
      <w:pPr>
        <w:ind w:left="3023" w:hanging="360"/>
      </w:pPr>
      <w:rPr>
        <w:rFonts w:hint="default"/>
      </w:rPr>
    </w:lvl>
    <w:lvl w:ilvl="4" w:tplc="ED740DA4">
      <w:numFmt w:val="bullet"/>
      <w:lvlText w:val="•"/>
      <w:lvlJc w:val="left"/>
      <w:pPr>
        <w:ind w:left="3877" w:hanging="360"/>
      </w:pPr>
      <w:rPr>
        <w:rFonts w:hint="default"/>
      </w:rPr>
    </w:lvl>
    <w:lvl w:ilvl="5" w:tplc="CD027624">
      <w:numFmt w:val="bullet"/>
      <w:lvlText w:val="•"/>
      <w:lvlJc w:val="left"/>
      <w:pPr>
        <w:ind w:left="4732" w:hanging="360"/>
      </w:pPr>
      <w:rPr>
        <w:rFonts w:hint="default"/>
      </w:rPr>
    </w:lvl>
    <w:lvl w:ilvl="6" w:tplc="D8722FD8">
      <w:numFmt w:val="bullet"/>
      <w:lvlText w:val="•"/>
      <w:lvlJc w:val="left"/>
      <w:pPr>
        <w:ind w:left="5586" w:hanging="360"/>
      </w:pPr>
      <w:rPr>
        <w:rFonts w:hint="default"/>
      </w:rPr>
    </w:lvl>
    <w:lvl w:ilvl="7" w:tplc="D896ADA0">
      <w:numFmt w:val="bullet"/>
      <w:lvlText w:val="•"/>
      <w:lvlJc w:val="left"/>
      <w:pPr>
        <w:ind w:left="6440" w:hanging="360"/>
      </w:pPr>
      <w:rPr>
        <w:rFonts w:hint="default"/>
      </w:rPr>
    </w:lvl>
    <w:lvl w:ilvl="8" w:tplc="40E4D98A">
      <w:numFmt w:val="bullet"/>
      <w:lvlText w:val="•"/>
      <w:lvlJc w:val="left"/>
      <w:pPr>
        <w:ind w:left="7295" w:hanging="360"/>
      </w:pPr>
      <w:rPr>
        <w:rFonts w:hint="default"/>
      </w:rPr>
    </w:lvl>
  </w:abstractNum>
  <w:abstractNum w:abstractNumId="25" w15:restartNumberingAfterBreak="0">
    <w:nsid w:val="64C82A0B"/>
    <w:multiLevelType w:val="hybridMultilevel"/>
    <w:tmpl w:val="0D70C1DE"/>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64FF453E"/>
    <w:multiLevelType w:val="hybridMultilevel"/>
    <w:tmpl w:val="3272B4B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27" w15:restartNumberingAfterBreak="0">
    <w:nsid w:val="6A6022E5"/>
    <w:multiLevelType w:val="hybridMultilevel"/>
    <w:tmpl w:val="A6AA6560"/>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A6F883A"/>
    <w:multiLevelType w:val="hybridMultilevel"/>
    <w:tmpl w:val="36E8DF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C6D6FBD"/>
    <w:multiLevelType w:val="hybridMultilevel"/>
    <w:tmpl w:val="CA248152"/>
    <w:lvl w:ilvl="0" w:tplc="141A0003">
      <w:start w:val="1"/>
      <w:numFmt w:val="bullet"/>
      <w:lvlText w:val="o"/>
      <w:lvlJc w:val="left"/>
      <w:pPr>
        <w:ind w:left="1506" w:hanging="360"/>
      </w:pPr>
      <w:rPr>
        <w:rFonts w:ascii="Courier New" w:hAnsi="Courier New" w:cs="Courier New"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0" w15:restartNumberingAfterBreak="0">
    <w:nsid w:val="75516403"/>
    <w:multiLevelType w:val="hybridMultilevel"/>
    <w:tmpl w:val="B596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060D6A"/>
    <w:multiLevelType w:val="hybridMultilevel"/>
    <w:tmpl w:val="8842AD08"/>
    <w:lvl w:ilvl="0" w:tplc="91B2FCEC">
      <w:numFmt w:val="bullet"/>
      <w:lvlText w:val=""/>
      <w:lvlJc w:val="left"/>
      <w:pPr>
        <w:ind w:left="467" w:hanging="360"/>
      </w:pPr>
      <w:rPr>
        <w:rFonts w:ascii="Symbol" w:eastAsia="Times New Roman" w:hAnsi="Symbol" w:hint="default"/>
        <w:w w:val="100"/>
        <w:sz w:val="18"/>
      </w:rPr>
    </w:lvl>
    <w:lvl w:ilvl="1" w:tplc="801E6BE0">
      <w:numFmt w:val="bullet"/>
      <w:lvlText w:val="•"/>
      <w:lvlJc w:val="left"/>
      <w:pPr>
        <w:ind w:left="1314" w:hanging="360"/>
      </w:pPr>
      <w:rPr>
        <w:rFonts w:hint="default"/>
      </w:rPr>
    </w:lvl>
    <w:lvl w:ilvl="2" w:tplc="037C1270">
      <w:numFmt w:val="bullet"/>
      <w:lvlText w:val="•"/>
      <w:lvlJc w:val="left"/>
      <w:pPr>
        <w:ind w:left="2168" w:hanging="360"/>
      </w:pPr>
      <w:rPr>
        <w:rFonts w:hint="default"/>
      </w:rPr>
    </w:lvl>
    <w:lvl w:ilvl="3" w:tplc="BCBE602A">
      <w:numFmt w:val="bullet"/>
      <w:lvlText w:val="•"/>
      <w:lvlJc w:val="left"/>
      <w:pPr>
        <w:ind w:left="3023" w:hanging="360"/>
      </w:pPr>
      <w:rPr>
        <w:rFonts w:hint="default"/>
      </w:rPr>
    </w:lvl>
    <w:lvl w:ilvl="4" w:tplc="82CC41C8">
      <w:numFmt w:val="bullet"/>
      <w:lvlText w:val="•"/>
      <w:lvlJc w:val="left"/>
      <w:pPr>
        <w:ind w:left="3877" w:hanging="360"/>
      </w:pPr>
      <w:rPr>
        <w:rFonts w:hint="default"/>
      </w:rPr>
    </w:lvl>
    <w:lvl w:ilvl="5" w:tplc="25BAD674">
      <w:numFmt w:val="bullet"/>
      <w:lvlText w:val="•"/>
      <w:lvlJc w:val="left"/>
      <w:pPr>
        <w:ind w:left="4732" w:hanging="360"/>
      </w:pPr>
      <w:rPr>
        <w:rFonts w:hint="default"/>
      </w:rPr>
    </w:lvl>
    <w:lvl w:ilvl="6" w:tplc="B69877DA">
      <w:numFmt w:val="bullet"/>
      <w:lvlText w:val="•"/>
      <w:lvlJc w:val="left"/>
      <w:pPr>
        <w:ind w:left="5586" w:hanging="360"/>
      </w:pPr>
      <w:rPr>
        <w:rFonts w:hint="default"/>
      </w:rPr>
    </w:lvl>
    <w:lvl w:ilvl="7" w:tplc="48E4E2C4">
      <w:numFmt w:val="bullet"/>
      <w:lvlText w:val="•"/>
      <w:lvlJc w:val="left"/>
      <w:pPr>
        <w:ind w:left="6440" w:hanging="360"/>
      </w:pPr>
      <w:rPr>
        <w:rFonts w:hint="default"/>
      </w:rPr>
    </w:lvl>
    <w:lvl w:ilvl="8" w:tplc="2146F01E">
      <w:numFmt w:val="bullet"/>
      <w:lvlText w:val="•"/>
      <w:lvlJc w:val="left"/>
      <w:pPr>
        <w:ind w:left="7295" w:hanging="360"/>
      </w:pPr>
      <w:rPr>
        <w:rFonts w:hint="default"/>
      </w:rPr>
    </w:lvl>
  </w:abstractNum>
  <w:abstractNum w:abstractNumId="32" w15:restartNumberingAfterBreak="0">
    <w:nsid w:val="7B037223"/>
    <w:multiLevelType w:val="hybridMultilevel"/>
    <w:tmpl w:val="0992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35CE9"/>
    <w:multiLevelType w:val="hybridMultilevel"/>
    <w:tmpl w:val="63BC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5"/>
  </w:num>
  <w:num w:numId="4">
    <w:abstractNumId w:val="27"/>
  </w:num>
  <w:num w:numId="5">
    <w:abstractNumId w:val="21"/>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num>
  <w:num w:numId="10">
    <w:abstractNumId w:val="29"/>
  </w:num>
  <w:num w:numId="11">
    <w:abstractNumId w:val="12"/>
  </w:num>
  <w:num w:numId="12">
    <w:abstractNumId w:val="3"/>
  </w:num>
  <w:num w:numId="13">
    <w:abstractNumId w:val="23"/>
  </w:num>
  <w:num w:numId="14">
    <w:abstractNumId w:val="25"/>
  </w:num>
  <w:num w:numId="15">
    <w:abstractNumId w:val="2"/>
  </w:num>
  <w:num w:numId="16">
    <w:abstractNumId w:val="9"/>
  </w:num>
  <w:num w:numId="17">
    <w:abstractNumId w:val="32"/>
  </w:num>
  <w:num w:numId="18">
    <w:abstractNumId w:val="8"/>
  </w:num>
  <w:num w:numId="19">
    <w:abstractNumId w:val="26"/>
  </w:num>
  <w:num w:numId="20">
    <w:abstractNumId w:val="18"/>
  </w:num>
  <w:num w:numId="21">
    <w:abstractNumId w:val="22"/>
  </w:num>
  <w:num w:numId="22">
    <w:abstractNumId w:val="28"/>
  </w:num>
  <w:num w:numId="23">
    <w:abstractNumId w:val="7"/>
  </w:num>
  <w:num w:numId="24">
    <w:abstractNumId w:val="16"/>
  </w:num>
  <w:num w:numId="25">
    <w:abstractNumId w:val="15"/>
  </w:num>
  <w:num w:numId="26">
    <w:abstractNumId w:val="31"/>
  </w:num>
  <w:num w:numId="27">
    <w:abstractNumId w:val="6"/>
  </w:num>
  <w:num w:numId="28">
    <w:abstractNumId w:val="24"/>
  </w:num>
  <w:num w:numId="29">
    <w:abstractNumId w:val="0"/>
  </w:num>
  <w:num w:numId="30">
    <w:abstractNumId w:val="1"/>
  </w:num>
  <w:num w:numId="31">
    <w:abstractNumId w:val="4"/>
  </w:num>
  <w:num w:numId="32">
    <w:abstractNumId w:val="17"/>
  </w:num>
  <w:num w:numId="33">
    <w:abstractNumId w:val="3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D61"/>
    <w:rsid w:val="00004A41"/>
    <w:rsid w:val="00013D37"/>
    <w:rsid w:val="00040BC7"/>
    <w:rsid w:val="00040F70"/>
    <w:rsid w:val="000607A6"/>
    <w:rsid w:val="000612FE"/>
    <w:rsid w:val="00061404"/>
    <w:rsid w:val="000825A2"/>
    <w:rsid w:val="0008596B"/>
    <w:rsid w:val="000C22D8"/>
    <w:rsid w:val="000C7519"/>
    <w:rsid w:val="001007E4"/>
    <w:rsid w:val="001450FD"/>
    <w:rsid w:val="001813C2"/>
    <w:rsid w:val="0018168A"/>
    <w:rsid w:val="00182752"/>
    <w:rsid w:val="0018420F"/>
    <w:rsid w:val="001B10FE"/>
    <w:rsid w:val="001D04E9"/>
    <w:rsid w:val="0020128F"/>
    <w:rsid w:val="00203905"/>
    <w:rsid w:val="002140E4"/>
    <w:rsid w:val="0024333C"/>
    <w:rsid w:val="002657D9"/>
    <w:rsid w:val="0028287D"/>
    <w:rsid w:val="00284497"/>
    <w:rsid w:val="00297B5A"/>
    <w:rsid w:val="003016B3"/>
    <w:rsid w:val="00315E9A"/>
    <w:rsid w:val="00323F7D"/>
    <w:rsid w:val="00336170"/>
    <w:rsid w:val="00336EA3"/>
    <w:rsid w:val="00365BAA"/>
    <w:rsid w:val="00365C8C"/>
    <w:rsid w:val="003712DF"/>
    <w:rsid w:val="00381F7C"/>
    <w:rsid w:val="003E14DD"/>
    <w:rsid w:val="00413AD7"/>
    <w:rsid w:val="00455AE7"/>
    <w:rsid w:val="0045600C"/>
    <w:rsid w:val="004A50F5"/>
    <w:rsid w:val="004B2977"/>
    <w:rsid w:val="004B7843"/>
    <w:rsid w:val="004C606F"/>
    <w:rsid w:val="0051731B"/>
    <w:rsid w:val="005576DE"/>
    <w:rsid w:val="00573129"/>
    <w:rsid w:val="0058546D"/>
    <w:rsid w:val="005971C9"/>
    <w:rsid w:val="00600D61"/>
    <w:rsid w:val="006372D9"/>
    <w:rsid w:val="006407CF"/>
    <w:rsid w:val="0065470A"/>
    <w:rsid w:val="00671031"/>
    <w:rsid w:val="00674EA7"/>
    <w:rsid w:val="006865F1"/>
    <w:rsid w:val="0069100D"/>
    <w:rsid w:val="006B6458"/>
    <w:rsid w:val="006F6093"/>
    <w:rsid w:val="006F7341"/>
    <w:rsid w:val="0072697B"/>
    <w:rsid w:val="0072743B"/>
    <w:rsid w:val="00736352"/>
    <w:rsid w:val="0076368B"/>
    <w:rsid w:val="00765FE5"/>
    <w:rsid w:val="007773DF"/>
    <w:rsid w:val="00781617"/>
    <w:rsid w:val="007D05C7"/>
    <w:rsid w:val="007D6EF7"/>
    <w:rsid w:val="007E61FD"/>
    <w:rsid w:val="007F5445"/>
    <w:rsid w:val="00824D0C"/>
    <w:rsid w:val="008739CC"/>
    <w:rsid w:val="008D36C3"/>
    <w:rsid w:val="0091376E"/>
    <w:rsid w:val="00917B0C"/>
    <w:rsid w:val="009232ED"/>
    <w:rsid w:val="00952133"/>
    <w:rsid w:val="00954D12"/>
    <w:rsid w:val="009572F0"/>
    <w:rsid w:val="00961C1A"/>
    <w:rsid w:val="00964058"/>
    <w:rsid w:val="00965E2C"/>
    <w:rsid w:val="00983D61"/>
    <w:rsid w:val="009B5701"/>
    <w:rsid w:val="009C5972"/>
    <w:rsid w:val="00A21E09"/>
    <w:rsid w:val="00A5450A"/>
    <w:rsid w:val="00A7112C"/>
    <w:rsid w:val="00A85788"/>
    <w:rsid w:val="00A86B53"/>
    <w:rsid w:val="00A95B7E"/>
    <w:rsid w:val="00A963AC"/>
    <w:rsid w:val="00AD1068"/>
    <w:rsid w:val="00AF0050"/>
    <w:rsid w:val="00B011F7"/>
    <w:rsid w:val="00B05DA2"/>
    <w:rsid w:val="00B348FE"/>
    <w:rsid w:val="00B5327C"/>
    <w:rsid w:val="00BA6EA8"/>
    <w:rsid w:val="00BB31DC"/>
    <w:rsid w:val="00BD0F43"/>
    <w:rsid w:val="00BD1119"/>
    <w:rsid w:val="00BF3271"/>
    <w:rsid w:val="00BF6E5B"/>
    <w:rsid w:val="00C50842"/>
    <w:rsid w:val="00C529FF"/>
    <w:rsid w:val="00C532F9"/>
    <w:rsid w:val="00C76771"/>
    <w:rsid w:val="00CB2962"/>
    <w:rsid w:val="00D05996"/>
    <w:rsid w:val="00D071CD"/>
    <w:rsid w:val="00D427BE"/>
    <w:rsid w:val="00D53B44"/>
    <w:rsid w:val="00D86C47"/>
    <w:rsid w:val="00D9405D"/>
    <w:rsid w:val="00DB428D"/>
    <w:rsid w:val="00E23CAF"/>
    <w:rsid w:val="00E50DA4"/>
    <w:rsid w:val="00E608FB"/>
    <w:rsid w:val="00E869EB"/>
    <w:rsid w:val="00E92B19"/>
    <w:rsid w:val="00E96D55"/>
    <w:rsid w:val="00ED1878"/>
    <w:rsid w:val="00F0774E"/>
    <w:rsid w:val="00FC008F"/>
    <w:rsid w:val="00FF5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8607D32"/>
  <w15:docId w15:val="{39BBA041-5402-433F-93DC-25CB1812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D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s,List Paragraph (numbered (a)),List_Paragraph,Multilevel para_II,Akapit z listą BS,Bullet1"/>
    <w:basedOn w:val="Normal"/>
    <w:link w:val="ListParagraphChar"/>
    <w:qFormat/>
    <w:rsid w:val="00600D61"/>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uiPriority w:val="99"/>
    <w:unhideWhenUsed/>
    <w:rsid w:val="00600D61"/>
    <w:pPr>
      <w:spacing w:after="120"/>
      <w:ind w:left="283"/>
    </w:pPr>
  </w:style>
  <w:style w:type="character" w:customStyle="1" w:styleId="BodyTextIndentChar">
    <w:name w:val="Body Text Indent Char"/>
    <w:basedOn w:val="DefaultParagraphFont"/>
    <w:link w:val="BodyTextIndent"/>
    <w:uiPriority w:val="99"/>
    <w:rsid w:val="00600D61"/>
    <w:rPr>
      <w:rFonts w:ascii="Times New Roman" w:eastAsia="Times New Roman" w:hAnsi="Times New Roman" w:cs="Times New Roman"/>
      <w:sz w:val="24"/>
      <w:szCs w:val="24"/>
      <w:lang w:val="en-US"/>
    </w:rPr>
  </w:style>
  <w:style w:type="character" w:customStyle="1" w:styleId="ListParagraphChar">
    <w:name w:val="List Paragraph Char"/>
    <w:aliases w:val="References Char,Bullets Char,List Paragraph (numbered (a)) Char,List_Paragraph Char,Multilevel para_II Char,Akapit z listą BS Char,Bullet1 Char"/>
    <w:link w:val="ListParagraph"/>
    <w:locked/>
    <w:rsid w:val="00600D61"/>
    <w:rPr>
      <w:lang w:val="en-US"/>
    </w:rPr>
  </w:style>
  <w:style w:type="paragraph" w:styleId="NormalWeb">
    <w:name w:val="Normal (Web)"/>
    <w:basedOn w:val="Normal"/>
    <w:uiPriority w:val="99"/>
    <w:unhideWhenUsed/>
    <w:rsid w:val="00600D61"/>
    <w:pPr>
      <w:spacing w:before="100" w:beforeAutospacing="1" w:after="100" w:afterAutospacing="1"/>
    </w:pPr>
    <w:rPr>
      <w:lang w:val="bs-Latn-BA" w:eastAsia="bs-Latn-BA"/>
    </w:rPr>
  </w:style>
  <w:style w:type="paragraph" w:customStyle="1" w:styleId="Default">
    <w:name w:val="Default"/>
    <w:rsid w:val="00600D61"/>
    <w:pPr>
      <w:autoSpaceDE w:val="0"/>
      <w:autoSpaceDN w:val="0"/>
      <w:adjustRightInd w:val="0"/>
      <w:spacing w:after="0" w:line="240" w:lineRule="auto"/>
    </w:pPr>
    <w:rPr>
      <w:rFonts w:ascii="Calibri" w:eastAsia="Calibri" w:hAnsi="Calibri" w:cs="Calibri"/>
      <w:color w:val="000000"/>
      <w:sz w:val="24"/>
      <w:szCs w:val="24"/>
      <w:lang w:val="en-US"/>
    </w:rPr>
  </w:style>
  <w:style w:type="paragraph" w:styleId="Revision">
    <w:name w:val="Revision"/>
    <w:hidden/>
    <w:uiPriority w:val="99"/>
    <w:semiHidden/>
    <w:rsid w:val="00AD1068"/>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D1068"/>
    <w:rPr>
      <w:sz w:val="18"/>
      <w:szCs w:val="18"/>
    </w:rPr>
  </w:style>
  <w:style w:type="character" w:customStyle="1" w:styleId="BalloonTextChar">
    <w:name w:val="Balloon Text Char"/>
    <w:basedOn w:val="DefaultParagraphFont"/>
    <w:link w:val="BalloonText"/>
    <w:uiPriority w:val="99"/>
    <w:semiHidden/>
    <w:rsid w:val="00AD1068"/>
    <w:rPr>
      <w:rFonts w:ascii="Times New Roman" w:eastAsia="Times New Roman" w:hAnsi="Times New Roman" w:cs="Times New Roman"/>
      <w:sz w:val="18"/>
      <w:szCs w:val="18"/>
      <w:lang w:val="en-US"/>
    </w:rPr>
  </w:style>
  <w:style w:type="character" w:styleId="Hyperlink">
    <w:name w:val="Hyperlink"/>
    <w:basedOn w:val="DefaultParagraphFont"/>
    <w:uiPriority w:val="99"/>
    <w:unhideWhenUsed/>
    <w:rsid w:val="00765FE5"/>
    <w:rPr>
      <w:color w:val="0563C1" w:themeColor="hyperlink"/>
      <w:u w:val="single"/>
    </w:rPr>
  </w:style>
  <w:style w:type="character" w:styleId="CommentReference">
    <w:name w:val="annotation reference"/>
    <w:basedOn w:val="DefaultParagraphFont"/>
    <w:uiPriority w:val="99"/>
    <w:semiHidden/>
    <w:unhideWhenUsed/>
    <w:rsid w:val="00954D12"/>
    <w:rPr>
      <w:sz w:val="16"/>
      <w:szCs w:val="16"/>
    </w:rPr>
  </w:style>
  <w:style w:type="paragraph" w:styleId="CommentText">
    <w:name w:val="annotation text"/>
    <w:basedOn w:val="Normal"/>
    <w:link w:val="CommentTextChar"/>
    <w:uiPriority w:val="99"/>
    <w:semiHidden/>
    <w:unhideWhenUsed/>
    <w:rsid w:val="00954D12"/>
    <w:rPr>
      <w:sz w:val="20"/>
      <w:szCs w:val="20"/>
    </w:rPr>
  </w:style>
  <w:style w:type="character" w:customStyle="1" w:styleId="CommentTextChar">
    <w:name w:val="Comment Text Char"/>
    <w:basedOn w:val="DefaultParagraphFont"/>
    <w:link w:val="CommentText"/>
    <w:uiPriority w:val="99"/>
    <w:semiHidden/>
    <w:rsid w:val="00954D1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54D12"/>
    <w:rPr>
      <w:b/>
      <w:bCs/>
    </w:rPr>
  </w:style>
  <w:style w:type="character" w:customStyle="1" w:styleId="CommentSubjectChar">
    <w:name w:val="Comment Subject Char"/>
    <w:basedOn w:val="CommentTextChar"/>
    <w:link w:val="CommentSubject"/>
    <w:uiPriority w:val="99"/>
    <w:semiHidden/>
    <w:rsid w:val="00954D12"/>
    <w:rPr>
      <w:rFonts w:ascii="Times New Roman" w:eastAsia="Times New Roman" w:hAnsi="Times New Roman" w:cs="Times New Roman"/>
      <w:b/>
      <w:bCs/>
      <w:sz w:val="20"/>
      <w:szCs w:val="20"/>
      <w:lang w:val="en-US"/>
    </w:rPr>
  </w:style>
  <w:style w:type="table" w:styleId="TableGrid">
    <w:name w:val="Table Grid"/>
    <w:basedOn w:val="TableNormal"/>
    <w:uiPriority w:val="39"/>
    <w:rsid w:val="0036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348FE"/>
    <w:pPr>
      <w:widowControl w:val="0"/>
      <w:autoSpaceDE w:val="0"/>
      <w:autoSpaceDN w:val="0"/>
      <w:ind w:left="467"/>
    </w:pPr>
    <w:rPr>
      <w:rFonts w:ascii="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151805">
      <w:bodyDiv w:val="1"/>
      <w:marLeft w:val="0"/>
      <w:marRight w:val="0"/>
      <w:marTop w:val="0"/>
      <w:marBottom w:val="0"/>
      <w:divBdr>
        <w:top w:val="none" w:sz="0" w:space="0" w:color="auto"/>
        <w:left w:val="none" w:sz="0" w:space="0" w:color="auto"/>
        <w:bottom w:val="none" w:sz="0" w:space="0" w:color="auto"/>
        <w:right w:val="none" w:sz="0" w:space="0" w:color="auto"/>
      </w:divBdr>
    </w:div>
    <w:div w:id="77058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567066-5A28-4A59-B22B-E98C0EF1EA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EFE151-9685-48A7-ABE2-E3232E4B8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82855-C033-4DC3-A37F-71E3260D91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4</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58</cp:revision>
  <cp:lastPrinted>2018-08-07T17:41:00Z</cp:lastPrinted>
  <dcterms:created xsi:type="dcterms:W3CDTF">2020-04-22T10:42:00Z</dcterms:created>
  <dcterms:modified xsi:type="dcterms:W3CDTF">2023-05-08T13:04:00Z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