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660" w:rsidRDefault="00A1041C">
      <w:pPr>
        <w:spacing w:after="0"/>
        <w:jc w:val="center"/>
        <w:rPr>
          <w:rFonts w:ascii="Arial" w:hAnsi="Arial" w:cs="Arial"/>
          <w:b/>
          <w:color w:val="000000" w:themeColor="text1"/>
        </w:rPr>
      </w:pPr>
      <w:r>
        <w:rPr>
          <w:rFonts w:ascii="Arial" w:hAnsi="Arial" w:cs="Arial"/>
          <w:b/>
          <w:color w:val="000000" w:themeColor="text1"/>
        </w:rPr>
        <w:t>NACRT ZAKONA</w:t>
      </w:r>
    </w:p>
    <w:p w:rsidR="003A7660" w:rsidRDefault="00A1041C">
      <w:pPr>
        <w:spacing w:after="0"/>
        <w:jc w:val="center"/>
        <w:rPr>
          <w:rFonts w:ascii="Arial" w:hAnsi="Arial" w:cs="Arial"/>
          <w:b/>
          <w:color w:val="000000" w:themeColor="text1"/>
        </w:rPr>
      </w:pPr>
      <w:r>
        <w:rPr>
          <w:rFonts w:ascii="Arial" w:hAnsi="Arial" w:cs="Arial"/>
          <w:b/>
          <w:color w:val="000000" w:themeColor="text1"/>
        </w:rPr>
        <w:t>O IZMJENAMA I DOPUNAMA ZAKONA O IZDVAJANJU I USMJERAVANJU DIJELA PRIHODA PODUZEĆA OSTVARENOG KORIŠTENJEM HIDROAKUMULACIJSKIH OBJEKATA</w:t>
      </w:r>
    </w:p>
    <w:p w:rsidR="003A7660" w:rsidRDefault="003A7660">
      <w:pPr>
        <w:jc w:val="center"/>
        <w:rPr>
          <w:rFonts w:ascii="Arial" w:hAnsi="Arial" w:cs="Arial"/>
          <w:b/>
          <w:color w:val="000000" w:themeColor="text1"/>
        </w:rPr>
      </w:pPr>
    </w:p>
    <w:p w:rsidR="003A7660" w:rsidRDefault="00A1041C">
      <w:pPr>
        <w:jc w:val="center"/>
        <w:rPr>
          <w:rFonts w:ascii="Arial" w:hAnsi="Arial" w:cs="Arial"/>
          <w:b/>
          <w:color w:val="000000" w:themeColor="text1"/>
        </w:rPr>
      </w:pPr>
      <w:r>
        <w:rPr>
          <w:rFonts w:ascii="Arial" w:hAnsi="Arial" w:cs="Arial"/>
          <w:b/>
          <w:color w:val="000000" w:themeColor="text1"/>
        </w:rPr>
        <w:t>Članak 1.</w:t>
      </w:r>
    </w:p>
    <w:p w:rsidR="003A7660" w:rsidRDefault="003A7660">
      <w:pPr>
        <w:jc w:val="center"/>
        <w:rPr>
          <w:rFonts w:ascii="Arial" w:hAnsi="Arial" w:cs="Arial"/>
          <w:b/>
          <w:color w:val="000000" w:themeColor="text1"/>
        </w:rPr>
      </w:pPr>
      <w:bookmarkStart w:id="0" w:name="_GoBack"/>
      <w:bookmarkEnd w:id="0"/>
    </w:p>
    <w:p w:rsidR="003A7660" w:rsidRDefault="00A1041C">
      <w:pPr>
        <w:jc w:val="both"/>
        <w:rPr>
          <w:rFonts w:ascii="Arial" w:hAnsi="Arial" w:cs="Arial"/>
          <w:color w:val="000000" w:themeColor="text1"/>
        </w:rPr>
      </w:pPr>
      <w:r>
        <w:rPr>
          <w:rFonts w:ascii="Arial" w:hAnsi="Arial" w:cs="Arial"/>
          <w:color w:val="000000" w:themeColor="text1"/>
        </w:rPr>
        <w:t xml:space="preserve">U Zakonu o izdvajanju i usmjeravanju dijela prihoda poduzeća ostvarenog korištenjem hidroakumulacijskih objekata („Službene novine Federacije BiH“, br. </w:t>
      </w:r>
      <w:r>
        <w:rPr>
          <w:rFonts w:ascii="Arial" w:hAnsi="Arial" w:cs="Arial"/>
          <w:color w:val="000000"/>
          <w:lang/>
        </w:rPr>
        <w:t>44/02, 18/03, 9/04, 57/09 i 105/21</w:t>
      </w:r>
      <w:r>
        <w:rPr>
          <w:rFonts w:ascii="Arial" w:hAnsi="Arial" w:cs="Arial"/>
          <w:color w:val="000000" w:themeColor="text1"/>
        </w:rPr>
        <w:t>) u članku 3. stavku (1) broj: „0,01“ zamjenjuje se brojem: „0,011“.</w:t>
      </w:r>
    </w:p>
    <w:p w:rsidR="003A7660" w:rsidRDefault="00A1041C">
      <w:pPr>
        <w:jc w:val="both"/>
        <w:rPr>
          <w:rFonts w:ascii="Arial" w:hAnsi="Arial" w:cs="Arial"/>
          <w:color w:val="000000" w:themeColor="text1"/>
        </w:rPr>
      </w:pPr>
      <w:r>
        <w:rPr>
          <w:rFonts w:ascii="Arial" w:hAnsi="Arial" w:cs="Arial"/>
          <w:color w:val="000000" w:themeColor="text1"/>
        </w:rPr>
        <w:t>S</w:t>
      </w:r>
      <w:r>
        <w:rPr>
          <w:rFonts w:ascii="Arial" w:hAnsi="Arial" w:cs="Arial"/>
          <w:color w:val="000000" w:themeColor="text1"/>
        </w:rPr>
        <w:t xml:space="preserve">tavak (2) briše se. </w:t>
      </w:r>
    </w:p>
    <w:p w:rsidR="003A7660" w:rsidRDefault="00A1041C">
      <w:pPr>
        <w:jc w:val="both"/>
        <w:rPr>
          <w:rFonts w:ascii="Arial" w:hAnsi="Arial" w:cs="Arial"/>
        </w:rPr>
      </w:pPr>
      <w:r>
        <w:rPr>
          <w:rFonts w:ascii="Arial" w:hAnsi="Arial" w:cs="Arial"/>
        </w:rPr>
        <w:t>U dosadašnjem stavku (3), koji postaje stavak (2), na kraju stavka točka se briše, dodaje zarez i riječi: „osim za akumulacije koje imaju prvenstvenu namjenu snabdijevanja vodom industrije i stanovništva.“</w:t>
      </w:r>
    </w:p>
    <w:p w:rsidR="003A7660" w:rsidRDefault="00A1041C">
      <w:pPr>
        <w:jc w:val="both"/>
        <w:rPr>
          <w:rFonts w:ascii="Arial" w:hAnsi="Arial" w:cs="Arial"/>
        </w:rPr>
      </w:pPr>
      <w:r>
        <w:rPr>
          <w:rFonts w:ascii="Arial" w:hAnsi="Arial" w:cs="Arial"/>
        </w:rPr>
        <w:t>Dosadašnji stavak (4) postaje</w:t>
      </w:r>
      <w:r>
        <w:rPr>
          <w:rFonts w:ascii="Arial" w:hAnsi="Arial" w:cs="Arial"/>
        </w:rPr>
        <w:t xml:space="preserve"> stavak (3).</w:t>
      </w:r>
    </w:p>
    <w:p w:rsidR="003A7660" w:rsidRDefault="003A7660">
      <w:pPr>
        <w:jc w:val="both"/>
        <w:rPr>
          <w:rFonts w:ascii="Arial" w:hAnsi="Arial" w:cs="Arial"/>
          <w:color w:val="2F5496" w:themeColor="accent1" w:themeShade="BF"/>
        </w:rPr>
      </w:pPr>
    </w:p>
    <w:p w:rsidR="003A7660" w:rsidRDefault="00A1041C">
      <w:pPr>
        <w:jc w:val="center"/>
        <w:rPr>
          <w:rFonts w:ascii="Arial" w:hAnsi="Arial" w:cs="Arial"/>
          <w:b/>
          <w:color w:val="000000" w:themeColor="text1"/>
        </w:rPr>
      </w:pPr>
      <w:r>
        <w:rPr>
          <w:rFonts w:ascii="Arial" w:hAnsi="Arial" w:cs="Arial"/>
          <w:b/>
          <w:color w:val="000000" w:themeColor="text1"/>
        </w:rPr>
        <w:t>Članak 2.</w:t>
      </w:r>
    </w:p>
    <w:p w:rsidR="003A7660" w:rsidRDefault="00A1041C">
      <w:pPr>
        <w:spacing w:after="120"/>
        <w:jc w:val="both"/>
        <w:rPr>
          <w:rFonts w:ascii="Arial" w:hAnsi="Arial" w:cs="Arial"/>
          <w:bCs/>
          <w:color w:val="000000" w:themeColor="text1"/>
        </w:rPr>
      </w:pPr>
      <w:r>
        <w:rPr>
          <w:rFonts w:ascii="Arial" w:hAnsi="Arial" w:cs="Arial"/>
          <w:bCs/>
          <w:color w:val="000000" w:themeColor="text1"/>
        </w:rPr>
        <w:t xml:space="preserve">U članku 6. </w:t>
      </w:r>
      <w:bookmarkStart w:id="1" w:name="_Hlk153191140"/>
      <w:r>
        <w:rPr>
          <w:rFonts w:ascii="Arial" w:hAnsi="Arial" w:cs="Arial"/>
          <w:bCs/>
          <w:color w:val="000000" w:themeColor="text1"/>
        </w:rPr>
        <w:t>iza stavka (1) dodaje se novi stavak (2) koji glasi:</w:t>
      </w:r>
    </w:p>
    <w:p w:rsidR="003A7660" w:rsidRDefault="00A1041C">
      <w:pPr>
        <w:spacing w:after="120"/>
        <w:jc w:val="both"/>
        <w:rPr>
          <w:rFonts w:ascii="Arial" w:hAnsi="Arial" w:cs="Arial"/>
          <w:bCs/>
          <w:color w:val="000000" w:themeColor="text1"/>
        </w:rPr>
      </w:pPr>
      <w:r>
        <w:rPr>
          <w:rFonts w:ascii="Arial" w:hAnsi="Arial" w:cs="Arial"/>
          <w:bCs/>
          <w:color w:val="000000" w:themeColor="text1"/>
        </w:rPr>
        <w:t>„(2) Sredstva iz stavka (1) ovog članka raspoređuju se prema sljedećim udjelima:</w:t>
      </w:r>
      <w:bookmarkEnd w:id="1"/>
    </w:p>
    <w:tbl>
      <w:tblPr>
        <w:tblW w:w="5895" w:type="dxa"/>
        <w:jc w:val="center"/>
        <w:tblLayout w:type="fixed"/>
        <w:tblLook w:val="04A0" w:firstRow="1" w:lastRow="0" w:firstColumn="1" w:lastColumn="0" w:noHBand="0" w:noVBand="1"/>
      </w:tblPr>
      <w:tblGrid>
        <w:gridCol w:w="2154"/>
        <w:gridCol w:w="2154"/>
        <w:gridCol w:w="1587"/>
      </w:tblGrid>
      <w:tr w:rsidR="003A7660">
        <w:trPr>
          <w:trHeight w:val="300"/>
          <w:jc w:val="center"/>
        </w:trPr>
        <w:tc>
          <w:tcPr>
            <w:tcW w:w="2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HE Jablanica</w:t>
            </w:r>
          </w:p>
        </w:tc>
        <w:tc>
          <w:tcPr>
            <w:tcW w:w="2154" w:type="dxa"/>
            <w:tcBorders>
              <w:top w:val="single" w:sz="4" w:space="0" w:color="000000"/>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Općina Jablanica</w:t>
            </w:r>
          </w:p>
        </w:tc>
        <w:tc>
          <w:tcPr>
            <w:tcW w:w="1587" w:type="dxa"/>
            <w:tcBorders>
              <w:top w:val="single" w:sz="4" w:space="0" w:color="000000"/>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24,74 %</w:t>
            </w:r>
          </w:p>
        </w:tc>
      </w:tr>
      <w:tr w:rsidR="003A7660">
        <w:trPr>
          <w:trHeight w:val="300"/>
          <w:jc w:val="center"/>
        </w:trPr>
        <w:tc>
          <w:tcPr>
            <w:tcW w:w="2154" w:type="dxa"/>
            <w:vMerge/>
            <w:tcBorders>
              <w:top w:val="single" w:sz="4" w:space="0" w:color="000000"/>
              <w:left w:val="single" w:sz="4" w:space="0" w:color="000000"/>
              <w:bottom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Grad Konjic</w:t>
            </w:r>
          </w:p>
        </w:tc>
        <w:tc>
          <w:tcPr>
            <w:tcW w:w="1587"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57,02 %</w:t>
            </w:r>
          </w:p>
        </w:tc>
      </w:tr>
      <w:tr w:rsidR="003A7660">
        <w:trPr>
          <w:trHeight w:val="300"/>
          <w:jc w:val="center"/>
        </w:trPr>
        <w:tc>
          <w:tcPr>
            <w:tcW w:w="2154" w:type="dxa"/>
            <w:vMerge/>
            <w:tcBorders>
              <w:top w:val="single" w:sz="4" w:space="0" w:color="000000"/>
              <w:left w:val="single" w:sz="4" w:space="0" w:color="000000"/>
              <w:bottom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Općina Prozor-Rama</w:t>
            </w:r>
          </w:p>
        </w:tc>
        <w:tc>
          <w:tcPr>
            <w:tcW w:w="1587"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18,24</w:t>
            </w:r>
            <w:r>
              <w:rPr>
                <w:rFonts w:ascii="Arial" w:eastAsia="Times New Roman" w:hAnsi="Arial" w:cs="Arial"/>
                <w:color w:val="000000"/>
                <w:lang w:eastAsia="hr-HR"/>
              </w:rPr>
              <w:t xml:space="preserve"> %</w:t>
            </w:r>
          </w:p>
        </w:tc>
      </w:tr>
      <w:tr w:rsidR="003A7660">
        <w:trPr>
          <w:trHeight w:val="300"/>
          <w:jc w:val="center"/>
        </w:trPr>
        <w:tc>
          <w:tcPr>
            <w:tcW w:w="2154" w:type="dxa"/>
            <w:vMerge/>
            <w:tcBorders>
              <w:top w:val="single" w:sz="4" w:space="0" w:color="000000"/>
              <w:left w:val="single" w:sz="4" w:space="0" w:color="000000"/>
              <w:bottom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000000" w:fill="D9D9D9"/>
            <w:vAlign w:val="center"/>
          </w:tcPr>
          <w:p w:rsidR="003A7660" w:rsidRDefault="00A1041C">
            <w:pPr>
              <w:widowControl w:val="0"/>
              <w:spacing w:after="0" w:line="240" w:lineRule="auto"/>
              <w:rPr>
                <w:rFonts w:ascii="Arial" w:eastAsia="Times New Roman" w:hAnsi="Arial" w:cs="Arial"/>
                <w:b/>
                <w:bCs/>
                <w:color w:val="000000"/>
                <w:lang w:eastAsia="hr-HR"/>
              </w:rPr>
            </w:pPr>
            <w:r>
              <w:rPr>
                <w:rFonts w:ascii="Arial" w:eastAsia="Times New Roman" w:hAnsi="Arial" w:cs="Arial"/>
                <w:b/>
                <w:bCs/>
                <w:color w:val="000000"/>
                <w:lang w:eastAsia="hr-HR"/>
              </w:rPr>
              <w:t>UKUPNO</w:t>
            </w:r>
          </w:p>
        </w:tc>
        <w:tc>
          <w:tcPr>
            <w:tcW w:w="1587" w:type="dxa"/>
            <w:tcBorders>
              <w:bottom w:val="single" w:sz="4" w:space="0" w:color="000000"/>
              <w:right w:val="single" w:sz="4" w:space="0" w:color="000000"/>
            </w:tcBorders>
            <w:shd w:val="clear" w:color="000000" w:fill="D9D9D9"/>
            <w:vAlign w:val="center"/>
          </w:tcPr>
          <w:p w:rsidR="003A7660" w:rsidRDefault="00A1041C">
            <w:pPr>
              <w:widowControl w:val="0"/>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100,00 %</w:t>
            </w:r>
          </w:p>
        </w:tc>
      </w:tr>
      <w:tr w:rsidR="003A7660">
        <w:trPr>
          <w:trHeight w:val="300"/>
          <w:jc w:val="center"/>
        </w:trPr>
        <w:tc>
          <w:tcPr>
            <w:tcW w:w="2154" w:type="dxa"/>
            <w:vMerge w:val="restart"/>
            <w:tcBorders>
              <w:left w:val="single" w:sz="4" w:space="0" w:color="000000"/>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HE Grabovica</w:t>
            </w:r>
          </w:p>
        </w:tc>
        <w:tc>
          <w:tcPr>
            <w:tcW w:w="2154"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Općina Jablanica</w:t>
            </w:r>
          </w:p>
        </w:tc>
        <w:tc>
          <w:tcPr>
            <w:tcW w:w="1587"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80,59 %</w:t>
            </w:r>
          </w:p>
        </w:tc>
      </w:tr>
      <w:tr w:rsidR="003A7660">
        <w:trPr>
          <w:trHeight w:val="300"/>
          <w:jc w:val="center"/>
        </w:trPr>
        <w:tc>
          <w:tcPr>
            <w:tcW w:w="2154" w:type="dxa"/>
            <w:vMerge/>
            <w:tcBorders>
              <w:left w:val="single" w:sz="4" w:space="0" w:color="000000"/>
              <w:bottom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Grad Mostar</w:t>
            </w:r>
          </w:p>
        </w:tc>
        <w:tc>
          <w:tcPr>
            <w:tcW w:w="1587"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19,41 %</w:t>
            </w:r>
          </w:p>
        </w:tc>
      </w:tr>
      <w:tr w:rsidR="003A7660">
        <w:trPr>
          <w:trHeight w:val="300"/>
          <w:jc w:val="center"/>
        </w:trPr>
        <w:tc>
          <w:tcPr>
            <w:tcW w:w="2154" w:type="dxa"/>
            <w:vMerge/>
            <w:tcBorders>
              <w:left w:val="single" w:sz="4" w:space="0" w:color="000000"/>
              <w:bottom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000000" w:fill="D9D9D9"/>
            <w:vAlign w:val="center"/>
          </w:tcPr>
          <w:p w:rsidR="003A7660" w:rsidRDefault="00A1041C">
            <w:pPr>
              <w:widowControl w:val="0"/>
              <w:spacing w:after="0" w:line="240" w:lineRule="auto"/>
              <w:rPr>
                <w:rFonts w:ascii="Arial" w:eastAsia="Times New Roman" w:hAnsi="Arial" w:cs="Arial"/>
                <w:b/>
                <w:bCs/>
                <w:color w:val="000000"/>
                <w:lang w:eastAsia="hr-HR"/>
              </w:rPr>
            </w:pPr>
            <w:r>
              <w:rPr>
                <w:rFonts w:ascii="Arial" w:eastAsia="Times New Roman" w:hAnsi="Arial" w:cs="Arial"/>
                <w:b/>
                <w:bCs/>
                <w:color w:val="000000"/>
                <w:lang w:eastAsia="hr-HR"/>
              </w:rPr>
              <w:t>UKUPNO</w:t>
            </w:r>
          </w:p>
        </w:tc>
        <w:tc>
          <w:tcPr>
            <w:tcW w:w="1587" w:type="dxa"/>
            <w:tcBorders>
              <w:bottom w:val="single" w:sz="4" w:space="0" w:color="000000"/>
              <w:right w:val="single" w:sz="4" w:space="0" w:color="000000"/>
            </w:tcBorders>
            <w:shd w:val="clear" w:color="000000" w:fill="D9D9D9"/>
            <w:vAlign w:val="center"/>
          </w:tcPr>
          <w:p w:rsidR="003A7660" w:rsidRDefault="00A1041C">
            <w:pPr>
              <w:widowControl w:val="0"/>
              <w:spacing w:after="0" w:line="240" w:lineRule="auto"/>
              <w:jc w:val="right"/>
              <w:rPr>
                <w:rFonts w:ascii="Arial" w:eastAsia="Times New Roman" w:hAnsi="Arial" w:cs="Arial"/>
                <w:b/>
                <w:bCs/>
                <w:lang w:eastAsia="hr-HR"/>
              </w:rPr>
            </w:pPr>
            <w:r>
              <w:rPr>
                <w:rFonts w:ascii="Arial" w:eastAsia="Times New Roman" w:hAnsi="Arial" w:cs="Arial"/>
                <w:b/>
                <w:bCs/>
                <w:lang w:eastAsia="hr-HR"/>
              </w:rPr>
              <w:t>100,00 %</w:t>
            </w:r>
          </w:p>
        </w:tc>
      </w:tr>
      <w:tr w:rsidR="003A7660">
        <w:trPr>
          <w:trHeight w:val="300"/>
          <w:jc w:val="center"/>
        </w:trPr>
        <w:tc>
          <w:tcPr>
            <w:tcW w:w="2154" w:type="dxa"/>
            <w:vMerge w:val="restart"/>
            <w:tcBorders>
              <w:left w:val="single" w:sz="4" w:space="0" w:color="000000"/>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CHE Čapljina</w:t>
            </w:r>
          </w:p>
        </w:tc>
        <w:tc>
          <w:tcPr>
            <w:tcW w:w="2154"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Grad Čapljina</w:t>
            </w:r>
          </w:p>
        </w:tc>
        <w:tc>
          <w:tcPr>
            <w:tcW w:w="1587"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62,00 %</w:t>
            </w:r>
          </w:p>
        </w:tc>
      </w:tr>
      <w:tr w:rsidR="003A7660">
        <w:trPr>
          <w:trHeight w:val="300"/>
          <w:jc w:val="center"/>
        </w:trPr>
        <w:tc>
          <w:tcPr>
            <w:tcW w:w="2154" w:type="dxa"/>
            <w:vMerge/>
            <w:tcBorders>
              <w:left w:val="single" w:sz="4" w:space="0" w:color="000000"/>
              <w:bottom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Općina Neum</w:t>
            </w:r>
          </w:p>
        </w:tc>
        <w:tc>
          <w:tcPr>
            <w:tcW w:w="1587"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19,00 %</w:t>
            </w:r>
          </w:p>
        </w:tc>
      </w:tr>
      <w:tr w:rsidR="003A7660">
        <w:trPr>
          <w:trHeight w:val="300"/>
          <w:jc w:val="center"/>
        </w:trPr>
        <w:tc>
          <w:tcPr>
            <w:tcW w:w="2154" w:type="dxa"/>
            <w:vMerge/>
            <w:tcBorders>
              <w:left w:val="single" w:sz="4" w:space="0" w:color="000000"/>
              <w:bottom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Općina Ravno</w:t>
            </w:r>
          </w:p>
        </w:tc>
        <w:tc>
          <w:tcPr>
            <w:tcW w:w="1587"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19,00 %</w:t>
            </w:r>
          </w:p>
        </w:tc>
      </w:tr>
      <w:tr w:rsidR="003A7660">
        <w:trPr>
          <w:trHeight w:val="300"/>
          <w:jc w:val="center"/>
        </w:trPr>
        <w:tc>
          <w:tcPr>
            <w:tcW w:w="2154" w:type="dxa"/>
            <w:vMerge/>
            <w:tcBorders>
              <w:left w:val="single" w:sz="4" w:space="0" w:color="000000"/>
              <w:bottom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000000" w:fill="D9D9D9"/>
            <w:vAlign w:val="center"/>
          </w:tcPr>
          <w:p w:rsidR="003A7660" w:rsidRDefault="00A1041C">
            <w:pPr>
              <w:widowControl w:val="0"/>
              <w:spacing w:after="0" w:line="240" w:lineRule="auto"/>
              <w:rPr>
                <w:rFonts w:ascii="Arial" w:eastAsia="Times New Roman" w:hAnsi="Arial" w:cs="Arial"/>
                <w:b/>
                <w:bCs/>
                <w:color w:val="000000"/>
                <w:lang w:eastAsia="hr-HR"/>
              </w:rPr>
            </w:pPr>
            <w:r>
              <w:rPr>
                <w:rFonts w:ascii="Arial" w:eastAsia="Times New Roman" w:hAnsi="Arial" w:cs="Arial"/>
                <w:b/>
                <w:bCs/>
                <w:color w:val="000000"/>
                <w:lang w:eastAsia="hr-HR"/>
              </w:rPr>
              <w:t>UKUPNO</w:t>
            </w:r>
          </w:p>
        </w:tc>
        <w:tc>
          <w:tcPr>
            <w:tcW w:w="1587" w:type="dxa"/>
            <w:tcBorders>
              <w:bottom w:val="single" w:sz="4" w:space="0" w:color="000000"/>
              <w:right w:val="single" w:sz="4" w:space="0" w:color="000000"/>
            </w:tcBorders>
            <w:shd w:val="clear" w:color="000000" w:fill="D9D9D9"/>
            <w:vAlign w:val="center"/>
          </w:tcPr>
          <w:p w:rsidR="003A7660" w:rsidRDefault="00A1041C">
            <w:pPr>
              <w:widowControl w:val="0"/>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100,00 %</w:t>
            </w:r>
          </w:p>
        </w:tc>
      </w:tr>
      <w:tr w:rsidR="003A7660">
        <w:trPr>
          <w:trHeight w:val="300"/>
          <w:jc w:val="center"/>
        </w:trPr>
        <w:tc>
          <w:tcPr>
            <w:tcW w:w="2154" w:type="dxa"/>
            <w:vMerge w:val="restart"/>
            <w:tcBorders>
              <w:left w:val="single" w:sz="4" w:space="0" w:color="000000"/>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HA Buško jezero </w:t>
            </w:r>
          </w:p>
        </w:tc>
        <w:tc>
          <w:tcPr>
            <w:tcW w:w="2154"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Grad Livno</w:t>
            </w:r>
          </w:p>
        </w:tc>
        <w:tc>
          <w:tcPr>
            <w:tcW w:w="1587"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41,26 %</w:t>
            </w:r>
          </w:p>
        </w:tc>
      </w:tr>
      <w:tr w:rsidR="003A7660">
        <w:trPr>
          <w:trHeight w:val="300"/>
          <w:jc w:val="center"/>
        </w:trPr>
        <w:tc>
          <w:tcPr>
            <w:tcW w:w="2154" w:type="dxa"/>
            <w:vMerge/>
            <w:tcBorders>
              <w:left w:val="single" w:sz="4" w:space="0" w:color="000000"/>
              <w:bottom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Općina </w:t>
            </w:r>
            <w:r>
              <w:rPr>
                <w:rFonts w:ascii="Arial" w:eastAsia="Times New Roman" w:hAnsi="Arial" w:cs="Arial"/>
                <w:color w:val="000000"/>
                <w:lang w:eastAsia="hr-HR"/>
              </w:rPr>
              <w:t>Tomislavgrad</w:t>
            </w:r>
          </w:p>
        </w:tc>
        <w:tc>
          <w:tcPr>
            <w:tcW w:w="1587"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58,74 %</w:t>
            </w:r>
          </w:p>
        </w:tc>
      </w:tr>
      <w:tr w:rsidR="003A7660">
        <w:trPr>
          <w:trHeight w:val="300"/>
          <w:jc w:val="center"/>
        </w:trPr>
        <w:tc>
          <w:tcPr>
            <w:tcW w:w="2154" w:type="dxa"/>
            <w:vMerge/>
            <w:tcBorders>
              <w:left w:val="single" w:sz="4" w:space="0" w:color="000000"/>
              <w:bottom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000000" w:fill="D9D9D9"/>
            <w:vAlign w:val="center"/>
          </w:tcPr>
          <w:p w:rsidR="003A7660" w:rsidRDefault="00A1041C">
            <w:pPr>
              <w:widowControl w:val="0"/>
              <w:spacing w:after="0" w:line="240" w:lineRule="auto"/>
              <w:rPr>
                <w:rFonts w:ascii="Arial" w:eastAsia="Times New Roman" w:hAnsi="Arial" w:cs="Arial"/>
                <w:b/>
                <w:bCs/>
                <w:color w:val="000000"/>
                <w:lang w:eastAsia="hr-HR"/>
              </w:rPr>
            </w:pPr>
            <w:r>
              <w:rPr>
                <w:rFonts w:ascii="Arial" w:eastAsia="Times New Roman" w:hAnsi="Arial" w:cs="Arial"/>
                <w:b/>
                <w:bCs/>
                <w:color w:val="000000"/>
                <w:lang w:eastAsia="hr-HR"/>
              </w:rPr>
              <w:t>UKUPNO</w:t>
            </w:r>
          </w:p>
        </w:tc>
        <w:tc>
          <w:tcPr>
            <w:tcW w:w="1587" w:type="dxa"/>
            <w:tcBorders>
              <w:bottom w:val="single" w:sz="4" w:space="0" w:color="000000"/>
              <w:right w:val="single" w:sz="4" w:space="0" w:color="000000"/>
            </w:tcBorders>
            <w:shd w:val="clear" w:color="000000" w:fill="D9D9D9"/>
            <w:vAlign w:val="center"/>
          </w:tcPr>
          <w:p w:rsidR="003A7660" w:rsidRDefault="00A1041C">
            <w:pPr>
              <w:widowControl w:val="0"/>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100,00 %</w:t>
            </w:r>
          </w:p>
        </w:tc>
      </w:tr>
      <w:tr w:rsidR="003A7660">
        <w:trPr>
          <w:trHeight w:val="300"/>
          <w:jc w:val="center"/>
        </w:trPr>
        <w:tc>
          <w:tcPr>
            <w:tcW w:w="2154" w:type="dxa"/>
            <w:vMerge w:val="restart"/>
            <w:tcBorders>
              <w:left w:val="single" w:sz="4" w:space="0" w:color="000000"/>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HA Modrac</w:t>
            </w:r>
          </w:p>
        </w:tc>
        <w:tc>
          <w:tcPr>
            <w:tcW w:w="2154"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Općina Lukavac</w:t>
            </w:r>
          </w:p>
        </w:tc>
        <w:tc>
          <w:tcPr>
            <w:tcW w:w="1587"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63,70 %</w:t>
            </w:r>
          </w:p>
        </w:tc>
      </w:tr>
      <w:tr w:rsidR="003A7660">
        <w:trPr>
          <w:trHeight w:val="300"/>
          <w:jc w:val="center"/>
        </w:trPr>
        <w:tc>
          <w:tcPr>
            <w:tcW w:w="2154" w:type="dxa"/>
            <w:vMerge/>
            <w:tcBorders>
              <w:left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Grad Živinice</w:t>
            </w:r>
          </w:p>
        </w:tc>
        <w:tc>
          <w:tcPr>
            <w:tcW w:w="1587"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34,90 %</w:t>
            </w:r>
          </w:p>
        </w:tc>
      </w:tr>
      <w:tr w:rsidR="003A7660">
        <w:trPr>
          <w:trHeight w:val="300"/>
          <w:jc w:val="center"/>
        </w:trPr>
        <w:tc>
          <w:tcPr>
            <w:tcW w:w="2154" w:type="dxa"/>
            <w:vMerge/>
            <w:tcBorders>
              <w:left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rPr>
                <w:rFonts w:ascii="Arial" w:eastAsia="Times New Roman" w:hAnsi="Arial" w:cs="Arial"/>
                <w:color w:val="000000"/>
                <w:lang w:eastAsia="hr-HR"/>
              </w:rPr>
            </w:pPr>
            <w:r>
              <w:rPr>
                <w:rFonts w:ascii="Arial" w:eastAsia="Times New Roman" w:hAnsi="Arial" w:cs="Arial"/>
                <w:color w:val="000000"/>
                <w:lang w:eastAsia="hr-HR"/>
              </w:rPr>
              <w:t>Grad Tuzla</w:t>
            </w:r>
          </w:p>
        </w:tc>
        <w:tc>
          <w:tcPr>
            <w:tcW w:w="1587" w:type="dxa"/>
            <w:tcBorders>
              <w:bottom w:val="single" w:sz="4" w:space="0" w:color="000000"/>
              <w:right w:val="single" w:sz="4" w:space="0" w:color="000000"/>
            </w:tcBorders>
            <w:shd w:val="clear" w:color="auto" w:fill="auto"/>
            <w:vAlign w:val="center"/>
          </w:tcPr>
          <w:p w:rsidR="003A7660" w:rsidRDefault="00A1041C">
            <w:pPr>
              <w:widowControl w:val="0"/>
              <w:spacing w:after="0" w:line="240" w:lineRule="auto"/>
              <w:jc w:val="right"/>
              <w:rPr>
                <w:rFonts w:ascii="Arial" w:eastAsia="Times New Roman" w:hAnsi="Arial" w:cs="Arial"/>
                <w:color w:val="000000"/>
                <w:lang w:eastAsia="hr-HR"/>
              </w:rPr>
            </w:pPr>
            <w:r>
              <w:rPr>
                <w:rFonts w:ascii="Arial" w:eastAsia="Times New Roman" w:hAnsi="Arial" w:cs="Arial"/>
                <w:color w:val="000000"/>
                <w:lang w:eastAsia="hr-HR"/>
              </w:rPr>
              <w:t>1,40 %</w:t>
            </w:r>
          </w:p>
        </w:tc>
      </w:tr>
      <w:tr w:rsidR="003A7660">
        <w:trPr>
          <w:trHeight w:val="300"/>
          <w:jc w:val="center"/>
        </w:trPr>
        <w:tc>
          <w:tcPr>
            <w:tcW w:w="2154" w:type="dxa"/>
            <w:vMerge/>
            <w:tcBorders>
              <w:left w:val="single" w:sz="4" w:space="0" w:color="000000"/>
              <w:bottom w:val="single" w:sz="4" w:space="0" w:color="000000"/>
              <w:right w:val="single" w:sz="4" w:space="0" w:color="000000"/>
            </w:tcBorders>
            <w:vAlign w:val="center"/>
          </w:tcPr>
          <w:p w:rsidR="003A7660" w:rsidRDefault="003A7660">
            <w:pPr>
              <w:widowControl w:val="0"/>
              <w:spacing w:after="0" w:line="240" w:lineRule="auto"/>
              <w:rPr>
                <w:rFonts w:ascii="Arial" w:eastAsia="Times New Roman" w:hAnsi="Arial" w:cs="Arial"/>
                <w:color w:val="000000"/>
                <w:lang w:eastAsia="hr-HR"/>
              </w:rPr>
            </w:pPr>
          </w:p>
        </w:tc>
        <w:tc>
          <w:tcPr>
            <w:tcW w:w="2154" w:type="dxa"/>
            <w:tcBorders>
              <w:bottom w:val="single" w:sz="4" w:space="0" w:color="000000"/>
              <w:right w:val="single" w:sz="4" w:space="0" w:color="000000"/>
            </w:tcBorders>
            <w:shd w:val="clear" w:color="000000" w:fill="D9D9D9"/>
            <w:vAlign w:val="center"/>
          </w:tcPr>
          <w:p w:rsidR="003A7660" w:rsidRDefault="00A1041C">
            <w:pPr>
              <w:widowControl w:val="0"/>
              <w:spacing w:after="0" w:line="240" w:lineRule="auto"/>
              <w:rPr>
                <w:rFonts w:ascii="Arial" w:eastAsia="Times New Roman" w:hAnsi="Arial" w:cs="Arial"/>
                <w:b/>
                <w:bCs/>
                <w:color w:val="000000"/>
                <w:lang w:eastAsia="hr-HR"/>
              </w:rPr>
            </w:pPr>
            <w:r>
              <w:rPr>
                <w:rFonts w:ascii="Arial" w:eastAsia="Times New Roman" w:hAnsi="Arial" w:cs="Arial"/>
                <w:b/>
                <w:bCs/>
                <w:color w:val="000000"/>
                <w:lang w:eastAsia="hr-HR"/>
              </w:rPr>
              <w:t>UKUPNO</w:t>
            </w:r>
          </w:p>
        </w:tc>
        <w:tc>
          <w:tcPr>
            <w:tcW w:w="1587" w:type="dxa"/>
            <w:tcBorders>
              <w:bottom w:val="single" w:sz="4" w:space="0" w:color="000000"/>
              <w:right w:val="single" w:sz="4" w:space="0" w:color="000000"/>
            </w:tcBorders>
            <w:shd w:val="clear" w:color="000000" w:fill="D9D9D9"/>
            <w:vAlign w:val="center"/>
          </w:tcPr>
          <w:p w:rsidR="003A7660" w:rsidRDefault="00A1041C">
            <w:pPr>
              <w:widowControl w:val="0"/>
              <w:spacing w:after="0" w:line="240" w:lineRule="auto"/>
              <w:jc w:val="right"/>
              <w:rPr>
                <w:rFonts w:ascii="Arial" w:eastAsia="Times New Roman" w:hAnsi="Arial" w:cs="Arial"/>
                <w:b/>
                <w:bCs/>
                <w:color w:val="000000"/>
                <w:lang w:eastAsia="hr-HR"/>
              </w:rPr>
            </w:pPr>
            <w:r>
              <w:rPr>
                <w:rFonts w:ascii="Arial" w:eastAsia="Times New Roman" w:hAnsi="Arial" w:cs="Arial"/>
                <w:b/>
                <w:bCs/>
                <w:color w:val="000000"/>
                <w:lang w:eastAsia="hr-HR"/>
              </w:rPr>
              <w:t>100,00 %</w:t>
            </w:r>
          </w:p>
        </w:tc>
      </w:tr>
    </w:tbl>
    <w:p w:rsidR="003A7660" w:rsidRDefault="003A7660">
      <w:pPr>
        <w:jc w:val="center"/>
        <w:rPr>
          <w:rFonts w:ascii="Arial" w:hAnsi="Arial" w:cs="Arial"/>
        </w:rPr>
      </w:pPr>
    </w:p>
    <w:p w:rsidR="003A7660" w:rsidRDefault="00A1041C">
      <w:pPr>
        <w:jc w:val="center"/>
        <w:rPr>
          <w:rFonts w:ascii="Arial" w:hAnsi="Arial" w:cs="Arial"/>
          <w:b/>
          <w:color w:val="000000" w:themeColor="text1"/>
        </w:rPr>
      </w:pPr>
      <w:r>
        <w:rPr>
          <w:rFonts w:ascii="Arial" w:hAnsi="Arial" w:cs="Arial"/>
          <w:b/>
          <w:color w:val="000000" w:themeColor="text1"/>
        </w:rPr>
        <w:lastRenderedPageBreak/>
        <w:t>Članak 3.</w:t>
      </w:r>
    </w:p>
    <w:p w:rsidR="003A7660" w:rsidRDefault="00A1041C" w:rsidP="00470D7A">
      <w:pPr>
        <w:spacing w:after="0"/>
        <w:jc w:val="both"/>
        <w:rPr>
          <w:rFonts w:ascii="Arial" w:hAnsi="Arial" w:cs="Arial"/>
          <w:color w:val="000000" w:themeColor="text1"/>
        </w:rPr>
      </w:pPr>
      <w:r>
        <w:rPr>
          <w:rFonts w:ascii="Arial" w:hAnsi="Arial" w:cs="Arial"/>
          <w:color w:val="000000" w:themeColor="text1"/>
        </w:rPr>
        <w:t>Ovaj zakon stupa na snagu osmog dana od dana objave u „Službenim novinama Federacije Bosne i Hercegovine“.</w:t>
      </w:r>
    </w:p>
    <w:p w:rsidR="003A7660" w:rsidRDefault="00A1041C" w:rsidP="00470D7A">
      <w:pPr>
        <w:pageBreakBefore/>
        <w:spacing w:after="0"/>
        <w:jc w:val="center"/>
        <w:rPr>
          <w:rFonts w:ascii="Arial" w:eastAsia="Times New Roman" w:hAnsi="Arial" w:cs="Arial"/>
          <w:b/>
          <w:iCs/>
          <w:color w:val="000000" w:themeColor="text1"/>
          <w:lang w:eastAsia="hr-HR"/>
        </w:rPr>
      </w:pPr>
      <w:r>
        <w:rPr>
          <w:rFonts w:ascii="Arial" w:eastAsia="Times New Roman" w:hAnsi="Arial" w:cs="Arial"/>
          <w:b/>
          <w:iCs/>
          <w:color w:val="000000" w:themeColor="text1"/>
          <w:lang w:eastAsia="hr-HR"/>
        </w:rPr>
        <w:lastRenderedPageBreak/>
        <w:t>OBRAZLOŽENJE</w:t>
      </w:r>
    </w:p>
    <w:p w:rsidR="003A7660" w:rsidRDefault="003A7660">
      <w:pPr>
        <w:spacing w:after="0"/>
        <w:jc w:val="center"/>
        <w:rPr>
          <w:rFonts w:ascii="Arial" w:eastAsia="Times New Roman" w:hAnsi="Arial" w:cs="Arial"/>
          <w:b/>
          <w:iCs/>
          <w:color w:val="000000" w:themeColor="text1"/>
          <w:lang w:eastAsia="hr-HR"/>
        </w:rPr>
      </w:pPr>
    </w:p>
    <w:p w:rsidR="003A7660" w:rsidRDefault="00A1041C">
      <w:pPr>
        <w:pStyle w:val="NormalWeb"/>
        <w:spacing w:before="280" w:after="280"/>
        <w:rPr>
          <w:rFonts w:ascii="Arial" w:hAnsi="Arial" w:cs="Arial"/>
          <w:b/>
          <w:sz w:val="22"/>
          <w:szCs w:val="22"/>
        </w:rPr>
      </w:pPr>
      <w:r>
        <w:rPr>
          <w:rFonts w:ascii="Arial" w:eastAsia="Times New Roman" w:hAnsi="Arial" w:cs="Arial"/>
          <w:b/>
          <w:iCs/>
          <w:color w:val="000000" w:themeColor="text1"/>
          <w:sz w:val="22"/>
          <w:szCs w:val="22"/>
        </w:rPr>
        <w:t>I</w:t>
      </w:r>
      <w:r>
        <w:rPr>
          <w:rFonts w:ascii="Arial" w:hAnsi="Arial" w:cs="Arial"/>
          <w:b/>
          <w:sz w:val="22"/>
          <w:szCs w:val="22"/>
        </w:rPr>
        <w:t xml:space="preserve"> USTAVNI OSNOV</w:t>
      </w:r>
    </w:p>
    <w:p w:rsidR="003A7660" w:rsidRDefault="00A1041C">
      <w:pPr>
        <w:spacing w:after="0"/>
        <w:jc w:val="both"/>
        <w:rPr>
          <w:rFonts w:ascii="Arial" w:hAnsi="Arial" w:cs="Arial"/>
        </w:rPr>
      </w:pPr>
      <w:r>
        <w:rPr>
          <w:rFonts w:ascii="Arial" w:hAnsi="Arial" w:cs="Arial"/>
        </w:rPr>
        <w:t xml:space="preserve">Ustavni osnov za donošenje Zakona </w:t>
      </w:r>
      <w:r>
        <w:rPr>
          <w:rFonts w:ascii="Arial" w:hAnsi="Arial" w:cs="Arial"/>
          <w:color w:val="000000" w:themeColor="text1"/>
        </w:rPr>
        <w:t>o izmjenama i dopunama Zakona o izdvajanju i usmjeravanju dijela prihoda poduzeća ostvarenog korištenjem hidroakumulacijskih objekata</w:t>
      </w:r>
      <w:r>
        <w:rPr>
          <w:rFonts w:ascii="Arial" w:hAnsi="Arial" w:cs="Arial"/>
        </w:rPr>
        <w:t xml:space="preserve"> sadržan je u odredbi članka III.1. točke b) i f), koji je izmijenjen amandmanima  VIII , članak  III. 1. (c i g) u vezi sa člankom III 2. i 3. Ustava Federacije Bosne i Hercegovine, prema kojima je u isključivoj nadležnosti Federacije utvrđivanje gospodar</w:t>
      </w:r>
      <w:r>
        <w:rPr>
          <w:rFonts w:ascii="Arial" w:hAnsi="Arial" w:cs="Arial"/>
        </w:rPr>
        <w:t>ske i  energetske politike, a Parlament Federacije, uz ostale ovlasti utvrđene Ustavom, odgovoran je za donošenje zakona o izvršavanju dužnosti federalne vlasti.</w:t>
      </w:r>
    </w:p>
    <w:p w:rsidR="003A7660" w:rsidRDefault="003A7660">
      <w:pPr>
        <w:spacing w:after="0"/>
        <w:jc w:val="both"/>
        <w:rPr>
          <w:rFonts w:ascii="Arial" w:hAnsi="Arial" w:cs="Arial"/>
        </w:rPr>
      </w:pPr>
    </w:p>
    <w:p w:rsidR="003A7660" w:rsidRDefault="00A1041C">
      <w:pPr>
        <w:spacing w:after="0"/>
        <w:jc w:val="both"/>
        <w:rPr>
          <w:rFonts w:ascii="Arial" w:hAnsi="Arial" w:cs="Arial"/>
          <w:b/>
        </w:rPr>
      </w:pPr>
      <w:r>
        <w:rPr>
          <w:rFonts w:ascii="Arial" w:hAnsi="Arial" w:cs="Arial"/>
          <w:b/>
        </w:rPr>
        <w:t>II RAZLOZI ZA DONOŠENJE</w:t>
      </w:r>
    </w:p>
    <w:p w:rsidR="003A7660" w:rsidRDefault="003A7660">
      <w:pPr>
        <w:spacing w:after="0"/>
        <w:jc w:val="both"/>
        <w:rPr>
          <w:rFonts w:ascii="Arial" w:hAnsi="Arial" w:cs="Arial"/>
          <w:b/>
        </w:rPr>
      </w:pPr>
    </w:p>
    <w:p w:rsidR="003A7660" w:rsidRDefault="00A1041C">
      <w:pPr>
        <w:spacing w:after="0"/>
        <w:ind w:firstLine="708"/>
        <w:jc w:val="both"/>
        <w:rPr>
          <w:rFonts w:ascii="Arial" w:hAnsi="Arial" w:cs="Arial"/>
          <w:iCs/>
        </w:rPr>
      </w:pPr>
      <w:r>
        <w:rPr>
          <w:rFonts w:ascii="Arial" w:hAnsi="Arial" w:cs="Arial"/>
          <w:iCs/>
        </w:rPr>
        <w:t>Razlozi za donošenje Zakona o izmjenama i dopunama Zakona o izdvajan</w:t>
      </w:r>
      <w:r>
        <w:rPr>
          <w:rFonts w:ascii="Arial" w:hAnsi="Arial" w:cs="Arial"/>
          <w:iCs/>
        </w:rPr>
        <w:t xml:space="preserve">ju i usmjeravanju dijela prihoda poduzeća ostvarenog korištenjem hidroakumulacijskih objekata („Službene novine Federacije BiH“, br. </w:t>
      </w:r>
      <w:r>
        <w:rPr>
          <w:rFonts w:ascii="Arial" w:hAnsi="Arial" w:cs="Arial"/>
          <w:lang/>
        </w:rPr>
        <w:t>44/02, 18/03, 9/04, 57/09 i 105/21</w:t>
      </w:r>
      <w:r>
        <w:rPr>
          <w:rFonts w:ascii="Arial" w:hAnsi="Arial" w:cs="Arial"/>
          <w:iCs/>
        </w:rPr>
        <w:t>) proizlaze iz potrebe da se pojedine odredbe preciznije definiraju, odnosno da se stvore</w:t>
      </w:r>
      <w:r>
        <w:rPr>
          <w:rFonts w:ascii="Arial" w:hAnsi="Arial" w:cs="Arial"/>
        </w:rPr>
        <w:t xml:space="preserve"> pravne pretpostavke za pravilnu i potpunu primjenu Zakona u praksi, otklanjanjem nedostatka </w:t>
      </w:r>
      <w:r>
        <w:rPr>
          <w:rFonts w:ascii="Arial" w:hAnsi="Arial" w:cs="Arial"/>
          <w:iCs/>
        </w:rPr>
        <w:t>koji su uočeni tijekom njegove primjene. U tom smislu, predloženim izmjenama i dopunama Zakona preciznije bi se definirao iznos naknade za korištenje hidroakumulac</w:t>
      </w:r>
      <w:r>
        <w:rPr>
          <w:rFonts w:ascii="Arial" w:hAnsi="Arial" w:cs="Arial"/>
          <w:iCs/>
        </w:rPr>
        <w:t>ijskog objekta i način raspodjele naknade korisnicima - jedinicama lokalne samouprave, na čijem je području izgrađen hidroakumulacijski objekt, što bi u konačnici značilo transparentan obračun i način raspodjele javnih sredstava, kao i zaštitu svih sudioni</w:t>
      </w:r>
      <w:r>
        <w:rPr>
          <w:rFonts w:ascii="Arial" w:hAnsi="Arial" w:cs="Arial"/>
          <w:iCs/>
        </w:rPr>
        <w:t>ka u ovom procesu.</w:t>
      </w:r>
      <w:r>
        <w:rPr>
          <w:rFonts w:ascii="Arial" w:hAnsi="Arial" w:cs="Arial"/>
        </w:rPr>
        <w:t xml:space="preserve"> </w:t>
      </w:r>
    </w:p>
    <w:p w:rsidR="003A7660" w:rsidRDefault="00A1041C">
      <w:pPr>
        <w:spacing w:after="0"/>
        <w:ind w:firstLine="708"/>
        <w:jc w:val="both"/>
        <w:rPr>
          <w:rFonts w:ascii="Arial" w:hAnsi="Arial" w:cs="Arial"/>
          <w:iCs/>
        </w:rPr>
      </w:pPr>
      <w:r>
        <w:rPr>
          <w:rFonts w:ascii="Arial" w:hAnsi="Arial" w:cs="Arial"/>
          <w:iCs/>
        </w:rPr>
        <w:t>Dopune Zakona iz 2009.godine dovele su elektroprivredna poduzeća u situaciju pravne nesigurnosti što je i potvrđeno nizom sudskih sporova koje su pokrenule jedinice lokalne samouprave kao korisnici naknade, a sve zbog nejasno definirane</w:t>
      </w:r>
      <w:r>
        <w:rPr>
          <w:rFonts w:ascii="Arial" w:hAnsi="Arial" w:cs="Arial"/>
          <w:iCs/>
        </w:rPr>
        <w:t xml:space="preserve"> odredbe o usklađivanju jediničnog iznosa naknade, kao i raspodjele iste naknade po dodatno uvedenom kriteriju prikupljene vode.</w:t>
      </w:r>
    </w:p>
    <w:p w:rsidR="003A7660" w:rsidRDefault="00A1041C">
      <w:pPr>
        <w:spacing w:after="0"/>
        <w:ind w:firstLine="708"/>
        <w:jc w:val="both"/>
        <w:rPr>
          <w:rFonts w:ascii="Arial" w:hAnsi="Arial" w:cs="Arial"/>
          <w:iCs/>
        </w:rPr>
      </w:pPr>
      <w:r>
        <w:rPr>
          <w:rFonts w:ascii="Arial" w:hAnsi="Arial" w:cs="Arial"/>
          <w:iCs/>
        </w:rPr>
        <w:t>Važećim odredbama Zakona definirano je da se naknada procentualno usklađuje sa svakim povećanjem, odnosno smanjenjem cijene ele</w:t>
      </w:r>
      <w:r>
        <w:rPr>
          <w:rFonts w:ascii="Arial" w:hAnsi="Arial" w:cs="Arial"/>
          <w:iCs/>
        </w:rPr>
        <w:t>ktrične energije koju utvrđuje Regulatorna komisija za energiju u Federaciji BiH (FERK). S obzirom da je FERK utvrđivao više cijena električne energije (između ostalih i cijene električne energije na pragu djelatnosti proizvodnje,</w:t>
      </w:r>
      <w:r>
        <w:rPr>
          <w:rFonts w:ascii="Arial" w:hAnsi="Arial" w:cs="Arial"/>
        </w:rPr>
        <w:t xml:space="preserve"> </w:t>
      </w:r>
      <w:r>
        <w:rPr>
          <w:rFonts w:ascii="Arial" w:hAnsi="Arial" w:cs="Arial"/>
          <w:iCs/>
        </w:rPr>
        <w:t>cijene električne energij</w:t>
      </w:r>
      <w:r>
        <w:rPr>
          <w:rFonts w:ascii="Arial" w:hAnsi="Arial" w:cs="Arial"/>
          <w:iCs/>
        </w:rPr>
        <w:t>e na pragu pojedine elektrane, cijene električne energije za krajnje kupce), Zakon je u tom smislu bio neprecizan i nedovoljno jasan, što je prouzrokovalo različita tumačenja vezano za cijenu električne energije koja ima biti osnova za usklađivanje naknade</w:t>
      </w:r>
      <w:r>
        <w:rPr>
          <w:rFonts w:ascii="Arial" w:hAnsi="Arial" w:cs="Arial"/>
          <w:iCs/>
        </w:rPr>
        <w:t xml:space="preserve"> za korištenje hidroakumulacijskih objekata. Rezultat zakonske nedorečenosti brojni su sudski sporovi u kojima su</w:t>
      </w:r>
      <w:r>
        <w:rPr>
          <w:rFonts w:ascii="Arial" w:hAnsi="Arial" w:cs="Arial"/>
        </w:rPr>
        <w:t xml:space="preserve"> </w:t>
      </w:r>
      <w:r>
        <w:rPr>
          <w:rFonts w:ascii="Arial" w:hAnsi="Arial" w:cs="Arial"/>
          <w:iCs/>
        </w:rPr>
        <w:t>od strane korisnika naknade tužena elektroprivredna poduzeća.</w:t>
      </w:r>
    </w:p>
    <w:p w:rsidR="003A7660" w:rsidRDefault="003A7660">
      <w:pPr>
        <w:spacing w:after="0"/>
        <w:ind w:firstLine="708"/>
        <w:jc w:val="both"/>
        <w:rPr>
          <w:rFonts w:ascii="Arial" w:hAnsi="Arial" w:cs="Arial"/>
          <w:iCs/>
        </w:rPr>
      </w:pPr>
    </w:p>
    <w:p w:rsidR="003A7660" w:rsidRDefault="00A1041C">
      <w:pPr>
        <w:spacing w:after="0"/>
        <w:ind w:firstLine="708"/>
        <w:jc w:val="both"/>
        <w:rPr>
          <w:rFonts w:ascii="Arial" w:hAnsi="Arial" w:cs="Arial"/>
          <w:iCs/>
        </w:rPr>
      </w:pPr>
      <w:r>
        <w:rPr>
          <w:rFonts w:ascii="Arial" w:hAnsi="Arial" w:cs="Arial"/>
          <w:iCs/>
        </w:rPr>
        <w:t>Ujednačenost sudske prakse kroz sve instance sudova u Federaciji BiH rezultiral</w:t>
      </w:r>
      <w:r>
        <w:rPr>
          <w:rFonts w:ascii="Arial" w:hAnsi="Arial" w:cs="Arial"/>
          <w:iCs/>
        </w:rPr>
        <w:t>a je jedinstvenim stajalištem da cijena električne energije, o kojoj govori odredba članka 3. stavka (2) Zakona o izdvajanju i usmjeravanju dijela prihoda poduzeća ostvarenog korištenjem hidroakumulacijskih objekata, može i treba biti samo proizvodna cijen</w:t>
      </w:r>
      <w:r>
        <w:rPr>
          <w:rFonts w:ascii="Arial" w:hAnsi="Arial" w:cs="Arial"/>
          <w:iCs/>
        </w:rPr>
        <w:t xml:space="preserve">a električne energije na pragu pojedine hidroelektrane, koju cijenu je prema ranijem Zakonu o električnoj energiji utvrđivao FERK. </w:t>
      </w:r>
    </w:p>
    <w:p w:rsidR="003A7660" w:rsidRDefault="003A7660">
      <w:pPr>
        <w:spacing w:after="0"/>
        <w:ind w:firstLine="708"/>
        <w:jc w:val="both"/>
        <w:rPr>
          <w:rFonts w:ascii="Arial" w:hAnsi="Arial" w:cs="Arial"/>
          <w:iCs/>
        </w:rPr>
      </w:pPr>
    </w:p>
    <w:p w:rsidR="003A7660" w:rsidRDefault="00A1041C">
      <w:pPr>
        <w:spacing w:after="0"/>
        <w:jc w:val="both"/>
        <w:rPr>
          <w:rFonts w:ascii="Arial" w:hAnsi="Arial" w:cs="Arial"/>
          <w:iCs/>
        </w:rPr>
      </w:pPr>
      <w:r>
        <w:rPr>
          <w:rFonts w:ascii="Arial" w:hAnsi="Arial" w:cs="Arial"/>
          <w:iCs/>
        </w:rPr>
        <w:lastRenderedPageBreak/>
        <w:t>Pravomoćnim i obvezujućim sudskim presudama naknada je usklađivana na temelju proizvodne cijene električne energije na prag</w:t>
      </w:r>
      <w:r>
        <w:rPr>
          <w:rFonts w:ascii="Arial" w:hAnsi="Arial" w:cs="Arial"/>
          <w:iCs/>
        </w:rPr>
        <w:t>u pojedine hidroelektrane. Navedeno je rezultiralo različitim jediničnim iznosima naknade za svaku pojedinu hidroelektranu, a što je diskriminirajuće s obzirom da se naknada obračunava i isplaćuje na temelju istog Zakona, za proizvedenu električnu energiju</w:t>
      </w:r>
      <w:r>
        <w:rPr>
          <w:rFonts w:ascii="Arial" w:hAnsi="Arial" w:cs="Arial"/>
          <w:iCs/>
        </w:rPr>
        <w:t xml:space="preserve"> iz istog (hidro) izvora i u iste svrhe.</w:t>
      </w:r>
    </w:p>
    <w:p w:rsidR="003A7660" w:rsidRDefault="003A7660">
      <w:pPr>
        <w:spacing w:after="0"/>
        <w:jc w:val="both"/>
        <w:rPr>
          <w:rFonts w:ascii="Arial" w:hAnsi="Arial" w:cs="Arial"/>
          <w:b/>
        </w:rPr>
      </w:pPr>
    </w:p>
    <w:p w:rsidR="003A7660" w:rsidRDefault="00A1041C">
      <w:pPr>
        <w:spacing w:after="0"/>
        <w:ind w:firstLine="708"/>
        <w:jc w:val="both"/>
        <w:rPr>
          <w:rFonts w:ascii="Arial" w:eastAsia="Times New Roman" w:hAnsi="Arial" w:cs="Arial"/>
          <w:iCs/>
          <w:lang w:eastAsia="hr-HR"/>
        </w:rPr>
      </w:pPr>
      <w:r>
        <w:rPr>
          <w:rFonts w:ascii="Arial" w:eastAsia="Times New Roman" w:hAnsi="Arial" w:cs="Arial"/>
          <w:iCs/>
          <w:lang w:eastAsia="hr-HR"/>
        </w:rPr>
        <w:t xml:space="preserve">Prilikom uvođenja parafiskalnih nameta proizvođačima električne energije potrebno je voditi računa da se uspostavi realan i održiv mehanizam osiguranja sredstava koji neće preopteretiti proizvodnju električne </w:t>
      </w:r>
      <w:r>
        <w:rPr>
          <w:rFonts w:ascii="Arial" w:eastAsia="Times New Roman" w:hAnsi="Arial" w:cs="Arial"/>
          <w:iCs/>
          <w:lang w:eastAsia="hr-HR"/>
        </w:rPr>
        <w:t>energije iz hidroelektrana, a koji će omogućiti pravičnu naknadu općinama i gradovima na čijim područjima su izgrađeni hidroakumulacijski objekti. Međutim, ova naknada, prema važećim odredbama Zakona, čini značajan udio u strukturi proizvodne cijene elektr</w:t>
      </w:r>
      <w:r>
        <w:rPr>
          <w:rFonts w:ascii="Arial" w:eastAsia="Times New Roman" w:hAnsi="Arial" w:cs="Arial"/>
          <w:iCs/>
          <w:lang w:eastAsia="hr-HR"/>
        </w:rPr>
        <w:t>ične energije na pragu hidroelektrana (do 25%), te na taj način dovodi u pitanje isplativost proizvodnje električne energije, a što nije u skladu s ciljevima energetske tranzicije.</w:t>
      </w:r>
    </w:p>
    <w:p w:rsidR="003A7660" w:rsidRDefault="00A1041C">
      <w:pPr>
        <w:spacing w:after="0"/>
        <w:ind w:firstLine="708"/>
        <w:jc w:val="both"/>
        <w:rPr>
          <w:rFonts w:ascii="Arial" w:eastAsia="Times New Roman" w:hAnsi="Arial" w:cs="Arial"/>
          <w:lang w:eastAsia="hr-HR"/>
        </w:rPr>
      </w:pPr>
      <w:r>
        <w:rPr>
          <w:rFonts w:ascii="Arial" w:eastAsia="Times New Roman" w:hAnsi="Arial" w:cs="Arial"/>
          <w:lang w:eastAsia="hr-HR"/>
        </w:rPr>
        <w:t>U ovom kontekstu važno je istaći da su javna elektroprivredna poduzeća, u s</w:t>
      </w:r>
      <w:r>
        <w:rPr>
          <w:rFonts w:ascii="Arial" w:eastAsia="Times New Roman" w:hAnsi="Arial" w:cs="Arial"/>
          <w:lang w:eastAsia="hr-HR"/>
        </w:rPr>
        <w:t xml:space="preserve">kladu s Odlukom Vlade Federacije BiH, obveznici pružanja javne usluge na svom području djelovanja te da ista opskrbljuju sve kupce iz kategorije kućanstva/domaćinstva u Federaciji BiH po cijenama električne energije koje su najniže, ili među najnižim u EU </w:t>
      </w:r>
      <w:r>
        <w:rPr>
          <w:rFonts w:ascii="Arial" w:eastAsia="Times New Roman" w:hAnsi="Arial" w:cs="Arial"/>
          <w:lang w:eastAsia="hr-HR"/>
        </w:rPr>
        <w:t>i regiji, te da i u okviru tržišne opskrbe krajnje kupce opskrbljuju po cijenama, koje su zadnjih godina ograničene odlukama Vlade Federacije BiH, a koje su također među najnižima u okruženju (prema podatcima Eurostata samo Kosovo ima niže prosječne cijene</w:t>
      </w:r>
      <w:r>
        <w:rPr>
          <w:rFonts w:ascii="Arial" w:eastAsia="Times New Roman" w:hAnsi="Arial" w:cs="Arial"/>
          <w:lang w:eastAsia="hr-HR"/>
        </w:rPr>
        <w:t xml:space="preserve"> električne energije za industriju). Dakle, javna elektroprivredna poduzeća posljednjih godina za svoje kupce amortiziraju izrazito volatilne cijene električne energije na veleprodajnom tržištu, štiteći ih tako od ekstremnih cjenovnih poremećaja kojima smo</w:t>
      </w:r>
      <w:r>
        <w:rPr>
          <w:rFonts w:ascii="Arial" w:eastAsia="Times New Roman" w:hAnsi="Arial" w:cs="Arial"/>
          <w:lang w:eastAsia="hr-HR"/>
        </w:rPr>
        <w:t xml:space="preserve"> svjedočili i doprinoseći, između ostalog, stabilnosti gospodarstva u cjelini. S druge strane, ista ta javna elektroprivredna poduzeća plaćaju naknade za hidroenergiju koje su najviše u EU i regiji, a što izravno utječe na cijenu proizvodnje električne ene</w:t>
      </w:r>
      <w:r>
        <w:rPr>
          <w:rFonts w:ascii="Arial" w:eastAsia="Times New Roman" w:hAnsi="Arial" w:cs="Arial"/>
          <w:lang w:eastAsia="hr-HR"/>
        </w:rPr>
        <w:t>rgije. Tako je npr. naknada za korištenje hidroakumulacijskog objekta u Federaciji BiH za 380% veća od naknade u Republici Hrvatskoj, u kojoj je naknada jednaka za sve hidroelektrane i iznosi 0,00207 KM/kWh.</w:t>
      </w:r>
    </w:p>
    <w:p w:rsidR="003A7660" w:rsidRDefault="003A7660">
      <w:pPr>
        <w:spacing w:after="0"/>
        <w:ind w:firstLine="708"/>
        <w:jc w:val="both"/>
        <w:rPr>
          <w:rFonts w:ascii="Arial" w:hAnsi="Arial" w:cs="Arial"/>
          <w:b/>
        </w:rPr>
      </w:pPr>
    </w:p>
    <w:p w:rsidR="003A7660" w:rsidRDefault="00A1041C">
      <w:pPr>
        <w:jc w:val="both"/>
        <w:rPr>
          <w:rFonts w:ascii="Arial" w:hAnsi="Arial" w:cs="Arial"/>
          <w:color w:val="000000" w:themeColor="text1"/>
        </w:rPr>
      </w:pPr>
      <w:r>
        <w:rPr>
          <w:rFonts w:ascii="Arial" w:hAnsi="Arial" w:cs="Arial"/>
          <w:iCs/>
          <w:color w:val="000000" w:themeColor="text1"/>
        </w:rPr>
        <w:t>Na temelju važećeg zakonodavnog okvira Federaci</w:t>
      </w:r>
      <w:r>
        <w:rPr>
          <w:rFonts w:ascii="Arial" w:hAnsi="Arial" w:cs="Arial"/>
          <w:iCs/>
          <w:color w:val="000000" w:themeColor="text1"/>
        </w:rPr>
        <w:t>je Bosne i Hercegovine, kao i preuzetih obveza Bosne i Hercegovine kao potpisnice Ugovora o uspostavi Energetske zajednice, proizvodnja električne energije nije regulirana djelatnost te Regulatorna komisija za energiju u Federaciji BiH više nema ovlasti ut</w:t>
      </w:r>
      <w:r>
        <w:rPr>
          <w:rFonts w:ascii="Arial" w:hAnsi="Arial" w:cs="Arial"/>
          <w:iCs/>
          <w:color w:val="000000" w:themeColor="text1"/>
        </w:rPr>
        <w:t xml:space="preserve">vrđivati cijene električne energije na pragu pojedinih hidroelektrana.  Posljedično, javna elektroprivredna poduzeća koja su u obvezi obračunavati i plaćati predmetnu naknadu, nemaju mogućnost promijeniti cijenu električne energije na pragu hidroelektrana </w:t>
      </w:r>
      <w:r>
        <w:rPr>
          <w:rFonts w:ascii="Arial" w:hAnsi="Arial" w:cs="Arial"/>
          <w:iCs/>
          <w:color w:val="000000" w:themeColor="text1"/>
        </w:rPr>
        <w:t xml:space="preserve">budući da istu neće utvrditi FERK pa ista, u kontekstu ovog Zakona, neće biti relevantna za </w:t>
      </w:r>
      <w:r>
        <w:rPr>
          <w:rFonts w:ascii="Arial" w:hAnsi="Arial" w:cs="Arial"/>
          <w:i/>
          <w:color w:val="000000" w:themeColor="text1"/>
        </w:rPr>
        <w:t>procentualno usklađivanje</w:t>
      </w:r>
      <w:r>
        <w:rPr>
          <w:rFonts w:ascii="Arial" w:hAnsi="Arial" w:cs="Arial"/>
          <w:iCs/>
          <w:color w:val="000000" w:themeColor="text1"/>
        </w:rPr>
        <w:t>.</w:t>
      </w:r>
      <w:r>
        <w:rPr>
          <w:rFonts w:ascii="Arial" w:hAnsi="Arial" w:cs="Arial"/>
          <w:color w:val="000000" w:themeColor="text1"/>
        </w:rPr>
        <w:t xml:space="preserve"> </w:t>
      </w:r>
    </w:p>
    <w:p w:rsidR="003A7660" w:rsidRDefault="00A1041C">
      <w:pPr>
        <w:jc w:val="both"/>
        <w:rPr>
          <w:rFonts w:ascii="Arial" w:hAnsi="Arial" w:cs="Arial"/>
          <w:iCs/>
          <w:color w:val="000000" w:themeColor="text1"/>
        </w:rPr>
      </w:pPr>
      <w:r>
        <w:rPr>
          <w:rFonts w:ascii="Arial" w:hAnsi="Arial" w:cs="Arial"/>
          <w:color w:val="000000" w:themeColor="text1"/>
        </w:rPr>
        <w:t>Nadalje, člankom 173. stavkom (2)</w:t>
      </w:r>
      <w:r>
        <w:rPr>
          <w:rFonts w:ascii="Arial" w:hAnsi="Arial" w:cs="Arial"/>
          <w:iCs/>
          <w:color w:val="000000" w:themeColor="text1"/>
        </w:rPr>
        <w:t xml:space="preserve"> Zakona o električnoj energiji Federacije Bosne i Hercegovine ( „Službene novine Federacije BiH“ broj: </w:t>
      </w:r>
      <w:r>
        <w:rPr>
          <w:rFonts w:ascii="Arial" w:hAnsi="Arial" w:cs="Arial"/>
          <w:iCs/>
          <w:color w:val="000000" w:themeColor="text1"/>
        </w:rPr>
        <w:t>60/23 ) propisano je da će Regulatorna komisija po službenoj dužnosti u roku od 30 dana od dana stupanja na snagu Zakona ukinuti rješenja kojima je odobren potreban godišnji prihod od reguliranih tarifa zasnovanih na priznatim planskim troškovima za bilanc</w:t>
      </w:r>
      <w:r>
        <w:rPr>
          <w:rFonts w:ascii="Arial" w:hAnsi="Arial" w:cs="Arial"/>
          <w:iCs/>
          <w:color w:val="000000" w:themeColor="text1"/>
        </w:rPr>
        <w:t xml:space="preserve">iranu proizvodnju električne energije i snage. </w:t>
      </w:r>
    </w:p>
    <w:p w:rsidR="003A7660" w:rsidRDefault="00A1041C">
      <w:pPr>
        <w:jc w:val="both"/>
        <w:rPr>
          <w:rFonts w:ascii="Arial" w:hAnsi="Arial" w:cs="Arial"/>
          <w:iCs/>
          <w:color w:val="000000" w:themeColor="text1"/>
        </w:rPr>
      </w:pPr>
      <w:r>
        <w:rPr>
          <w:rFonts w:ascii="Arial" w:hAnsi="Arial" w:cs="Arial"/>
          <w:iCs/>
          <w:color w:val="000000" w:themeColor="text1"/>
        </w:rPr>
        <w:t>Postupajući u skladu s navedenom odredbom Zakona, Regulatorna komisija za energiju u Federaciji BiH je, dana 31.8.2023. godine na svojoj XVII. redovitoj sjednici, donijela Rješenje broj: 07-13-2-1169-1/23 koj</w:t>
      </w:r>
      <w:r>
        <w:rPr>
          <w:rFonts w:ascii="Arial" w:hAnsi="Arial" w:cs="Arial"/>
          <w:iCs/>
          <w:color w:val="000000" w:themeColor="text1"/>
        </w:rPr>
        <w:t xml:space="preserve">im je ukinula Rješenje broj: 07-02-1592-82/25/09 o odobrenju </w:t>
      </w:r>
      <w:r>
        <w:rPr>
          <w:rFonts w:ascii="Arial" w:hAnsi="Arial" w:cs="Arial"/>
          <w:iCs/>
          <w:color w:val="000000" w:themeColor="text1"/>
        </w:rPr>
        <w:lastRenderedPageBreak/>
        <w:t>potrebnog godišnjeg prihoda od reguliranih tarifa za djelatnost proizvodnje električne energije Javnom poduzeću „Elektroprivreda Hrvatske zajednice Herceg Bosne“ dioničko društvo Mostar i Rješenj</w:t>
      </w:r>
      <w:r>
        <w:rPr>
          <w:rFonts w:ascii="Arial" w:hAnsi="Arial" w:cs="Arial"/>
          <w:iCs/>
          <w:color w:val="000000" w:themeColor="text1"/>
        </w:rPr>
        <w:t>e broj: 07-13-2-1170-1/23 kojim je ukinula Rješenje broj 07-02-91-75/3/11 o odobrenju potrebnog godišnjeg prihoda od reguliranih tarifa za djelatnost proizvodnje električne energije Javnom preduzeću Elektroprivreda Bosne i Hercegovine d.d. – Sarajevo.</w:t>
      </w:r>
    </w:p>
    <w:p w:rsidR="003A7660" w:rsidRDefault="00A1041C">
      <w:pPr>
        <w:jc w:val="both"/>
        <w:rPr>
          <w:rFonts w:ascii="Arial" w:hAnsi="Arial" w:cs="Arial"/>
          <w:iCs/>
          <w:color w:val="000000" w:themeColor="text1"/>
        </w:rPr>
      </w:pPr>
      <w:r>
        <w:rPr>
          <w:rFonts w:ascii="Arial" w:hAnsi="Arial" w:cs="Arial"/>
          <w:iCs/>
          <w:color w:val="000000" w:themeColor="text1"/>
        </w:rPr>
        <w:t xml:space="preserve"> S o</w:t>
      </w:r>
      <w:r>
        <w:rPr>
          <w:rFonts w:ascii="Arial" w:hAnsi="Arial" w:cs="Arial"/>
          <w:iCs/>
          <w:color w:val="000000" w:themeColor="text1"/>
        </w:rPr>
        <w:t>bzirom da su ukinutim rješenjima Regulatorne komisije za električnu energiju u Federaciji BiH određene cijene električne energije na pragu hidroelektrana ovih javnih poduzeća, a koje cijene su korištene za usklađivanje predmetne naknade za hidroakumulaciju</w:t>
      </w:r>
      <w:r>
        <w:rPr>
          <w:rFonts w:ascii="Arial" w:hAnsi="Arial" w:cs="Arial"/>
          <w:iCs/>
          <w:color w:val="000000" w:themeColor="text1"/>
        </w:rPr>
        <w:t xml:space="preserve">, važeće odredbe članka 3. stavka (2) Zakona o izdvajanju i usmjeravanju dijela prihoda poduzeća ostvarenog korištenjem hidroakumulacijskih objekata postaju u potpunosti </w:t>
      </w:r>
      <w:r>
        <w:rPr>
          <w:rFonts w:ascii="Arial" w:hAnsi="Arial" w:cs="Arial"/>
          <w:iCs/>
          <w:color w:val="000000" w:themeColor="text1"/>
          <w:u w:val="single"/>
        </w:rPr>
        <w:t>neprovodive</w:t>
      </w:r>
      <w:r>
        <w:rPr>
          <w:rFonts w:ascii="Arial" w:hAnsi="Arial" w:cs="Arial"/>
          <w:iCs/>
          <w:color w:val="000000" w:themeColor="text1"/>
        </w:rPr>
        <w:t>.</w:t>
      </w:r>
    </w:p>
    <w:p w:rsidR="003A7660" w:rsidRDefault="00A1041C">
      <w:pPr>
        <w:jc w:val="both"/>
        <w:rPr>
          <w:rFonts w:ascii="Arial" w:hAnsi="Arial" w:cs="Arial"/>
          <w:iCs/>
          <w:color w:val="000000" w:themeColor="text1"/>
        </w:rPr>
      </w:pPr>
      <w:r>
        <w:rPr>
          <w:rFonts w:ascii="Arial" w:hAnsi="Arial" w:cs="Arial"/>
          <w:iCs/>
          <w:color w:val="000000" w:themeColor="text1"/>
        </w:rPr>
        <w:t>Iste odredbe članka 3. stavka (2) Zakona, također su diskriminatorne s ob</w:t>
      </w:r>
      <w:r>
        <w:rPr>
          <w:rFonts w:ascii="Arial" w:hAnsi="Arial" w:cs="Arial"/>
          <w:iCs/>
          <w:color w:val="000000" w:themeColor="text1"/>
        </w:rPr>
        <w:t>zirom da su definirale različit iznos (usklađene) naknade za svaku pojedinu hidroelektranu, iako se naknada obračunava i isplaćuje na temelju istog Zakona, za proizvedenu električnu energiju iz istog (hidro) izvora i u iste svrhe, a sve na temelju planiran</w:t>
      </w:r>
      <w:r>
        <w:rPr>
          <w:rFonts w:ascii="Arial" w:hAnsi="Arial" w:cs="Arial"/>
          <w:iCs/>
          <w:color w:val="000000" w:themeColor="text1"/>
        </w:rPr>
        <w:t>ih veličina u jednom trenutku u prošlosti (2010. godine, odnosno 2011. godine).</w:t>
      </w:r>
    </w:p>
    <w:p w:rsidR="003A7660" w:rsidRDefault="00A1041C">
      <w:pPr>
        <w:jc w:val="both"/>
        <w:rPr>
          <w:rFonts w:ascii="Arial" w:hAnsi="Arial" w:cs="Arial"/>
          <w:iCs/>
        </w:rPr>
      </w:pPr>
      <w:r>
        <w:rPr>
          <w:rFonts w:ascii="Arial" w:hAnsi="Arial" w:cs="Arial"/>
          <w:iCs/>
        </w:rPr>
        <w:t>Ovim izmjenama i dopunama Zakona predloženo je nominalno povećanje jediničnog iznosa naknade u stavku (1) članka 3. Zakona, međutim isto ne znači povećanje obveza javnih elektr</w:t>
      </w:r>
      <w:r>
        <w:rPr>
          <w:rFonts w:ascii="Arial" w:hAnsi="Arial" w:cs="Arial"/>
          <w:iCs/>
        </w:rPr>
        <w:t xml:space="preserve">oprivrednih poduzeća u odnosu na važeće odredbe članka 3. Zakona. </w:t>
      </w:r>
    </w:p>
    <w:p w:rsidR="003A7660" w:rsidRDefault="00A1041C">
      <w:pPr>
        <w:jc w:val="both"/>
        <w:rPr>
          <w:rFonts w:ascii="Arial" w:hAnsi="Arial" w:cs="Arial"/>
          <w:iCs/>
        </w:rPr>
      </w:pPr>
      <w:r>
        <w:rPr>
          <w:rFonts w:ascii="Arial" w:hAnsi="Arial" w:cs="Arial"/>
          <w:iCs/>
        </w:rPr>
        <w:t xml:space="preserve">Naime, sporni stavak (2) članka 3. (koji se predloženim izmjenama briše), osim što je doveo do sudskih sporova, puno je više povećao jedinični iznos naknade od predloženih 10 %. Tako je JP </w:t>
      </w:r>
      <w:r>
        <w:rPr>
          <w:rFonts w:ascii="Arial" w:hAnsi="Arial" w:cs="Arial"/>
          <w:iCs/>
        </w:rPr>
        <w:t>„Elektroprivreda HZHB“ d.d. Mostar, u prosjeku, plaćala gotovo 50 % višu naknadu jer je istu, u skladu s važećim odredbama članka 3. stavka (2) morala „uskladiti“ - povećati za određeni postotak (od 23,59 % do 102,69 %).</w:t>
      </w:r>
    </w:p>
    <w:p w:rsidR="003A7660" w:rsidRDefault="00A1041C">
      <w:pPr>
        <w:jc w:val="both"/>
        <w:rPr>
          <w:rFonts w:ascii="Arial" w:hAnsi="Arial" w:cs="Arial"/>
          <w:iCs/>
        </w:rPr>
      </w:pPr>
      <w:r>
        <w:rPr>
          <w:rFonts w:ascii="Arial" w:hAnsi="Arial" w:cs="Arial"/>
          <w:iCs/>
        </w:rPr>
        <w:t xml:space="preserve"> JP Elektroprivreda BiH d.d. – Sara</w:t>
      </w:r>
      <w:r>
        <w:rPr>
          <w:rFonts w:ascii="Arial" w:hAnsi="Arial" w:cs="Arial"/>
          <w:iCs/>
        </w:rPr>
        <w:t>jevo, također je, u skladu s važećim odredbama članka 3. Zakona, bila u obvezi, u prosjeku, platiti 14 % viši iznos od iznosa kojeg bi platila bez usklađenja nominalno utvrđene naknade.</w:t>
      </w:r>
    </w:p>
    <w:p w:rsidR="003A7660" w:rsidRDefault="003A7660">
      <w:pPr>
        <w:jc w:val="both"/>
        <w:rPr>
          <w:rFonts w:ascii="Arial" w:hAnsi="Arial" w:cs="Arial"/>
          <w:iCs/>
        </w:rPr>
      </w:pPr>
    </w:p>
    <w:p w:rsidR="003A7660" w:rsidRDefault="00A1041C">
      <w:pPr>
        <w:pStyle w:val="Caption"/>
        <w:keepNext/>
        <w:jc w:val="both"/>
        <w:rPr>
          <w:rFonts w:ascii="Arial" w:hAnsi="Arial" w:cs="Arial"/>
          <w:color w:val="auto"/>
          <w:sz w:val="22"/>
          <w:szCs w:val="22"/>
        </w:rPr>
      </w:pPr>
      <w:r>
        <w:rPr>
          <w:rFonts w:ascii="Arial" w:hAnsi="Arial" w:cs="Arial"/>
          <w:color w:val="auto"/>
          <w:sz w:val="22"/>
          <w:szCs w:val="22"/>
        </w:rPr>
        <w:t xml:space="preserve">Tablica </w:t>
      </w:r>
      <w:r>
        <w:rPr>
          <w:rFonts w:ascii="Arial" w:hAnsi="Arial" w:cs="Arial"/>
          <w:color w:val="auto"/>
          <w:sz w:val="22"/>
          <w:szCs w:val="22"/>
        </w:rPr>
        <w:fldChar w:fldCharType="begin"/>
      </w:r>
      <w:r>
        <w:rPr>
          <w:rFonts w:ascii="Arial" w:hAnsi="Arial" w:cs="Arial"/>
          <w:color w:val="auto"/>
          <w:sz w:val="22"/>
          <w:szCs w:val="22"/>
        </w:rPr>
        <w:instrText>SEQ Tablica \* ARABIC</w:instrText>
      </w:r>
      <w:r>
        <w:rPr>
          <w:rFonts w:ascii="Arial" w:hAnsi="Arial" w:cs="Arial"/>
          <w:color w:val="auto"/>
          <w:sz w:val="22"/>
          <w:szCs w:val="22"/>
        </w:rPr>
        <w:fldChar w:fldCharType="separate"/>
      </w:r>
      <w:r>
        <w:rPr>
          <w:rFonts w:ascii="Arial" w:hAnsi="Arial" w:cs="Arial"/>
          <w:color w:val="auto"/>
          <w:sz w:val="22"/>
          <w:szCs w:val="22"/>
        </w:rPr>
        <w:t>1</w:t>
      </w:r>
      <w:r>
        <w:rPr>
          <w:rFonts w:ascii="Arial" w:hAnsi="Arial" w:cs="Arial"/>
          <w:color w:val="auto"/>
          <w:sz w:val="22"/>
          <w:szCs w:val="22"/>
        </w:rPr>
        <w:fldChar w:fldCharType="end"/>
      </w:r>
      <w:r>
        <w:rPr>
          <w:rFonts w:ascii="Arial" w:hAnsi="Arial" w:cs="Arial"/>
          <w:color w:val="auto"/>
          <w:sz w:val="22"/>
          <w:szCs w:val="22"/>
        </w:rPr>
        <w:t xml:space="preserve"> Okvirni pregled obveza na ime naknade za hidroakumulaciju po predloženim izmjenama Zakona u odnosu na važeće odredbe</w:t>
      </w:r>
    </w:p>
    <w:tbl>
      <w:tblPr>
        <w:tblW w:w="9918" w:type="dxa"/>
        <w:jc w:val="center"/>
        <w:tblLayout w:type="fixed"/>
        <w:tblLook w:val="04A0" w:firstRow="1" w:lastRow="0" w:firstColumn="1" w:lastColumn="0" w:noHBand="0" w:noVBand="1"/>
      </w:tblPr>
      <w:tblGrid>
        <w:gridCol w:w="4720"/>
        <w:gridCol w:w="971"/>
        <w:gridCol w:w="1503"/>
        <w:gridCol w:w="1503"/>
        <w:gridCol w:w="1221"/>
      </w:tblGrid>
      <w:tr w:rsidR="003A7660">
        <w:trPr>
          <w:trHeight w:val="300"/>
          <w:jc w:val="center"/>
        </w:trPr>
        <w:tc>
          <w:tcPr>
            <w:tcW w:w="4720" w:type="dxa"/>
            <w:tcBorders>
              <w:top w:val="single" w:sz="4" w:space="0" w:color="000000"/>
              <w:left w:val="single" w:sz="4" w:space="0" w:color="000000"/>
            </w:tcBorders>
            <w:vAlign w:val="center"/>
          </w:tcPr>
          <w:p w:rsidR="003A7660" w:rsidRDefault="00A1041C">
            <w:pPr>
              <w:widowControl w:val="0"/>
              <w:rPr>
                <w:rFonts w:ascii="Arial" w:hAnsi="Arial" w:cs="Arial"/>
                <w:color w:val="000000"/>
                <w:kern w:val="2"/>
                <w14:ligatures w14:val="standardContextual"/>
              </w:rPr>
            </w:pPr>
            <w:r>
              <w:rPr>
                <w:rFonts w:ascii="Arial" w:hAnsi="Arial" w:cs="Arial"/>
                <w:color w:val="000000"/>
                <w:kern w:val="2"/>
                <w14:ligatures w14:val="standardContextual"/>
              </w:rPr>
              <w:t>Opis</w:t>
            </w:r>
          </w:p>
        </w:tc>
        <w:tc>
          <w:tcPr>
            <w:tcW w:w="971" w:type="dxa"/>
            <w:tcBorders>
              <w:top w:val="single" w:sz="4" w:space="0" w:color="000000"/>
              <w:left w:val="single" w:sz="4" w:space="0" w:color="000000"/>
              <w:right w:val="single" w:sz="4" w:space="0" w:color="000000"/>
            </w:tcBorders>
            <w:vAlign w:val="center"/>
          </w:tcPr>
          <w:p w:rsidR="003A7660" w:rsidRDefault="00A1041C">
            <w:pPr>
              <w:widowControl w:val="0"/>
              <w:jc w:val="center"/>
              <w:rPr>
                <w:rFonts w:ascii="Arial" w:hAnsi="Arial" w:cs="Arial"/>
                <w:color w:val="000000"/>
                <w:kern w:val="2"/>
                <w14:ligatures w14:val="standardContextual"/>
              </w:rPr>
            </w:pPr>
            <w:r>
              <w:rPr>
                <w:rFonts w:ascii="Arial" w:hAnsi="Arial" w:cs="Arial"/>
                <w:color w:val="000000"/>
                <w:kern w:val="2"/>
                <w14:ligatures w14:val="standardContextual"/>
              </w:rPr>
              <w:t>Jedinica</w:t>
            </w:r>
          </w:p>
        </w:tc>
        <w:tc>
          <w:tcPr>
            <w:tcW w:w="1503" w:type="dxa"/>
            <w:tcBorders>
              <w:top w:val="single" w:sz="4" w:space="0" w:color="000000"/>
            </w:tcBorders>
            <w:vAlign w:val="center"/>
          </w:tcPr>
          <w:p w:rsidR="003A7660" w:rsidRDefault="00A1041C">
            <w:pPr>
              <w:widowControl w:val="0"/>
              <w:jc w:val="center"/>
              <w:rPr>
                <w:rFonts w:ascii="Arial" w:hAnsi="Arial" w:cs="Arial"/>
                <w:b/>
                <w:bCs/>
                <w:color w:val="000000"/>
                <w:kern w:val="2"/>
                <w14:ligatures w14:val="standardContextual"/>
              </w:rPr>
            </w:pPr>
            <w:r>
              <w:rPr>
                <w:rFonts w:ascii="Arial" w:hAnsi="Arial" w:cs="Arial"/>
                <w:b/>
                <w:bCs/>
                <w:color w:val="000000"/>
                <w:kern w:val="2"/>
                <w14:ligatures w14:val="standardContextual"/>
              </w:rPr>
              <w:t>EP HZHB</w:t>
            </w:r>
          </w:p>
        </w:tc>
        <w:tc>
          <w:tcPr>
            <w:tcW w:w="1503" w:type="dxa"/>
            <w:tcBorders>
              <w:top w:val="single" w:sz="4" w:space="0" w:color="000000"/>
              <w:left w:val="single" w:sz="4" w:space="0" w:color="000000"/>
            </w:tcBorders>
            <w:vAlign w:val="center"/>
          </w:tcPr>
          <w:p w:rsidR="003A7660" w:rsidRDefault="00A1041C">
            <w:pPr>
              <w:widowControl w:val="0"/>
              <w:jc w:val="center"/>
              <w:rPr>
                <w:rFonts w:ascii="Arial" w:hAnsi="Arial" w:cs="Arial"/>
                <w:b/>
                <w:bCs/>
                <w:color w:val="000000"/>
                <w:kern w:val="2"/>
                <w14:ligatures w14:val="standardContextual"/>
              </w:rPr>
            </w:pPr>
            <w:r>
              <w:rPr>
                <w:rFonts w:ascii="Arial" w:hAnsi="Arial" w:cs="Arial"/>
                <w:b/>
                <w:bCs/>
                <w:color w:val="000000"/>
                <w:kern w:val="2"/>
                <w14:ligatures w14:val="standardContextual"/>
              </w:rPr>
              <w:t>EP BiH</w:t>
            </w:r>
          </w:p>
        </w:tc>
        <w:tc>
          <w:tcPr>
            <w:tcW w:w="1221" w:type="dxa"/>
            <w:tcBorders>
              <w:top w:val="single" w:sz="4" w:space="0" w:color="000000"/>
              <w:left w:val="single" w:sz="4" w:space="0" w:color="000000"/>
              <w:bottom w:val="single" w:sz="4" w:space="0" w:color="000000"/>
              <w:right w:val="single" w:sz="4" w:space="0" w:color="000000"/>
            </w:tcBorders>
            <w:vAlign w:val="center"/>
          </w:tcPr>
          <w:p w:rsidR="003A7660" w:rsidRDefault="00A1041C">
            <w:pPr>
              <w:widowControl w:val="0"/>
              <w:jc w:val="center"/>
              <w:rPr>
                <w:rFonts w:ascii="Arial" w:hAnsi="Arial" w:cs="Arial"/>
                <w:b/>
                <w:bCs/>
                <w:color w:val="000000"/>
                <w:kern w:val="2"/>
                <w14:ligatures w14:val="standardContextual"/>
              </w:rPr>
            </w:pPr>
            <w:r>
              <w:rPr>
                <w:rFonts w:ascii="Arial" w:hAnsi="Arial" w:cs="Arial"/>
                <w:b/>
                <w:bCs/>
                <w:color w:val="000000"/>
                <w:kern w:val="2"/>
                <w14:ligatures w14:val="standardContextual"/>
              </w:rPr>
              <w:t>∑</w:t>
            </w:r>
          </w:p>
        </w:tc>
      </w:tr>
      <w:tr w:rsidR="003A7660">
        <w:trPr>
          <w:trHeight w:val="283"/>
          <w:jc w:val="center"/>
        </w:trPr>
        <w:tc>
          <w:tcPr>
            <w:tcW w:w="4720" w:type="dxa"/>
            <w:tcBorders>
              <w:top w:val="single" w:sz="4" w:space="0" w:color="000000"/>
              <w:left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Ostvarena proizvodnja hidroelektrana</w:t>
            </w:r>
          </w:p>
        </w:tc>
        <w:tc>
          <w:tcPr>
            <w:tcW w:w="971" w:type="dxa"/>
            <w:tcBorders>
              <w:top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kWh</w:t>
            </w:r>
          </w:p>
        </w:tc>
        <w:tc>
          <w:tcPr>
            <w:tcW w:w="1503" w:type="dxa"/>
            <w:tcBorders>
              <w:top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1.887.153.984</w:t>
            </w:r>
          </w:p>
        </w:tc>
        <w:tc>
          <w:tcPr>
            <w:tcW w:w="1503" w:type="dxa"/>
            <w:tcBorders>
              <w:top w:val="single" w:sz="4" w:space="0" w:color="000000"/>
              <w:left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1.356.547.235</w:t>
            </w:r>
          </w:p>
        </w:tc>
        <w:tc>
          <w:tcPr>
            <w:tcW w:w="1221" w:type="dxa"/>
            <w:tcBorders>
              <w:left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 </w:t>
            </w:r>
          </w:p>
        </w:tc>
      </w:tr>
      <w:tr w:rsidR="003A7660">
        <w:trPr>
          <w:trHeight w:val="283"/>
          <w:jc w:val="center"/>
        </w:trPr>
        <w:tc>
          <w:tcPr>
            <w:tcW w:w="4720" w:type="dxa"/>
            <w:tcBorders>
              <w:top w:val="single" w:sz="8" w:space="0" w:color="000000"/>
              <w:left w:val="single" w:sz="4" w:space="0" w:color="000000"/>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 xml:space="preserve">Nominalno utvrđen jedinični iznos </w:t>
            </w:r>
            <w:r>
              <w:rPr>
                <w:rFonts w:ascii="Arial" w:hAnsi="Arial" w:cs="Arial"/>
                <w:kern w:val="2"/>
                <w14:ligatures w14:val="standardContextual"/>
              </w:rPr>
              <w:t>naknade</w:t>
            </w:r>
          </w:p>
        </w:tc>
        <w:tc>
          <w:tcPr>
            <w:tcW w:w="971" w:type="dxa"/>
            <w:tcBorders>
              <w:top w:val="single" w:sz="8" w:space="0" w:color="000000"/>
              <w:left w:val="single" w:sz="4" w:space="0" w:color="000000"/>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KM/kWh</w:t>
            </w:r>
          </w:p>
        </w:tc>
        <w:tc>
          <w:tcPr>
            <w:tcW w:w="1503" w:type="dxa"/>
            <w:tcBorders>
              <w:top w:val="single" w:sz="8" w:space="0" w:color="000000"/>
              <w:bottom w:val="single" w:sz="4" w:space="0" w:color="000000"/>
              <w:right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0,0100</w:t>
            </w:r>
          </w:p>
        </w:tc>
        <w:tc>
          <w:tcPr>
            <w:tcW w:w="1503" w:type="dxa"/>
            <w:tcBorders>
              <w:top w:val="single" w:sz="8" w:space="0" w:color="000000"/>
              <w:bottom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0,0100</w:t>
            </w:r>
          </w:p>
        </w:tc>
        <w:tc>
          <w:tcPr>
            <w:tcW w:w="1221" w:type="dxa"/>
            <w:tcBorders>
              <w:left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 </w:t>
            </w:r>
          </w:p>
        </w:tc>
      </w:tr>
      <w:tr w:rsidR="003A7660">
        <w:trPr>
          <w:trHeight w:val="283"/>
          <w:jc w:val="center"/>
        </w:trPr>
        <w:tc>
          <w:tcPr>
            <w:tcW w:w="4720" w:type="dxa"/>
            <w:tcBorders>
              <w:left w:val="single" w:sz="4" w:space="0" w:color="000000"/>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Usklađeni dio naknade</w:t>
            </w:r>
          </w:p>
        </w:tc>
        <w:tc>
          <w:tcPr>
            <w:tcW w:w="971" w:type="dxa"/>
            <w:tcBorders>
              <w:left w:val="single" w:sz="4" w:space="0" w:color="000000"/>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KM/kWh</w:t>
            </w:r>
          </w:p>
        </w:tc>
        <w:tc>
          <w:tcPr>
            <w:tcW w:w="1503" w:type="dxa"/>
            <w:tcBorders>
              <w:bottom w:val="single" w:sz="4" w:space="0" w:color="000000"/>
              <w:right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0,0049</w:t>
            </w:r>
          </w:p>
        </w:tc>
        <w:tc>
          <w:tcPr>
            <w:tcW w:w="1503" w:type="dxa"/>
            <w:tcBorders>
              <w:bottom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0,0014</w:t>
            </w:r>
          </w:p>
        </w:tc>
        <w:tc>
          <w:tcPr>
            <w:tcW w:w="1221" w:type="dxa"/>
            <w:tcBorders>
              <w:left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 </w:t>
            </w:r>
          </w:p>
        </w:tc>
      </w:tr>
      <w:tr w:rsidR="003A7660">
        <w:trPr>
          <w:trHeight w:val="283"/>
          <w:jc w:val="center"/>
        </w:trPr>
        <w:tc>
          <w:tcPr>
            <w:tcW w:w="4720" w:type="dxa"/>
            <w:tcBorders>
              <w:left w:val="single" w:sz="4" w:space="0" w:color="000000"/>
              <w:bottom w:val="single" w:sz="8" w:space="0" w:color="000000"/>
            </w:tcBorders>
            <w:shd w:val="clear" w:color="auto" w:fill="D9D9D9"/>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Ukupna naknada po važećem Zakonu</w:t>
            </w:r>
          </w:p>
        </w:tc>
        <w:tc>
          <w:tcPr>
            <w:tcW w:w="971" w:type="dxa"/>
            <w:tcBorders>
              <w:left w:val="single" w:sz="4" w:space="0" w:color="000000"/>
              <w:right w:val="single" w:sz="4" w:space="0" w:color="000000"/>
            </w:tcBorders>
            <w:shd w:val="clear" w:color="auto" w:fill="D9D9D9"/>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KM/kWh</w:t>
            </w:r>
          </w:p>
        </w:tc>
        <w:tc>
          <w:tcPr>
            <w:tcW w:w="1503" w:type="dxa"/>
            <w:tcBorders>
              <w:right w:val="single" w:sz="4" w:space="0" w:color="000000"/>
            </w:tcBorders>
            <w:shd w:val="clear" w:color="auto" w:fill="D9D9D9"/>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0,0149</w:t>
            </w:r>
          </w:p>
        </w:tc>
        <w:tc>
          <w:tcPr>
            <w:tcW w:w="1503" w:type="dxa"/>
            <w:shd w:val="clear" w:color="auto" w:fill="D9D9D9"/>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0,0114</w:t>
            </w:r>
          </w:p>
        </w:tc>
        <w:tc>
          <w:tcPr>
            <w:tcW w:w="1221" w:type="dxa"/>
            <w:tcBorders>
              <w:left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 </w:t>
            </w:r>
          </w:p>
        </w:tc>
      </w:tr>
      <w:tr w:rsidR="003A7660">
        <w:trPr>
          <w:trHeight w:val="283"/>
          <w:jc w:val="center"/>
        </w:trPr>
        <w:tc>
          <w:tcPr>
            <w:tcW w:w="4720" w:type="dxa"/>
            <w:tcBorders>
              <w:left w:val="single" w:sz="4" w:space="0" w:color="000000"/>
              <w:bottom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lastRenderedPageBreak/>
              <w:t>Obveze po nominalno utvrđenom jediničnom iznosu naknade</w:t>
            </w:r>
          </w:p>
        </w:tc>
        <w:tc>
          <w:tcPr>
            <w:tcW w:w="971" w:type="dxa"/>
            <w:tcBorders>
              <w:top w:val="single" w:sz="8" w:space="0" w:color="000000"/>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KM</w:t>
            </w:r>
          </w:p>
        </w:tc>
        <w:tc>
          <w:tcPr>
            <w:tcW w:w="1503" w:type="dxa"/>
            <w:tcBorders>
              <w:top w:val="single" w:sz="8" w:space="0" w:color="000000"/>
              <w:bottom w:val="single" w:sz="4" w:space="0" w:color="000000"/>
              <w:right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18.871.540</w:t>
            </w:r>
          </w:p>
        </w:tc>
        <w:tc>
          <w:tcPr>
            <w:tcW w:w="1503" w:type="dxa"/>
            <w:tcBorders>
              <w:top w:val="single" w:sz="8" w:space="0" w:color="000000"/>
              <w:bottom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13.565.472</w:t>
            </w:r>
          </w:p>
        </w:tc>
        <w:tc>
          <w:tcPr>
            <w:tcW w:w="1221" w:type="dxa"/>
            <w:tcBorders>
              <w:left w:val="single" w:sz="4" w:space="0" w:color="000000"/>
              <w:right w:val="single" w:sz="4" w:space="0" w:color="000000"/>
            </w:tcBorders>
            <w:vAlign w:val="center"/>
          </w:tcPr>
          <w:p w:rsidR="003A7660" w:rsidRDefault="00A1041C">
            <w:pPr>
              <w:widowControl w:val="0"/>
              <w:rPr>
                <w:rFonts w:ascii="Arial" w:hAnsi="Arial" w:cs="Arial"/>
                <w:b/>
                <w:bCs/>
                <w:kern w:val="2"/>
                <w14:ligatures w14:val="standardContextual"/>
              </w:rPr>
            </w:pPr>
            <w:r>
              <w:rPr>
                <w:rFonts w:ascii="Arial" w:hAnsi="Arial" w:cs="Arial"/>
                <w:b/>
                <w:bCs/>
                <w:kern w:val="2"/>
                <w14:ligatures w14:val="standardContextual"/>
              </w:rPr>
              <w:t> </w:t>
            </w:r>
          </w:p>
        </w:tc>
      </w:tr>
      <w:tr w:rsidR="003A7660">
        <w:trPr>
          <w:trHeight w:val="283"/>
          <w:jc w:val="center"/>
        </w:trPr>
        <w:tc>
          <w:tcPr>
            <w:tcW w:w="4720" w:type="dxa"/>
            <w:tcBorders>
              <w:left w:val="single" w:sz="4" w:space="0" w:color="000000"/>
              <w:bottom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 xml:space="preserve">Obveze po usklađenom jediničnom </w:t>
            </w:r>
            <w:r>
              <w:rPr>
                <w:rFonts w:ascii="Arial" w:hAnsi="Arial" w:cs="Arial"/>
                <w:kern w:val="2"/>
                <w14:ligatures w14:val="standardContextual"/>
              </w:rPr>
              <w:t>iznosu naknade</w:t>
            </w:r>
          </w:p>
        </w:tc>
        <w:tc>
          <w:tcPr>
            <w:tcW w:w="971" w:type="dxa"/>
            <w:tcBorders>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KM</w:t>
            </w:r>
          </w:p>
        </w:tc>
        <w:tc>
          <w:tcPr>
            <w:tcW w:w="1503" w:type="dxa"/>
            <w:tcBorders>
              <w:bottom w:val="single" w:sz="4" w:space="0" w:color="000000"/>
              <w:right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9.200.697</w:t>
            </w:r>
          </w:p>
        </w:tc>
        <w:tc>
          <w:tcPr>
            <w:tcW w:w="1503" w:type="dxa"/>
            <w:tcBorders>
              <w:bottom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1.837.162</w:t>
            </w:r>
          </w:p>
        </w:tc>
        <w:tc>
          <w:tcPr>
            <w:tcW w:w="1221" w:type="dxa"/>
            <w:tcBorders>
              <w:left w:val="single" w:sz="4" w:space="0" w:color="000000"/>
              <w:right w:val="single" w:sz="4" w:space="0" w:color="000000"/>
            </w:tcBorders>
            <w:vAlign w:val="center"/>
          </w:tcPr>
          <w:p w:rsidR="003A7660" w:rsidRDefault="00A1041C">
            <w:pPr>
              <w:widowControl w:val="0"/>
              <w:rPr>
                <w:rFonts w:ascii="Arial" w:hAnsi="Arial" w:cs="Arial"/>
                <w:b/>
                <w:bCs/>
                <w:kern w:val="2"/>
                <w14:ligatures w14:val="standardContextual"/>
              </w:rPr>
            </w:pPr>
            <w:r>
              <w:rPr>
                <w:rFonts w:ascii="Arial" w:hAnsi="Arial" w:cs="Arial"/>
                <w:b/>
                <w:bCs/>
                <w:kern w:val="2"/>
                <w14:ligatures w14:val="standardContextual"/>
              </w:rPr>
              <w:t> </w:t>
            </w:r>
          </w:p>
        </w:tc>
      </w:tr>
      <w:tr w:rsidR="003A7660">
        <w:trPr>
          <w:trHeight w:val="283"/>
          <w:jc w:val="center"/>
        </w:trPr>
        <w:tc>
          <w:tcPr>
            <w:tcW w:w="4720" w:type="dxa"/>
            <w:tcBorders>
              <w:left w:val="single" w:sz="4" w:space="0" w:color="000000"/>
              <w:bottom w:val="threeDEmboss" w:sz="18" w:space="0" w:color="000000"/>
              <w:right w:val="single" w:sz="4" w:space="0" w:color="000000"/>
            </w:tcBorders>
            <w:shd w:val="clear" w:color="auto" w:fill="D9D9D9"/>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Ukupne obveze na ime naknade po važećem Zakonu</w:t>
            </w:r>
          </w:p>
        </w:tc>
        <w:tc>
          <w:tcPr>
            <w:tcW w:w="971" w:type="dxa"/>
            <w:tcBorders>
              <w:bottom w:val="threeDEmboss" w:sz="18" w:space="0" w:color="000000"/>
              <w:right w:val="single" w:sz="4" w:space="0" w:color="000000"/>
            </w:tcBorders>
            <w:shd w:val="clear" w:color="auto" w:fill="D9D9D9"/>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KM</w:t>
            </w:r>
          </w:p>
        </w:tc>
        <w:tc>
          <w:tcPr>
            <w:tcW w:w="1503" w:type="dxa"/>
            <w:tcBorders>
              <w:bottom w:val="threeDEmboss" w:sz="18" w:space="0" w:color="000000"/>
              <w:right w:val="single" w:sz="4" w:space="0" w:color="000000"/>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28.072.236</w:t>
            </w:r>
          </w:p>
        </w:tc>
        <w:tc>
          <w:tcPr>
            <w:tcW w:w="1503" w:type="dxa"/>
            <w:tcBorders>
              <w:bottom w:val="threeDEmboss" w:sz="18" w:space="0" w:color="000000"/>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15.402.634</w:t>
            </w:r>
          </w:p>
        </w:tc>
        <w:tc>
          <w:tcPr>
            <w:tcW w:w="1221" w:type="dxa"/>
            <w:tcBorders>
              <w:top w:val="single" w:sz="4" w:space="0" w:color="000000"/>
              <w:left w:val="single" w:sz="4" w:space="0" w:color="000000"/>
              <w:bottom w:val="threeDEmboss" w:sz="18" w:space="0" w:color="000000"/>
              <w:right w:val="single" w:sz="4" w:space="0" w:color="000000"/>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43.474.871</w:t>
            </w:r>
          </w:p>
        </w:tc>
      </w:tr>
      <w:tr w:rsidR="003A7660">
        <w:trPr>
          <w:trHeight w:val="300"/>
          <w:jc w:val="center"/>
        </w:trPr>
        <w:tc>
          <w:tcPr>
            <w:tcW w:w="4720" w:type="dxa"/>
            <w:tcBorders>
              <w:top w:val="threeDEmboss" w:sz="18" w:space="0" w:color="000000"/>
              <w:left w:val="single" w:sz="4" w:space="0" w:color="000000"/>
            </w:tcBorders>
            <w:vAlign w:val="center"/>
          </w:tcPr>
          <w:p w:rsidR="003A7660" w:rsidRDefault="00A1041C">
            <w:pPr>
              <w:widowControl w:val="0"/>
              <w:rPr>
                <w:rFonts w:ascii="Arial" w:hAnsi="Arial" w:cs="Arial"/>
                <w:color w:val="000000"/>
                <w:kern w:val="2"/>
                <w14:ligatures w14:val="standardContextual"/>
              </w:rPr>
            </w:pPr>
            <w:r>
              <w:rPr>
                <w:rFonts w:ascii="Arial" w:hAnsi="Arial" w:cs="Arial"/>
                <w:color w:val="000000"/>
                <w:kern w:val="2"/>
                <w14:ligatures w14:val="standardContextual"/>
              </w:rPr>
              <w:t>Opis</w:t>
            </w:r>
          </w:p>
        </w:tc>
        <w:tc>
          <w:tcPr>
            <w:tcW w:w="971" w:type="dxa"/>
            <w:tcBorders>
              <w:top w:val="threeDEmboss" w:sz="18" w:space="0" w:color="000000"/>
              <w:left w:val="single" w:sz="4" w:space="0" w:color="000000"/>
              <w:right w:val="single" w:sz="4" w:space="0" w:color="000000"/>
            </w:tcBorders>
            <w:vAlign w:val="center"/>
          </w:tcPr>
          <w:p w:rsidR="003A7660" w:rsidRDefault="00A1041C">
            <w:pPr>
              <w:widowControl w:val="0"/>
              <w:jc w:val="center"/>
              <w:rPr>
                <w:rFonts w:ascii="Arial" w:hAnsi="Arial" w:cs="Arial"/>
                <w:color w:val="000000"/>
                <w:kern w:val="2"/>
                <w14:ligatures w14:val="standardContextual"/>
              </w:rPr>
            </w:pPr>
            <w:r>
              <w:rPr>
                <w:rFonts w:ascii="Arial" w:hAnsi="Arial" w:cs="Arial"/>
                <w:color w:val="000000"/>
                <w:kern w:val="2"/>
                <w14:ligatures w14:val="standardContextual"/>
              </w:rPr>
              <w:t>Jedinica</w:t>
            </w:r>
          </w:p>
        </w:tc>
        <w:tc>
          <w:tcPr>
            <w:tcW w:w="1503" w:type="dxa"/>
            <w:tcBorders>
              <w:top w:val="threeDEmboss" w:sz="18" w:space="0" w:color="000000"/>
            </w:tcBorders>
            <w:vAlign w:val="center"/>
          </w:tcPr>
          <w:p w:rsidR="003A7660" w:rsidRDefault="00A1041C">
            <w:pPr>
              <w:widowControl w:val="0"/>
              <w:jc w:val="center"/>
              <w:rPr>
                <w:rFonts w:ascii="Arial" w:hAnsi="Arial" w:cs="Arial"/>
                <w:b/>
                <w:bCs/>
                <w:color w:val="000000"/>
                <w:kern w:val="2"/>
                <w14:ligatures w14:val="standardContextual"/>
              </w:rPr>
            </w:pPr>
            <w:r>
              <w:rPr>
                <w:rFonts w:ascii="Arial" w:hAnsi="Arial" w:cs="Arial"/>
                <w:b/>
                <w:bCs/>
                <w:color w:val="000000"/>
                <w:kern w:val="2"/>
                <w14:ligatures w14:val="standardContextual"/>
              </w:rPr>
              <w:t>EP HZHB</w:t>
            </w:r>
          </w:p>
        </w:tc>
        <w:tc>
          <w:tcPr>
            <w:tcW w:w="1503" w:type="dxa"/>
            <w:tcBorders>
              <w:top w:val="threeDEmboss" w:sz="18" w:space="0" w:color="000000"/>
              <w:left w:val="single" w:sz="4" w:space="0" w:color="000000"/>
            </w:tcBorders>
            <w:vAlign w:val="center"/>
          </w:tcPr>
          <w:p w:rsidR="003A7660" w:rsidRDefault="00A1041C">
            <w:pPr>
              <w:widowControl w:val="0"/>
              <w:jc w:val="center"/>
              <w:rPr>
                <w:rFonts w:ascii="Arial" w:hAnsi="Arial" w:cs="Arial"/>
                <w:b/>
                <w:bCs/>
                <w:color w:val="000000"/>
                <w:kern w:val="2"/>
                <w14:ligatures w14:val="standardContextual"/>
              </w:rPr>
            </w:pPr>
            <w:r>
              <w:rPr>
                <w:rFonts w:ascii="Arial" w:hAnsi="Arial" w:cs="Arial"/>
                <w:b/>
                <w:bCs/>
                <w:color w:val="000000"/>
                <w:kern w:val="2"/>
                <w14:ligatures w14:val="standardContextual"/>
              </w:rPr>
              <w:t>EP BiH</w:t>
            </w:r>
          </w:p>
        </w:tc>
        <w:tc>
          <w:tcPr>
            <w:tcW w:w="1221" w:type="dxa"/>
            <w:tcBorders>
              <w:top w:val="threeDEmboss" w:sz="18" w:space="0" w:color="000000"/>
              <w:left w:val="single" w:sz="4" w:space="0" w:color="000000"/>
              <w:bottom w:val="single" w:sz="4" w:space="0" w:color="000000"/>
              <w:right w:val="single" w:sz="4" w:space="0" w:color="000000"/>
            </w:tcBorders>
            <w:vAlign w:val="center"/>
          </w:tcPr>
          <w:p w:rsidR="003A7660" w:rsidRDefault="00A1041C">
            <w:pPr>
              <w:widowControl w:val="0"/>
              <w:jc w:val="center"/>
              <w:rPr>
                <w:rFonts w:ascii="Arial" w:hAnsi="Arial" w:cs="Arial"/>
                <w:b/>
                <w:bCs/>
                <w:color w:val="000000"/>
                <w:kern w:val="2"/>
                <w14:ligatures w14:val="standardContextual"/>
              </w:rPr>
            </w:pPr>
            <w:r>
              <w:rPr>
                <w:rFonts w:ascii="Arial" w:hAnsi="Arial" w:cs="Arial"/>
                <w:b/>
                <w:bCs/>
                <w:color w:val="000000"/>
                <w:kern w:val="2"/>
                <w14:ligatures w14:val="standardContextual"/>
              </w:rPr>
              <w:t>∑</w:t>
            </w:r>
          </w:p>
        </w:tc>
      </w:tr>
      <w:tr w:rsidR="003A7660">
        <w:trPr>
          <w:trHeight w:val="283"/>
          <w:jc w:val="center"/>
        </w:trPr>
        <w:tc>
          <w:tcPr>
            <w:tcW w:w="4720" w:type="dxa"/>
            <w:tcBorders>
              <w:top w:val="single" w:sz="4" w:space="0" w:color="000000"/>
              <w:left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Ostvarena proizvodnja hidroelektrana</w:t>
            </w:r>
          </w:p>
        </w:tc>
        <w:tc>
          <w:tcPr>
            <w:tcW w:w="971" w:type="dxa"/>
            <w:tcBorders>
              <w:top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kWh</w:t>
            </w:r>
          </w:p>
        </w:tc>
        <w:tc>
          <w:tcPr>
            <w:tcW w:w="1503" w:type="dxa"/>
            <w:tcBorders>
              <w:top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1.887.153.984</w:t>
            </w:r>
          </w:p>
        </w:tc>
        <w:tc>
          <w:tcPr>
            <w:tcW w:w="1503" w:type="dxa"/>
            <w:tcBorders>
              <w:top w:val="single" w:sz="4" w:space="0" w:color="000000"/>
              <w:left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1.356.547.235</w:t>
            </w:r>
          </w:p>
        </w:tc>
        <w:tc>
          <w:tcPr>
            <w:tcW w:w="1221" w:type="dxa"/>
            <w:tcBorders>
              <w:left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 </w:t>
            </w:r>
          </w:p>
        </w:tc>
      </w:tr>
      <w:tr w:rsidR="003A7660">
        <w:trPr>
          <w:trHeight w:val="283"/>
          <w:jc w:val="center"/>
        </w:trPr>
        <w:tc>
          <w:tcPr>
            <w:tcW w:w="4720" w:type="dxa"/>
            <w:tcBorders>
              <w:top w:val="single" w:sz="8" w:space="0" w:color="000000"/>
              <w:left w:val="single" w:sz="4" w:space="0" w:color="000000"/>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Nominalno utvrđen jedinični</w:t>
            </w:r>
            <w:r>
              <w:rPr>
                <w:rFonts w:ascii="Arial" w:hAnsi="Arial" w:cs="Arial"/>
                <w:kern w:val="2"/>
                <w14:ligatures w14:val="standardContextual"/>
              </w:rPr>
              <w:t xml:space="preserve"> iznos naknade</w:t>
            </w:r>
          </w:p>
        </w:tc>
        <w:tc>
          <w:tcPr>
            <w:tcW w:w="971" w:type="dxa"/>
            <w:tcBorders>
              <w:top w:val="single" w:sz="8" w:space="0" w:color="000000"/>
              <w:left w:val="single" w:sz="4" w:space="0" w:color="000000"/>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KM/kWh</w:t>
            </w:r>
          </w:p>
        </w:tc>
        <w:tc>
          <w:tcPr>
            <w:tcW w:w="1503" w:type="dxa"/>
            <w:tcBorders>
              <w:top w:val="single" w:sz="8" w:space="0" w:color="000000"/>
              <w:bottom w:val="single" w:sz="4" w:space="0" w:color="000000"/>
              <w:right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0,011</w:t>
            </w:r>
          </w:p>
        </w:tc>
        <w:tc>
          <w:tcPr>
            <w:tcW w:w="1503" w:type="dxa"/>
            <w:tcBorders>
              <w:top w:val="single" w:sz="8" w:space="0" w:color="000000"/>
              <w:bottom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0,011</w:t>
            </w:r>
          </w:p>
        </w:tc>
        <w:tc>
          <w:tcPr>
            <w:tcW w:w="1221" w:type="dxa"/>
            <w:tcBorders>
              <w:left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 </w:t>
            </w:r>
          </w:p>
        </w:tc>
      </w:tr>
      <w:tr w:rsidR="003A7660">
        <w:trPr>
          <w:trHeight w:val="283"/>
          <w:jc w:val="center"/>
        </w:trPr>
        <w:tc>
          <w:tcPr>
            <w:tcW w:w="4720" w:type="dxa"/>
            <w:tcBorders>
              <w:left w:val="single" w:sz="4" w:space="0" w:color="000000"/>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Usklađeni dio naknade</w:t>
            </w:r>
          </w:p>
        </w:tc>
        <w:tc>
          <w:tcPr>
            <w:tcW w:w="971" w:type="dxa"/>
            <w:tcBorders>
              <w:left w:val="single" w:sz="4" w:space="0" w:color="000000"/>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KM/kWh</w:t>
            </w:r>
          </w:p>
        </w:tc>
        <w:tc>
          <w:tcPr>
            <w:tcW w:w="1503" w:type="dxa"/>
            <w:tcBorders>
              <w:bottom w:val="single" w:sz="4" w:space="0" w:color="000000"/>
              <w:right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w:t>
            </w:r>
          </w:p>
        </w:tc>
        <w:tc>
          <w:tcPr>
            <w:tcW w:w="1503" w:type="dxa"/>
            <w:tcBorders>
              <w:bottom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w:t>
            </w:r>
          </w:p>
        </w:tc>
        <w:tc>
          <w:tcPr>
            <w:tcW w:w="1221" w:type="dxa"/>
            <w:tcBorders>
              <w:left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 </w:t>
            </w:r>
          </w:p>
        </w:tc>
      </w:tr>
      <w:tr w:rsidR="003A7660">
        <w:trPr>
          <w:trHeight w:val="283"/>
          <w:jc w:val="center"/>
        </w:trPr>
        <w:tc>
          <w:tcPr>
            <w:tcW w:w="4720" w:type="dxa"/>
            <w:tcBorders>
              <w:left w:val="single" w:sz="4" w:space="0" w:color="000000"/>
              <w:bottom w:val="single" w:sz="8" w:space="0" w:color="000000"/>
            </w:tcBorders>
            <w:shd w:val="clear" w:color="auto" w:fill="D9D9D9"/>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Ukupna naknada po predloženim izmjenama Zakona</w:t>
            </w:r>
          </w:p>
        </w:tc>
        <w:tc>
          <w:tcPr>
            <w:tcW w:w="971" w:type="dxa"/>
            <w:tcBorders>
              <w:left w:val="single" w:sz="4" w:space="0" w:color="000000"/>
              <w:right w:val="single" w:sz="4" w:space="0" w:color="000000"/>
            </w:tcBorders>
            <w:shd w:val="clear" w:color="auto" w:fill="D9D9D9"/>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KM/kWh</w:t>
            </w:r>
          </w:p>
        </w:tc>
        <w:tc>
          <w:tcPr>
            <w:tcW w:w="1503" w:type="dxa"/>
            <w:tcBorders>
              <w:right w:val="single" w:sz="4" w:space="0" w:color="000000"/>
            </w:tcBorders>
            <w:shd w:val="clear" w:color="auto" w:fill="D9D9D9"/>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0,011</w:t>
            </w:r>
          </w:p>
        </w:tc>
        <w:tc>
          <w:tcPr>
            <w:tcW w:w="1503" w:type="dxa"/>
            <w:shd w:val="clear" w:color="auto" w:fill="D9D9D9"/>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0,011</w:t>
            </w:r>
          </w:p>
        </w:tc>
        <w:tc>
          <w:tcPr>
            <w:tcW w:w="1221" w:type="dxa"/>
            <w:tcBorders>
              <w:left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 </w:t>
            </w:r>
          </w:p>
        </w:tc>
      </w:tr>
      <w:tr w:rsidR="003A7660">
        <w:trPr>
          <w:trHeight w:val="283"/>
          <w:jc w:val="center"/>
        </w:trPr>
        <w:tc>
          <w:tcPr>
            <w:tcW w:w="4720" w:type="dxa"/>
            <w:tcBorders>
              <w:left w:val="single" w:sz="4" w:space="0" w:color="000000"/>
              <w:bottom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Obveze po nominalno utvrđenom jediničnom iznosu naknade</w:t>
            </w:r>
          </w:p>
        </w:tc>
        <w:tc>
          <w:tcPr>
            <w:tcW w:w="971" w:type="dxa"/>
            <w:tcBorders>
              <w:top w:val="single" w:sz="8" w:space="0" w:color="000000"/>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KM</w:t>
            </w:r>
          </w:p>
        </w:tc>
        <w:tc>
          <w:tcPr>
            <w:tcW w:w="1503" w:type="dxa"/>
            <w:tcBorders>
              <w:top w:val="single" w:sz="8" w:space="0" w:color="000000"/>
              <w:bottom w:val="single" w:sz="4" w:space="0" w:color="000000"/>
              <w:right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20.758.694</w:t>
            </w:r>
          </w:p>
        </w:tc>
        <w:tc>
          <w:tcPr>
            <w:tcW w:w="1503" w:type="dxa"/>
            <w:tcBorders>
              <w:top w:val="single" w:sz="8" w:space="0" w:color="000000"/>
              <w:bottom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14.922.020</w:t>
            </w:r>
          </w:p>
        </w:tc>
        <w:tc>
          <w:tcPr>
            <w:tcW w:w="1221" w:type="dxa"/>
            <w:tcBorders>
              <w:left w:val="single" w:sz="4" w:space="0" w:color="000000"/>
              <w:right w:val="single" w:sz="4" w:space="0" w:color="000000"/>
            </w:tcBorders>
            <w:vAlign w:val="center"/>
          </w:tcPr>
          <w:p w:rsidR="003A7660" w:rsidRDefault="00A1041C">
            <w:pPr>
              <w:widowControl w:val="0"/>
              <w:rPr>
                <w:rFonts w:ascii="Arial" w:hAnsi="Arial" w:cs="Arial"/>
                <w:b/>
                <w:bCs/>
                <w:kern w:val="2"/>
                <w14:ligatures w14:val="standardContextual"/>
              </w:rPr>
            </w:pPr>
            <w:r>
              <w:rPr>
                <w:rFonts w:ascii="Arial" w:hAnsi="Arial" w:cs="Arial"/>
                <w:b/>
                <w:bCs/>
                <w:kern w:val="2"/>
                <w14:ligatures w14:val="standardContextual"/>
              </w:rPr>
              <w:t> </w:t>
            </w:r>
          </w:p>
        </w:tc>
      </w:tr>
      <w:tr w:rsidR="003A7660">
        <w:trPr>
          <w:trHeight w:val="283"/>
          <w:jc w:val="center"/>
        </w:trPr>
        <w:tc>
          <w:tcPr>
            <w:tcW w:w="4720" w:type="dxa"/>
            <w:tcBorders>
              <w:left w:val="single" w:sz="4" w:space="0" w:color="000000"/>
              <w:bottom w:val="single" w:sz="4"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 xml:space="preserve">Obveze po usklađenom </w:t>
            </w:r>
            <w:r>
              <w:rPr>
                <w:rFonts w:ascii="Arial" w:hAnsi="Arial" w:cs="Arial"/>
                <w:kern w:val="2"/>
                <w14:ligatures w14:val="standardContextual"/>
              </w:rPr>
              <w:t>jediničnom iznosu naknade</w:t>
            </w:r>
          </w:p>
        </w:tc>
        <w:tc>
          <w:tcPr>
            <w:tcW w:w="971" w:type="dxa"/>
            <w:tcBorders>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KM</w:t>
            </w:r>
          </w:p>
        </w:tc>
        <w:tc>
          <w:tcPr>
            <w:tcW w:w="1503" w:type="dxa"/>
            <w:tcBorders>
              <w:bottom w:val="single" w:sz="4" w:space="0" w:color="000000"/>
              <w:right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0</w:t>
            </w:r>
          </w:p>
        </w:tc>
        <w:tc>
          <w:tcPr>
            <w:tcW w:w="1503" w:type="dxa"/>
            <w:tcBorders>
              <w:bottom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0</w:t>
            </w:r>
          </w:p>
        </w:tc>
        <w:tc>
          <w:tcPr>
            <w:tcW w:w="1221" w:type="dxa"/>
            <w:tcBorders>
              <w:left w:val="single" w:sz="4" w:space="0" w:color="000000"/>
              <w:right w:val="single" w:sz="4" w:space="0" w:color="000000"/>
            </w:tcBorders>
            <w:vAlign w:val="center"/>
          </w:tcPr>
          <w:p w:rsidR="003A7660" w:rsidRDefault="00A1041C">
            <w:pPr>
              <w:widowControl w:val="0"/>
              <w:rPr>
                <w:rFonts w:ascii="Arial" w:hAnsi="Arial" w:cs="Arial"/>
                <w:b/>
                <w:bCs/>
                <w:kern w:val="2"/>
                <w14:ligatures w14:val="standardContextual"/>
              </w:rPr>
            </w:pPr>
            <w:r>
              <w:rPr>
                <w:rFonts w:ascii="Arial" w:hAnsi="Arial" w:cs="Arial"/>
                <w:b/>
                <w:bCs/>
                <w:kern w:val="2"/>
                <w14:ligatures w14:val="standardContextual"/>
              </w:rPr>
              <w:t> </w:t>
            </w:r>
          </w:p>
        </w:tc>
      </w:tr>
      <w:tr w:rsidR="003A7660">
        <w:trPr>
          <w:trHeight w:val="283"/>
          <w:jc w:val="center"/>
        </w:trPr>
        <w:tc>
          <w:tcPr>
            <w:tcW w:w="4720" w:type="dxa"/>
            <w:tcBorders>
              <w:left w:val="single" w:sz="4" w:space="0" w:color="000000"/>
              <w:bottom w:val="threeDEmboss" w:sz="18" w:space="0" w:color="000000"/>
              <w:right w:val="single" w:sz="4" w:space="0" w:color="000000"/>
            </w:tcBorders>
            <w:shd w:val="clear" w:color="auto" w:fill="D9D9D9"/>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Ukupne obveze na ime naknade po predloženim izmjenama Zakona</w:t>
            </w:r>
          </w:p>
        </w:tc>
        <w:tc>
          <w:tcPr>
            <w:tcW w:w="971" w:type="dxa"/>
            <w:tcBorders>
              <w:bottom w:val="threeDEmboss" w:sz="18" w:space="0" w:color="000000"/>
              <w:right w:val="single" w:sz="4" w:space="0" w:color="000000"/>
            </w:tcBorders>
            <w:shd w:val="clear" w:color="auto" w:fill="D9D9D9"/>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KM</w:t>
            </w:r>
          </w:p>
        </w:tc>
        <w:tc>
          <w:tcPr>
            <w:tcW w:w="1503" w:type="dxa"/>
            <w:tcBorders>
              <w:bottom w:val="threeDEmboss" w:sz="18" w:space="0" w:color="000000"/>
              <w:right w:val="single" w:sz="4" w:space="0" w:color="000000"/>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20.758.694</w:t>
            </w:r>
          </w:p>
        </w:tc>
        <w:tc>
          <w:tcPr>
            <w:tcW w:w="1503" w:type="dxa"/>
            <w:tcBorders>
              <w:bottom w:val="threeDEmboss" w:sz="18" w:space="0" w:color="000000"/>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14.922.020</w:t>
            </w:r>
          </w:p>
        </w:tc>
        <w:tc>
          <w:tcPr>
            <w:tcW w:w="1221" w:type="dxa"/>
            <w:tcBorders>
              <w:top w:val="single" w:sz="4" w:space="0" w:color="000000"/>
              <w:left w:val="single" w:sz="4" w:space="0" w:color="000000"/>
              <w:bottom w:val="threeDEmboss" w:sz="18" w:space="0" w:color="000000"/>
              <w:right w:val="single" w:sz="4" w:space="0" w:color="000000"/>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35.680.713</w:t>
            </w:r>
          </w:p>
        </w:tc>
      </w:tr>
      <w:tr w:rsidR="003A7660">
        <w:trPr>
          <w:trHeight w:val="283"/>
          <w:jc w:val="center"/>
        </w:trPr>
        <w:tc>
          <w:tcPr>
            <w:tcW w:w="8697" w:type="dxa"/>
            <w:gridSpan w:val="4"/>
            <w:tcBorders>
              <w:top w:val="threeDEmboss" w:sz="18" w:space="0" w:color="000000"/>
              <w:left w:val="single" w:sz="4" w:space="0" w:color="000000"/>
              <w:bottom w:val="single" w:sz="4" w:space="0" w:color="000000"/>
              <w:right w:val="single" w:sz="4"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b/>
                <w:bCs/>
                <w:kern w:val="2"/>
                <w14:ligatures w14:val="standardContextual"/>
              </w:rPr>
              <w:t>∆</w:t>
            </w:r>
          </w:p>
        </w:tc>
        <w:tc>
          <w:tcPr>
            <w:tcW w:w="1221" w:type="dxa"/>
            <w:tcBorders>
              <w:top w:val="threeDEmboss" w:sz="18" w:space="0" w:color="000000"/>
              <w:bottom w:val="single" w:sz="4" w:space="0" w:color="000000"/>
              <w:right w:val="single" w:sz="4" w:space="0" w:color="000000"/>
            </w:tcBorders>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-17,93%</w:t>
            </w:r>
          </w:p>
        </w:tc>
      </w:tr>
    </w:tbl>
    <w:p w:rsidR="003A7660" w:rsidRDefault="00A1041C">
      <w:pPr>
        <w:jc w:val="both"/>
        <w:rPr>
          <w:rFonts w:ascii="Arial" w:hAnsi="Arial" w:cs="Arial"/>
          <w:iCs/>
        </w:rPr>
      </w:pPr>
      <w:r>
        <w:rPr>
          <w:rFonts w:ascii="Arial" w:hAnsi="Arial" w:cs="Arial"/>
          <w:iCs/>
        </w:rPr>
        <w:t>*izračun na temelju petogodišnjeg prosjeka (2018.-2022.)</w:t>
      </w:r>
    </w:p>
    <w:p w:rsidR="003A7660" w:rsidRDefault="00A1041C">
      <w:pPr>
        <w:spacing w:after="160"/>
        <w:jc w:val="both"/>
        <w:rPr>
          <w:rFonts w:ascii="Arial" w:hAnsi="Arial" w:cs="Arial"/>
          <w:iCs/>
          <w:color w:val="000000" w:themeColor="text1"/>
        </w:rPr>
      </w:pPr>
      <w:r>
        <w:rPr>
          <w:rFonts w:ascii="Arial" w:hAnsi="Arial" w:cs="Arial"/>
          <w:iCs/>
          <w:color w:val="000000" w:themeColor="text1"/>
        </w:rPr>
        <w:t xml:space="preserve">Uvažavajući sve prethodno navedeno, a u cilju osiguranja transparentnog, nediskriminatornog i provedivog Zakona te izbjegavanja pravnog vakuuma koji može dovesti </w:t>
      </w:r>
      <w:r>
        <w:rPr>
          <w:rFonts w:ascii="Arial" w:hAnsi="Arial" w:cs="Arial"/>
          <w:color w:val="000000" w:themeColor="text1"/>
        </w:rPr>
        <w:t>do brojnih sudskih sporova kojima se iscrpljuju resursi, kako javnih poduzeća, tako i jedinica</w:t>
      </w:r>
      <w:r>
        <w:rPr>
          <w:rFonts w:ascii="Arial" w:hAnsi="Arial" w:cs="Arial"/>
          <w:color w:val="000000" w:themeColor="text1"/>
        </w:rPr>
        <w:t xml:space="preserve"> lokalne samouprave,</w:t>
      </w:r>
      <w:r>
        <w:rPr>
          <w:rFonts w:ascii="Arial" w:hAnsi="Arial" w:cs="Arial"/>
          <w:iCs/>
          <w:color w:val="000000" w:themeColor="text1"/>
        </w:rPr>
        <w:t xml:space="preserve"> </w:t>
      </w:r>
      <w:r>
        <w:rPr>
          <w:rFonts w:ascii="Arial" w:hAnsi="Arial" w:cs="Arial"/>
          <w:b/>
          <w:bCs/>
          <w:iCs/>
          <w:color w:val="000000" w:themeColor="text1"/>
        </w:rPr>
        <w:t>naknada iz člana 3. ovog zakona treba biti jednoznačno određena</w:t>
      </w:r>
      <w:r>
        <w:rPr>
          <w:rFonts w:ascii="Arial" w:hAnsi="Arial" w:cs="Arial"/>
          <w:iCs/>
          <w:color w:val="000000" w:themeColor="text1"/>
        </w:rPr>
        <w:t xml:space="preserve"> </w:t>
      </w:r>
      <w:r>
        <w:rPr>
          <w:rFonts w:ascii="Arial" w:hAnsi="Arial" w:cs="Arial"/>
          <w:b/>
          <w:bCs/>
          <w:iCs/>
          <w:color w:val="000000" w:themeColor="text1"/>
        </w:rPr>
        <w:t>i jednoobrazno raspodijeljena</w:t>
      </w:r>
      <w:r>
        <w:rPr>
          <w:rFonts w:ascii="Arial" w:hAnsi="Arial" w:cs="Arial"/>
          <w:iCs/>
          <w:color w:val="000000" w:themeColor="text1"/>
        </w:rPr>
        <w:t>, te su stoga predložene ovakve izmjene i dopune Zakona o izdvajanju i usmjeravanju dijela prihoda poduzeća ostvarenog korištenjem hidroakumul</w:t>
      </w:r>
      <w:r>
        <w:rPr>
          <w:rFonts w:ascii="Arial" w:hAnsi="Arial" w:cs="Arial"/>
          <w:iCs/>
          <w:color w:val="000000" w:themeColor="text1"/>
        </w:rPr>
        <w:t xml:space="preserve">acijskih objekata. </w:t>
      </w:r>
    </w:p>
    <w:p w:rsidR="003A7660" w:rsidRDefault="00A1041C">
      <w:pPr>
        <w:spacing w:after="0"/>
        <w:jc w:val="both"/>
        <w:rPr>
          <w:rFonts w:ascii="Arial" w:hAnsi="Arial" w:cs="Arial"/>
          <w:iCs/>
        </w:rPr>
      </w:pPr>
      <w:r>
        <w:rPr>
          <w:rFonts w:ascii="Arial" w:eastAsia="Times New Roman" w:hAnsi="Arial" w:cs="Arial"/>
          <w:iCs/>
          <w:lang w:eastAsia="hr-HR"/>
        </w:rPr>
        <w:t>Pored navedenih nedorečenosti u članku 3. važećeg Zakona,</w:t>
      </w:r>
      <w:r>
        <w:rPr>
          <w:rFonts w:ascii="Arial" w:hAnsi="Arial" w:cs="Arial"/>
        </w:rPr>
        <w:t xml:space="preserve"> </w:t>
      </w:r>
      <w:r>
        <w:rPr>
          <w:rFonts w:ascii="Arial" w:eastAsia="Times New Roman" w:hAnsi="Arial" w:cs="Arial"/>
          <w:iCs/>
          <w:lang w:eastAsia="hr-HR"/>
        </w:rPr>
        <w:t>u članku 6. Zakona o izmjenama i dopunama Zakona o izdvajanju i usmjeravanju dijela prihoda poduzeća ostvarenog korištenjem hidroakumulacijskih objekata iz 2009. godine</w:t>
      </w:r>
      <w:r>
        <w:rPr>
          <w:rFonts w:ascii="Arial" w:hAnsi="Arial" w:cs="Arial"/>
          <w:iCs/>
        </w:rPr>
        <w:t>, uveden j</w:t>
      </w:r>
      <w:r>
        <w:rPr>
          <w:rFonts w:ascii="Arial" w:hAnsi="Arial" w:cs="Arial"/>
          <w:iCs/>
        </w:rPr>
        <w:t>e dodatni kriterij raspodjele sredstava naknade između dvije ili više općina na kojima je izgrađen hidroakumulacijski objekat, a da pritom nisu propisani težinski faktori pojedinih kriterija.</w:t>
      </w:r>
    </w:p>
    <w:p w:rsidR="003A7660" w:rsidRDefault="00A1041C">
      <w:pPr>
        <w:spacing w:after="0"/>
        <w:jc w:val="both"/>
        <w:rPr>
          <w:rFonts w:ascii="Arial" w:hAnsi="Arial" w:cs="Arial"/>
          <w:iCs/>
        </w:rPr>
      </w:pPr>
      <w:r>
        <w:rPr>
          <w:rFonts w:ascii="Arial" w:hAnsi="Arial" w:cs="Arial"/>
          <w:iCs/>
        </w:rPr>
        <w:t xml:space="preserve"> </w:t>
      </w:r>
    </w:p>
    <w:p w:rsidR="003A7660" w:rsidRDefault="00A1041C">
      <w:pPr>
        <w:jc w:val="both"/>
        <w:rPr>
          <w:rFonts w:ascii="Arial" w:hAnsi="Arial" w:cs="Arial"/>
          <w:iCs/>
        </w:rPr>
      </w:pPr>
      <w:r>
        <w:rPr>
          <w:rFonts w:ascii="Arial" w:hAnsi="Arial" w:cs="Arial"/>
          <w:iCs/>
        </w:rPr>
        <w:lastRenderedPageBreak/>
        <w:t>S tim u vezi, došlo je do različitog tumačenja i primjene odredbi članka 6. ovog zakona, a posljedično i do novih sudskih sporova, gdje su sudovi u Federaciji BiH zauzeli različita stajališta prilikom vrednovanja navedena dva kriterija (od odnosa 90 : 10 d</w:t>
      </w:r>
      <w:r>
        <w:rPr>
          <w:rFonts w:ascii="Arial" w:hAnsi="Arial" w:cs="Arial"/>
          <w:iCs/>
        </w:rPr>
        <w:t xml:space="preserve">o odnosa 50 : 50), a što se odražava i na daljnju različitu primjenu važećih odredbi članka 6. Zakona. </w:t>
      </w:r>
    </w:p>
    <w:p w:rsidR="003A7660" w:rsidRDefault="00A1041C">
      <w:pPr>
        <w:jc w:val="both"/>
        <w:rPr>
          <w:rFonts w:ascii="Arial" w:hAnsi="Arial" w:cs="Arial"/>
          <w:iCs/>
        </w:rPr>
      </w:pPr>
      <w:r>
        <w:rPr>
          <w:rFonts w:ascii="Arial" w:hAnsi="Arial" w:cs="Arial"/>
          <w:iCs/>
        </w:rPr>
        <w:t>Nužno je  istaći kako se predloženim izmjenama i dopunama članka 6. ne mijenja ukupan iznos naknade za hidroakumulaciju koju su u obvezi plaćati elektro</w:t>
      </w:r>
      <w:r>
        <w:rPr>
          <w:rFonts w:ascii="Arial" w:hAnsi="Arial" w:cs="Arial"/>
          <w:iCs/>
        </w:rPr>
        <w:t>privredna poduzeća nego se ukupan iznos obračunate naknade, u slučaju da je hidroakumulacijski objekt izgrađen na području dvije ili više općina, raspoređuje na temelju jasno definiranog omjera ranije utvrđenih kriterija, a to su: površina potopljena hidro</w:t>
      </w:r>
      <w:r>
        <w:rPr>
          <w:rFonts w:ascii="Arial" w:hAnsi="Arial" w:cs="Arial"/>
          <w:iCs/>
        </w:rPr>
        <w:t>akumulacijskim objektom - kriterij iz temeljnog zakona (2002.) i količina prikupljene vode s područja dviju ili više općina – dodatni kriterij iz Izmjena i dopuna Zakona (2009.).</w:t>
      </w:r>
    </w:p>
    <w:p w:rsidR="003A7660" w:rsidRDefault="003A7660">
      <w:pPr>
        <w:jc w:val="both"/>
        <w:rPr>
          <w:rFonts w:ascii="Arial" w:hAnsi="Arial" w:cs="Arial"/>
          <w:iCs/>
        </w:rPr>
      </w:pPr>
    </w:p>
    <w:p w:rsidR="003A7660" w:rsidRDefault="00A1041C">
      <w:pPr>
        <w:pStyle w:val="Caption"/>
        <w:keepNext/>
        <w:rPr>
          <w:rFonts w:ascii="Arial" w:hAnsi="Arial" w:cs="Arial"/>
          <w:color w:val="auto"/>
          <w:sz w:val="22"/>
          <w:szCs w:val="22"/>
        </w:rPr>
      </w:pPr>
      <w:r>
        <w:rPr>
          <w:rFonts w:ascii="Arial" w:hAnsi="Arial" w:cs="Arial"/>
          <w:color w:val="auto"/>
          <w:sz w:val="22"/>
          <w:szCs w:val="22"/>
        </w:rPr>
        <w:t xml:space="preserve">Tablica </w:t>
      </w:r>
      <w:r>
        <w:rPr>
          <w:rFonts w:ascii="Arial" w:hAnsi="Arial" w:cs="Arial"/>
          <w:color w:val="auto"/>
          <w:sz w:val="22"/>
          <w:szCs w:val="22"/>
        </w:rPr>
        <w:fldChar w:fldCharType="begin"/>
      </w:r>
      <w:r>
        <w:rPr>
          <w:rFonts w:ascii="Arial" w:hAnsi="Arial" w:cs="Arial"/>
          <w:color w:val="auto"/>
          <w:sz w:val="22"/>
          <w:szCs w:val="22"/>
        </w:rPr>
        <w:instrText>SEQ Tablica \* ARABIC</w:instrText>
      </w:r>
      <w:r>
        <w:rPr>
          <w:rFonts w:ascii="Arial" w:hAnsi="Arial" w:cs="Arial"/>
          <w:color w:val="auto"/>
          <w:sz w:val="22"/>
          <w:szCs w:val="22"/>
        </w:rPr>
        <w:fldChar w:fldCharType="separate"/>
      </w:r>
      <w:r>
        <w:rPr>
          <w:rFonts w:ascii="Arial" w:hAnsi="Arial" w:cs="Arial"/>
          <w:color w:val="auto"/>
          <w:sz w:val="22"/>
          <w:szCs w:val="22"/>
        </w:rPr>
        <w:t>2</w:t>
      </w:r>
      <w:r>
        <w:rPr>
          <w:rFonts w:ascii="Arial" w:hAnsi="Arial" w:cs="Arial"/>
          <w:color w:val="auto"/>
          <w:sz w:val="22"/>
          <w:szCs w:val="22"/>
        </w:rPr>
        <w:fldChar w:fldCharType="end"/>
      </w:r>
      <w:r>
        <w:rPr>
          <w:rFonts w:ascii="Arial" w:hAnsi="Arial" w:cs="Arial"/>
          <w:color w:val="auto"/>
          <w:sz w:val="22"/>
          <w:szCs w:val="22"/>
        </w:rPr>
        <w:t xml:space="preserve"> Okvirni pregled udjela u raspodjeli naknad</w:t>
      </w:r>
      <w:r>
        <w:rPr>
          <w:rFonts w:ascii="Arial" w:hAnsi="Arial" w:cs="Arial"/>
          <w:color w:val="auto"/>
          <w:sz w:val="22"/>
          <w:szCs w:val="22"/>
        </w:rPr>
        <w:t>e za hidroakumulaciju ovisno o različitom vrednovanju zadanih kriterija</w:t>
      </w:r>
    </w:p>
    <w:tbl>
      <w:tblPr>
        <w:tblW w:w="8919" w:type="dxa"/>
        <w:jc w:val="center"/>
        <w:tblLayout w:type="fixed"/>
        <w:tblLook w:val="04A0" w:firstRow="1" w:lastRow="0" w:firstColumn="1" w:lastColumn="0" w:noHBand="0" w:noVBand="1"/>
      </w:tblPr>
      <w:tblGrid>
        <w:gridCol w:w="1158"/>
        <w:gridCol w:w="1357"/>
        <w:gridCol w:w="1228"/>
        <w:gridCol w:w="907"/>
        <w:gridCol w:w="1227"/>
        <w:gridCol w:w="907"/>
        <w:gridCol w:w="1228"/>
        <w:gridCol w:w="907"/>
      </w:tblGrid>
      <w:tr w:rsidR="003A7660" w:rsidTr="000561D4">
        <w:trPr>
          <w:trHeight w:val="283"/>
          <w:jc w:val="center"/>
        </w:trPr>
        <w:tc>
          <w:tcPr>
            <w:tcW w:w="2514" w:type="dxa"/>
            <w:gridSpan w:val="2"/>
            <w:vAlign w:val="center"/>
          </w:tcPr>
          <w:p w:rsidR="003A7660" w:rsidRDefault="003A7660">
            <w:pPr>
              <w:widowControl w:val="0"/>
              <w:rPr>
                <w:rFonts w:ascii="Arial" w:hAnsi="Arial" w:cs="Arial"/>
              </w:rPr>
            </w:pPr>
          </w:p>
        </w:tc>
        <w:tc>
          <w:tcPr>
            <w:tcW w:w="2135" w:type="dxa"/>
            <w:gridSpan w:val="2"/>
            <w:tcBorders>
              <w:top w:val="single" w:sz="8" w:space="0" w:color="000000"/>
              <w:left w:val="single" w:sz="8" w:space="0" w:color="000000"/>
              <w:bottom w:val="single" w:sz="8" w:space="0" w:color="000000"/>
              <w:right w:val="double" w:sz="6" w:space="0" w:color="auto"/>
            </w:tcBorders>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A</w:t>
            </w:r>
          </w:p>
        </w:tc>
        <w:tc>
          <w:tcPr>
            <w:tcW w:w="2134" w:type="dxa"/>
            <w:gridSpan w:val="2"/>
            <w:tcBorders>
              <w:top w:val="double" w:sz="6" w:space="0" w:color="auto"/>
              <w:left w:val="double" w:sz="6" w:space="0" w:color="auto"/>
              <w:bottom w:val="single" w:sz="8" w:space="0" w:color="000000"/>
              <w:right w:val="double" w:sz="6" w:space="0" w:color="auto"/>
            </w:tcBorders>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B</w:t>
            </w:r>
          </w:p>
        </w:tc>
        <w:tc>
          <w:tcPr>
            <w:tcW w:w="2135" w:type="dxa"/>
            <w:gridSpan w:val="2"/>
            <w:tcBorders>
              <w:top w:val="single" w:sz="8" w:space="0" w:color="000000"/>
              <w:left w:val="double" w:sz="6" w:space="0" w:color="auto"/>
              <w:bottom w:val="single" w:sz="8" w:space="0" w:color="000000"/>
              <w:right w:val="single" w:sz="8" w:space="0" w:color="000000"/>
            </w:tcBorders>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C</w:t>
            </w:r>
          </w:p>
        </w:tc>
      </w:tr>
      <w:tr w:rsidR="003A7660" w:rsidTr="000561D4">
        <w:trPr>
          <w:trHeight w:val="283"/>
          <w:jc w:val="center"/>
        </w:trPr>
        <w:tc>
          <w:tcPr>
            <w:tcW w:w="2514" w:type="dxa"/>
            <w:gridSpan w:val="2"/>
            <w:tcBorders>
              <w:top w:val="single" w:sz="8" w:space="0" w:color="000000"/>
              <w:left w:val="single" w:sz="8" w:space="0" w:color="000000"/>
              <w:bottom w:val="single" w:sz="4" w:space="0" w:color="000000"/>
              <w:right w:val="single" w:sz="8"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Zadani kriterij:</w:t>
            </w:r>
          </w:p>
        </w:tc>
        <w:tc>
          <w:tcPr>
            <w:tcW w:w="1228" w:type="dxa"/>
            <w:tcBorders>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POVRŠINA</w:t>
            </w:r>
          </w:p>
        </w:tc>
        <w:tc>
          <w:tcPr>
            <w:tcW w:w="907" w:type="dxa"/>
            <w:tcBorders>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DOTOK</w:t>
            </w:r>
          </w:p>
        </w:tc>
        <w:tc>
          <w:tcPr>
            <w:tcW w:w="1227" w:type="dxa"/>
            <w:tcBorders>
              <w:left w:val="double" w:sz="6" w:space="0" w:color="auto"/>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POVRŠINA</w:t>
            </w:r>
          </w:p>
        </w:tc>
        <w:tc>
          <w:tcPr>
            <w:tcW w:w="907" w:type="dxa"/>
            <w:tcBorders>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DOTOK</w:t>
            </w:r>
          </w:p>
        </w:tc>
        <w:tc>
          <w:tcPr>
            <w:tcW w:w="1228" w:type="dxa"/>
            <w:tcBorders>
              <w:left w:val="double" w:sz="6" w:space="0" w:color="auto"/>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POVRŠINA</w:t>
            </w:r>
          </w:p>
        </w:tc>
        <w:tc>
          <w:tcPr>
            <w:tcW w:w="907" w:type="dxa"/>
            <w:tcBorders>
              <w:bottom w:val="single" w:sz="4" w:space="0" w:color="000000"/>
              <w:right w:val="single" w:sz="8"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DOTOK</w:t>
            </w:r>
          </w:p>
        </w:tc>
      </w:tr>
      <w:tr w:rsidR="003A7660" w:rsidTr="000561D4">
        <w:trPr>
          <w:trHeight w:val="283"/>
          <w:jc w:val="center"/>
        </w:trPr>
        <w:tc>
          <w:tcPr>
            <w:tcW w:w="2514" w:type="dxa"/>
            <w:gridSpan w:val="2"/>
            <w:tcBorders>
              <w:top w:val="single" w:sz="4" w:space="0" w:color="000000"/>
              <w:left w:val="single" w:sz="8" w:space="0" w:color="000000"/>
              <w:bottom w:val="single" w:sz="8" w:space="0" w:color="000000"/>
              <w:right w:val="single" w:sz="8"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Težinski faktor kriterija:</w:t>
            </w:r>
          </w:p>
        </w:tc>
        <w:tc>
          <w:tcPr>
            <w:tcW w:w="1228" w:type="dxa"/>
            <w:tcBorders>
              <w:bottom w:val="single" w:sz="8"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1/1</w:t>
            </w:r>
          </w:p>
        </w:tc>
        <w:tc>
          <w:tcPr>
            <w:tcW w:w="907" w:type="dxa"/>
            <w:tcBorders>
              <w:bottom w:val="single" w:sz="8"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w:t>
            </w:r>
          </w:p>
        </w:tc>
        <w:tc>
          <w:tcPr>
            <w:tcW w:w="1227" w:type="dxa"/>
            <w:tcBorders>
              <w:left w:val="double" w:sz="6" w:space="0" w:color="auto"/>
              <w:bottom w:val="single" w:sz="8"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2/3</w:t>
            </w:r>
          </w:p>
        </w:tc>
        <w:tc>
          <w:tcPr>
            <w:tcW w:w="907" w:type="dxa"/>
            <w:tcBorders>
              <w:bottom w:val="single" w:sz="8"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1/3</w:t>
            </w:r>
          </w:p>
        </w:tc>
        <w:tc>
          <w:tcPr>
            <w:tcW w:w="1228" w:type="dxa"/>
            <w:tcBorders>
              <w:left w:val="double" w:sz="6" w:space="0" w:color="auto"/>
              <w:bottom w:val="single" w:sz="8"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1/2</w:t>
            </w:r>
          </w:p>
        </w:tc>
        <w:tc>
          <w:tcPr>
            <w:tcW w:w="907" w:type="dxa"/>
            <w:tcBorders>
              <w:bottom w:val="single" w:sz="8" w:space="0" w:color="000000"/>
              <w:right w:val="single" w:sz="8"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1/2</w:t>
            </w:r>
          </w:p>
        </w:tc>
      </w:tr>
      <w:tr w:rsidR="003A7660" w:rsidTr="000561D4">
        <w:trPr>
          <w:trHeight w:val="283"/>
          <w:jc w:val="center"/>
        </w:trPr>
        <w:tc>
          <w:tcPr>
            <w:tcW w:w="1157" w:type="dxa"/>
            <w:vMerge w:val="restart"/>
            <w:tcBorders>
              <w:left w:val="single" w:sz="8" w:space="0" w:color="000000"/>
              <w:bottom w:val="single" w:sz="8"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HE Jablanica</w:t>
            </w:r>
          </w:p>
        </w:tc>
        <w:tc>
          <w:tcPr>
            <w:tcW w:w="1357"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Jablanica</w:t>
            </w:r>
          </w:p>
        </w:tc>
        <w:tc>
          <w:tcPr>
            <w:tcW w:w="2135" w:type="dxa"/>
            <w:gridSpan w:val="2"/>
            <w:tcBorders>
              <w:top w:val="single" w:sz="8" w:space="0" w:color="000000"/>
              <w:left w:val="single" w:sz="8" w:space="0" w:color="000000"/>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36%</w:t>
            </w:r>
          </w:p>
        </w:tc>
        <w:tc>
          <w:tcPr>
            <w:tcW w:w="2134" w:type="dxa"/>
            <w:gridSpan w:val="2"/>
            <w:tcBorders>
              <w:top w:val="single" w:sz="8" w:space="0" w:color="000000"/>
              <w:left w:val="double" w:sz="6" w:space="0" w:color="auto"/>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25%</w:t>
            </w:r>
          </w:p>
        </w:tc>
        <w:tc>
          <w:tcPr>
            <w:tcW w:w="2135" w:type="dxa"/>
            <w:gridSpan w:val="2"/>
            <w:tcBorders>
              <w:top w:val="single" w:sz="8" w:space="0" w:color="000000"/>
              <w:left w:val="double" w:sz="6" w:space="0" w:color="auto"/>
              <w:bottom w:val="single" w:sz="4" w:space="0" w:color="000000"/>
              <w:right w:val="single" w:sz="8"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19%</w:t>
            </w:r>
          </w:p>
        </w:tc>
      </w:tr>
      <w:tr w:rsidR="003A7660" w:rsidTr="000561D4">
        <w:trPr>
          <w:trHeight w:val="283"/>
          <w:jc w:val="center"/>
        </w:trPr>
        <w:tc>
          <w:tcPr>
            <w:tcW w:w="1157"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357"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Konjic</w:t>
            </w:r>
          </w:p>
        </w:tc>
        <w:tc>
          <w:tcPr>
            <w:tcW w:w="2135" w:type="dxa"/>
            <w:gridSpan w:val="2"/>
            <w:tcBorders>
              <w:top w:val="single" w:sz="4" w:space="0" w:color="000000"/>
              <w:left w:val="single" w:sz="8" w:space="0" w:color="000000"/>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54%</w:t>
            </w:r>
          </w:p>
        </w:tc>
        <w:tc>
          <w:tcPr>
            <w:tcW w:w="2134" w:type="dxa"/>
            <w:gridSpan w:val="2"/>
            <w:tcBorders>
              <w:top w:val="single" w:sz="4" w:space="0" w:color="000000"/>
              <w:left w:val="double" w:sz="6" w:space="0" w:color="auto"/>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57%</w:t>
            </w:r>
          </w:p>
        </w:tc>
        <w:tc>
          <w:tcPr>
            <w:tcW w:w="2135" w:type="dxa"/>
            <w:gridSpan w:val="2"/>
            <w:tcBorders>
              <w:top w:val="single" w:sz="4" w:space="0" w:color="000000"/>
              <w:left w:val="double" w:sz="6" w:space="0" w:color="auto"/>
              <w:bottom w:val="single" w:sz="4" w:space="0" w:color="000000"/>
              <w:right w:val="single" w:sz="8"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59%</w:t>
            </w:r>
          </w:p>
        </w:tc>
      </w:tr>
      <w:tr w:rsidR="003A7660" w:rsidTr="000561D4">
        <w:trPr>
          <w:trHeight w:val="283"/>
          <w:jc w:val="center"/>
        </w:trPr>
        <w:tc>
          <w:tcPr>
            <w:tcW w:w="1157"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357"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Prozor-Rama</w:t>
            </w:r>
          </w:p>
        </w:tc>
        <w:tc>
          <w:tcPr>
            <w:tcW w:w="2135" w:type="dxa"/>
            <w:gridSpan w:val="2"/>
            <w:tcBorders>
              <w:top w:val="single" w:sz="4" w:space="0" w:color="000000"/>
              <w:left w:val="single" w:sz="8" w:space="0" w:color="000000"/>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10%</w:t>
            </w:r>
          </w:p>
        </w:tc>
        <w:tc>
          <w:tcPr>
            <w:tcW w:w="2134" w:type="dxa"/>
            <w:gridSpan w:val="2"/>
            <w:tcBorders>
              <w:top w:val="single" w:sz="4" w:space="0" w:color="000000"/>
              <w:left w:val="double" w:sz="6" w:space="0" w:color="auto"/>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18%</w:t>
            </w:r>
          </w:p>
        </w:tc>
        <w:tc>
          <w:tcPr>
            <w:tcW w:w="2135" w:type="dxa"/>
            <w:gridSpan w:val="2"/>
            <w:tcBorders>
              <w:top w:val="single" w:sz="4" w:space="0" w:color="000000"/>
              <w:left w:val="double" w:sz="6" w:space="0" w:color="auto"/>
              <w:bottom w:val="single" w:sz="4" w:space="0" w:color="000000"/>
              <w:right w:val="single" w:sz="8"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22%</w:t>
            </w:r>
          </w:p>
        </w:tc>
      </w:tr>
      <w:tr w:rsidR="003A7660" w:rsidTr="000561D4">
        <w:trPr>
          <w:trHeight w:val="283"/>
          <w:jc w:val="center"/>
        </w:trPr>
        <w:tc>
          <w:tcPr>
            <w:tcW w:w="1157"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357" w:type="dxa"/>
            <w:tcBorders>
              <w:bottom w:val="single" w:sz="8" w:space="0" w:color="000000"/>
            </w:tcBorders>
            <w:shd w:val="clear" w:color="auto" w:fill="D9D9D9"/>
            <w:vAlign w:val="center"/>
          </w:tcPr>
          <w:p w:rsidR="003A7660" w:rsidRDefault="00A1041C">
            <w:pPr>
              <w:widowControl w:val="0"/>
              <w:rPr>
                <w:rFonts w:ascii="Arial" w:hAnsi="Arial" w:cs="Arial"/>
                <w:b/>
                <w:bCs/>
                <w:kern w:val="2"/>
                <w14:ligatures w14:val="standardContextual"/>
              </w:rPr>
            </w:pPr>
            <w:r>
              <w:rPr>
                <w:rFonts w:ascii="Arial" w:hAnsi="Arial" w:cs="Arial"/>
                <w:b/>
                <w:bCs/>
                <w:kern w:val="2"/>
                <w14:ligatures w14:val="standardContextual"/>
              </w:rPr>
              <w:t>UKUPNO</w:t>
            </w:r>
          </w:p>
        </w:tc>
        <w:tc>
          <w:tcPr>
            <w:tcW w:w="2135" w:type="dxa"/>
            <w:gridSpan w:val="2"/>
            <w:tcBorders>
              <w:top w:val="single" w:sz="4" w:space="0" w:color="000000"/>
              <w:left w:val="single" w:sz="8" w:space="0" w:color="000000"/>
              <w:bottom w:val="single" w:sz="8" w:space="0" w:color="000000"/>
              <w:right w:val="double" w:sz="6" w:space="0" w:color="auto"/>
            </w:tcBorders>
            <w:shd w:val="clear" w:color="auto" w:fill="D9D9D9"/>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100%</w:t>
            </w:r>
          </w:p>
        </w:tc>
        <w:tc>
          <w:tcPr>
            <w:tcW w:w="2134" w:type="dxa"/>
            <w:gridSpan w:val="2"/>
            <w:tcBorders>
              <w:top w:val="single" w:sz="4" w:space="0" w:color="000000"/>
              <w:left w:val="double" w:sz="6" w:space="0" w:color="auto"/>
              <w:bottom w:val="single" w:sz="8" w:space="0" w:color="000000"/>
              <w:right w:val="double" w:sz="6" w:space="0" w:color="auto"/>
            </w:tcBorders>
            <w:shd w:val="clear" w:color="auto" w:fill="D9D9D9"/>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100%</w:t>
            </w:r>
          </w:p>
        </w:tc>
        <w:tc>
          <w:tcPr>
            <w:tcW w:w="2135" w:type="dxa"/>
            <w:gridSpan w:val="2"/>
            <w:tcBorders>
              <w:top w:val="single" w:sz="4" w:space="0" w:color="000000"/>
              <w:left w:val="double" w:sz="6" w:space="0" w:color="auto"/>
              <w:bottom w:val="single" w:sz="8" w:space="0" w:color="000000"/>
              <w:right w:val="single" w:sz="8" w:space="0" w:color="000000"/>
            </w:tcBorders>
            <w:shd w:val="clear" w:color="auto" w:fill="D9D9D9"/>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100%</w:t>
            </w:r>
          </w:p>
        </w:tc>
      </w:tr>
      <w:tr w:rsidR="003A7660" w:rsidTr="000561D4">
        <w:trPr>
          <w:trHeight w:val="283"/>
          <w:jc w:val="center"/>
        </w:trPr>
        <w:tc>
          <w:tcPr>
            <w:tcW w:w="1157" w:type="dxa"/>
            <w:vMerge w:val="restart"/>
            <w:tcBorders>
              <w:left w:val="single" w:sz="8" w:space="0" w:color="000000"/>
              <w:bottom w:val="single" w:sz="8"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HE Grabovica</w:t>
            </w:r>
          </w:p>
        </w:tc>
        <w:tc>
          <w:tcPr>
            <w:tcW w:w="1357"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Jablanica</w:t>
            </w:r>
          </w:p>
        </w:tc>
        <w:tc>
          <w:tcPr>
            <w:tcW w:w="2135" w:type="dxa"/>
            <w:gridSpan w:val="2"/>
            <w:tcBorders>
              <w:left w:val="single" w:sz="8" w:space="0" w:color="000000"/>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72%</w:t>
            </w:r>
          </w:p>
        </w:tc>
        <w:tc>
          <w:tcPr>
            <w:tcW w:w="2134" w:type="dxa"/>
            <w:gridSpan w:val="2"/>
            <w:tcBorders>
              <w:left w:val="double" w:sz="6" w:space="0" w:color="auto"/>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81%</w:t>
            </w:r>
          </w:p>
        </w:tc>
        <w:tc>
          <w:tcPr>
            <w:tcW w:w="2135" w:type="dxa"/>
            <w:gridSpan w:val="2"/>
            <w:tcBorders>
              <w:left w:val="double" w:sz="6" w:space="0" w:color="auto"/>
              <w:bottom w:val="single" w:sz="4" w:space="0" w:color="000000"/>
              <w:right w:val="single" w:sz="8"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85%</w:t>
            </w:r>
          </w:p>
        </w:tc>
      </w:tr>
      <w:tr w:rsidR="003A7660" w:rsidTr="000561D4">
        <w:trPr>
          <w:trHeight w:val="283"/>
          <w:jc w:val="center"/>
        </w:trPr>
        <w:tc>
          <w:tcPr>
            <w:tcW w:w="1157"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357"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Mostar</w:t>
            </w:r>
          </w:p>
        </w:tc>
        <w:tc>
          <w:tcPr>
            <w:tcW w:w="2135" w:type="dxa"/>
            <w:gridSpan w:val="2"/>
            <w:tcBorders>
              <w:top w:val="single" w:sz="4" w:space="0" w:color="000000"/>
              <w:left w:val="single" w:sz="8" w:space="0" w:color="000000"/>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28%</w:t>
            </w:r>
          </w:p>
        </w:tc>
        <w:tc>
          <w:tcPr>
            <w:tcW w:w="2134" w:type="dxa"/>
            <w:gridSpan w:val="2"/>
            <w:tcBorders>
              <w:top w:val="single" w:sz="4" w:space="0" w:color="000000"/>
              <w:left w:val="double" w:sz="6" w:space="0" w:color="auto"/>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19%</w:t>
            </w:r>
          </w:p>
        </w:tc>
        <w:tc>
          <w:tcPr>
            <w:tcW w:w="2135" w:type="dxa"/>
            <w:gridSpan w:val="2"/>
            <w:tcBorders>
              <w:top w:val="single" w:sz="4" w:space="0" w:color="000000"/>
              <w:left w:val="double" w:sz="6" w:space="0" w:color="auto"/>
              <w:bottom w:val="single" w:sz="4" w:space="0" w:color="000000"/>
              <w:right w:val="single" w:sz="8"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15%</w:t>
            </w:r>
          </w:p>
        </w:tc>
      </w:tr>
      <w:tr w:rsidR="003A7660" w:rsidTr="000561D4">
        <w:trPr>
          <w:trHeight w:val="283"/>
          <w:jc w:val="center"/>
        </w:trPr>
        <w:tc>
          <w:tcPr>
            <w:tcW w:w="1157"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357" w:type="dxa"/>
            <w:tcBorders>
              <w:bottom w:val="single" w:sz="8" w:space="0" w:color="000000"/>
            </w:tcBorders>
            <w:shd w:val="clear" w:color="auto" w:fill="D9D9D9"/>
            <w:vAlign w:val="center"/>
          </w:tcPr>
          <w:p w:rsidR="003A7660" w:rsidRDefault="00A1041C">
            <w:pPr>
              <w:widowControl w:val="0"/>
              <w:rPr>
                <w:rFonts w:ascii="Arial" w:hAnsi="Arial" w:cs="Arial"/>
                <w:b/>
                <w:bCs/>
                <w:kern w:val="2"/>
                <w14:ligatures w14:val="standardContextual"/>
              </w:rPr>
            </w:pPr>
            <w:r>
              <w:rPr>
                <w:rFonts w:ascii="Arial" w:hAnsi="Arial" w:cs="Arial"/>
                <w:b/>
                <w:bCs/>
                <w:kern w:val="2"/>
                <w14:ligatures w14:val="standardContextual"/>
              </w:rPr>
              <w:t>UKUPNO</w:t>
            </w:r>
          </w:p>
        </w:tc>
        <w:tc>
          <w:tcPr>
            <w:tcW w:w="2135" w:type="dxa"/>
            <w:gridSpan w:val="2"/>
            <w:tcBorders>
              <w:top w:val="single" w:sz="4" w:space="0" w:color="000000"/>
              <w:left w:val="single" w:sz="8" w:space="0" w:color="000000"/>
              <w:bottom w:val="single" w:sz="8" w:space="0" w:color="000000"/>
              <w:right w:val="double" w:sz="6" w:space="0" w:color="auto"/>
            </w:tcBorders>
            <w:shd w:val="clear" w:color="auto" w:fill="D9D9D9"/>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100%</w:t>
            </w:r>
          </w:p>
        </w:tc>
        <w:tc>
          <w:tcPr>
            <w:tcW w:w="2134" w:type="dxa"/>
            <w:gridSpan w:val="2"/>
            <w:tcBorders>
              <w:top w:val="single" w:sz="4" w:space="0" w:color="000000"/>
              <w:left w:val="double" w:sz="6" w:space="0" w:color="auto"/>
              <w:bottom w:val="single" w:sz="8" w:space="0" w:color="000000"/>
              <w:right w:val="double" w:sz="6" w:space="0" w:color="auto"/>
            </w:tcBorders>
            <w:shd w:val="clear" w:color="auto" w:fill="D9D9D9"/>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100%</w:t>
            </w:r>
          </w:p>
        </w:tc>
        <w:tc>
          <w:tcPr>
            <w:tcW w:w="2135" w:type="dxa"/>
            <w:gridSpan w:val="2"/>
            <w:tcBorders>
              <w:top w:val="single" w:sz="4" w:space="0" w:color="000000"/>
              <w:left w:val="double" w:sz="6" w:space="0" w:color="auto"/>
              <w:bottom w:val="single" w:sz="8" w:space="0" w:color="000000"/>
              <w:right w:val="single" w:sz="8" w:space="0" w:color="000000"/>
            </w:tcBorders>
            <w:shd w:val="clear" w:color="auto" w:fill="D9D9D9"/>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100%</w:t>
            </w:r>
          </w:p>
        </w:tc>
      </w:tr>
      <w:tr w:rsidR="003A7660" w:rsidTr="000561D4">
        <w:trPr>
          <w:trHeight w:val="283"/>
          <w:jc w:val="center"/>
        </w:trPr>
        <w:tc>
          <w:tcPr>
            <w:tcW w:w="1157" w:type="dxa"/>
            <w:vMerge w:val="restart"/>
            <w:tcBorders>
              <w:left w:val="single" w:sz="8" w:space="0" w:color="000000"/>
              <w:bottom w:val="single" w:sz="8"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CHE Čapljina</w:t>
            </w:r>
          </w:p>
        </w:tc>
        <w:tc>
          <w:tcPr>
            <w:tcW w:w="1357"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Čapljina</w:t>
            </w:r>
          </w:p>
        </w:tc>
        <w:tc>
          <w:tcPr>
            <w:tcW w:w="2135" w:type="dxa"/>
            <w:gridSpan w:val="2"/>
            <w:tcBorders>
              <w:top w:val="single" w:sz="8" w:space="0" w:color="000000"/>
              <w:left w:val="single" w:sz="8" w:space="0" w:color="000000"/>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88%</w:t>
            </w:r>
          </w:p>
        </w:tc>
        <w:tc>
          <w:tcPr>
            <w:tcW w:w="2134" w:type="dxa"/>
            <w:gridSpan w:val="2"/>
            <w:tcBorders>
              <w:top w:val="single" w:sz="8" w:space="0" w:color="000000"/>
              <w:left w:val="double" w:sz="6" w:space="0" w:color="auto"/>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62%</w:t>
            </w:r>
          </w:p>
        </w:tc>
        <w:tc>
          <w:tcPr>
            <w:tcW w:w="2135" w:type="dxa"/>
            <w:gridSpan w:val="2"/>
            <w:tcBorders>
              <w:top w:val="single" w:sz="8" w:space="0" w:color="000000"/>
              <w:left w:val="double" w:sz="6" w:space="0" w:color="auto"/>
              <w:bottom w:val="single" w:sz="4" w:space="0" w:color="000000"/>
              <w:right w:val="single" w:sz="8"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49%</w:t>
            </w:r>
          </w:p>
        </w:tc>
      </w:tr>
      <w:tr w:rsidR="003A7660" w:rsidTr="000561D4">
        <w:trPr>
          <w:trHeight w:val="283"/>
          <w:jc w:val="center"/>
        </w:trPr>
        <w:tc>
          <w:tcPr>
            <w:tcW w:w="1157"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357"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Neum</w:t>
            </w:r>
          </w:p>
        </w:tc>
        <w:tc>
          <w:tcPr>
            <w:tcW w:w="2135" w:type="dxa"/>
            <w:gridSpan w:val="2"/>
            <w:tcBorders>
              <w:top w:val="single" w:sz="4" w:space="0" w:color="000000"/>
              <w:left w:val="single" w:sz="8" w:space="0" w:color="000000"/>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6%</w:t>
            </w:r>
          </w:p>
        </w:tc>
        <w:tc>
          <w:tcPr>
            <w:tcW w:w="2134" w:type="dxa"/>
            <w:gridSpan w:val="2"/>
            <w:tcBorders>
              <w:top w:val="single" w:sz="4" w:space="0" w:color="000000"/>
              <w:left w:val="double" w:sz="6" w:space="0" w:color="auto"/>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19%</w:t>
            </w:r>
          </w:p>
        </w:tc>
        <w:tc>
          <w:tcPr>
            <w:tcW w:w="2135" w:type="dxa"/>
            <w:gridSpan w:val="2"/>
            <w:tcBorders>
              <w:top w:val="single" w:sz="4" w:space="0" w:color="000000"/>
              <w:left w:val="double" w:sz="6" w:space="0" w:color="auto"/>
              <w:bottom w:val="single" w:sz="4" w:space="0" w:color="000000"/>
              <w:right w:val="single" w:sz="8"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26%</w:t>
            </w:r>
          </w:p>
        </w:tc>
      </w:tr>
      <w:tr w:rsidR="003A7660" w:rsidTr="000561D4">
        <w:trPr>
          <w:trHeight w:val="283"/>
          <w:jc w:val="center"/>
        </w:trPr>
        <w:tc>
          <w:tcPr>
            <w:tcW w:w="1157"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357"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Ravno</w:t>
            </w:r>
          </w:p>
        </w:tc>
        <w:tc>
          <w:tcPr>
            <w:tcW w:w="2135" w:type="dxa"/>
            <w:gridSpan w:val="2"/>
            <w:tcBorders>
              <w:top w:val="single" w:sz="4" w:space="0" w:color="000000"/>
              <w:left w:val="single" w:sz="8" w:space="0" w:color="000000"/>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6%</w:t>
            </w:r>
          </w:p>
        </w:tc>
        <w:tc>
          <w:tcPr>
            <w:tcW w:w="2134" w:type="dxa"/>
            <w:gridSpan w:val="2"/>
            <w:tcBorders>
              <w:top w:val="single" w:sz="4" w:space="0" w:color="000000"/>
              <w:left w:val="double" w:sz="6" w:space="0" w:color="auto"/>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19%</w:t>
            </w:r>
          </w:p>
        </w:tc>
        <w:tc>
          <w:tcPr>
            <w:tcW w:w="2135" w:type="dxa"/>
            <w:gridSpan w:val="2"/>
            <w:tcBorders>
              <w:top w:val="single" w:sz="4" w:space="0" w:color="000000"/>
              <w:left w:val="double" w:sz="6" w:space="0" w:color="auto"/>
              <w:bottom w:val="single" w:sz="4" w:space="0" w:color="000000"/>
              <w:right w:val="single" w:sz="8"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25%</w:t>
            </w:r>
          </w:p>
        </w:tc>
      </w:tr>
      <w:tr w:rsidR="003A7660" w:rsidTr="000561D4">
        <w:trPr>
          <w:trHeight w:val="283"/>
          <w:jc w:val="center"/>
        </w:trPr>
        <w:tc>
          <w:tcPr>
            <w:tcW w:w="1157"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357" w:type="dxa"/>
            <w:tcBorders>
              <w:bottom w:val="single" w:sz="8" w:space="0" w:color="000000"/>
            </w:tcBorders>
            <w:shd w:val="clear" w:color="auto" w:fill="D9D9D9"/>
            <w:vAlign w:val="center"/>
          </w:tcPr>
          <w:p w:rsidR="003A7660" w:rsidRDefault="00A1041C">
            <w:pPr>
              <w:widowControl w:val="0"/>
              <w:rPr>
                <w:rFonts w:ascii="Arial" w:hAnsi="Arial" w:cs="Arial"/>
                <w:b/>
                <w:bCs/>
                <w:kern w:val="2"/>
                <w14:ligatures w14:val="standardContextual"/>
              </w:rPr>
            </w:pPr>
            <w:r>
              <w:rPr>
                <w:rFonts w:ascii="Arial" w:hAnsi="Arial" w:cs="Arial"/>
                <w:b/>
                <w:bCs/>
                <w:kern w:val="2"/>
                <w14:ligatures w14:val="standardContextual"/>
              </w:rPr>
              <w:t>UKUPNO</w:t>
            </w:r>
          </w:p>
        </w:tc>
        <w:tc>
          <w:tcPr>
            <w:tcW w:w="2135" w:type="dxa"/>
            <w:gridSpan w:val="2"/>
            <w:tcBorders>
              <w:top w:val="single" w:sz="4" w:space="0" w:color="000000"/>
              <w:left w:val="single" w:sz="8" w:space="0" w:color="000000"/>
              <w:bottom w:val="single" w:sz="8" w:space="0" w:color="000000"/>
              <w:right w:val="double" w:sz="6" w:space="0" w:color="auto"/>
            </w:tcBorders>
            <w:shd w:val="clear" w:color="auto" w:fill="D9D9D9"/>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100%</w:t>
            </w:r>
          </w:p>
        </w:tc>
        <w:tc>
          <w:tcPr>
            <w:tcW w:w="2134" w:type="dxa"/>
            <w:gridSpan w:val="2"/>
            <w:tcBorders>
              <w:top w:val="single" w:sz="4" w:space="0" w:color="000000"/>
              <w:left w:val="double" w:sz="6" w:space="0" w:color="auto"/>
              <w:bottom w:val="single" w:sz="8" w:space="0" w:color="000000"/>
              <w:right w:val="double" w:sz="6" w:space="0" w:color="auto"/>
            </w:tcBorders>
            <w:shd w:val="clear" w:color="auto" w:fill="D9D9D9"/>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100%</w:t>
            </w:r>
          </w:p>
        </w:tc>
        <w:tc>
          <w:tcPr>
            <w:tcW w:w="2135" w:type="dxa"/>
            <w:gridSpan w:val="2"/>
            <w:tcBorders>
              <w:top w:val="single" w:sz="4" w:space="0" w:color="000000"/>
              <w:left w:val="double" w:sz="6" w:space="0" w:color="auto"/>
              <w:bottom w:val="single" w:sz="8" w:space="0" w:color="000000"/>
              <w:right w:val="single" w:sz="8" w:space="0" w:color="000000"/>
            </w:tcBorders>
            <w:shd w:val="clear" w:color="auto" w:fill="D9D9D9"/>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100%</w:t>
            </w:r>
          </w:p>
        </w:tc>
      </w:tr>
    </w:tbl>
    <w:p w:rsidR="003A7660" w:rsidRDefault="003A7660">
      <w:pPr>
        <w:spacing w:after="120"/>
        <w:jc w:val="both"/>
        <w:rPr>
          <w:rFonts w:ascii="Arial" w:hAnsi="Arial" w:cs="Arial"/>
          <w:iCs/>
        </w:rPr>
      </w:pPr>
    </w:p>
    <w:p w:rsidR="003A7660" w:rsidRDefault="00A1041C">
      <w:pPr>
        <w:spacing w:after="120"/>
        <w:jc w:val="both"/>
        <w:rPr>
          <w:rFonts w:ascii="Arial" w:hAnsi="Arial" w:cs="Arial"/>
          <w:iCs/>
        </w:rPr>
      </w:pPr>
      <w:r>
        <w:rPr>
          <w:rFonts w:ascii="Arial" w:hAnsi="Arial" w:cs="Arial"/>
          <w:iCs/>
        </w:rPr>
        <w:t xml:space="preserve">Kako se navedeni relativni odnosi odražavaju na raspodjelu obračunate naknade između gradova i općina na čijim područjima su izgrađeni hidroakumulacijski objekti razvidno je iz sljedeće tablice: </w:t>
      </w:r>
    </w:p>
    <w:p w:rsidR="003A7660" w:rsidRDefault="003A7660">
      <w:pPr>
        <w:spacing w:after="120"/>
        <w:jc w:val="both"/>
        <w:rPr>
          <w:rFonts w:ascii="Arial" w:hAnsi="Arial" w:cs="Arial"/>
          <w:iCs/>
        </w:rPr>
      </w:pPr>
    </w:p>
    <w:p w:rsidR="003A7660" w:rsidRDefault="00A1041C">
      <w:pPr>
        <w:pStyle w:val="Caption"/>
        <w:keepNext/>
        <w:rPr>
          <w:rFonts w:ascii="Arial" w:hAnsi="Arial" w:cs="Arial"/>
          <w:color w:val="auto"/>
          <w:sz w:val="22"/>
          <w:szCs w:val="22"/>
        </w:rPr>
      </w:pPr>
      <w:r>
        <w:rPr>
          <w:rFonts w:ascii="Arial" w:hAnsi="Arial" w:cs="Arial"/>
          <w:color w:val="auto"/>
          <w:sz w:val="22"/>
          <w:szCs w:val="22"/>
        </w:rPr>
        <w:t xml:space="preserve">Tablica </w:t>
      </w:r>
      <w:r>
        <w:rPr>
          <w:rFonts w:ascii="Arial" w:hAnsi="Arial" w:cs="Arial"/>
          <w:color w:val="auto"/>
          <w:sz w:val="22"/>
          <w:szCs w:val="22"/>
        </w:rPr>
        <w:fldChar w:fldCharType="begin"/>
      </w:r>
      <w:r>
        <w:rPr>
          <w:rFonts w:ascii="Arial" w:hAnsi="Arial" w:cs="Arial"/>
          <w:color w:val="auto"/>
          <w:sz w:val="22"/>
          <w:szCs w:val="22"/>
        </w:rPr>
        <w:instrText>SEQ Tablica \* ARABIC</w:instrText>
      </w:r>
      <w:r>
        <w:rPr>
          <w:rFonts w:ascii="Arial" w:hAnsi="Arial" w:cs="Arial"/>
          <w:color w:val="auto"/>
          <w:sz w:val="22"/>
          <w:szCs w:val="22"/>
        </w:rPr>
        <w:fldChar w:fldCharType="separate"/>
      </w:r>
      <w:r>
        <w:rPr>
          <w:rFonts w:ascii="Arial" w:hAnsi="Arial" w:cs="Arial"/>
          <w:color w:val="auto"/>
          <w:sz w:val="22"/>
          <w:szCs w:val="22"/>
        </w:rPr>
        <w:t>3</w:t>
      </w:r>
      <w:r>
        <w:rPr>
          <w:rFonts w:ascii="Arial" w:hAnsi="Arial" w:cs="Arial"/>
          <w:color w:val="auto"/>
          <w:sz w:val="22"/>
          <w:szCs w:val="22"/>
        </w:rPr>
        <w:fldChar w:fldCharType="end"/>
      </w:r>
      <w:r>
        <w:rPr>
          <w:rFonts w:ascii="Arial" w:hAnsi="Arial" w:cs="Arial"/>
          <w:color w:val="auto"/>
          <w:sz w:val="22"/>
          <w:szCs w:val="22"/>
        </w:rPr>
        <w:t xml:space="preserve"> Okvirni pregled raspodjel</w:t>
      </w:r>
      <w:r>
        <w:rPr>
          <w:rFonts w:ascii="Arial" w:hAnsi="Arial" w:cs="Arial"/>
          <w:color w:val="auto"/>
          <w:sz w:val="22"/>
          <w:szCs w:val="22"/>
        </w:rPr>
        <w:t>e obračunatog iznosa naknade ovisno o različitom vrednovanju zadanih kriterija</w:t>
      </w:r>
    </w:p>
    <w:tbl>
      <w:tblPr>
        <w:tblW w:w="9256" w:type="dxa"/>
        <w:jc w:val="center"/>
        <w:tblLayout w:type="fixed"/>
        <w:tblLook w:val="04A0" w:firstRow="1" w:lastRow="0" w:firstColumn="1" w:lastColumn="0" w:noHBand="0" w:noVBand="1"/>
      </w:tblPr>
      <w:tblGrid>
        <w:gridCol w:w="1180"/>
        <w:gridCol w:w="1440"/>
        <w:gridCol w:w="1250"/>
        <w:gridCol w:w="920"/>
        <w:gridCol w:w="1249"/>
        <w:gridCol w:w="1048"/>
        <w:gridCol w:w="1250"/>
        <w:gridCol w:w="919"/>
      </w:tblGrid>
      <w:tr w:rsidR="003A7660" w:rsidTr="000561D4">
        <w:trPr>
          <w:trHeight w:val="283"/>
          <w:jc w:val="center"/>
        </w:trPr>
        <w:tc>
          <w:tcPr>
            <w:tcW w:w="2619" w:type="dxa"/>
            <w:gridSpan w:val="2"/>
            <w:vAlign w:val="center"/>
          </w:tcPr>
          <w:p w:rsidR="003A7660" w:rsidRDefault="003A7660">
            <w:pPr>
              <w:widowControl w:val="0"/>
              <w:rPr>
                <w:rFonts w:ascii="Arial" w:hAnsi="Arial" w:cs="Arial"/>
              </w:rPr>
            </w:pPr>
          </w:p>
        </w:tc>
        <w:tc>
          <w:tcPr>
            <w:tcW w:w="2170" w:type="dxa"/>
            <w:gridSpan w:val="2"/>
            <w:tcBorders>
              <w:top w:val="single" w:sz="8" w:space="0" w:color="000000"/>
              <w:left w:val="single" w:sz="8" w:space="0" w:color="000000"/>
              <w:bottom w:val="single" w:sz="8" w:space="0" w:color="000000"/>
              <w:right w:val="double" w:sz="6" w:space="0" w:color="auto"/>
            </w:tcBorders>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A</w:t>
            </w:r>
          </w:p>
        </w:tc>
        <w:tc>
          <w:tcPr>
            <w:tcW w:w="2297" w:type="dxa"/>
            <w:gridSpan w:val="2"/>
            <w:tcBorders>
              <w:top w:val="double" w:sz="6" w:space="0" w:color="auto"/>
              <w:left w:val="double" w:sz="6" w:space="0" w:color="auto"/>
              <w:bottom w:val="single" w:sz="8" w:space="0" w:color="000000"/>
              <w:right w:val="double" w:sz="6" w:space="0" w:color="auto"/>
            </w:tcBorders>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B</w:t>
            </w:r>
          </w:p>
        </w:tc>
        <w:tc>
          <w:tcPr>
            <w:tcW w:w="2169" w:type="dxa"/>
            <w:gridSpan w:val="2"/>
            <w:tcBorders>
              <w:top w:val="single" w:sz="8" w:space="0" w:color="000000"/>
              <w:left w:val="double" w:sz="6" w:space="0" w:color="auto"/>
              <w:bottom w:val="single" w:sz="8" w:space="0" w:color="000000"/>
              <w:right w:val="single" w:sz="8" w:space="0" w:color="000000"/>
            </w:tcBorders>
            <w:vAlign w:val="center"/>
          </w:tcPr>
          <w:p w:rsidR="003A7660" w:rsidRDefault="00A1041C">
            <w:pPr>
              <w:widowControl w:val="0"/>
              <w:jc w:val="center"/>
              <w:rPr>
                <w:rFonts w:ascii="Arial" w:hAnsi="Arial" w:cs="Arial"/>
                <w:b/>
                <w:bCs/>
                <w:kern w:val="2"/>
                <w14:ligatures w14:val="standardContextual"/>
              </w:rPr>
            </w:pPr>
            <w:r>
              <w:rPr>
                <w:rFonts w:ascii="Arial" w:hAnsi="Arial" w:cs="Arial"/>
                <w:b/>
                <w:bCs/>
                <w:kern w:val="2"/>
                <w14:ligatures w14:val="standardContextual"/>
              </w:rPr>
              <w:t>C</w:t>
            </w:r>
          </w:p>
        </w:tc>
      </w:tr>
      <w:tr w:rsidR="003A7660" w:rsidTr="000561D4">
        <w:trPr>
          <w:trHeight w:val="283"/>
          <w:jc w:val="center"/>
        </w:trPr>
        <w:tc>
          <w:tcPr>
            <w:tcW w:w="2619" w:type="dxa"/>
            <w:gridSpan w:val="2"/>
            <w:tcBorders>
              <w:top w:val="single" w:sz="8" w:space="0" w:color="000000"/>
              <w:left w:val="single" w:sz="8" w:space="0" w:color="000000"/>
              <w:bottom w:val="single" w:sz="4" w:space="0" w:color="000000"/>
              <w:right w:val="single" w:sz="8"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Zadani kriteriji:</w:t>
            </w:r>
          </w:p>
        </w:tc>
        <w:tc>
          <w:tcPr>
            <w:tcW w:w="1250" w:type="dxa"/>
            <w:tcBorders>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POVRŠINA</w:t>
            </w:r>
          </w:p>
        </w:tc>
        <w:tc>
          <w:tcPr>
            <w:tcW w:w="920" w:type="dxa"/>
            <w:tcBorders>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DOTOK</w:t>
            </w:r>
          </w:p>
        </w:tc>
        <w:tc>
          <w:tcPr>
            <w:tcW w:w="1249" w:type="dxa"/>
            <w:tcBorders>
              <w:left w:val="double" w:sz="6" w:space="0" w:color="auto"/>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POVRŠINA</w:t>
            </w:r>
          </w:p>
        </w:tc>
        <w:tc>
          <w:tcPr>
            <w:tcW w:w="1048" w:type="dxa"/>
            <w:tcBorders>
              <w:bottom w:val="single" w:sz="4"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DOTOK</w:t>
            </w:r>
          </w:p>
        </w:tc>
        <w:tc>
          <w:tcPr>
            <w:tcW w:w="1250" w:type="dxa"/>
            <w:tcBorders>
              <w:left w:val="double" w:sz="6" w:space="0" w:color="auto"/>
              <w:bottom w:val="single" w:sz="4"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POVRŠINA</w:t>
            </w:r>
          </w:p>
        </w:tc>
        <w:tc>
          <w:tcPr>
            <w:tcW w:w="919" w:type="dxa"/>
            <w:tcBorders>
              <w:bottom w:val="single" w:sz="4" w:space="0" w:color="000000"/>
              <w:right w:val="single" w:sz="8"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DOTOK</w:t>
            </w:r>
          </w:p>
        </w:tc>
      </w:tr>
      <w:tr w:rsidR="003A7660" w:rsidTr="000561D4">
        <w:trPr>
          <w:trHeight w:val="283"/>
          <w:jc w:val="center"/>
        </w:trPr>
        <w:tc>
          <w:tcPr>
            <w:tcW w:w="2619" w:type="dxa"/>
            <w:gridSpan w:val="2"/>
            <w:tcBorders>
              <w:top w:val="single" w:sz="4" w:space="0" w:color="000000"/>
              <w:left w:val="single" w:sz="8" w:space="0" w:color="000000"/>
              <w:bottom w:val="single" w:sz="8" w:space="0" w:color="000000"/>
              <w:right w:val="single" w:sz="8"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Težinski faktor kriterija:</w:t>
            </w:r>
          </w:p>
        </w:tc>
        <w:tc>
          <w:tcPr>
            <w:tcW w:w="1250" w:type="dxa"/>
            <w:tcBorders>
              <w:bottom w:val="single" w:sz="8"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1/1</w:t>
            </w:r>
          </w:p>
        </w:tc>
        <w:tc>
          <w:tcPr>
            <w:tcW w:w="920" w:type="dxa"/>
            <w:tcBorders>
              <w:bottom w:val="single" w:sz="8"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w:t>
            </w:r>
          </w:p>
        </w:tc>
        <w:tc>
          <w:tcPr>
            <w:tcW w:w="1249" w:type="dxa"/>
            <w:tcBorders>
              <w:left w:val="double" w:sz="6" w:space="0" w:color="auto"/>
              <w:bottom w:val="single" w:sz="8"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2/3</w:t>
            </w:r>
          </w:p>
        </w:tc>
        <w:tc>
          <w:tcPr>
            <w:tcW w:w="1048" w:type="dxa"/>
            <w:tcBorders>
              <w:bottom w:val="single" w:sz="8" w:space="0" w:color="000000"/>
              <w:right w:val="double" w:sz="6" w:space="0" w:color="auto"/>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1/3</w:t>
            </w:r>
          </w:p>
        </w:tc>
        <w:tc>
          <w:tcPr>
            <w:tcW w:w="1250" w:type="dxa"/>
            <w:tcBorders>
              <w:left w:val="double" w:sz="6" w:space="0" w:color="auto"/>
              <w:bottom w:val="single" w:sz="8" w:space="0" w:color="000000"/>
              <w:right w:val="single" w:sz="4"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1/2</w:t>
            </w:r>
          </w:p>
        </w:tc>
        <w:tc>
          <w:tcPr>
            <w:tcW w:w="919" w:type="dxa"/>
            <w:tcBorders>
              <w:bottom w:val="single" w:sz="8" w:space="0" w:color="000000"/>
              <w:right w:val="single" w:sz="8" w:space="0" w:color="000000"/>
            </w:tcBorders>
            <w:vAlign w:val="center"/>
          </w:tcPr>
          <w:p w:rsidR="003A7660" w:rsidRDefault="00A1041C">
            <w:pPr>
              <w:widowControl w:val="0"/>
              <w:jc w:val="center"/>
              <w:rPr>
                <w:rFonts w:ascii="Arial" w:hAnsi="Arial" w:cs="Arial"/>
                <w:kern w:val="2"/>
                <w14:ligatures w14:val="standardContextual"/>
              </w:rPr>
            </w:pPr>
            <w:r>
              <w:rPr>
                <w:rFonts w:ascii="Arial" w:hAnsi="Arial" w:cs="Arial"/>
                <w:kern w:val="2"/>
                <w14:ligatures w14:val="standardContextual"/>
              </w:rPr>
              <w:t>1/2</w:t>
            </w:r>
          </w:p>
        </w:tc>
      </w:tr>
      <w:tr w:rsidR="003A7660" w:rsidTr="000561D4">
        <w:trPr>
          <w:trHeight w:val="283"/>
          <w:jc w:val="center"/>
        </w:trPr>
        <w:tc>
          <w:tcPr>
            <w:tcW w:w="1179" w:type="dxa"/>
            <w:vMerge w:val="restart"/>
            <w:tcBorders>
              <w:left w:val="single" w:sz="8" w:space="0" w:color="000000"/>
              <w:bottom w:val="single" w:sz="8"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HE Jablanica</w:t>
            </w:r>
          </w:p>
        </w:tc>
        <w:tc>
          <w:tcPr>
            <w:tcW w:w="1440"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Jablanica</w:t>
            </w:r>
          </w:p>
        </w:tc>
        <w:tc>
          <w:tcPr>
            <w:tcW w:w="2170" w:type="dxa"/>
            <w:gridSpan w:val="2"/>
            <w:tcBorders>
              <w:top w:val="single" w:sz="8" w:space="0" w:color="000000"/>
              <w:left w:val="single" w:sz="8" w:space="0" w:color="000000"/>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2.397.629 KM</w:t>
            </w:r>
          </w:p>
        </w:tc>
        <w:tc>
          <w:tcPr>
            <w:tcW w:w="2297" w:type="dxa"/>
            <w:gridSpan w:val="2"/>
            <w:tcBorders>
              <w:top w:val="single" w:sz="8" w:space="0" w:color="000000"/>
              <w:left w:val="double" w:sz="6" w:space="0" w:color="auto"/>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1.647.904 KM</w:t>
            </w:r>
          </w:p>
        </w:tc>
        <w:tc>
          <w:tcPr>
            <w:tcW w:w="2169" w:type="dxa"/>
            <w:gridSpan w:val="2"/>
            <w:tcBorders>
              <w:top w:val="single" w:sz="8" w:space="0" w:color="000000"/>
              <w:left w:val="double" w:sz="6" w:space="0" w:color="auto"/>
              <w:bottom w:val="single" w:sz="4" w:space="0" w:color="000000"/>
              <w:right w:val="single" w:sz="8"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1.273.075 KM</w:t>
            </w:r>
          </w:p>
        </w:tc>
      </w:tr>
      <w:tr w:rsidR="003A7660" w:rsidTr="000561D4">
        <w:trPr>
          <w:trHeight w:val="283"/>
          <w:jc w:val="center"/>
        </w:trPr>
        <w:tc>
          <w:tcPr>
            <w:tcW w:w="1179"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440"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Konjic</w:t>
            </w:r>
          </w:p>
        </w:tc>
        <w:tc>
          <w:tcPr>
            <w:tcW w:w="2170" w:type="dxa"/>
            <w:gridSpan w:val="2"/>
            <w:tcBorders>
              <w:top w:val="single" w:sz="4" w:space="0" w:color="000000"/>
              <w:left w:val="single" w:sz="8" w:space="0" w:color="000000"/>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3.596.444 KM</w:t>
            </w:r>
          </w:p>
        </w:tc>
        <w:tc>
          <w:tcPr>
            <w:tcW w:w="2297" w:type="dxa"/>
            <w:gridSpan w:val="2"/>
            <w:tcBorders>
              <w:top w:val="single" w:sz="4" w:space="0" w:color="000000"/>
              <w:left w:val="double" w:sz="6" w:space="0" w:color="auto"/>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3.797.578 KM</w:t>
            </w:r>
          </w:p>
        </w:tc>
        <w:tc>
          <w:tcPr>
            <w:tcW w:w="2169" w:type="dxa"/>
            <w:gridSpan w:val="2"/>
            <w:tcBorders>
              <w:top w:val="single" w:sz="4" w:space="0" w:color="000000"/>
              <w:left w:val="double" w:sz="6" w:space="0" w:color="auto"/>
              <w:bottom w:val="single" w:sz="4" w:space="0" w:color="000000"/>
              <w:right w:val="single" w:sz="8"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3.898.146 KM</w:t>
            </w:r>
          </w:p>
        </w:tc>
      </w:tr>
      <w:tr w:rsidR="003A7660" w:rsidTr="000561D4">
        <w:trPr>
          <w:trHeight w:val="283"/>
          <w:jc w:val="center"/>
        </w:trPr>
        <w:tc>
          <w:tcPr>
            <w:tcW w:w="1179"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440"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Prozor-Rama</w:t>
            </w:r>
          </w:p>
        </w:tc>
        <w:tc>
          <w:tcPr>
            <w:tcW w:w="2170" w:type="dxa"/>
            <w:gridSpan w:val="2"/>
            <w:tcBorders>
              <w:top w:val="single" w:sz="4" w:space="0" w:color="000000"/>
              <w:left w:val="single" w:sz="8" w:space="0" w:color="000000"/>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666.008 KM</w:t>
            </w:r>
          </w:p>
        </w:tc>
        <w:tc>
          <w:tcPr>
            <w:tcW w:w="2297" w:type="dxa"/>
            <w:gridSpan w:val="2"/>
            <w:tcBorders>
              <w:top w:val="single" w:sz="4" w:space="0" w:color="000000"/>
              <w:left w:val="double" w:sz="6" w:space="0" w:color="auto"/>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1.214.599 KM</w:t>
            </w:r>
          </w:p>
        </w:tc>
        <w:tc>
          <w:tcPr>
            <w:tcW w:w="2169" w:type="dxa"/>
            <w:gridSpan w:val="2"/>
            <w:tcBorders>
              <w:top w:val="single" w:sz="4" w:space="0" w:color="000000"/>
              <w:left w:val="double" w:sz="6" w:space="0" w:color="auto"/>
              <w:bottom w:val="single" w:sz="4" w:space="0" w:color="000000"/>
              <w:right w:val="single" w:sz="8"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1.488.861 KM</w:t>
            </w:r>
          </w:p>
        </w:tc>
      </w:tr>
      <w:tr w:rsidR="003A7660" w:rsidTr="000561D4">
        <w:trPr>
          <w:trHeight w:val="283"/>
          <w:jc w:val="center"/>
        </w:trPr>
        <w:tc>
          <w:tcPr>
            <w:tcW w:w="1179"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440" w:type="dxa"/>
            <w:tcBorders>
              <w:bottom w:val="single" w:sz="8" w:space="0" w:color="000000"/>
            </w:tcBorders>
            <w:shd w:val="clear" w:color="auto" w:fill="D9D9D9"/>
            <w:vAlign w:val="center"/>
          </w:tcPr>
          <w:p w:rsidR="003A7660" w:rsidRDefault="00A1041C">
            <w:pPr>
              <w:widowControl w:val="0"/>
              <w:rPr>
                <w:rFonts w:ascii="Arial" w:hAnsi="Arial" w:cs="Arial"/>
                <w:b/>
                <w:bCs/>
                <w:kern w:val="2"/>
                <w14:ligatures w14:val="standardContextual"/>
              </w:rPr>
            </w:pPr>
            <w:r>
              <w:rPr>
                <w:rFonts w:ascii="Arial" w:hAnsi="Arial" w:cs="Arial"/>
                <w:b/>
                <w:bCs/>
                <w:kern w:val="2"/>
                <w14:ligatures w14:val="standardContextual"/>
              </w:rPr>
              <w:t>UKUPNO</w:t>
            </w:r>
          </w:p>
        </w:tc>
        <w:tc>
          <w:tcPr>
            <w:tcW w:w="2170" w:type="dxa"/>
            <w:gridSpan w:val="2"/>
            <w:tcBorders>
              <w:top w:val="single" w:sz="4" w:space="0" w:color="000000"/>
              <w:left w:val="single" w:sz="8" w:space="0" w:color="000000"/>
              <w:bottom w:val="single" w:sz="8" w:space="0" w:color="000000"/>
              <w:right w:val="double" w:sz="6" w:space="0" w:color="auto"/>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6.660.081 KM</w:t>
            </w:r>
          </w:p>
        </w:tc>
        <w:tc>
          <w:tcPr>
            <w:tcW w:w="2297" w:type="dxa"/>
            <w:gridSpan w:val="2"/>
            <w:tcBorders>
              <w:top w:val="single" w:sz="4" w:space="0" w:color="000000"/>
              <w:left w:val="double" w:sz="6" w:space="0" w:color="auto"/>
              <w:bottom w:val="single" w:sz="8" w:space="0" w:color="000000"/>
              <w:right w:val="double" w:sz="6" w:space="0" w:color="auto"/>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6.660.081 KM</w:t>
            </w:r>
          </w:p>
        </w:tc>
        <w:tc>
          <w:tcPr>
            <w:tcW w:w="2169" w:type="dxa"/>
            <w:gridSpan w:val="2"/>
            <w:tcBorders>
              <w:top w:val="single" w:sz="4" w:space="0" w:color="000000"/>
              <w:left w:val="double" w:sz="6" w:space="0" w:color="auto"/>
              <w:bottom w:val="single" w:sz="8" w:space="0" w:color="000000"/>
              <w:right w:val="single" w:sz="8" w:space="0" w:color="000000"/>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6.660.081 KM</w:t>
            </w:r>
          </w:p>
        </w:tc>
      </w:tr>
      <w:tr w:rsidR="003A7660" w:rsidTr="000561D4">
        <w:trPr>
          <w:trHeight w:val="283"/>
          <w:jc w:val="center"/>
        </w:trPr>
        <w:tc>
          <w:tcPr>
            <w:tcW w:w="1179" w:type="dxa"/>
            <w:vMerge w:val="restart"/>
            <w:tcBorders>
              <w:left w:val="single" w:sz="8" w:space="0" w:color="000000"/>
              <w:bottom w:val="single" w:sz="8"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HE Grabovica</w:t>
            </w:r>
          </w:p>
        </w:tc>
        <w:tc>
          <w:tcPr>
            <w:tcW w:w="1440"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Jablanica</w:t>
            </w:r>
          </w:p>
        </w:tc>
        <w:tc>
          <w:tcPr>
            <w:tcW w:w="2170" w:type="dxa"/>
            <w:gridSpan w:val="2"/>
            <w:tcBorders>
              <w:left w:val="single" w:sz="8" w:space="0" w:color="000000"/>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1.812.379 KM</w:t>
            </w:r>
          </w:p>
        </w:tc>
        <w:tc>
          <w:tcPr>
            <w:tcW w:w="2297" w:type="dxa"/>
            <w:gridSpan w:val="2"/>
            <w:tcBorders>
              <w:top w:val="single" w:sz="8" w:space="0" w:color="000000"/>
              <w:left w:val="double" w:sz="6" w:space="0" w:color="auto"/>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2.028.530 KM</w:t>
            </w:r>
          </w:p>
        </w:tc>
        <w:tc>
          <w:tcPr>
            <w:tcW w:w="2169" w:type="dxa"/>
            <w:gridSpan w:val="2"/>
            <w:tcBorders>
              <w:top w:val="single" w:sz="8" w:space="0" w:color="000000"/>
              <w:left w:val="double" w:sz="6" w:space="0" w:color="auto"/>
              <w:bottom w:val="single" w:sz="4" w:space="0" w:color="000000"/>
              <w:right w:val="single" w:sz="8"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2.136.593 KM</w:t>
            </w:r>
          </w:p>
        </w:tc>
      </w:tr>
      <w:tr w:rsidR="003A7660" w:rsidTr="000561D4">
        <w:trPr>
          <w:trHeight w:val="283"/>
          <w:jc w:val="center"/>
        </w:trPr>
        <w:tc>
          <w:tcPr>
            <w:tcW w:w="1179"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440"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Mostar</w:t>
            </w:r>
          </w:p>
        </w:tc>
        <w:tc>
          <w:tcPr>
            <w:tcW w:w="2170" w:type="dxa"/>
            <w:gridSpan w:val="2"/>
            <w:tcBorders>
              <w:top w:val="single" w:sz="4" w:space="0" w:color="000000"/>
              <w:left w:val="single" w:sz="8" w:space="0" w:color="000000"/>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704.814 KM</w:t>
            </w:r>
          </w:p>
        </w:tc>
        <w:tc>
          <w:tcPr>
            <w:tcW w:w="2297" w:type="dxa"/>
            <w:gridSpan w:val="2"/>
            <w:tcBorders>
              <w:top w:val="single" w:sz="4" w:space="0" w:color="000000"/>
              <w:left w:val="double" w:sz="6" w:space="0" w:color="auto"/>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488.663 KM</w:t>
            </w:r>
          </w:p>
        </w:tc>
        <w:tc>
          <w:tcPr>
            <w:tcW w:w="2169" w:type="dxa"/>
            <w:gridSpan w:val="2"/>
            <w:tcBorders>
              <w:top w:val="single" w:sz="4" w:space="0" w:color="000000"/>
              <w:left w:val="double" w:sz="6" w:space="0" w:color="auto"/>
              <w:bottom w:val="single" w:sz="4" w:space="0" w:color="000000"/>
              <w:right w:val="single" w:sz="8"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380.600 KM</w:t>
            </w:r>
          </w:p>
        </w:tc>
      </w:tr>
      <w:tr w:rsidR="003A7660" w:rsidTr="000561D4">
        <w:trPr>
          <w:trHeight w:val="283"/>
          <w:jc w:val="center"/>
        </w:trPr>
        <w:tc>
          <w:tcPr>
            <w:tcW w:w="1179"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440" w:type="dxa"/>
            <w:tcBorders>
              <w:bottom w:val="single" w:sz="8" w:space="0" w:color="000000"/>
            </w:tcBorders>
            <w:shd w:val="clear" w:color="auto" w:fill="D9D9D9"/>
            <w:vAlign w:val="center"/>
          </w:tcPr>
          <w:p w:rsidR="003A7660" w:rsidRDefault="00A1041C">
            <w:pPr>
              <w:widowControl w:val="0"/>
              <w:rPr>
                <w:rFonts w:ascii="Arial" w:hAnsi="Arial" w:cs="Arial"/>
                <w:b/>
                <w:bCs/>
                <w:kern w:val="2"/>
                <w14:ligatures w14:val="standardContextual"/>
              </w:rPr>
            </w:pPr>
            <w:r>
              <w:rPr>
                <w:rFonts w:ascii="Arial" w:hAnsi="Arial" w:cs="Arial"/>
                <w:b/>
                <w:bCs/>
                <w:kern w:val="2"/>
                <w14:ligatures w14:val="standardContextual"/>
              </w:rPr>
              <w:t>UKUPNO</w:t>
            </w:r>
          </w:p>
        </w:tc>
        <w:tc>
          <w:tcPr>
            <w:tcW w:w="2170" w:type="dxa"/>
            <w:gridSpan w:val="2"/>
            <w:tcBorders>
              <w:top w:val="single" w:sz="4" w:space="0" w:color="000000"/>
              <w:left w:val="single" w:sz="8" w:space="0" w:color="000000"/>
              <w:bottom w:val="single" w:sz="8" w:space="0" w:color="000000"/>
              <w:right w:val="double" w:sz="6" w:space="0" w:color="auto"/>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2.517.193 KM</w:t>
            </w:r>
          </w:p>
        </w:tc>
        <w:tc>
          <w:tcPr>
            <w:tcW w:w="2297" w:type="dxa"/>
            <w:gridSpan w:val="2"/>
            <w:tcBorders>
              <w:top w:val="single" w:sz="4" w:space="0" w:color="000000"/>
              <w:left w:val="double" w:sz="6" w:space="0" w:color="auto"/>
              <w:bottom w:val="single" w:sz="8" w:space="0" w:color="000000"/>
              <w:right w:val="double" w:sz="6" w:space="0" w:color="auto"/>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2.517.193 KM</w:t>
            </w:r>
          </w:p>
        </w:tc>
        <w:tc>
          <w:tcPr>
            <w:tcW w:w="2169" w:type="dxa"/>
            <w:gridSpan w:val="2"/>
            <w:tcBorders>
              <w:top w:val="single" w:sz="4" w:space="0" w:color="000000"/>
              <w:left w:val="double" w:sz="6" w:space="0" w:color="auto"/>
              <w:bottom w:val="single" w:sz="8" w:space="0" w:color="000000"/>
              <w:right w:val="single" w:sz="8" w:space="0" w:color="000000"/>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2.517.193 KM</w:t>
            </w:r>
          </w:p>
        </w:tc>
      </w:tr>
      <w:tr w:rsidR="003A7660" w:rsidTr="000561D4">
        <w:trPr>
          <w:trHeight w:val="283"/>
          <w:jc w:val="center"/>
        </w:trPr>
        <w:tc>
          <w:tcPr>
            <w:tcW w:w="1179" w:type="dxa"/>
            <w:vMerge w:val="restart"/>
            <w:tcBorders>
              <w:left w:val="single" w:sz="8" w:space="0" w:color="000000"/>
              <w:bottom w:val="single" w:sz="8" w:space="0" w:color="000000"/>
              <w:right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CHE Čapljina</w:t>
            </w:r>
          </w:p>
        </w:tc>
        <w:tc>
          <w:tcPr>
            <w:tcW w:w="1440"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Čapljina</w:t>
            </w:r>
          </w:p>
        </w:tc>
        <w:tc>
          <w:tcPr>
            <w:tcW w:w="2170" w:type="dxa"/>
            <w:gridSpan w:val="2"/>
            <w:tcBorders>
              <w:top w:val="single" w:sz="8" w:space="0" w:color="000000"/>
              <w:left w:val="single" w:sz="8" w:space="0" w:color="000000"/>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3.273.800 KM</w:t>
            </w:r>
          </w:p>
        </w:tc>
        <w:tc>
          <w:tcPr>
            <w:tcW w:w="2297" w:type="dxa"/>
            <w:gridSpan w:val="2"/>
            <w:tcBorders>
              <w:top w:val="single" w:sz="8" w:space="0" w:color="000000"/>
              <w:left w:val="double" w:sz="6" w:space="0" w:color="auto"/>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2.311.926 KM</w:t>
            </w:r>
          </w:p>
        </w:tc>
        <w:tc>
          <w:tcPr>
            <w:tcW w:w="2169" w:type="dxa"/>
            <w:gridSpan w:val="2"/>
            <w:tcBorders>
              <w:top w:val="single" w:sz="8" w:space="0" w:color="000000"/>
              <w:left w:val="double" w:sz="6" w:space="0" w:color="auto"/>
              <w:bottom w:val="single" w:sz="4" w:space="0" w:color="000000"/>
              <w:right w:val="single" w:sz="8"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1.830.989 KM</w:t>
            </w:r>
          </w:p>
        </w:tc>
      </w:tr>
      <w:tr w:rsidR="003A7660" w:rsidTr="000561D4">
        <w:trPr>
          <w:trHeight w:val="283"/>
          <w:jc w:val="center"/>
        </w:trPr>
        <w:tc>
          <w:tcPr>
            <w:tcW w:w="1179"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440"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Neum</w:t>
            </w:r>
          </w:p>
        </w:tc>
        <w:tc>
          <w:tcPr>
            <w:tcW w:w="2170" w:type="dxa"/>
            <w:gridSpan w:val="2"/>
            <w:tcBorders>
              <w:top w:val="single" w:sz="4" w:space="0" w:color="000000"/>
              <w:left w:val="single" w:sz="8" w:space="0" w:color="000000"/>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239.537 KM</w:t>
            </w:r>
          </w:p>
        </w:tc>
        <w:tc>
          <w:tcPr>
            <w:tcW w:w="2297" w:type="dxa"/>
            <w:gridSpan w:val="2"/>
            <w:tcBorders>
              <w:top w:val="single" w:sz="4" w:space="0" w:color="000000"/>
              <w:left w:val="double" w:sz="6" w:space="0" w:color="auto"/>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715.632 KM</w:t>
            </w:r>
          </w:p>
        </w:tc>
        <w:tc>
          <w:tcPr>
            <w:tcW w:w="2169" w:type="dxa"/>
            <w:gridSpan w:val="2"/>
            <w:tcBorders>
              <w:top w:val="single" w:sz="4" w:space="0" w:color="000000"/>
              <w:left w:val="double" w:sz="6" w:space="0" w:color="auto"/>
              <w:bottom w:val="single" w:sz="4" w:space="0" w:color="000000"/>
              <w:right w:val="single" w:sz="8"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954.051 KM</w:t>
            </w:r>
          </w:p>
        </w:tc>
      </w:tr>
      <w:tr w:rsidR="003A7660" w:rsidTr="000561D4">
        <w:trPr>
          <w:trHeight w:val="283"/>
          <w:jc w:val="center"/>
        </w:trPr>
        <w:tc>
          <w:tcPr>
            <w:tcW w:w="1179"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440" w:type="dxa"/>
            <w:tcBorders>
              <w:bottom w:val="single" w:sz="4" w:space="0" w:color="000000"/>
            </w:tcBorders>
            <w:vAlign w:val="center"/>
          </w:tcPr>
          <w:p w:rsidR="003A7660" w:rsidRDefault="00A1041C">
            <w:pPr>
              <w:widowControl w:val="0"/>
              <w:rPr>
                <w:rFonts w:ascii="Arial" w:hAnsi="Arial" w:cs="Arial"/>
                <w:kern w:val="2"/>
                <w14:ligatures w14:val="standardContextual"/>
              </w:rPr>
            </w:pPr>
            <w:r>
              <w:rPr>
                <w:rFonts w:ascii="Arial" w:hAnsi="Arial" w:cs="Arial"/>
                <w:kern w:val="2"/>
                <w14:ligatures w14:val="standardContextual"/>
              </w:rPr>
              <w:t>Ravno</w:t>
            </w:r>
          </w:p>
        </w:tc>
        <w:tc>
          <w:tcPr>
            <w:tcW w:w="2170" w:type="dxa"/>
            <w:gridSpan w:val="2"/>
            <w:tcBorders>
              <w:top w:val="single" w:sz="4" w:space="0" w:color="000000"/>
              <w:left w:val="single" w:sz="8" w:space="0" w:color="000000"/>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212.343 KM</w:t>
            </w:r>
          </w:p>
        </w:tc>
        <w:tc>
          <w:tcPr>
            <w:tcW w:w="2297" w:type="dxa"/>
            <w:gridSpan w:val="2"/>
            <w:tcBorders>
              <w:top w:val="single" w:sz="4" w:space="0" w:color="000000"/>
              <w:left w:val="double" w:sz="6" w:space="0" w:color="auto"/>
              <w:bottom w:val="single" w:sz="4" w:space="0" w:color="000000"/>
              <w:right w:val="double" w:sz="6" w:space="0" w:color="auto"/>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697.750 KM</w:t>
            </w:r>
          </w:p>
        </w:tc>
        <w:tc>
          <w:tcPr>
            <w:tcW w:w="2169" w:type="dxa"/>
            <w:gridSpan w:val="2"/>
            <w:tcBorders>
              <w:top w:val="single" w:sz="4" w:space="0" w:color="000000"/>
              <w:left w:val="double" w:sz="6" w:space="0" w:color="auto"/>
              <w:bottom w:val="single" w:sz="4" w:space="0" w:color="000000"/>
              <w:right w:val="single" w:sz="8" w:space="0" w:color="000000"/>
            </w:tcBorders>
            <w:vAlign w:val="center"/>
          </w:tcPr>
          <w:p w:rsidR="003A7660" w:rsidRDefault="00A1041C">
            <w:pPr>
              <w:widowControl w:val="0"/>
              <w:jc w:val="right"/>
              <w:rPr>
                <w:rFonts w:ascii="Arial" w:hAnsi="Arial" w:cs="Arial"/>
                <w:kern w:val="2"/>
                <w14:ligatures w14:val="standardContextual"/>
              </w:rPr>
            </w:pPr>
            <w:r>
              <w:rPr>
                <w:rFonts w:ascii="Arial" w:hAnsi="Arial" w:cs="Arial"/>
                <w:kern w:val="2"/>
                <w14:ligatures w14:val="standardContextual"/>
              </w:rPr>
              <w:t>940.268 KM</w:t>
            </w:r>
          </w:p>
        </w:tc>
      </w:tr>
      <w:tr w:rsidR="003A7660" w:rsidTr="000561D4">
        <w:trPr>
          <w:trHeight w:val="283"/>
          <w:jc w:val="center"/>
        </w:trPr>
        <w:tc>
          <w:tcPr>
            <w:tcW w:w="1179" w:type="dxa"/>
            <w:vMerge/>
            <w:tcBorders>
              <w:left w:val="single" w:sz="8" w:space="0" w:color="000000"/>
              <w:bottom w:val="single" w:sz="8" w:space="0" w:color="000000"/>
              <w:right w:val="single" w:sz="4" w:space="0" w:color="000000"/>
            </w:tcBorders>
            <w:vAlign w:val="center"/>
          </w:tcPr>
          <w:p w:rsidR="003A7660" w:rsidRDefault="003A7660">
            <w:pPr>
              <w:widowControl w:val="0"/>
              <w:spacing w:line="254" w:lineRule="auto"/>
              <w:rPr>
                <w:rFonts w:ascii="Arial" w:hAnsi="Arial" w:cs="Arial"/>
                <w:kern w:val="2"/>
                <w14:ligatures w14:val="standardContextual"/>
              </w:rPr>
            </w:pPr>
          </w:p>
        </w:tc>
        <w:tc>
          <w:tcPr>
            <w:tcW w:w="1440" w:type="dxa"/>
            <w:tcBorders>
              <w:bottom w:val="single" w:sz="8" w:space="0" w:color="000000"/>
            </w:tcBorders>
            <w:shd w:val="clear" w:color="auto" w:fill="D9D9D9"/>
            <w:vAlign w:val="center"/>
          </w:tcPr>
          <w:p w:rsidR="003A7660" w:rsidRDefault="00A1041C">
            <w:pPr>
              <w:widowControl w:val="0"/>
              <w:rPr>
                <w:rFonts w:ascii="Arial" w:hAnsi="Arial" w:cs="Arial"/>
                <w:b/>
                <w:bCs/>
                <w:kern w:val="2"/>
                <w14:ligatures w14:val="standardContextual"/>
              </w:rPr>
            </w:pPr>
            <w:r>
              <w:rPr>
                <w:rFonts w:ascii="Arial" w:hAnsi="Arial" w:cs="Arial"/>
                <w:b/>
                <w:bCs/>
                <w:kern w:val="2"/>
                <w14:ligatures w14:val="standardContextual"/>
              </w:rPr>
              <w:t>UKUPNO</w:t>
            </w:r>
          </w:p>
        </w:tc>
        <w:tc>
          <w:tcPr>
            <w:tcW w:w="2170" w:type="dxa"/>
            <w:gridSpan w:val="2"/>
            <w:tcBorders>
              <w:top w:val="single" w:sz="4" w:space="0" w:color="000000"/>
              <w:left w:val="single" w:sz="8" w:space="0" w:color="000000"/>
              <w:bottom w:val="single" w:sz="8" w:space="0" w:color="000000"/>
              <w:right w:val="double" w:sz="6" w:space="0" w:color="auto"/>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3.725.307 KM</w:t>
            </w:r>
          </w:p>
        </w:tc>
        <w:tc>
          <w:tcPr>
            <w:tcW w:w="2297" w:type="dxa"/>
            <w:gridSpan w:val="2"/>
            <w:tcBorders>
              <w:top w:val="single" w:sz="4" w:space="0" w:color="000000"/>
              <w:left w:val="double" w:sz="6" w:space="0" w:color="auto"/>
              <w:bottom w:val="single" w:sz="8" w:space="0" w:color="000000"/>
              <w:right w:val="double" w:sz="6" w:space="0" w:color="auto"/>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3.725.307 KM</w:t>
            </w:r>
          </w:p>
        </w:tc>
        <w:tc>
          <w:tcPr>
            <w:tcW w:w="2169" w:type="dxa"/>
            <w:gridSpan w:val="2"/>
            <w:tcBorders>
              <w:top w:val="single" w:sz="4" w:space="0" w:color="000000"/>
              <w:left w:val="double" w:sz="6" w:space="0" w:color="auto"/>
              <w:bottom w:val="single" w:sz="8" w:space="0" w:color="000000"/>
              <w:right w:val="single" w:sz="8" w:space="0" w:color="000000"/>
            </w:tcBorders>
            <w:shd w:val="clear" w:color="auto" w:fill="D9D9D9"/>
            <w:vAlign w:val="center"/>
          </w:tcPr>
          <w:p w:rsidR="003A7660" w:rsidRDefault="00A1041C">
            <w:pPr>
              <w:widowControl w:val="0"/>
              <w:jc w:val="right"/>
              <w:rPr>
                <w:rFonts w:ascii="Arial" w:hAnsi="Arial" w:cs="Arial"/>
                <w:b/>
                <w:bCs/>
                <w:kern w:val="2"/>
                <w14:ligatures w14:val="standardContextual"/>
              </w:rPr>
            </w:pPr>
            <w:r>
              <w:rPr>
                <w:rFonts w:ascii="Arial" w:hAnsi="Arial" w:cs="Arial"/>
                <w:b/>
                <w:bCs/>
                <w:kern w:val="2"/>
                <w14:ligatures w14:val="standardContextual"/>
              </w:rPr>
              <w:t>3.725.307 KM</w:t>
            </w:r>
          </w:p>
        </w:tc>
      </w:tr>
    </w:tbl>
    <w:p w:rsidR="003A7660" w:rsidRDefault="00A1041C">
      <w:pPr>
        <w:spacing w:after="120"/>
        <w:jc w:val="both"/>
        <w:rPr>
          <w:rFonts w:ascii="Arial" w:hAnsi="Arial" w:cs="Arial"/>
          <w:iCs/>
        </w:rPr>
      </w:pPr>
      <w:r>
        <w:rPr>
          <w:rFonts w:ascii="Arial" w:hAnsi="Arial" w:cs="Arial"/>
          <w:iCs/>
        </w:rPr>
        <w:t>*izračun na temelju trogodišnjeg prosjeka (2020.-2022.) i jediničnog iznosa naknade bez usklađenja (0,01 KM/kWh)</w:t>
      </w:r>
    </w:p>
    <w:p w:rsidR="003A7660" w:rsidRDefault="00A1041C">
      <w:pPr>
        <w:spacing w:after="120"/>
        <w:jc w:val="both"/>
        <w:rPr>
          <w:rFonts w:ascii="Arial" w:hAnsi="Arial" w:cs="Arial"/>
          <w:iCs/>
        </w:rPr>
      </w:pPr>
      <w:r>
        <w:rPr>
          <w:rFonts w:ascii="Arial" w:hAnsi="Arial" w:cs="Arial"/>
          <w:iCs/>
        </w:rPr>
        <w:t>U cilju otklanjanja svih nedorečenosti i nepreciznosti koje su dovele do sudskih sporova, a posljedično i do različite sudske prakse, predložen</w:t>
      </w:r>
      <w:r>
        <w:rPr>
          <w:rFonts w:ascii="Arial" w:hAnsi="Arial" w:cs="Arial"/>
          <w:iCs/>
        </w:rPr>
        <w:t>e su izmjena članka 6. Zakona, kojim su jasno utvrđeni kriteriji raspodjele naknade u slučaju da je hidroakumulacioni objekata izgrađen na području dvije ili više općina/gradova.</w:t>
      </w:r>
    </w:p>
    <w:p w:rsidR="003A7660" w:rsidRDefault="00A1041C">
      <w:pPr>
        <w:spacing w:after="120"/>
        <w:jc w:val="both"/>
        <w:rPr>
          <w:rFonts w:ascii="Arial" w:hAnsi="Arial" w:cs="Arial"/>
          <w:iCs/>
        </w:rPr>
      </w:pPr>
      <w:r>
        <w:rPr>
          <w:rFonts w:ascii="Arial" w:hAnsi="Arial" w:cs="Arial"/>
          <w:iCs/>
        </w:rPr>
        <w:t>Iz svih navedenih razloga Vlada Federacije Bosne i Hercegovine je rješenjem V</w:t>
      </w:r>
      <w:r>
        <w:rPr>
          <w:rFonts w:ascii="Arial" w:hAnsi="Arial" w:cs="Arial"/>
          <w:iCs/>
        </w:rPr>
        <w:t xml:space="preserve">.broj:1711/2023 od 30.11.2023.godine imenovala radnu grupu za izradu teksta </w:t>
      </w:r>
      <w:r>
        <w:rPr>
          <w:rFonts w:ascii="Arial" w:hAnsi="Arial" w:cs="Arial"/>
        </w:rPr>
        <w:t xml:space="preserve">Zakona </w:t>
      </w:r>
      <w:r>
        <w:rPr>
          <w:rFonts w:ascii="Arial" w:hAnsi="Arial" w:cs="Arial"/>
          <w:color w:val="000000" w:themeColor="text1"/>
        </w:rPr>
        <w:t>o izmjenama i dopunama Zakona o izdvajanju i usmjeravanju dijela prihoda poduzeća ostvarenog korištenjem hidroakumulacijskih objekata</w:t>
      </w:r>
      <w:r>
        <w:rPr>
          <w:rFonts w:ascii="Arial" w:hAnsi="Arial" w:cs="Arial"/>
        </w:rPr>
        <w:t>.</w:t>
      </w:r>
      <w:r>
        <w:rPr>
          <w:rFonts w:ascii="Arial" w:hAnsi="Arial" w:cs="Arial"/>
          <w:iCs/>
        </w:rPr>
        <w:t xml:space="preserve">  </w:t>
      </w:r>
    </w:p>
    <w:p w:rsidR="003A7660" w:rsidRDefault="003A7660" w:rsidP="000561D4">
      <w:pPr>
        <w:spacing w:after="120"/>
        <w:jc w:val="both"/>
        <w:rPr>
          <w:rFonts w:ascii="Arial" w:hAnsi="Arial" w:cs="Arial"/>
          <w:color w:val="000000" w:themeColor="text1"/>
        </w:rPr>
      </w:pPr>
    </w:p>
    <w:p w:rsidR="000561D4" w:rsidRPr="000561D4" w:rsidRDefault="000561D4" w:rsidP="000561D4">
      <w:pPr>
        <w:spacing w:after="120"/>
        <w:jc w:val="both"/>
        <w:rPr>
          <w:rFonts w:ascii="Arial" w:hAnsi="Arial" w:cs="Arial"/>
          <w:color w:val="000000" w:themeColor="text1"/>
        </w:rPr>
      </w:pPr>
    </w:p>
    <w:p w:rsidR="003A7660" w:rsidRDefault="00A1041C">
      <w:pPr>
        <w:jc w:val="both"/>
        <w:rPr>
          <w:rFonts w:ascii="Arial" w:hAnsi="Arial" w:cs="Arial"/>
        </w:rPr>
      </w:pPr>
      <w:r>
        <w:rPr>
          <w:rFonts w:ascii="Arial" w:hAnsi="Arial" w:cs="Arial"/>
          <w:b/>
          <w:bCs/>
          <w:lang w:val="hr-BA"/>
        </w:rPr>
        <w:t>III OBRAZLOŽENJE POJEDINIH ODREDBI</w:t>
      </w:r>
    </w:p>
    <w:p w:rsidR="003A7660" w:rsidRDefault="003A7660">
      <w:pPr>
        <w:jc w:val="both"/>
        <w:rPr>
          <w:rFonts w:ascii="Arial" w:hAnsi="Arial" w:cs="Arial"/>
        </w:rPr>
      </w:pPr>
    </w:p>
    <w:p w:rsidR="003A7660" w:rsidRDefault="00A1041C">
      <w:pPr>
        <w:jc w:val="both"/>
        <w:rPr>
          <w:rFonts w:ascii="Arial" w:hAnsi="Arial" w:cs="Arial"/>
          <w:iCs/>
        </w:rPr>
      </w:pPr>
      <w:r>
        <w:rPr>
          <w:rFonts w:ascii="Arial" w:hAnsi="Arial" w:cs="Arial"/>
        </w:rPr>
        <w:lastRenderedPageBreak/>
        <w:t xml:space="preserve">Člankom 1. stavkom ( 1 ) Nacrta  zakona  je propisano </w:t>
      </w:r>
      <w:r>
        <w:rPr>
          <w:rFonts w:ascii="Arial" w:hAnsi="Arial" w:cs="Arial"/>
          <w:iCs/>
        </w:rPr>
        <w:t xml:space="preserve">nominalno povećanje jediničnog iznosa naknade sa 0,01 KM na  0,011 KM,  dok je stavak ( 2 ) istog članka brisan iz razloga što </w:t>
      </w:r>
      <w:r>
        <w:rPr>
          <w:rFonts w:ascii="Arial" w:hAnsi="Arial" w:cs="Arial"/>
          <w:iCs/>
          <w:color w:val="000000" w:themeColor="text1"/>
        </w:rPr>
        <w:t>cijenu električne energije prema važećem Zakonu o električnoj energiji viš</w:t>
      </w:r>
      <w:r>
        <w:rPr>
          <w:rFonts w:ascii="Arial" w:hAnsi="Arial" w:cs="Arial"/>
          <w:iCs/>
          <w:color w:val="000000" w:themeColor="text1"/>
        </w:rPr>
        <w:t xml:space="preserve">e ne može utvrđivati Regulatorna komisija za energiju u Federaciji BiH. </w:t>
      </w:r>
      <w:r>
        <w:rPr>
          <w:rFonts w:ascii="Arial" w:hAnsi="Arial" w:cs="Arial"/>
          <w:iCs/>
        </w:rPr>
        <w:t xml:space="preserve"> </w:t>
      </w:r>
    </w:p>
    <w:p w:rsidR="003A7660" w:rsidRDefault="00A1041C">
      <w:pPr>
        <w:jc w:val="both"/>
        <w:rPr>
          <w:rFonts w:ascii="Arial" w:hAnsi="Arial" w:cs="Arial"/>
          <w:iCs/>
        </w:rPr>
      </w:pPr>
      <w:r>
        <w:rPr>
          <w:rFonts w:ascii="Arial" w:hAnsi="Arial" w:cs="Arial"/>
        </w:rPr>
        <w:t xml:space="preserve">Člankom 2. ovog zakona jasno je utvrđen </w:t>
      </w:r>
      <w:r>
        <w:rPr>
          <w:rFonts w:ascii="Arial" w:hAnsi="Arial" w:cs="Arial"/>
          <w:iCs/>
        </w:rPr>
        <w:t xml:space="preserve">kriterij raspodjele iznosa naknade između dvije ili više općina na kojima je izgrađen hidroakumulacijski objekt, iz razloga što je u primjeni </w:t>
      </w:r>
      <w:r>
        <w:rPr>
          <w:rFonts w:ascii="Arial" w:hAnsi="Arial" w:cs="Arial"/>
          <w:iCs/>
        </w:rPr>
        <w:t>Zakona došlo  do različitog tumačenja i primjene odredbe članka 6. važećeg zakona, a posljedično i do sudskih sporova, gdje su sudovi u Federaciji BiH zauzeli različita stajališta prilikom vrednovanja navedena dva kriterija iz razloga što nisu propisani vr</w:t>
      </w:r>
      <w:r>
        <w:rPr>
          <w:rFonts w:ascii="Arial" w:hAnsi="Arial" w:cs="Arial"/>
          <w:iCs/>
        </w:rPr>
        <w:t xml:space="preserve">ijednosni faktori pojedinih kriterija. </w:t>
      </w:r>
    </w:p>
    <w:p w:rsidR="003A7660" w:rsidRDefault="00A1041C">
      <w:pPr>
        <w:jc w:val="both"/>
        <w:rPr>
          <w:rFonts w:ascii="Arial" w:hAnsi="Arial" w:cs="Arial"/>
          <w:iCs/>
        </w:rPr>
      </w:pPr>
      <w:r>
        <w:rPr>
          <w:rFonts w:ascii="Arial" w:hAnsi="Arial" w:cs="Arial"/>
          <w:iCs/>
        </w:rPr>
        <w:t>Člankom 3. ovog zakona propisano je stupanje na snagu ovog zakona.</w:t>
      </w:r>
    </w:p>
    <w:p w:rsidR="003A7660" w:rsidRDefault="003A7660">
      <w:pPr>
        <w:jc w:val="both"/>
        <w:rPr>
          <w:rFonts w:ascii="Arial" w:hAnsi="Arial" w:cs="Arial"/>
          <w:iCs/>
        </w:rPr>
      </w:pPr>
    </w:p>
    <w:p w:rsidR="003A7660" w:rsidRDefault="00A1041C">
      <w:pPr>
        <w:pStyle w:val="NormalWeb"/>
        <w:spacing w:before="280" w:after="280"/>
        <w:rPr>
          <w:rFonts w:ascii="Arial" w:hAnsi="Arial" w:cs="Arial"/>
          <w:b/>
          <w:sz w:val="22"/>
          <w:szCs w:val="22"/>
        </w:rPr>
      </w:pPr>
      <w:r>
        <w:rPr>
          <w:rFonts w:ascii="Arial" w:hAnsi="Arial" w:cs="Arial"/>
          <w:b/>
          <w:sz w:val="22"/>
          <w:szCs w:val="22"/>
        </w:rPr>
        <w:t>IV FINANCIJSKA SREDSTVA</w:t>
      </w:r>
    </w:p>
    <w:p w:rsidR="003A7660" w:rsidRDefault="00A1041C">
      <w:pPr>
        <w:pStyle w:val="NormalWeb"/>
        <w:spacing w:before="280" w:after="280"/>
        <w:jc w:val="both"/>
        <w:rPr>
          <w:rFonts w:ascii="Arial" w:hAnsi="Arial" w:cs="Arial"/>
          <w:sz w:val="22"/>
          <w:szCs w:val="22"/>
        </w:rPr>
      </w:pPr>
      <w:r>
        <w:rPr>
          <w:rFonts w:ascii="Arial" w:hAnsi="Arial" w:cs="Arial"/>
          <w:sz w:val="22"/>
          <w:szCs w:val="22"/>
        </w:rPr>
        <w:t>Za provođenje ovog zakona nije potrebno osigurati sredstva iz Proračuna  Federacije Bosne i Hercegovine.</w:t>
      </w:r>
    </w:p>
    <w:p w:rsidR="003A7660" w:rsidRDefault="003A7660">
      <w:pPr>
        <w:pStyle w:val="NormalWeb"/>
        <w:spacing w:before="280" w:after="280"/>
        <w:rPr>
          <w:rFonts w:ascii="Arial" w:hAnsi="Arial" w:cs="Arial"/>
          <w:sz w:val="22"/>
          <w:szCs w:val="22"/>
        </w:rPr>
      </w:pPr>
    </w:p>
    <w:p w:rsidR="003A7660" w:rsidRDefault="00A1041C">
      <w:pPr>
        <w:spacing w:beforeAutospacing="1" w:afterAutospacing="1"/>
        <w:jc w:val="both"/>
        <w:rPr>
          <w:rFonts w:ascii="Arial" w:hAnsi="Arial" w:cs="Arial"/>
          <w:b/>
          <w:lang/>
        </w:rPr>
      </w:pPr>
      <w:r>
        <w:rPr>
          <w:rFonts w:ascii="Arial" w:hAnsi="Arial" w:cs="Arial"/>
          <w:b/>
          <w:lang/>
        </w:rPr>
        <w:t>V USKLAĐENOST S PR</w:t>
      </w:r>
      <w:r>
        <w:rPr>
          <w:rFonts w:ascii="Arial" w:hAnsi="Arial" w:cs="Arial"/>
          <w:b/>
          <w:lang/>
        </w:rPr>
        <w:t>OPISIMA EU-a</w:t>
      </w:r>
    </w:p>
    <w:p w:rsidR="003A7660" w:rsidRDefault="00A1041C">
      <w:pPr>
        <w:spacing w:beforeAutospacing="1" w:afterAutospacing="1"/>
        <w:jc w:val="both"/>
        <w:rPr>
          <w:rFonts w:ascii="Arial" w:hAnsi="Arial" w:cs="Arial"/>
          <w:lang/>
        </w:rPr>
      </w:pPr>
      <w:r>
        <w:rPr>
          <w:rFonts w:ascii="Arial" w:hAnsi="Arial" w:cs="Arial"/>
          <w:lang/>
        </w:rPr>
        <w:t>Zakon nije usklađivan s propisima EU-a obzirom na postoji propis EU s kojim bi se ovaj zakon mogao usklađivati.</w:t>
      </w:r>
    </w:p>
    <w:p w:rsidR="003A7660" w:rsidRDefault="003A7660">
      <w:pPr>
        <w:pStyle w:val="NormalWeb"/>
        <w:spacing w:before="280" w:after="280"/>
        <w:rPr>
          <w:rFonts w:ascii="Arial" w:hAnsi="Arial" w:cs="Arial"/>
          <w:b/>
          <w:sz w:val="22"/>
          <w:szCs w:val="22"/>
        </w:rPr>
      </w:pPr>
    </w:p>
    <w:p w:rsidR="003A7660" w:rsidRDefault="00A1041C">
      <w:pPr>
        <w:pStyle w:val="NormalWeb"/>
        <w:spacing w:before="280" w:after="280"/>
        <w:rPr>
          <w:rFonts w:ascii="Arial" w:hAnsi="Arial" w:cs="Arial"/>
          <w:b/>
          <w:sz w:val="22"/>
          <w:szCs w:val="22"/>
        </w:rPr>
      </w:pPr>
      <w:r>
        <w:rPr>
          <w:rFonts w:ascii="Arial" w:hAnsi="Arial" w:cs="Arial"/>
          <w:b/>
          <w:sz w:val="22"/>
          <w:szCs w:val="22"/>
        </w:rPr>
        <w:t xml:space="preserve">VI   PRIBAVLJENA MIŠLJENJA: </w:t>
      </w:r>
    </w:p>
    <w:p w:rsidR="003A7660" w:rsidRDefault="003A7660">
      <w:pPr>
        <w:pStyle w:val="ListParagraph"/>
        <w:spacing w:after="0" w:line="240" w:lineRule="auto"/>
        <w:ind w:left="426"/>
        <w:jc w:val="both"/>
        <w:rPr>
          <w:rFonts w:ascii="Arial" w:hAnsi="Arial" w:cs="Arial"/>
        </w:rPr>
      </w:pPr>
    </w:p>
    <w:sectPr w:rsidR="003A7660">
      <w:headerReference w:type="default" r:id="rId6"/>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41C" w:rsidRDefault="00A1041C">
      <w:pPr>
        <w:spacing w:after="0" w:line="240" w:lineRule="auto"/>
      </w:pPr>
      <w:r>
        <w:separator/>
      </w:r>
    </w:p>
  </w:endnote>
  <w:endnote w:type="continuationSeparator" w:id="0">
    <w:p w:rsidR="00A1041C" w:rsidRDefault="00A1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41C" w:rsidRDefault="00A1041C">
      <w:pPr>
        <w:spacing w:after="0" w:line="240" w:lineRule="auto"/>
      </w:pPr>
      <w:r>
        <w:separator/>
      </w:r>
    </w:p>
  </w:footnote>
  <w:footnote w:type="continuationSeparator" w:id="0">
    <w:p w:rsidR="00A1041C" w:rsidRDefault="00A10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660" w:rsidRDefault="003A7660">
    <w:pPr>
      <w:pStyle w:val="Header"/>
      <w:jc w:val="right"/>
      <w:rPr>
        <w:rFonts w:ascii="Arial" w:hAnsi="Arial" w:cs="Arial"/>
        <w:b/>
        <w:bCs/>
        <w:color w:val="404040" w:themeColor="text1" w:themeTint="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60"/>
    <w:rsid w:val="000561D4"/>
    <w:rsid w:val="003A7660"/>
    <w:rsid w:val="00470D7A"/>
    <w:rsid w:val="00A1041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36FE"/>
  <w15:docId w15:val="{FFB90F3C-41FC-441B-BDBE-DFE1CDD2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r-HR" w:eastAsia="en-US" w:bidi="ar-SA"/>
        <w14:ligatures w14:val="standardContextual"/>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1C3"/>
    <w:pPr>
      <w:spacing w:after="200" w:line="276" w:lineRule="auto"/>
    </w:pPr>
    <w:rPr>
      <w:rFonts w:ascii="Calibri" w:eastAsia="Calibri" w:hAnsi="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qFormat/>
    <w:rsid w:val="003061C3"/>
    <w:rPr>
      <w:rFonts w:ascii="Arial" w:eastAsia="Arial" w:hAnsi="Arial" w:cs="Arial"/>
      <w:kern w:val="0"/>
      <w:sz w:val="24"/>
      <w:szCs w:val="24"/>
      <w14:ligatures w14:val="none"/>
    </w:rPr>
  </w:style>
  <w:style w:type="character" w:customStyle="1" w:styleId="HeaderChar">
    <w:name w:val="Header Char"/>
    <w:basedOn w:val="DefaultParagraphFont"/>
    <w:link w:val="Header"/>
    <w:uiPriority w:val="99"/>
    <w:qFormat/>
    <w:rsid w:val="00DD39FC"/>
    <w:rPr>
      <w:kern w:val="0"/>
      <w14:ligatures w14:val="none"/>
    </w:rPr>
  </w:style>
  <w:style w:type="character" w:customStyle="1" w:styleId="FooterChar">
    <w:name w:val="Footer Char"/>
    <w:basedOn w:val="DefaultParagraphFont"/>
    <w:link w:val="Footer"/>
    <w:uiPriority w:val="99"/>
    <w:qFormat/>
    <w:rsid w:val="00DD39FC"/>
    <w:rPr>
      <w:kern w:val="0"/>
      <w14:ligatures w14: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3061C3"/>
    <w:pPr>
      <w:widowControl w:val="0"/>
      <w:spacing w:after="0" w:line="240" w:lineRule="auto"/>
    </w:pPr>
    <w:rPr>
      <w:rFonts w:ascii="Arial" w:eastAsia="Arial" w:hAnsi="Arial" w:cs="Arial"/>
      <w:sz w:val="24"/>
      <w:szCs w:val="24"/>
    </w:rPr>
  </w:style>
  <w:style w:type="paragraph" w:styleId="List">
    <w:name w:val="List"/>
    <w:basedOn w:val="BodyText"/>
  </w:style>
  <w:style w:type="paragraph" w:styleId="Caption">
    <w:name w:val="caption"/>
    <w:basedOn w:val="Normal"/>
    <w:next w:val="Normal"/>
    <w:uiPriority w:val="35"/>
    <w:unhideWhenUsed/>
    <w:qFormat/>
    <w:rsid w:val="00396879"/>
    <w:pPr>
      <w:spacing w:line="240" w:lineRule="auto"/>
    </w:pPr>
    <w:rPr>
      <w:i/>
      <w:iCs/>
      <w:color w:val="44546A" w:themeColor="text2"/>
      <w:sz w:val="18"/>
      <w:szCs w:val="18"/>
    </w:rPr>
  </w:style>
  <w:style w:type="paragraph" w:customStyle="1" w:styleId="Index">
    <w:name w:val="Index"/>
    <w:basedOn w:val="Normal"/>
    <w:qFormat/>
    <w:pPr>
      <w:suppressLineNumbers/>
    </w:pPr>
    <w:rPr>
      <w:rFonts w:cs="Arial"/>
      <w:lang/>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D39FC"/>
    <w:pPr>
      <w:tabs>
        <w:tab w:val="center" w:pos="4536"/>
        <w:tab w:val="right" w:pos="9072"/>
      </w:tabs>
      <w:spacing w:after="0" w:line="240" w:lineRule="auto"/>
    </w:pPr>
  </w:style>
  <w:style w:type="paragraph" w:styleId="Footer">
    <w:name w:val="footer"/>
    <w:basedOn w:val="Normal"/>
    <w:link w:val="FooterChar"/>
    <w:uiPriority w:val="99"/>
    <w:unhideWhenUsed/>
    <w:rsid w:val="00DD39FC"/>
    <w:pPr>
      <w:tabs>
        <w:tab w:val="center" w:pos="4536"/>
        <w:tab w:val="right" w:pos="9072"/>
      </w:tabs>
      <w:spacing w:after="0" w:line="240" w:lineRule="auto"/>
    </w:pPr>
  </w:style>
  <w:style w:type="paragraph" w:styleId="NormalWeb">
    <w:name w:val="Normal (Web)"/>
    <w:basedOn w:val="Normal"/>
    <w:qFormat/>
    <w:rsid w:val="00763BA5"/>
    <w:pPr>
      <w:spacing w:beforeAutospacing="1" w:afterAutospacing="1" w:line="240" w:lineRule="auto"/>
    </w:pPr>
    <w:rPr>
      <w:rFonts w:ascii="Arial Unicode MS" w:eastAsia="Arial Unicode MS" w:hAnsi="Arial Unicode MS" w:cs="Arial Unicode MS"/>
      <w:sz w:val="24"/>
      <w:szCs w:val="24"/>
      <w:lang w:eastAsia="hr-HR"/>
    </w:rPr>
  </w:style>
  <w:style w:type="paragraph" w:styleId="ListParagraph">
    <w:name w:val="List Paragraph"/>
    <w:basedOn w:val="Normal"/>
    <w:uiPriority w:val="34"/>
    <w:qFormat/>
    <w:rsid w:val="0076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Bukić</dc:creator>
  <dc:description/>
  <cp:lastModifiedBy>NijazM</cp:lastModifiedBy>
  <cp:revision>3</cp:revision>
  <cp:lastPrinted>2023-12-18T07:08:00Z</cp:lastPrinted>
  <dcterms:created xsi:type="dcterms:W3CDTF">2024-01-12T12:01:00Z</dcterms:created>
  <dcterms:modified xsi:type="dcterms:W3CDTF">2024-01-12T12:01:00Z</dcterms:modified>
  <dc:language>en-US</dc:language>
</cp:coreProperties>
</file>